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month of Feb 2021</w:t>
      </w:r>
    </w:p>
    <w:p>
      <w:pPr>
        <w:spacing w:after="0" w:line="22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19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675" w:right="539" w:bottom="1440" w:gutter="0" w:footer="0" w:header="0"/>
        </w:sectPr>
      </w:pPr>
    </w:p>
    <w:bookmarkStart w:id="1" w:name="page2"/>
    <w:bookmarkEnd w:id="1"/>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11</w:t>
      </w:r>
      <w:r>
        <w:rPr>
          <w:rFonts w:ascii="Arial" w:cs="Arial" w:eastAsia="Arial" w:hAnsi="Arial"/>
          <w:sz w:val="29"/>
          <w:szCs w:val="29"/>
          <w:color w:val="auto"/>
          <w:vertAlign w:val="superscript"/>
        </w:rPr>
        <w:t>th</w:t>
      </w:r>
      <w:r>
        <w:rPr>
          <w:rFonts w:ascii="Arial" w:cs="Arial" w:eastAsia="Arial" w:hAnsi="Arial"/>
          <w:sz w:val="18"/>
          <w:szCs w:val="18"/>
          <w:color w:val="auto"/>
        </w:rPr>
        <w:t>, 2021</w:t>
      </w:r>
    </w:p>
    <w:p>
      <w:pPr>
        <w:spacing w:after="0" w:line="1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18"/>
          <w:szCs w:val="18"/>
          <w:color w:val="auto"/>
        </w:rPr>
        <w:t>By:</w:t>
        <w:tab/>
        <w:t>/s/ 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Miriam Bottger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4" w:right="759" w:bottom="1440" w:gutter="0" w:footer="0" w:header="0"/>
        </w:sectPr>
      </w:pPr>
    </w:p>
    <w:bookmarkStart w:id="2" w:name="page3"/>
    <w:bookmarkEnd w:id="2"/>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161925</wp:posOffset>
            </wp:positionV>
            <wp:extent cx="137160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Lima, Peru, February 8, 2021 </w:t>
      </w:r>
      <w:r>
        <w:rPr>
          <w:rFonts w:ascii="Arial" w:cs="Arial" w:eastAsia="Arial" w:hAnsi="Arial"/>
          <w:sz w:val="18"/>
          <w:szCs w:val="18"/>
          <w:color w:val="auto"/>
        </w:rPr>
        <w:t>– Credicorp Ltd. (NYSE: BAP) announced its unaudited results for the fourth quarter of 2020. These results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according to IFRS in Soles.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2020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4Q20, Credicorp reported net income of S/653.4 million, which translated into an ROAE and ROAA of 10.8% and 1.1% respectively. YTD, Credicorp registered net income for 2020 of S/ 346.9 million. If we exclude non-recurring events this year for a total of S/539.4 million (adjusted for taxes), net income and adjusted ROE in 2020 were S/ 886.3 million and 3.5% respectively. These results reflect the most challenging environment that we have experienced at Credicorp in our 25 year history.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Economic activity recovered at a better-than-expected pace in 4Q20 as GDP posted significant improvement over the -30% registered in 2Q20. Recovery this quarter was driven by a more favorable external environment, which was marked by an increase in copper prices, and by an improvement in local economic indicators. For the fourth quarter of 2020, estimates suggest that GDP stands only 3% below its pre-pandemic levels.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operating and financial indicators show signs of recovery i the microfinance, SME-Pyme and Individuals segments. Our clients’ recovery was also evident in the billing levels for loans, which registered growth in 4Q20, particularly in the Individuals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in 4Q20 show: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QoQ expansion in average daily loan balances was driven by Government Loans (GP) while the structural loan portfolio registered a contraction, which was primarily fueled by a decrease in the balance levels for corporate banking at BCP, whose clients continued to repay facilities taken at the beginning of the crisis. In YoY terms, total loans grew 15.8% measured in average daily balances and 19.1% in quarter-end balances while structural loans (which do not include GP loans) registered growth of 4.2% in average daily balances and –2.2% in quarter-end balances.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NII contracted -4.3% QoQ. This was mainly driven by a decrease in interest income on loans, which was attributable to high inflows of low-interest government loans and to a decrease in the interest rates associated with structural loans. If we excluded non-recurring charges that affect interest income this quarter, NII situates at a stable level compared to last quarter. In 2020, NII fell –5.7%. This evolution was fueled by lower interest rates and a less profitable asset mix, which was partially offset by a decrease in interest expenses in a context of an improvement in the funding mix. Nevertheless, NII adjusted for non-recurring changes throughout the year fell –1%. The NIM and structural NIM margins were situated at 4.30% and 4.78% respectively in 2020.</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provisions for loan losses fell significantly with regard to the level registered last quarter due to an improvement in macroeconomic expectations and to adjustments in the expected loss model, which led the cost of risk for the structural portfolio to situate at 2.44% in 4Q20. Provisions for loan losses in 2020 increased 220.7%, in line with the expected impact of the crisis. Thus, cost of risk in 2020 was 4.3%, compared to 1.6% in 2019. If we adjust provisions and loan balances excluding GP loans, structural cost of risk was 5.07% in 2020. Growth in provisions outpaced the expansion registered by the NPL portfolio; this led to a subsequent increase in the coverage ratio for the NPL portfolio, which situated at 156.1% in December 2020 versus 114.4% in December 2019.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Non-financial income expanded +20.7% QoQ in 4Q20, which was primarily attributable to the fact that fee exemptions were in place until the end of September, and as such the last quarter of the year was the only quarter that registered the impact of full fee collections. In 2020, non-financial income fell - 10.0%, which was attributable to a decrease in the transaction levels, particularly in the months of obligatory confinement in the first half of the year. In this context, fee income was the component that registered the most significant impact.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underwriting result fell -27.9% in 2020. This was attributable to growth in claims in the Life business due to COVID-19-related mortality, which was slightly mitigated by a decrease in claims in P&amp;C as indicated in the quarterly analysis.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efficiency ratio increased +220bps QoQ, which reflected seasonal effects on operating expenses. In FY terms, the efficiency ratio in 2020 deteriorated 270 bps, which was due to a drop in income, mainly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117475</wp:posOffset>
            </wp:positionV>
            <wp:extent cx="6669405" cy="1097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9405" cy="10972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260" w:type="dxa"/>
            <w:vAlign w:val="bottom"/>
          </w:tcPr>
          <w:p>
            <w:pPr>
              <w:spacing w:after="0"/>
              <w:rPr>
                <w:sz w:val="20"/>
                <w:szCs w:val="20"/>
                <w:color w:val="auto"/>
              </w:rPr>
            </w:pPr>
          </w:p>
        </w:tc>
      </w:tr>
      <w:tr>
        <w:trPr>
          <w:trHeight w:val="418"/>
        </w:trPr>
        <w:tc>
          <w:tcPr>
            <w:tcW w:w="7980" w:type="dxa"/>
            <w:vAlign w:val="bottom"/>
            <w:gridSpan w:val="3"/>
          </w:tcPr>
          <w:p>
            <w:pPr>
              <w:spacing w:after="0"/>
              <w:rPr>
                <w:sz w:val="20"/>
                <w:szCs w:val="20"/>
                <w:color w:val="auto"/>
              </w:rPr>
            </w:pPr>
            <w:r>
              <w:rPr>
                <w:rFonts w:ascii="Arial" w:cs="Arial" w:eastAsia="Arial" w:hAnsi="Arial"/>
                <w:sz w:val="18"/>
                <w:szCs w:val="18"/>
                <w:color w:val="auto"/>
              </w:rPr>
              <w:t>Credicorp Ltd. (NYSE: BAP): Fourth Quarter Results 2020</w:t>
            </w:r>
          </w:p>
        </w:tc>
        <w:tc>
          <w:tcPr>
            <w:tcW w:w="3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Financial Overview</w:t>
            </w:r>
          </w:p>
        </w:tc>
        <w:tc>
          <w:tcPr>
            <w:tcW w:w="3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Credicorp and subsidiaries</w:t>
            </w:r>
          </w:p>
        </w:tc>
        <w:tc>
          <w:tcPr>
            <w:tcW w:w="3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Interest-earning assets (IEA)</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1.1.</w:t>
            </w:r>
          </w:p>
        </w:tc>
        <w:tc>
          <w:tcPr>
            <w:tcW w:w="7460" w:type="dxa"/>
            <w:vAlign w:val="bottom"/>
          </w:tcPr>
          <w:p>
            <w:pPr>
              <w:ind w:left="20"/>
              <w:spacing w:after="0"/>
              <w:rPr>
                <w:sz w:val="20"/>
                <w:szCs w:val="20"/>
                <w:color w:val="auto"/>
              </w:rPr>
            </w:pPr>
            <w:r>
              <w:rPr>
                <w:rFonts w:ascii="Arial" w:cs="Arial" w:eastAsia="Arial" w:hAnsi="Arial"/>
                <w:sz w:val="18"/>
                <w:szCs w:val="18"/>
                <w:color w:val="auto"/>
              </w:rPr>
              <w:t>Evolution of IEA</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1.2.</w:t>
            </w:r>
          </w:p>
        </w:tc>
        <w:tc>
          <w:tcPr>
            <w:tcW w:w="7460" w:type="dxa"/>
            <w:vAlign w:val="bottom"/>
          </w:tcPr>
          <w:p>
            <w:pPr>
              <w:ind w:left="20"/>
              <w:spacing w:after="0"/>
              <w:rPr>
                <w:sz w:val="20"/>
                <w:szCs w:val="20"/>
                <w:color w:val="auto"/>
              </w:rPr>
            </w:pPr>
            <w:r>
              <w:rPr>
                <w:rFonts w:ascii="Arial" w:cs="Arial" w:eastAsia="Arial" w:hAnsi="Arial"/>
                <w:sz w:val="18"/>
                <w:szCs w:val="18"/>
                <w:color w:val="auto"/>
              </w:rPr>
              <w:t>Credicorp Loans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1.2.1. Loan evolution by business segment</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1.2.2. Evolution of the level of dollarization by segment</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1.2.3. Market share in loans</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Funding Sources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2.1.</w:t>
            </w:r>
          </w:p>
        </w:tc>
        <w:tc>
          <w:tcPr>
            <w:tcW w:w="7460" w:type="dxa"/>
            <w:vAlign w:val="bottom"/>
          </w:tcPr>
          <w:p>
            <w:pPr>
              <w:ind w:left="20"/>
              <w:spacing w:after="0"/>
              <w:rPr>
                <w:sz w:val="20"/>
                <w:szCs w:val="20"/>
                <w:color w:val="auto"/>
              </w:rPr>
            </w:pPr>
            <w:r>
              <w:rPr>
                <w:rFonts w:ascii="Arial" w:cs="Arial" w:eastAsia="Arial" w:hAnsi="Arial"/>
                <w:sz w:val="18"/>
                <w:szCs w:val="18"/>
                <w:color w:val="auto"/>
              </w:rPr>
              <w:t>Funding Structure</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2.2.</w:t>
            </w:r>
          </w:p>
        </w:tc>
        <w:tc>
          <w:tcPr>
            <w:tcW w:w="7460" w:type="dxa"/>
            <w:vAlign w:val="bottom"/>
          </w:tcPr>
          <w:p>
            <w:pPr>
              <w:ind w:left="20"/>
              <w:spacing w:after="0"/>
              <w:rPr>
                <w:sz w:val="20"/>
                <w:szCs w:val="20"/>
                <w:color w:val="auto"/>
              </w:rPr>
            </w:pPr>
            <w:r>
              <w:rPr>
                <w:rFonts w:ascii="Arial" w:cs="Arial" w:eastAsia="Arial" w:hAnsi="Arial"/>
                <w:sz w:val="18"/>
                <w:szCs w:val="18"/>
                <w:color w:val="auto"/>
              </w:rPr>
              <w:t>Deposits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2.2.1. Deposits: dollarization level</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2.2.2. Market share in Deposits</w:t>
            </w:r>
          </w:p>
        </w:tc>
        <w:tc>
          <w:tcPr>
            <w:tcW w:w="3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2.3.</w:t>
            </w:r>
          </w:p>
        </w:tc>
        <w:tc>
          <w:tcPr>
            <w:tcW w:w="7460" w:type="dxa"/>
            <w:vAlign w:val="bottom"/>
          </w:tcPr>
          <w:p>
            <w:pPr>
              <w:ind w:left="20"/>
              <w:spacing w:after="0"/>
              <w:rPr>
                <w:sz w:val="20"/>
                <w:szCs w:val="20"/>
                <w:color w:val="auto"/>
              </w:rPr>
            </w:pPr>
            <w:r>
              <w:rPr>
                <w:rFonts w:ascii="Arial" w:cs="Arial" w:eastAsia="Arial" w:hAnsi="Arial"/>
                <w:sz w:val="18"/>
                <w:szCs w:val="18"/>
                <w:color w:val="auto"/>
              </w:rPr>
              <w:t>Other funding sources</w:t>
            </w:r>
          </w:p>
        </w:tc>
        <w:tc>
          <w:tcPr>
            <w:tcW w:w="3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2.4.</w:t>
            </w:r>
          </w:p>
        </w:tc>
        <w:tc>
          <w:tcPr>
            <w:tcW w:w="7460" w:type="dxa"/>
            <w:vAlign w:val="bottom"/>
          </w:tcPr>
          <w:p>
            <w:pPr>
              <w:ind w:left="20"/>
              <w:spacing w:after="0"/>
              <w:rPr>
                <w:sz w:val="20"/>
                <w:szCs w:val="20"/>
                <w:color w:val="auto"/>
              </w:rPr>
            </w:pPr>
            <w:r>
              <w:rPr>
                <w:rFonts w:ascii="Arial" w:cs="Arial" w:eastAsia="Arial" w:hAnsi="Arial"/>
                <w:sz w:val="18"/>
                <w:szCs w:val="18"/>
                <w:color w:val="auto"/>
              </w:rPr>
              <w:t>Loan / Deposit (L/D)</w:t>
            </w:r>
          </w:p>
        </w:tc>
        <w:tc>
          <w:tcPr>
            <w:tcW w:w="3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2.5.</w:t>
            </w:r>
          </w:p>
        </w:tc>
        <w:tc>
          <w:tcPr>
            <w:tcW w:w="7460" w:type="dxa"/>
            <w:vAlign w:val="bottom"/>
          </w:tcPr>
          <w:p>
            <w:pPr>
              <w:ind w:left="20"/>
              <w:spacing w:after="0"/>
              <w:rPr>
                <w:sz w:val="20"/>
                <w:szCs w:val="20"/>
                <w:color w:val="auto"/>
              </w:rPr>
            </w:pPr>
            <w:r>
              <w:rPr>
                <w:rFonts w:ascii="Arial" w:cs="Arial" w:eastAsia="Arial" w:hAnsi="Arial"/>
                <w:sz w:val="18"/>
                <w:szCs w:val="18"/>
                <w:color w:val="auto"/>
              </w:rPr>
              <w:t>Funding Cost</w:t>
            </w:r>
          </w:p>
        </w:tc>
        <w:tc>
          <w:tcPr>
            <w:tcW w:w="3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3.  Portfolio quality and Provisions for loan losses</w:t>
            </w:r>
          </w:p>
        </w:tc>
        <w:tc>
          <w:tcPr>
            <w:tcW w:w="3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3.1.</w:t>
            </w:r>
          </w:p>
        </w:tc>
        <w:tc>
          <w:tcPr>
            <w:tcW w:w="7460" w:type="dxa"/>
            <w:vAlign w:val="bottom"/>
          </w:tcPr>
          <w:p>
            <w:pPr>
              <w:ind w:left="20"/>
              <w:spacing w:after="0"/>
              <w:rPr>
                <w:sz w:val="20"/>
                <w:szCs w:val="20"/>
                <w:color w:val="auto"/>
              </w:rPr>
            </w:pPr>
            <w:r>
              <w:rPr>
                <w:rFonts w:ascii="Arial" w:cs="Arial" w:eastAsia="Arial" w:hAnsi="Arial"/>
                <w:sz w:val="18"/>
                <w:szCs w:val="18"/>
                <w:color w:val="auto"/>
              </w:rPr>
              <w:t>Provisions for loan losses</w:t>
            </w:r>
          </w:p>
        </w:tc>
        <w:tc>
          <w:tcPr>
            <w:tcW w:w="3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3.2.</w:t>
            </w:r>
          </w:p>
        </w:tc>
        <w:tc>
          <w:tcPr>
            <w:tcW w:w="7460" w:type="dxa"/>
            <w:vAlign w:val="bottom"/>
          </w:tcPr>
          <w:p>
            <w:pPr>
              <w:ind w:left="20"/>
              <w:spacing w:after="0"/>
              <w:rPr>
                <w:sz w:val="20"/>
                <w:szCs w:val="20"/>
                <w:color w:val="auto"/>
              </w:rPr>
            </w:pPr>
            <w:r>
              <w:rPr>
                <w:rFonts w:ascii="Arial" w:cs="Arial" w:eastAsia="Arial" w:hAnsi="Arial"/>
                <w:sz w:val="18"/>
                <w:szCs w:val="18"/>
                <w:color w:val="auto"/>
              </w:rPr>
              <w:t>Portfolio Quality: Delinquency ratios</w:t>
            </w:r>
          </w:p>
        </w:tc>
        <w:tc>
          <w:tcPr>
            <w:tcW w:w="3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3.2.1. Delinquency indicators by business line</w:t>
            </w:r>
          </w:p>
        </w:tc>
        <w:tc>
          <w:tcPr>
            <w:tcW w:w="3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4.  Net Interest Income (NII)</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4.1.</w:t>
            </w:r>
          </w:p>
        </w:tc>
        <w:tc>
          <w:tcPr>
            <w:tcW w:w="7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4.2.</w:t>
            </w:r>
          </w:p>
        </w:tc>
        <w:tc>
          <w:tcPr>
            <w:tcW w:w="7460" w:type="dxa"/>
            <w:vAlign w:val="bottom"/>
          </w:tcPr>
          <w:p>
            <w:pPr>
              <w:ind w:left="20"/>
              <w:spacing w:after="0"/>
              <w:rPr>
                <w:sz w:val="20"/>
                <w:szCs w:val="20"/>
                <w:color w:val="auto"/>
              </w:rPr>
            </w:pPr>
            <w:r>
              <w:rPr>
                <w:rFonts w:ascii="Arial" w:cs="Arial" w:eastAsia="Arial" w:hAnsi="Arial"/>
                <w:sz w:val="18"/>
                <w:szCs w:val="18"/>
                <w:color w:val="auto"/>
              </w:rPr>
              <w:t>Interest Expenses</w:t>
            </w:r>
          </w:p>
        </w:tc>
        <w:tc>
          <w:tcPr>
            <w:tcW w:w="3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4.3.</w:t>
            </w:r>
          </w:p>
        </w:tc>
        <w:tc>
          <w:tcPr>
            <w:tcW w:w="7460" w:type="dxa"/>
            <w:vAlign w:val="bottom"/>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5.</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Non-Financial Income</w:t>
            </w:r>
          </w:p>
        </w:tc>
        <w:tc>
          <w:tcPr>
            <w:tcW w:w="3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5.1.</w:t>
            </w:r>
          </w:p>
        </w:tc>
        <w:tc>
          <w:tcPr>
            <w:tcW w:w="746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3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5.1.1. By subsidiary</w:t>
            </w:r>
          </w:p>
        </w:tc>
        <w:tc>
          <w:tcPr>
            <w:tcW w:w="3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5.1.2. Fee income in the Banking Business</w:t>
            </w:r>
          </w:p>
        </w:tc>
        <w:tc>
          <w:tcPr>
            <w:tcW w:w="3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6.</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Insurance Underwriting Result</w:t>
            </w:r>
          </w:p>
        </w:tc>
        <w:tc>
          <w:tcPr>
            <w:tcW w:w="3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6.1.</w:t>
            </w:r>
          </w:p>
        </w:tc>
        <w:tc>
          <w:tcPr>
            <w:tcW w:w="7460" w:type="dxa"/>
            <w:vAlign w:val="bottom"/>
          </w:tcPr>
          <w:p>
            <w:pPr>
              <w:ind w:left="20"/>
              <w:spacing w:after="0"/>
              <w:rPr>
                <w:sz w:val="20"/>
                <w:szCs w:val="20"/>
                <w:color w:val="auto"/>
              </w:rPr>
            </w:pPr>
            <w:r>
              <w:rPr>
                <w:rFonts w:ascii="Arial" w:cs="Arial" w:eastAsia="Arial" w:hAnsi="Arial"/>
                <w:sz w:val="18"/>
                <w:szCs w:val="18"/>
                <w:color w:val="auto"/>
              </w:rPr>
              <w:t>Life Insurance</w:t>
            </w:r>
          </w:p>
        </w:tc>
        <w:tc>
          <w:tcPr>
            <w:tcW w:w="3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6.2.</w:t>
            </w:r>
          </w:p>
        </w:tc>
        <w:tc>
          <w:tcPr>
            <w:tcW w:w="7460" w:type="dxa"/>
            <w:vAlign w:val="bottom"/>
          </w:tcPr>
          <w:p>
            <w:pPr>
              <w:ind w:left="20"/>
              <w:spacing w:after="0"/>
              <w:rPr>
                <w:sz w:val="20"/>
                <w:szCs w:val="20"/>
                <w:color w:val="auto"/>
              </w:rPr>
            </w:pPr>
            <w:r>
              <w:rPr>
                <w:rFonts w:ascii="Arial" w:cs="Arial" w:eastAsia="Arial" w:hAnsi="Arial"/>
                <w:sz w:val="18"/>
                <w:szCs w:val="18"/>
                <w:color w:val="auto"/>
              </w:rPr>
              <w:t>Property and Casualty Insurance</w:t>
            </w:r>
          </w:p>
        </w:tc>
        <w:tc>
          <w:tcPr>
            <w:tcW w:w="3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6.3.</w:t>
            </w:r>
          </w:p>
        </w:tc>
        <w:tc>
          <w:tcPr>
            <w:tcW w:w="7460" w:type="dxa"/>
            <w:vAlign w:val="bottom"/>
          </w:tcPr>
          <w:p>
            <w:pPr>
              <w:ind w:left="20"/>
              <w:spacing w:after="0"/>
              <w:rPr>
                <w:sz w:val="20"/>
                <w:szCs w:val="20"/>
                <w:color w:val="auto"/>
              </w:rPr>
            </w:pPr>
            <w:r>
              <w:rPr>
                <w:rFonts w:ascii="Arial" w:cs="Arial" w:eastAsia="Arial" w:hAnsi="Arial"/>
                <w:sz w:val="18"/>
                <w:szCs w:val="18"/>
                <w:color w:val="auto"/>
              </w:rPr>
              <w:t>Acquisition Cost</w:t>
            </w:r>
          </w:p>
        </w:tc>
        <w:tc>
          <w:tcPr>
            <w:tcW w:w="3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6.4 Underwriting Result by Business</w:t>
            </w:r>
          </w:p>
        </w:tc>
        <w:tc>
          <w:tcPr>
            <w:tcW w:w="3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7.  Operating Expenses and Efficiency</w:t>
            </w:r>
          </w:p>
        </w:tc>
        <w:tc>
          <w:tcPr>
            <w:tcW w:w="3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7.1.</w:t>
            </w:r>
          </w:p>
        </w:tc>
        <w:tc>
          <w:tcPr>
            <w:tcW w:w="7460" w:type="dxa"/>
            <w:vAlign w:val="bottom"/>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7.2.</w:t>
            </w:r>
          </w:p>
        </w:tc>
        <w:tc>
          <w:tcPr>
            <w:tcW w:w="7460" w:type="dxa"/>
            <w:vAlign w:val="bottom"/>
          </w:tcPr>
          <w:p>
            <w:pPr>
              <w:ind w:left="20"/>
              <w:spacing w:after="0"/>
              <w:rPr>
                <w:sz w:val="20"/>
                <w:szCs w:val="20"/>
                <w:color w:val="auto"/>
              </w:rPr>
            </w:pPr>
            <w:r>
              <w:rPr>
                <w:rFonts w:ascii="Arial" w:cs="Arial" w:eastAsia="Arial" w:hAnsi="Arial"/>
                <w:sz w:val="18"/>
                <w:szCs w:val="18"/>
                <w:color w:val="auto"/>
              </w:rPr>
              <w:t>Operating Efficency</w:t>
            </w:r>
          </w:p>
        </w:tc>
        <w:tc>
          <w:tcPr>
            <w:tcW w:w="3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7.3.</w:t>
            </w:r>
          </w:p>
        </w:tc>
        <w:tc>
          <w:tcPr>
            <w:tcW w:w="7460" w:type="dxa"/>
            <w:vAlign w:val="bottom"/>
          </w:tcPr>
          <w:p>
            <w:pPr>
              <w:ind w:left="20"/>
              <w:spacing w:after="0"/>
              <w:rPr>
                <w:sz w:val="20"/>
                <w:szCs w:val="20"/>
                <w:color w:val="auto"/>
              </w:rPr>
            </w:pPr>
            <w:r>
              <w:rPr>
                <w:rFonts w:ascii="Arial" w:cs="Arial" w:eastAsia="Arial" w:hAnsi="Arial"/>
                <w:sz w:val="18"/>
                <w:szCs w:val="18"/>
                <w:color w:val="auto"/>
              </w:rPr>
              <w:t>Efficiency Ratio</w:t>
            </w:r>
          </w:p>
        </w:tc>
        <w:tc>
          <w:tcPr>
            <w:tcW w:w="3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8.</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Regulatory Capital</w:t>
            </w:r>
          </w:p>
        </w:tc>
        <w:tc>
          <w:tcPr>
            <w:tcW w:w="3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8.1.</w:t>
            </w:r>
          </w:p>
        </w:tc>
        <w:tc>
          <w:tcPr>
            <w:tcW w:w="7460" w:type="dxa"/>
            <w:vAlign w:val="bottom"/>
          </w:tcPr>
          <w:p>
            <w:pPr>
              <w:ind w:left="20"/>
              <w:spacing w:after="0"/>
              <w:rPr>
                <w:sz w:val="20"/>
                <w:szCs w:val="20"/>
                <w:color w:val="auto"/>
              </w:rPr>
            </w:pPr>
            <w:r>
              <w:rPr>
                <w:rFonts w:ascii="Arial" w:cs="Arial" w:eastAsia="Arial" w:hAnsi="Arial"/>
                <w:sz w:val="18"/>
                <w:szCs w:val="18"/>
                <w:color w:val="auto"/>
              </w:rPr>
              <w:t>Regulatory Capital – BAP</w:t>
            </w:r>
          </w:p>
        </w:tc>
        <w:tc>
          <w:tcPr>
            <w:tcW w:w="3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8.2.</w:t>
            </w:r>
          </w:p>
        </w:tc>
        <w:tc>
          <w:tcPr>
            <w:tcW w:w="7460" w:type="dxa"/>
            <w:vAlign w:val="bottom"/>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8.3.</w:t>
            </w:r>
          </w:p>
        </w:tc>
        <w:tc>
          <w:tcPr>
            <w:tcW w:w="7460" w:type="dxa"/>
            <w:vAlign w:val="bottom"/>
          </w:tcPr>
          <w:p>
            <w:pPr>
              <w:ind w:left="20"/>
              <w:spacing w:after="0"/>
              <w:rPr>
                <w:sz w:val="20"/>
                <w:szCs w:val="20"/>
                <w:color w:val="auto"/>
              </w:rPr>
            </w:pPr>
            <w:r>
              <w:rPr>
                <w:rFonts w:ascii="Arial" w:cs="Arial" w:eastAsia="Arial" w:hAnsi="Arial"/>
                <w:sz w:val="18"/>
                <w:szCs w:val="18"/>
                <w:color w:val="auto"/>
              </w:rPr>
              <w:t>Regulatory Capital at Mibanco based on Peru GAAP</w:t>
            </w:r>
          </w:p>
        </w:tc>
        <w:tc>
          <w:tcPr>
            <w:tcW w:w="3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Credicorp’s Channels</w:t>
            </w:r>
          </w:p>
        </w:tc>
        <w:tc>
          <w:tcPr>
            <w:tcW w:w="3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9.1 Distribution model at BCP Stand-alone</w:t>
            </w:r>
          </w:p>
        </w:tc>
        <w:tc>
          <w:tcPr>
            <w:tcW w:w="3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9.1.1. Digital Clients</w:t>
            </w:r>
          </w:p>
        </w:tc>
        <w:tc>
          <w:tcPr>
            <w:tcW w:w="3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9.1.1.1. Evolution of digital clients by segment</w:t>
            </w:r>
          </w:p>
        </w:tc>
        <w:tc>
          <w:tcPr>
            <w:tcW w:w="3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9.1.2. Transactions by channel</w:t>
            </w:r>
          </w:p>
        </w:tc>
        <w:tc>
          <w:tcPr>
            <w:tcW w:w="3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9.1.3. Sales in Retail Banking</w:t>
            </w:r>
          </w:p>
        </w:tc>
        <w:tc>
          <w:tcPr>
            <w:tcW w:w="3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9.2.</w:t>
            </w:r>
          </w:p>
        </w:tc>
        <w:tc>
          <w:tcPr>
            <w:tcW w:w="7460" w:type="dxa"/>
            <w:vAlign w:val="bottom"/>
          </w:tcPr>
          <w:p>
            <w:pPr>
              <w:ind w:left="20"/>
              <w:spacing w:after="0"/>
              <w:rPr>
                <w:sz w:val="20"/>
                <w:szCs w:val="20"/>
                <w:color w:val="auto"/>
              </w:rPr>
            </w:pPr>
            <w:r>
              <w:rPr>
                <w:rFonts w:ascii="Arial" w:cs="Arial" w:eastAsia="Arial" w:hAnsi="Arial"/>
                <w:sz w:val="18"/>
                <w:szCs w:val="18"/>
                <w:color w:val="auto"/>
              </w:rPr>
              <w:t>Other Credicorp Subsidiaries</w:t>
            </w:r>
          </w:p>
        </w:tc>
        <w:tc>
          <w:tcPr>
            <w:tcW w:w="3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9.2.1. Physical points of contact Mibanco</w:t>
            </w:r>
          </w:p>
        </w:tc>
        <w:tc>
          <w:tcPr>
            <w:tcW w:w="3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260"/>
              <w:spacing w:after="0"/>
              <w:rPr>
                <w:sz w:val="20"/>
                <w:szCs w:val="20"/>
                <w:color w:val="auto"/>
              </w:rPr>
            </w:pPr>
            <w:r>
              <w:rPr>
                <w:rFonts w:ascii="Arial" w:cs="Arial" w:eastAsia="Arial" w:hAnsi="Arial"/>
                <w:sz w:val="18"/>
                <w:szCs w:val="18"/>
                <w:color w:val="auto"/>
              </w:rPr>
              <w:t>9.2.2. Physical points of contact BCP Bolivia</w:t>
            </w:r>
          </w:p>
        </w:tc>
        <w:tc>
          <w:tcPr>
            <w:tcW w:w="3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10.  Economic Perspectives</w:t>
            </w:r>
          </w:p>
        </w:tc>
        <w:tc>
          <w:tcPr>
            <w:tcW w:w="3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10.1. Peru Economic Forecasts</w:t>
            </w:r>
          </w:p>
        </w:tc>
        <w:tc>
          <w:tcPr>
            <w:tcW w:w="3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10.2. Main Economic Variables</w:t>
            </w:r>
          </w:p>
        </w:tc>
        <w:tc>
          <w:tcPr>
            <w:tcW w:w="3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11.  Appendix</w:t>
            </w:r>
          </w:p>
        </w:tc>
        <w:tc>
          <w:tcPr>
            <w:tcW w:w="3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11.1. Credicorp</w:t>
            </w:r>
          </w:p>
        </w:tc>
        <w:tc>
          <w:tcPr>
            <w:tcW w:w="3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11.2. Credicorp Stand-alone</w:t>
            </w:r>
          </w:p>
        </w:tc>
        <w:tc>
          <w:tcPr>
            <w:tcW w:w="3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11.3. BCP Consolidated</w:t>
            </w:r>
          </w:p>
        </w:tc>
        <w:tc>
          <w:tcPr>
            <w:tcW w:w="3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11.4. BCP Stand-alone</w:t>
            </w:r>
          </w:p>
        </w:tc>
        <w:tc>
          <w:tcPr>
            <w:tcW w:w="3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11.5. Mibanco</w:t>
            </w:r>
          </w:p>
        </w:tc>
        <w:tc>
          <w:tcPr>
            <w:tcW w:w="3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11.6. BCP Bolivia</w:t>
            </w:r>
          </w:p>
        </w:tc>
        <w:tc>
          <w:tcPr>
            <w:tcW w:w="3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11.7. Credicorp Capital</w:t>
            </w:r>
          </w:p>
        </w:tc>
        <w:tc>
          <w:tcPr>
            <w:tcW w:w="3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11.8. Atlantic Security Bank</w:t>
            </w:r>
          </w:p>
        </w:tc>
        <w:tc>
          <w:tcPr>
            <w:tcW w:w="3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11.9. Grupo Pacifico</w:t>
            </w:r>
          </w:p>
        </w:tc>
        <w:tc>
          <w:tcPr>
            <w:tcW w:w="3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11.10. Prima AFP</w:t>
            </w:r>
          </w:p>
        </w:tc>
        <w:tc>
          <w:tcPr>
            <w:tcW w:w="3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11.11. Table of calculations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11.12. Non-recurring events</w:t>
            </w:r>
          </w:p>
        </w:tc>
        <w:tc>
          <w:tcPr>
            <w:tcW w:w="3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80" w:type="dxa"/>
            <w:vAlign w:val="bottom"/>
          </w:tcPr>
          <w:p>
            <w:pPr>
              <w:spacing w:after="0"/>
              <w:rPr>
                <w:sz w:val="20"/>
                <w:szCs w:val="20"/>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11.13. Glossary of terms</w:t>
            </w:r>
          </w:p>
        </w:tc>
        <w:tc>
          <w:tcPr>
            <w:tcW w:w="326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231"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Credicorp Ltd. (NYSE: BAP): Fourth Quarter Results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Credicorp Ltd.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680"/>
              <w:spacing w:after="0"/>
              <w:rPr>
                <w:sz w:val="20"/>
                <w:szCs w:val="20"/>
                <w:color w:val="auto"/>
              </w:rPr>
            </w:pPr>
            <w:r>
              <w:rPr>
                <w:rFonts w:ascii="Arial" w:cs="Arial" w:eastAsia="Arial" w:hAnsi="Arial"/>
                <w:sz w:val="13"/>
                <w:szCs w:val="13"/>
                <w:b w:val="1"/>
                <w:bCs w:val="1"/>
                <w:color w:val="auto"/>
              </w:rPr>
              <w:t>% change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3"/>
          </w:tcPr>
          <w:p>
            <w:pPr>
              <w:ind w:left="740"/>
              <w:spacing w:after="0"/>
              <w:rPr>
                <w:sz w:val="20"/>
                <w:szCs w:val="20"/>
                <w:color w:val="auto"/>
              </w:rPr>
            </w:pPr>
            <w:r>
              <w:rPr>
                <w:rFonts w:ascii="Arial" w:cs="Arial" w:eastAsia="Arial" w:hAnsi="Arial"/>
                <w:sz w:val="13"/>
                <w:szCs w:val="13"/>
                <w:b w:val="1"/>
                <w:bCs w:val="1"/>
                <w:color w:val="auto"/>
              </w:rPr>
              <w:t>Year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 change</w:t>
            </w:r>
          </w:p>
        </w:tc>
      </w:tr>
      <w:tr>
        <w:trPr>
          <w:trHeight w:val="142"/>
        </w:trPr>
        <w:tc>
          <w:tcPr>
            <w:tcW w:w="28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3"/>
                <w:szCs w:val="13"/>
                <w:b w:val="1"/>
                <w:bCs w:val="1"/>
                <w:color w:val="auto"/>
              </w:rPr>
              <w:t>4Q19</w:t>
            </w:r>
          </w:p>
        </w:tc>
        <w:tc>
          <w:tcPr>
            <w:tcW w:w="2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3Q20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4Q20</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3"/>
                <w:szCs w:val="13"/>
                <w:b w:val="1"/>
                <w:bCs w:val="1"/>
                <w:color w:val="auto"/>
              </w:rPr>
              <w:t>QoQ</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YoY</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2020/2019</w:t>
            </w:r>
          </w:p>
        </w:tc>
        <w:tc>
          <w:tcPr>
            <w:tcW w:w="220" w:type="dxa"/>
            <w:vAlign w:val="bottom"/>
            <w:tcBorders>
              <w:bottom w:val="single" w:sz="8" w:color="CCEEFF"/>
            </w:tcBorders>
          </w:tcPr>
          <w:p>
            <w:pPr>
              <w:spacing w:after="0"/>
              <w:rPr>
                <w:sz w:val="12"/>
                <w:szCs w:val="12"/>
                <w:color w:val="auto"/>
              </w:rPr>
            </w:pPr>
          </w:p>
        </w:tc>
      </w:tr>
      <w:tr>
        <w:trPr>
          <w:trHeight w:val="169"/>
        </w:trPr>
        <w:tc>
          <w:tcPr>
            <w:tcW w:w="284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rPr>
              <w:t xml:space="preserve">Net interest income </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2,365,050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2,161,695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2,069,220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9,091,751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8,571,342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21"/>
        </w:trPr>
        <w:tc>
          <w:tcPr>
            <w:tcW w:w="2960" w:type="dxa"/>
            <w:vAlign w:val="bottom"/>
            <w:gridSpan w:val="2"/>
          </w:tcPr>
          <w:p>
            <w:pPr>
              <w:spacing w:after="0" w:line="121" w:lineRule="exact"/>
              <w:rPr>
                <w:sz w:val="20"/>
                <w:szCs w:val="20"/>
                <w:color w:val="auto"/>
              </w:rPr>
            </w:pPr>
            <w:r>
              <w:rPr>
                <w:rFonts w:ascii="Arial" w:cs="Arial" w:eastAsia="Arial" w:hAnsi="Arial"/>
                <w:sz w:val="13"/>
                <w:szCs w:val="13"/>
                <w:color w:val="auto"/>
              </w:rPr>
              <w:t>Provision for credit losses on loan portfolio, net of</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(511,659)</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(1,305,905)</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(732,665)</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-43.9%</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43.2%</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(1,845,936)</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(5,920,508)</w:t>
            </w:r>
          </w:p>
        </w:tc>
        <w:tc>
          <w:tcPr>
            <w:tcW w:w="1220" w:type="dxa"/>
            <w:vAlign w:val="bottom"/>
            <w:gridSpan w:val="3"/>
          </w:tcPr>
          <w:p>
            <w:pPr>
              <w:jc w:val="right"/>
              <w:ind w:right="120"/>
              <w:spacing w:after="0"/>
              <w:rPr>
                <w:sz w:val="20"/>
                <w:szCs w:val="20"/>
                <w:color w:val="auto"/>
              </w:rPr>
            </w:pPr>
            <w:r>
              <w:rPr>
                <w:rFonts w:ascii="Arial" w:cs="Arial" w:eastAsia="Arial" w:hAnsi="Arial"/>
                <w:sz w:val="13"/>
                <w:szCs w:val="13"/>
                <w:color w:val="auto"/>
              </w:rPr>
              <w:t>220.7%</w:t>
            </w: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 xml:space="preserve">Risk-adjusted net interest income </w:t>
            </w:r>
            <w:r>
              <w:rPr>
                <w:rFonts w:ascii="Arial" w:cs="Arial" w:eastAsia="Arial" w:hAnsi="Arial"/>
                <w:sz w:val="20"/>
                <w:szCs w:val="20"/>
                <w:b w:val="1"/>
                <w:bCs w:val="1"/>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1,853,391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855,790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1,336,555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56.2%</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-27.9%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7,245,815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2,650,834</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-63.4%</w:t>
            </w:r>
          </w:p>
        </w:tc>
      </w:tr>
      <w:tr>
        <w:trPr>
          <w:trHeight w:val="176"/>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Non-financial income </w:t>
            </w:r>
            <w:r>
              <w:rPr>
                <w:rFonts w:ascii="Arial" w:cs="Arial" w:eastAsia="Arial" w:hAnsi="Arial"/>
                <w:sz w:val="20"/>
                <w:szCs w:val="20"/>
                <w:color w:val="auto"/>
                <w:vertAlign w:val="superscript"/>
              </w:rPr>
              <w:t>(1)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1,265,545</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1,102,597</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1,330,406</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20.7%</w:t>
            </w:r>
          </w:p>
        </w:tc>
        <w:tc>
          <w:tcPr>
            <w:tcW w:w="2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4,897,769</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4,406,217</w:t>
            </w:r>
          </w:p>
        </w:tc>
        <w:tc>
          <w:tcPr>
            <w:tcW w:w="1220" w:type="dxa"/>
            <w:vAlign w:val="bottom"/>
            <w:gridSpan w:val="3"/>
          </w:tcPr>
          <w:p>
            <w:pPr>
              <w:jc w:val="right"/>
              <w:ind w:right="120"/>
              <w:spacing w:after="0"/>
              <w:rPr>
                <w:sz w:val="20"/>
                <w:szCs w:val="20"/>
                <w:color w:val="auto"/>
              </w:rPr>
            </w:pPr>
            <w:r>
              <w:rPr>
                <w:rFonts w:ascii="Arial" w:cs="Arial" w:eastAsia="Arial" w:hAnsi="Arial"/>
                <w:sz w:val="13"/>
                <w:szCs w:val="13"/>
                <w:color w:val="auto"/>
              </w:rPr>
              <w:t>-10.0%</w:t>
            </w:r>
          </w:p>
        </w:tc>
      </w:tr>
      <w:tr>
        <w:trPr>
          <w:trHeight w:val="176"/>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Insurance underwriting result </w:t>
            </w:r>
            <w:r>
              <w:rPr>
                <w:rFonts w:ascii="Arial" w:cs="Arial" w:eastAsia="Arial" w:hAnsi="Arial"/>
                <w:sz w:val="20"/>
                <w:szCs w:val="20"/>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142,443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(4,340)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84,866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-2055.4%</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496,977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358,133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-27.9%</w:t>
            </w: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Total expenses </w:t>
            </w:r>
            <w:r>
              <w:rPr>
                <w:rFonts w:ascii="Arial" w:cs="Arial" w:eastAsia="Arial" w:hAnsi="Arial"/>
                <w:sz w:val="20"/>
                <w:szCs w:val="20"/>
                <w:color w:val="auto"/>
                <w:vertAlign w:val="superscript"/>
              </w:rPr>
              <w:t>(1)</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(1,885,172)</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(1,801,920)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(1,982,556)</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10.0%</w:t>
            </w:r>
          </w:p>
        </w:tc>
        <w:tc>
          <w:tcPr>
            <w:tcW w:w="2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5.2%</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(6,665,048)</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(7,191,023)</w:t>
            </w:r>
          </w:p>
        </w:tc>
        <w:tc>
          <w:tcPr>
            <w:tcW w:w="76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7.9%</w:t>
            </w:r>
          </w:p>
        </w:tc>
      </w:tr>
      <w:tr>
        <w:trPr>
          <w:trHeight w:val="176"/>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 xml:space="preserve">Profit before income tax </w:t>
            </w:r>
            <w:r>
              <w:rPr>
                <w:rFonts w:ascii="Arial" w:cs="Arial" w:eastAsia="Arial" w:hAnsi="Arial"/>
                <w:sz w:val="20"/>
                <w:szCs w:val="20"/>
                <w:b w:val="1"/>
                <w:bCs w:val="1"/>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1,376,207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152,127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769,271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405.7%</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-44.1%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5,975,513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224,161</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-96.2%</w:t>
            </w: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Income taxes </w:t>
            </w:r>
            <w:r>
              <w:rPr>
                <w:rFonts w:ascii="Arial" w:cs="Arial" w:eastAsia="Arial" w:hAnsi="Arial"/>
                <w:sz w:val="20"/>
                <w:szCs w:val="20"/>
                <w:color w:val="auto"/>
                <w:vertAlign w:val="superscript"/>
              </w:rPr>
              <w:t>(1)</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(383,250)</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(55,539)</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(103,460)</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86.3%</w:t>
            </w:r>
          </w:p>
        </w:tc>
        <w:tc>
          <w:tcPr>
            <w:tcW w:w="2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-73.0%</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(1,623,182)</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109,977</w:t>
            </w:r>
          </w:p>
        </w:tc>
        <w:tc>
          <w:tcPr>
            <w:tcW w:w="1220" w:type="dxa"/>
            <w:vAlign w:val="bottom"/>
            <w:gridSpan w:val="3"/>
          </w:tcPr>
          <w:p>
            <w:pPr>
              <w:jc w:val="right"/>
              <w:ind w:right="120"/>
              <w:spacing w:after="0"/>
              <w:rPr>
                <w:sz w:val="20"/>
                <w:szCs w:val="20"/>
                <w:color w:val="auto"/>
              </w:rPr>
            </w:pPr>
            <w:r>
              <w:rPr>
                <w:rFonts w:ascii="Arial" w:cs="Arial" w:eastAsia="Arial" w:hAnsi="Arial"/>
                <w:sz w:val="13"/>
                <w:szCs w:val="13"/>
                <w:color w:val="auto"/>
              </w:rPr>
              <w:t>-106.8%</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profit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992,957</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96,588</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665,811</w:t>
            </w:r>
          </w:p>
        </w:tc>
        <w:tc>
          <w:tcPr>
            <w:tcW w:w="11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589.3%</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-32.9%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4,352,331</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334,138</w:t>
            </w:r>
          </w:p>
        </w:tc>
        <w:tc>
          <w:tcPr>
            <w:tcW w:w="12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-92.3%</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Non-controlling interest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20,127</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(8,018)</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12,407</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-254.7%</w:t>
            </w:r>
          </w:p>
        </w:tc>
        <w:tc>
          <w:tcPr>
            <w:tcW w:w="2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-38.4%</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87,027</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(12,756)</w:t>
            </w:r>
          </w:p>
        </w:tc>
        <w:tc>
          <w:tcPr>
            <w:tcW w:w="12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-114.7%</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profit attributable to Credicorp</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972,830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104,606</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653,404</w:t>
            </w:r>
          </w:p>
        </w:tc>
        <w:tc>
          <w:tcPr>
            <w:tcW w:w="11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524.6%</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-32.8%</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4,265,304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346,894</w:t>
            </w:r>
          </w:p>
        </w:tc>
        <w:tc>
          <w:tcPr>
            <w:tcW w:w="12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-91.9%</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Net income / share (S/)</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12.24</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1.32</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8.22</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524.1%</w:t>
            </w:r>
          </w:p>
        </w:tc>
        <w:tc>
          <w:tcPr>
            <w:tcW w:w="2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-32.8%</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53.64</w:t>
            </w:r>
          </w:p>
        </w:tc>
        <w:tc>
          <w:tcPr>
            <w:tcW w:w="8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4.37</w:t>
            </w:r>
          </w:p>
        </w:tc>
        <w:tc>
          <w:tcPr>
            <w:tcW w:w="12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-91.9%</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Loans</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115,609,679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136,148,711</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137,659,885</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19.1%</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115,609,679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137,659,885</w:t>
            </w:r>
          </w:p>
        </w:tc>
        <w:tc>
          <w:tcPr>
            <w:tcW w:w="7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6"/>
              </w:rPr>
              <w:t>19.1%</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112,005,385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137,202,674</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142,365,502</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w:t>
            </w:r>
          </w:p>
        </w:tc>
        <w:tc>
          <w:tcPr>
            <w:tcW w:w="2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27.1%</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112,005,385</w:t>
            </w:r>
          </w:p>
        </w:tc>
        <w:tc>
          <w:tcPr>
            <w:tcW w:w="8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142,365,502</w:t>
            </w:r>
          </w:p>
        </w:tc>
        <w:tc>
          <w:tcPr>
            <w:tcW w:w="76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6"/>
              </w:rPr>
              <w:t>27.1%</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equity</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26,237,960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23,594,683</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24,945,870</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26,237,960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24,945,870</w:t>
            </w:r>
          </w:p>
        </w:tc>
        <w:tc>
          <w:tcPr>
            <w:tcW w:w="7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4"/>
              </w:rPr>
              <w:t>-4.9%</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Profitability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6"/>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0"/>
                <w:szCs w:val="20"/>
                <w:color w:val="auto"/>
                <w:vertAlign w:val="superscript"/>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-32bps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-176bps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-158bps</w:t>
            </w: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Risk-adjusted Net interest margin </w:t>
            </w:r>
            <w:r>
              <w:rPr>
                <w:rFonts w:ascii="Arial" w:cs="Arial" w:eastAsia="Arial" w:hAnsi="Arial"/>
                <w:sz w:val="20"/>
                <w:szCs w:val="20"/>
                <w:color w:val="auto"/>
                <w:vertAlign w:val="superscript"/>
              </w:rPr>
              <w:t>(2)</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4.30%</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1.60%</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2.41%</w:t>
            </w:r>
          </w:p>
        </w:tc>
        <w:tc>
          <w:tcPr>
            <w:tcW w:w="1320" w:type="dxa"/>
            <w:vAlign w:val="bottom"/>
            <w:gridSpan w:val="3"/>
          </w:tcPr>
          <w:p>
            <w:pPr>
              <w:ind w:left="600"/>
              <w:spacing w:after="0"/>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-189bps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4.30%</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76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-312bps</w:t>
            </w:r>
          </w:p>
        </w:tc>
      </w:tr>
      <w:tr>
        <w:trPr>
          <w:trHeight w:val="176"/>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Funding cost </w:t>
            </w:r>
            <w:r>
              <w:rPr>
                <w:rFonts w:ascii="Arial" w:cs="Arial" w:eastAsia="Arial" w:hAnsi="Arial"/>
                <w:sz w:val="20"/>
                <w:szCs w:val="20"/>
                <w:color w:val="auto"/>
                <w:vertAlign w:val="superscript"/>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3"/>
                <w:szCs w:val="13"/>
                <w:color w:val="auto"/>
              </w:rPr>
              <w:t>-40 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-57bps</w:t>
            </w:r>
          </w:p>
        </w:tc>
      </w:tr>
      <w:tr>
        <w:trPr>
          <w:trHeight w:val="176"/>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ROAE </w:t>
            </w:r>
            <w:r>
              <w:rPr>
                <w:rFonts w:ascii="Arial" w:cs="Arial" w:eastAsia="Arial" w:hAnsi="Arial"/>
                <w:sz w:val="20"/>
                <w:szCs w:val="20"/>
                <w:color w:val="auto"/>
                <w:vertAlign w:val="superscript"/>
              </w:rPr>
              <w:t>(2)</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14.9%</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c>
          <w:tcPr>
            <w:tcW w:w="1320" w:type="dxa"/>
            <w:vAlign w:val="bottom"/>
            <w:gridSpan w:val="3"/>
          </w:tcPr>
          <w:p>
            <w:pPr>
              <w:ind w:left="600"/>
              <w:spacing w:after="0"/>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-410bps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17.03%</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c>
          <w:tcPr>
            <w:tcW w:w="76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n.a.</w:t>
            </w: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ROAA </w:t>
            </w:r>
            <w:r>
              <w:rPr>
                <w:rFonts w:ascii="Arial" w:cs="Arial" w:eastAsia="Arial" w:hAnsi="Arial"/>
                <w:sz w:val="20"/>
                <w:szCs w:val="20"/>
                <w:color w:val="auto"/>
                <w:vertAlign w:val="superscript"/>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Loan portfolio quality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6"/>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IOL ratio </w:t>
            </w:r>
            <w:r>
              <w:rPr>
                <w:rFonts w:ascii="Arial" w:cs="Arial" w:eastAsia="Arial" w:hAnsi="Arial"/>
                <w:sz w:val="20"/>
                <w:szCs w:val="20"/>
                <w:color w:val="auto"/>
                <w:vertAlign w:val="superscript"/>
              </w:rPr>
              <w:t>(3)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36bps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55bps</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IOL over 90 days ratio</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2.15%</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2.53%</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2.69%</w:t>
            </w:r>
          </w:p>
        </w:tc>
        <w:tc>
          <w:tcPr>
            <w:tcW w:w="132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16bps</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54bps</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2.15%</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2.69%</w:t>
            </w:r>
          </w:p>
        </w:tc>
        <w:tc>
          <w:tcPr>
            <w:tcW w:w="760" w:type="dxa"/>
            <w:vAlign w:val="bottom"/>
          </w:tcPr>
          <w:p>
            <w:pPr>
              <w:spacing w:after="0"/>
              <w:rPr>
                <w:sz w:val="11"/>
                <w:szCs w:val="11"/>
                <w:color w:val="auto"/>
              </w:rPr>
            </w:pP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54bps</w:t>
            </w: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0"/>
                <w:szCs w:val="20"/>
                <w:color w:val="auto"/>
                <w:vertAlign w:val="superscript"/>
              </w:rPr>
              <w:t>(4)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44bps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73bps</w:t>
            </w:r>
          </w:p>
        </w:tc>
      </w:tr>
      <w:tr>
        <w:trPr>
          <w:trHeight w:val="176"/>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(2)(5)</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1.77%</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3.84%</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2.13%</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-171bps</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36bps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4.30%</w:t>
            </w:r>
          </w:p>
        </w:tc>
        <w:tc>
          <w:tcPr>
            <w:tcW w:w="76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270bps</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Coverage ratio of IOLs</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155.4%</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233.1%</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211.7%</w:t>
            </w:r>
          </w:p>
        </w:tc>
        <w:tc>
          <w:tcPr>
            <w:tcW w:w="132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-2140bps</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5630bps</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155.4%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211.7%</w:t>
            </w:r>
          </w:p>
        </w:tc>
        <w:tc>
          <w:tcPr>
            <w:tcW w:w="7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0"/>
              </w:rPr>
              <w:t>5630bps</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Coverage ratio of IOL 90-days</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206.6%</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280.5%</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266.8%</w:t>
            </w:r>
          </w:p>
        </w:tc>
        <w:tc>
          <w:tcPr>
            <w:tcW w:w="132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-1370bps</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6020bps</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206.6%</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266.8%</w:t>
            </w:r>
          </w:p>
        </w:tc>
        <w:tc>
          <w:tcPr>
            <w:tcW w:w="760" w:type="dxa"/>
            <w:vAlign w:val="bottom"/>
          </w:tcPr>
          <w:p>
            <w:pPr>
              <w:spacing w:after="0"/>
              <w:rPr>
                <w:sz w:val="11"/>
                <w:szCs w:val="11"/>
                <w:color w:val="auto"/>
              </w:rPr>
            </w:pP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80"/>
              </w:rPr>
              <w:t>6020bps</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Coverage ratio of NPLs</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114.4%</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169.9%</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156.1%</w:t>
            </w:r>
          </w:p>
        </w:tc>
        <w:tc>
          <w:tcPr>
            <w:tcW w:w="132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-1380bps</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4170bps</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156.1%</w:t>
            </w:r>
          </w:p>
        </w:tc>
        <w:tc>
          <w:tcPr>
            <w:tcW w:w="7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0"/>
              </w:rPr>
              <w:t>4170bps</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efficiency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0"/>
                <w:szCs w:val="20"/>
                <w:color w:val="auto"/>
                <w:vertAlign w:val="superscript"/>
              </w:rPr>
              <w:t>(1) (6)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220bps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170bps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43.6%</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270bps</w:t>
            </w: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Operating expenses / Total average assets </w:t>
            </w:r>
            <w:r>
              <w:rPr>
                <w:rFonts w:ascii="Arial" w:cs="Arial" w:eastAsia="Arial" w:hAnsi="Arial"/>
                <w:sz w:val="20"/>
                <w:szCs w:val="20"/>
                <w:color w:val="auto"/>
                <w:vertAlign w:val="superscript"/>
              </w:rPr>
              <w:t>(1)(7)</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4.02%</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3.09%</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-3bps</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-96bps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4.25%</w:t>
            </w:r>
          </w:p>
        </w:tc>
        <w:tc>
          <w:tcPr>
            <w:tcW w:w="76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-71bps</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Insurance ratios</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0"/>
                <w:szCs w:val="20"/>
                <w:color w:val="auto"/>
                <w:vertAlign w:val="superscript"/>
              </w:rPr>
              <w:t>(8)(9)</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94.1%</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84.8%</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81.4%</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-340bps</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-1270bps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94.1%</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81.4%</w:t>
            </w:r>
          </w:p>
        </w:tc>
        <w:tc>
          <w:tcPr>
            <w:tcW w:w="1220" w:type="dxa"/>
            <w:vAlign w:val="bottom"/>
            <w:gridSpan w:val="3"/>
          </w:tcPr>
          <w:p>
            <w:pPr>
              <w:jc w:val="right"/>
              <w:ind w:right="40"/>
              <w:spacing w:after="0"/>
              <w:rPr>
                <w:sz w:val="20"/>
                <w:szCs w:val="20"/>
                <w:color w:val="auto"/>
              </w:rPr>
            </w:pPr>
            <w:r>
              <w:rPr>
                <w:rFonts w:ascii="Arial" w:cs="Arial" w:eastAsia="Arial" w:hAnsi="Arial"/>
                <w:sz w:val="13"/>
                <w:szCs w:val="13"/>
                <w:color w:val="auto"/>
              </w:rPr>
              <w:t>-1270bps</w:t>
            </w: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0"/>
                <w:szCs w:val="20"/>
                <w:color w:val="auto"/>
                <w:vertAlign w:val="superscript"/>
              </w:rPr>
              <w:t>(9)(10)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75.4%</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-1060bps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1270bps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70.4%</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640bps</w:t>
            </w: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rPr>
              <w:t xml:space="preserve">Capital adequacy </w:t>
            </w:r>
            <w:r>
              <w:rPr>
                <w:rFonts w:ascii="Arial" w:cs="Arial" w:eastAsia="Arial" w:hAnsi="Arial"/>
                <w:sz w:val="20"/>
                <w:szCs w:val="20"/>
                <w:b w:val="1"/>
                <w:bCs w:val="1"/>
                <w:color w:val="auto"/>
                <w:vertAlign w:val="superscript"/>
              </w:rPr>
              <w:t>(11)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6"/>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0"/>
                <w:szCs w:val="20"/>
                <w:color w:val="auto"/>
                <w:vertAlign w:val="superscript"/>
              </w:rPr>
              <w:t>(12)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14.47%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14.93%</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-46bps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14.47%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14.93%</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46bps</w:t>
            </w:r>
          </w:p>
        </w:tc>
      </w:tr>
      <w:tr>
        <w:trPr>
          <w:trHeight w:val="175"/>
        </w:trPr>
        <w:tc>
          <w:tcPr>
            <w:tcW w:w="296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0"/>
                <w:szCs w:val="20"/>
                <w:color w:val="auto"/>
                <w:vertAlign w:val="superscript"/>
              </w:rPr>
              <w:t>(13)</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11.07%</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10.70%</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10.41%</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-29bps</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-66bps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11.07%</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10.41%</w:t>
            </w:r>
          </w:p>
        </w:tc>
        <w:tc>
          <w:tcPr>
            <w:tcW w:w="76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-66bps</w:t>
            </w: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0"/>
                <w:szCs w:val="20"/>
                <w:color w:val="auto"/>
                <w:vertAlign w:val="superscript"/>
              </w:rPr>
              <w:t>(14)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-5bps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-95bps</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Employees</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35,846</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37,572</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36,806</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w:t>
            </w:r>
          </w:p>
        </w:tc>
        <w:tc>
          <w:tcPr>
            <w:tcW w:w="2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35,846</w:t>
            </w:r>
          </w:p>
        </w:tc>
        <w:tc>
          <w:tcPr>
            <w:tcW w:w="8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36,806</w:t>
            </w:r>
          </w:p>
        </w:tc>
        <w:tc>
          <w:tcPr>
            <w:tcW w:w="76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Share Information</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Outstanding Shares</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94,382</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94,382</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94,382</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94,382</w:t>
            </w:r>
          </w:p>
        </w:tc>
        <w:tc>
          <w:tcPr>
            <w:tcW w:w="8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94,382</w:t>
            </w:r>
          </w:p>
        </w:tc>
        <w:tc>
          <w:tcPr>
            <w:tcW w:w="76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0.0%</w:t>
            </w:r>
          </w:p>
        </w:tc>
      </w:tr>
      <w:tr>
        <w:trPr>
          <w:trHeight w:val="175"/>
        </w:trPr>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0"/>
                <w:szCs w:val="20"/>
                <w:color w:val="auto"/>
                <w:vertAlign w:val="superscript"/>
              </w:rPr>
              <w:t>(15)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14,872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14,977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14,915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-0.4%</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14,872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14,915</w:t>
            </w: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r>
      <w:tr>
        <w:trPr>
          <w:trHeight w:val="272"/>
        </w:trPr>
        <w:tc>
          <w:tcPr>
            <w:tcW w:w="2960" w:type="dxa"/>
            <w:vAlign w:val="bottom"/>
            <w:gridSpan w:val="2"/>
          </w:tcPr>
          <w:p>
            <w:pPr>
              <w:spacing w:after="0"/>
              <w:rPr>
                <w:sz w:val="20"/>
                <w:szCs w:val="20"/>
                <w:color w:val="auto"/>
              </w:rPr>
            </w:pPr>
            <w:r>
              <w:rPr>
                <w:rFonts w:ascii="Arial" w:cs="Arial" w:eastAsia="Arial" w:hAnsi="Arial"/>
                <w:sz w:val="13"/>
                <w:szCs w:val="13"/>
                <w:color w:val="auto"/>
              </w:rPr>
              <w:t xml:space="preserve">Floating Shares </w:t>
            </w:r>
            <w:r>
              <w:rPr>
                <w:rFonts w:ascii="Arial" w:cs="Arial" w:eastAsia="Arial" w:hAnsi="Arial"/>
                <w:sz w:val="20"/>
                <w:szCs w:val="20"/>
                <w:color w:val="auto"/>
                <w:vertAlign w:val="superscript"/>
              </w:rPr>
              <w:t>(1)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79,510</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79,405</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79,467</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-0.1%</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79,510</w:t>
            </w:r>
          </w:p>
        </w:tc>
        <w:tc>
          <w:tcPr>
            <w:tcW w:w="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79,467</w:t>
            </w:r>
          </w:p>
        </w:tc>
        <w:tc>
          <w:tcPr>
            <w:tcW w:w="760" w:type="dxa"/>
            <w:vAlign w:val="bottom"/>
          </w:tcPr>
          <w:p>
            <w:pPr>
              <w:spacing w:after="0"/>
              <w:rPr>
                <w:sz w:val="23"/>
                <w:szCs w:val="2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-0.1%</w:t>
            </w:r>
          </w:p>
        </w:tc>
      </w:tr>
    </w:tbl>
    <w:p>
      <w:pPr>
        <w:spacing w:after="0" w:line="2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Figures differ from previously reported, please consider the data presented on this report.</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Annualized.</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Internal overdue loans include overdue loans and loans under legal collection, according to our internal policy for overdue loans. Internal Overdue ratio: Internal overdue loans / Total loans.</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Non-performing loans (NPL): Internal overdue loans + Refinanced loans. NPL ratio: NPL / Total loans.</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Cost of risk: Annualized Provision for credit losses on loan portfolio, net of recoveries / Total loans.</w:t>
      </w:r>
    </w:p>
    <w:p>
      <w:pPr>
        <w:ind w:firstLine="8"/>
        <w:spacing w:after="0" w:line="216" w:lineRule="auto"/>
        <w:tabs>
          <w:tab w:leader="none" w:pos="191" w:val="left"/>
        </w:tabs>
        <w:numPr>
          <w:ilvl w:val="0"/>
          <w:numId w:val="1"/>
        </w:numPr>
        <w:rPr>
          <w:rFonts w:ascii="Arial" w:cs="Arial" w:eastAsia="Arial" w:hAnsi="Arial"/>
          <w:sz w:val="13"/>
          <w:szCs w:val="13"/>
          <w:color w:val="auto"/>
        </w:rPr>
      </w:pPr>
      <w:r>
        <w:rPr>
          <w:rFonts w:ascii="Arial" w:cs="Arial" w:eastAsia="Arial" w:hAnsi="Arial"/>
          <w:sz w:val="13"/>
          <w:szCs w:val="13"/>
          <w:color w:val="auto"/>
        </w:rPr>
        <w:t>Efficiency ratio = (Salaries and employee benefits + Administrative expenses + Depreciation and amortization + Association in participation + Acquisition cost) / (Net interest income + Fee Income + Net gain on foreign exchange transactions + Net Gain From associates + Net gain on derivatives held for trading + Result on exchange differences + Net Premiums Earned).</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Operating expenses / Average of Total Assets. Average is calculated with period-beginning and period-ending balances.</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Combined ratio = (Net claims / Net earned premiums) + [(Acquisition cost + Operating expenses) / Net earned premiums]. Does not include Life insurance business.</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Considers Grupo Pacifico's figures before eliminations for consolidation to Credicorp.</w:t>
      </w:r>
    </w:p>
    <w:p>
      <w:pPr>
        <w:ind w:left="240" w:hanging="232"/>
        <w:spacing w:after="0" w:line="216" w:lineRule="auto"/>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Net claims / Net earned premiums.</w:t>
      </w:r>
    </w:p>
    <w:p>
      <w:pPr>
        <w:ind w:left="240" w:hanging="232"/>
        <w:spacing w:after="0" w:line="216" w:lineRule="auto"/>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All Capital ratios are for BCP Stand-alone and based on Peru GAAP.</w:t>
      </w:r>
    </w:p>
    <w:p>
      <w:pPr>
        <w:ind w:left="240" w:hanging="232"/>
        <w:spacing w:after="0" w:line="216" w:lineRule="auto"/>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Regulatory Capital / Risk-weighted assets (legal minimum = 10% since July 2011).</w:t>
      </w:r>
    </w:p>
    <w:p>
      <w:pPr>
        <w:ind w:firstLine="8"/>
        <w:spacing w:after="0" w:line="281" w:lineRule="auto"/>
        <w:tabs>
          <w:tab w:leader="none" w:pos="247" w:val="left"/>
        </w:tabs>
        <w:numPr>
          <w:ilvl w:val="0"/>
          <w:numId w:val="1"/>
        </w:numPr>
        <w:rPr>
          <w:rFonts w:ascii="Arial" w:cs="Arial" w:eastAsia="Arial" w:hAnsi="Arial"/>
          <w:sz w:val="10"/>
          <w:szCs w:val="10"/>
          <w:color w:val="auto"/>
        </w:rPr>
      </w:pPr>
      <w:r>
        <w:rPr>
          <w:rFonts w:ascii="Arial" w:cs="Arial" w:eastAsia="Arial" w:hAnsi="Arial"/>
          <w:sz w:val="10"/>
          <w:szCs w:val="10"/>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0" w:firstLine="8"/>
        <w:spacing w:after="0" w:line="216" w:lineRule="auto"/>
        <w:tabs>
          <w:tab w:leader="none" w:pos="246" w:val="left"/>
        </w:tabs>
        <w:numPr>
          <w:ilvl w:val="0"/>
          <w:numId w:val="1"/>
        </w:numPr>
        <w:rPr>
          <w:rFonts w:ascii="Arial" w:cs="Arial" w:eastAsia="Arial" w:hAnsi="Arial"/>
          <w:sz w:val="13"/>
          <w:szCs w:val="13"/>
          <w:color w:val="auto"/>
        </w:rPr>
      </w:pPr>
      <w:r>
        <w:rPr>
          <w:rFonts w:ascii="Arial" w:cs="Arial" w:eastAsia="Arial" w:hAnsi="Arial"/>
          <w:sz w:val="13"/>
          <w:szCs w:val="13"/>
          <w:color w:val="auto"/>
        </w:rPr>
        <w:t>Common Equity Tier I = Capital + Reserves – 100% of applicable deductions (investment in subsidiaries, goodwill, intangibles and net deferred taxes that rely on future profitability) + retained earnings + unrealized gains.</w:t>
      </w:r>
    </w:p>
    <w:p>
      <w:pPr>
        <w:spacing w:after="0" w:line="216" w:lineRule="auto"/>
        <w:rPr>
          <w:rFonts w:ascii="Arial" w:cs="Arial" w:eastAsia="Arial" w:hAnsi="Arial"/>
          <w:sz w:val="13"/>
          <w:szCs w:val="13"/>
          <w:color w:val="auto"/>
        </w:rPr>
      </w:pPr>
      <w:r>
        <w:rPr>
          <w:rFonts w:ascii="Arial" w:cs="Arial" w:eastAsia="Arial" w:hAnsi="Arial"/>
          <w:sz w:val="13"/>
          <w:szCs w:val="13"/>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40" w:hanging="232"/>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 shares held by Atlantic Security Holding Corporation (ASHC) and share-based payments.</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Credicorp and subsidiaries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Earnings contribution *</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60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23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1Q19</w:t>
            </w:r>
          </w:p>
        </w:tc>
        <w:tc>
          <w:tcPr>
            <w:tcW w:w="110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4Q19</w:t>
            </w:r>
          </w:p>
        </w:tc>
        <w:tc>
          <w:tcPr>
            <w:tcW w:w="78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1Q20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QoQ</w:t>
            </w:r>
          </w:p>
        </w:tc>
        <w:tc>
          <w:tcPr>
            <w:tcW w:w="6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9"/>
              </w:rPr>
              <w:t>2020 /2019</w:t>
            </w:r>
          </w:p>
        </w:tc>
        <w:tc>
          <w:tcPr>
            <w:tcW w:w="140" w:type="dxa"/>
            <w:vAlign w:val="bottom"/>
          </w:tcPr>
          <w:p>
            <w:pPr>
              <w:spacing w:after="0"/>
              <w:rPr>
                <w:sz w:val="13"/>
                <w:szCs w:val="13"/>
                <w:color w:val="auto"/>
              </w:rPr>
            </w:pPr>
          </w:p>
        </w:tc>
      </w:tr>
      <w:tr>
        <w:trPr>
          <w:trHeight w:val="142"/>
        </w:trPr>
        <w:tc>
          <w:tcPr>
            <w:tcW w:w="2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Universal Banking</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8"/>
        </w:trPr>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BCP Stand-alone</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725,464</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421,770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570,181</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35.2%</w:t>
            </w: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3,163,236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605,751</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-80.9%</w:t>
            </w:r>
          </w:p>
        </w:tc>
      </w:tr>
      <w:tr>
        <w:trPr>
          <w:trHeight w:val="148"/>
        </w:trPr>
        <w:tc>
          <w:tcPr>
            <w:tcW w:w="2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BCP Bolivia</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13,487</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(20,753)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(20,750)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78,508</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(74,257)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r>
      <w:tr>
        <w:trPr>
          <w:trHeight w:val="148"/>
        </w:trPr>
        <w:tc>
          <w:tcPr>
            <w:tcW w:w="2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Microfinance</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r>
      <w:tr>
        <w:trPr>
          <w:trHeight w:val="189"/>
        </w:trPr>
        <w:tc>
          <w:tcPr>
            <w:tcW w:w="25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Mi banco </w:t>
            </w:r>
            <w:r>
              <w:rPr>
                <w:rFonts w:ascii="Arial" w:cs="Arial" w:eastAsia="Arial" w:hAnsi="Arial"/>
                <w:sz w:val="21"/>
                <w:szCs w:val="21"/>
                <w:color w:val="auto"/>
                <w:vertAlign w:val="superscript"/>
              </w:rPr>
              <w:t>(1)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100,034</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(154,812)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22,461</w:t>
            </w:r>
          </w:p>
        </w:tc>
        <w:tc>
          <w:tcPr>
            <w:tcW w:w="10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n.a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391,688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(370,465)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r>
      <w:tr>
        <w:trPr>
          <w:trHeight w:val="148"/>
        </w:trPr>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Mibanco Colombia</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(307)</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(68,383)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(12,537)</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-81.7%</w:t>
            </w:r>
          </w:p>
        </w:tc>
        <w:tc>
          <w:tcPr>
            <w:tcW w:w="180" w:type="dxa"/>
            <w:vAlign w:val="bottom"/>
          </w:tcPr>
          <w:p>
            <w:pPr>
              <w:spacing w:after="0"/>
              <w:rPr>
                <w:sz w:val="12"/>
                <w:szCs w:val="12"/>
                <w:color w:val="auto"/>
              </w:rPr>
            </w:pPr>
          </w:p>
        </w:tc>
        <w:tc>
          <w:tcPr>
            <w:tcW w:w="98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3,633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(97,380)</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r>
      <w:tr>
        <w:trPr>
          <w:trHeight w:val="148"/>
        </w:trPr>
        <w:tc>
          <w:tcPr>
            <w:tcW w:w="2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and Pensions</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r>
      <w:tr>
        <w:trPr>
          <w:trHeight w:val="189"/>
        </w:trPr>
        <w:tc>
          <w:tcPr>
            <w:tcW w:w="2500" w:type="dxa"/>
            <w:vAlign w:val="bottom"/>
            <w:gridSpan w:val="3"/>
          </w:tcPr>
          <w:p>
            <w:pPr>
              <w:spacing w:after="0" w:line="189" w:lineRule="exact"/>
              <w:rPr>
                <w:sz w:val="20"/>
                <w:szCs w:val="20"/>
                <w:color w:val="auto"/>
              </w:rPr>
            </w:pPr>
            <w:r>
              <w:rPr>
                <w:rFonts w:ascii="Arial" w:cs="Arial" w:eastAsia="Arial" w:hAnsi="Arial"/>
                <w:sz w:val="13"/>
                <w:szCs w:val="13"/>
                <w:color w:val="auto"/>
              </w:rPr>
              <w:t>Grupo Pacifico</w:t>
            </w:r>
            <w:r>
              <w:rPr>
                <w:rFonts w:ascii="Arial" w:cs="Arial" w:eastAsia="Arial" w:hAnsi="Arial"/>
                <w:sz w:val="21"/>
                <w:szCs w:val="21"/>
                <w:color w:val="auto"/>
                <w:vertAlign w:val="superscript"/>
              </w:rPr>
              <w:t>(2)</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113,760</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(14,545)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8,528</w:t>
            </w:r>
          </w:p>
        </w:tc>
        <w:tc>
          <w:tcPr>
            <w:tcW w:w="100" w:type="dxa"/>
            <w:vAlign w:val="bottom"/>
          </w:tcPr>
          <w:p>
            <w:pPr>
              <w:spacing w:after="0"/>
              <w:rPr>
                <w:sz w:val="16"/>
                <w:szCs w:val="16"/>
                <w:color w:val="auto"/>
              </w:rPr>
            </w:pPr>
          </w:p>
        </w:tc>
        <w:tc>
          <w:tcPr>
            <w:tcW w:w="1300" w:type="dxa"/>
            <w:vAlign w:val="bottom"/>
            <w:gridSpan w:val="3"/>
          </w:tcPr>
          <w:p>
            <w:pPr>
              <w:ind w:left="620"/>
              <w:spacing w:after="0"/>
              <w:rPr>
                <w:sz w:val="20"/>
                <w:szCs w:val="20"/>
                <w:color w:val="auto"/>
              </w:rPr>
            </w:pPr>
            <w:r>
              <w:rPr>
                <w:rFonts w:ascii="Arial" w:cs="Arial" w:eastAsia="Arial" w:hAnsi="Arial"/>
                <w:sz w:val="14"/>
                <w:szCs w:val="14"/>
                <w:color w:val="auto"/>
              </w:rPr>
              <w:t>n.a</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376,999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192,330</w:t>
            </w:r>
          </w:p>
        </w:tc>
        <w:tc>
          <w:tcPr>
            <w:tcW w:w="1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-49.0%</w:t>
            </w:r>
          </w:p>
        </w:tc>
      </w:tr>
      <w:tr>
        <w:trPr>
          <w:trHeight w:val="148"/>
        </w:trPr>
        <w:tc>
          <w:tcPr>
            <w:tcW w:w="2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Prima AFP</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46,829</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38,037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62,951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196,590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148,141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w:t>
            </w:r>
          </w:p>
        </w:tc>
      </w:tr>
      <w:tr>
        <w:trPr>
          <w:trHeight w:val="126"/>
        </w:trPr>
        <w:tc>
          <w:tcPr>
            <w:tcW w:w="25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Investment Banking and Wealth</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1"/>
        </w:trPr>
        <w:tc>
          <w:tcPr>
            <w:tcW w:w="25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Management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0.0%</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r>
      <w:tr>
        <w:trPr>
          <w:trHeight w:val="148"/>
        </w:trPr>
        <w:tc>
          <w:tcPr>
            <w:tcW w:w="2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Credicorp Capital</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4,631</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25,782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13,140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43,883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55,897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27.4%</w:t>
            </w:r>
          </w:p>
        </w:tc>
      </w:tr>
      <w:tr>
        <w:trPr>
          <w:trHeight w:val="148"/>
        </w:trPr>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Atlantic Security Bank</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42,824</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(60,949)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70,233</w:t>
            </w:r>
          </w:p>
        </w:tc>
        <w:tc>
          <w:tcPr>
            <w:tcW w:w="100" w:type="dxa"/>
            <w:vAlign w:val="bottom"/>
          </w:tcPr>
          <w:p>
            <w:pPr>
              <w:spacing w:after="0"/>
              <w:rPr>
                <w:sz w:val="12"/>
                <w:szCs w:val="12"/>
                <w:color w:val="auto"/>
              </w:rPr>
            </w:pPr>
          </w:p>
        </w:tc>
        <w:tc>
          <w:tcPr>
            <w:tcW w:w="130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n.a</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64.0%</w:t>
            </w: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186,540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135,877</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r>
      <w:tr>
        <w:trPr>
          <w:trHeight w:val="189"/>
        </w:trPr>
        <w:tc>
          <w:tcPr>
            <w:tcW w:w="25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Others</w:t>
            </w:r>
            <w:r>
              <w:rPr>
                <w:rFonts w:ascii="Arial" w:cs="Arial" w:eastAsia="Arial" w:hAnsi="Arial"/>
                <w:sz w:val="21"/>
                <w:szCs w:val="21"/>
                <w:b w:val="1"/>
                <w:bCs w:val="1"/>
                <w:color w:val="auto"/>
                <w:vertAlign w:val="superscript"/>
              </w:rPr>
              <w:t>(3)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(73,892)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(62,541)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(60,803)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(175,773)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(249,000)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41.7%</w:t>
            </w:r>
          </w:p>
        </w:tc>
      </w:tr>
      <w:tr>
        <w:trPr>
          <w:trHeight w:val="186"/>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Net profit attributable to Credicorp</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972,830</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104,606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653,404</w:t>
            </w:r>
          </w:p>
        </w:tc>
        <w:tc>
          <w:tcPr>
            <w:tcW w:w="100" w:type="dxa"/>
            <w:vAlign w:val="bottom"/>
          </w:tcPr>
          <w:p>
            <w:pPr>
              <w:spacing w:after="0"/>
              <w:rPr>
                <w:sz w:val="16"/>
                <w:szCs w:val="16"/>
                <w:color w:val="auto"/>
              </w:rPr>
            </w:pPr>
          </w:p>
        </w:tc>
        <w:tc>
          <w:tcPr>
            <w:tcW w:w="1300" w:type="dxa"/>
            <w:vAlign w:val="bottom"/>
            <w:gridSpan w:val="3"/>
          </w:tcPr>
          <w:p>
            <w:pPr>
              <w:ind w:left="600"/>
              <w:spacing w:after="0"/>
              <w:rPr>
                <w:sz w:val="20"/>
                <w:szCs w:val="20"/>
                <w:color w:val="auto"/>
              </w:rPr>
            </w:pPr>
            <w:r>
              <w:rPr>
                <w:rFonts w:ascii="Arial" w:cs="Arial" w:eastAsia="Arial" w:hAnsi="Arial"/>
                <w:sz w:val="14"/>
                <w:szCs w:val="14"/>
                <w:b w:val="1"/>
                <w:bCs w:val="1"/>
                <w:color w:val="auto"/>
              </w:rPr>
              <w:t>n.a</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-32.8%</w:t>
            </w:r>
          </w:p>
        </w:tc>
        <w:tc>
          <w:tcPr>
            <w:tcW w:w="12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4,265,304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346, 894</w:t>
            </w: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-91.9%</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*Contributions to Credicorp reflect the eliminations for consolidation purposes (e.g. eliminations for transactions among Credicorp’s subsidiaries or between Credicorp and its subsidiaries).</w:t>
      </w:r>
    </w:p>
    <w:p>
      <w:pPr>
        <w:ind w:left="200" w:hanging="192"/>
        <w:spacing w:after="0" w:line="23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figure is lower than the net income of Mibanco because Credicorp owns 99.921% of Mibanco (directly and indirectly).</w:t>
      </w:r>
    </w:p>
    <w:p>
      <w:pPr>
        <w:ind w:left="200" w:hanging="192"/>
        <w:spacing w:after="0" w:line="221"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contribution is higher than Grupo Pacifico’s net income because Credicorp owns 65.20% directly, and 33.61% through Grupo Credito.</w:t>
      </w: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Grupo Credito excluding Prima AFP (Servicorp and Emisiones BCP Latam), others of Atlantic Security Holding Corporation and others of Credicorp Ltd.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ROAE</w:t>
            </w: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rPr>
              <w:t>Year</w:t>
            </w: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2"/>
            <w:vMerge w:val="continue"/>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4019</w:t>
            </w:r>
          </w:p>
        </w:tc>
        <w:tc>
          <w:tcPr>
            <w:tcW w:w="3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3Q20</w:t>
            </w:r>
          </w:p>
        </w:tc>
        <w:tc>
          <w:tcPr>
            <w:tcW w:w="1200" w:type="dxa"/>
            <w:vAlign w:val="bottom"/>
          </w:tcPr>
          <w:p>
            <w:pPr>
              <w:ind w:left="440"/>
              <w:spacing w:after="0"/>
              <w:rPr>
                <w:sz w:val="20"/>
                <w:szCs w:val="20"/>
                <w:color w:val="auto"/>
              </w:rPr>
            </w:pPr>
            <w:r>
              <w:rPr>
                <w:rFonts w:ascii="Arial" w:cs="Arial" w:eastAsia="Arial" w:hAnsi="Arial"/>
                <w:sz w:val="18"/>
                <w:szCs w:val="18"/>
                <w:b w:val="1"/>
                <w:bCs w:val="1"/>
                <w:color w:val="auto"/>
              </w:rPr>
              <w:t>4Q20</w:t>
            </w:r>
          </w:p>
        </w:tc>
        <w:tc>
          <w:tcPr>
            <w:tcW w:w="30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Mibanco</w:t>
            </w:r>
            <w:r>
              <w:rPr>
                <w:rFonts w:ascii="Arial" w:cs="Arial" w:eastAsia="Arial" w:hAnsi="Arial"/>
                <w:sz w:val="29"/>
                <w:szCs w:val="29"/>
                <w:color w:val="auto"/>
                <w:vertAlign w:val="superscript"/>
              </w:rPr>
              <w:t>(1)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Mibanco Colombia</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 and Pensions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w w:val="99"/>
              </w:rPr>
              <w:t>Investment Banking and Wealth Management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58"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18.2% in 4Q19, -33.2% in 3Q20 and 4.5% in 4Q20. YTD was 18.8% for December 2019 and -16.9% for December 2020.</w:t>
      </w:r>
    </w:p>
    <w:p>
      <w:pPr>
        <w:spacing w:after="0" w:line="1" w:lineRule="exact"/>
        <w:rPr>
          <w:rFonts w:ascii="Arial" w:cs="Arial" w:eastAsia="Arial" w:hAnsi="Arial"/>
          <w:sz w:val="18"/>
          <w:szCs w:val="18"/>
          <w:color w:val="auto"/>
        </w:rPr>
      </w:pPr>
    </w:p>
    <w:p>
      <w:pPr>
        <w:ind w:firstLine="8"/>
        <w:spacing w:after="0" w:line="323"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Figures include unrealized gains or losses that are considered in Pacifico’s Net Equity from the investment portfolio of Pacifico Vida. ROAE excluding such unrealized gains was 19.9% in 4Q19, -2.5% in 3Q20 and 15% in 4Q19."""" YTD was 16.5% for December 2018 and 8.2% for December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4Q20, Credicorp registered net income of S/ 653.4 million, which translated into a ROAE of 10.8% (10 pp above 3Q20 results).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 Credicorp recorded non-recurring events, which are detailed in this report and Annex 11.12. These non-recurring events impacted Credicorp’s 4Q20 results by S/ -71.8 million, after taxes. If we exclude non-recurring events, Credicorp’s adjusted 4Q20 net income was S/ 725.1 million, which represented an improvement compared to the S/ 289.4 million registered in 3Q20. In this context, Credicorp’s adjusted 4Q20 ROAE was situated at 12.0%, which topped the 4.9% reported in 3Q20. In full-year terms, Credicorp registered a net income for 2020 of S/ 346.9 million. If we exclude non-recurring events this year for a total of S/539.4 million (adjusted for taxes), net income and adjusted ROAE in 2020 were S/ 886.3 million and 3.5% respectively.</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At the end of December 2020, IEAs registered growth of +2.3% QoQ and +29.2% YoY, which was driven primarily by expansion in the loan and investment portfolios. Loans, measured in average daily balances, reported growth of +2.0% QoQ and +18.8% YoY. This expansion was mainly attributable to an increase in loans at BCP Stand-alone that was led by the SME-Business and SME-Pyme retail segments, which was spurred by an inflow of government loans through Reactiva Peru. Mibanco also posted growth due to loans through Reactiva program and, to a lesser extent, modest recovery in disbursements for structural loans. If we isolate the effect generated by government programs (Reactiva Peru and FAE-Mype) in the calculation for total loan growth, loans in the Structural Portfolio fell -2.0% QoQ and -2.7% YoY in average daily balances.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90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Dec 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50"/>
        </w:trPr>
        <w:tc>
          <w:tcPr>
            <w:tcW w:w="38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Cash and due from banks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19,697,831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28,219,512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28,544,161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111,575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2,031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32,221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1486.5%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Total investments</w:t>
            </w:r>
            <w:r>
              <w:rPr>
                <w:rFonts w:ascii="Arial" w:cs="Arial" w:eastAsia="Arial" w:hAnsi="Arial"/>
                <w:sz w:val="29"/>
                <w:szCs w:val="29"/>
                <w:color w:val="auto"/>
                <w:vertAlign w:val="superscript"/>
              </w:rPr>
              <w:t>(1)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33,530,531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51,648,986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55,173,742</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w w:val="93"/>
              </w:rPr>
              <w:t>Cash collateral, reverse repurchase agreements and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securities borrowing</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4,288,524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2,821,116</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2,394,302</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r>
      <w:tr>
        <w:trPr>
          <w:trHeight w:val="202"/>
        </w:trPr>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Financial assets designated at fair value through</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profit or loss</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620,544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729,059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823,270</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r>
      <w:tr>
        <w:trPr>
          <w:trHeight w:val="257"/>
        </w:trPr>
        <w:tc>
          <w:tcPr>
            <w:tcW w:w="3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9"/>
                <w:szCs w:val="29"/>
                <w:color w:val="auto"/>
                <w:vertAlign w:val="superscript"/>
              </w:rPr>
              <w:t>(2)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115,609,679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136,148,711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137,659,885</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Total interest earning assets </w:t>
            </w:r>
            <w:r>
              <w:rPr>
                <w:rFonts w:ascii="Arial" w:cs="Arial" w:eastAsia="Arial" w:hAnsi="Arial"/>
                <w:sz w:val="29"/>
                <w:szCs w:val="29"/>
                <w:b w:val="1"/>
                <w:bCs w:val="1"/>
                <w:color w:val="auto"/>
                <w:vertAlign w:val="superscript"/>
              </w:rPr>
              <w:t>(1)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173,858,684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219,569,415</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224,627,581</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r>
      <w:tr>
        <w:trPr>
          <w:trHeight w:val="688"/>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Dec 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42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50"/>
        </w:trPr>
        <w:tc>
          <w:tcPr>
            <w:tcW w:w="38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Fair value through profit or loss investments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3,850,762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6,658,680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6,467,471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r>
      <w:tr>
        <w:trPr>
          <w:trHeight w:val="205"/>
        </w:trPr>
        <w:tc>
          <w:tcPr>
            <w:tcW w:w="3960" w:type="dxa"/>
            <w:vAlign w:val="bottom"/>
            <w:gridSpan w:val="2"/>
          </w:tcPr>
          <w:p>
            <w:pPr>
              <w:spacing w:after="0" w:line="206" w:lineRule="exact"/>
              <w:rPr>
                <w:sz w:val="20"/>
                <w:szCs w:val="20"/>
                <w:color w:val="auto"/>
              </w:rPr>
            </w:pPr>
            <w:r>
              <w:rPr>
                <w:rFonts w:ascii="Arial" w:cs="Arial" w:eastAsia="Arial" w:hAnsi="Arial"/>
                <w:sz w:val="18"/>
                <w:szCs w:val="18"/>
                <w:color w:val="auto"/>
              </w:rPr>
              <w:t>Fair value through other comprehensive income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7"/>
        </w:trPr>
        <w:tc>
          <w:tcPr>
            <w:tcW w:w="396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investments</w:t>
            </w:r>
            <w:r>
              <w:rPr>
                <w:rFonts w:ascii="Arial" w:cs="Arial" w:eastAsia="Arial" w:hAnsi="Arial"/>
                <w:sz w:val="29"/>
                <w:szCs w:val="29"/>
                <w:color w:val="auto"/>
                <w:vertAlign w:val="superscript"/>
              </w:rPr>
              <w:t>(1)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26,202,723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40,712,831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43,743,889</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3,477,046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4,277,475</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4,962,382</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r>
      <w:tr>
        <w:trPr>
          <w:trHeight w:val="39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29"/>
                <w:szCs w:val="29"/>
                <w:b w:val="1"/>
                <w:bCs w:val="1"/>
                <w:color w:val="auto"/>
                <w:vertAlign w:val="superscript"/>
              </w:rPr>
              <w:t>(1)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33,530,531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51,648,986</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55,173,742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64.5%</w:t>
            </w:r>
          </w:p>
        </w:tc>
      </w:tr>
    </w:tbl>
    <w:p>
      <w:pPr>
        <w:spacing w:after="0" w:line="6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Quarter-end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loans measured in quarter-end balances grew +1.1% QoQ, driven by a number of factors. The final disbursements made under Reactiva Peru, coupled with the partial recovery registered in BCP Stand-alone’s retail segments and Mibanco’s portfolio contributed positively to the evolution of total loans. This evolution was partially offset by the decrease in the Wholesale portfolio and the Credit Card segment in BCP Stand-Alone. If we isolate the effect of loans granted through Government programs (Reactiva Peru and FAE-Mype), loans in the “Structural Portfolio” reported growth of +1.0% QoQ in quarter-end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quarterly evolution of the portfolio was mainly driven by a shift in average daily balances at BCP Stand-alone and at Mibanco:</w:t>
      </w:r>
    </w:p>
    <w:p>
      <w:pPr>
        <w:spacing w:after="0" w:line="225" w:lineRule="exact"/>
        <w:rPr>
          <w:sz w:val="20"/>
          <w:szCs w:val="20"/>
          <w:color w:val="auto"/>
        </w:rPr>
      </w:pPr>
    </w:p>
    <w:p>
      <w:pPr>
        <w:jc w:val="both"/>
        <w:ind w:left="880" w:hanging="494"/>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largest increase in the portfolio was attributable to Retail Banking at BCP Stand-alone, which was primarily due to the partial recovery in the Consumer and Mortgage segments and to the final disbursements made to the SME-Pyme and SME-Business segments through the government program Reactiva Peru. This growth was partially offset by de decline in Wholesale balances.</w:t>
      </w:r>
    </w:p>
    <w:p>
      <w:pPr>
        <w:spacing w:after="0" w:line="183"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Mibanco portfolio also reported positive growth due to the final disbursements made through Reactiva Peru and to a recovery in the disbursement level of the structural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measured in quarter-end balances increased +19.1% YoY, driven primarily by the participation of BCP Stand-alone and Mibanco in Reactiva Peru. If we isolate the effect of loans granted through government programs (Reactiva Peru a d FAE-Mype) loans within the structural portfolio fell -2.2% YoY. If we look at the performance of the total universe of loans, YoY growth was attributable to an uptick in loan balances at BCP Individual (+18.8% YoY) and Mibanco (+20.5% YoY), which was driven by: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880" w:hanging="494"/>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the Retail Portfolio at BCP Stand-alone, which was led by SME-Pyme segment and to a lesser extent by SME-Business, after both segments experienced an uptick in disbursements for working capital loans in LC through Reactiva Peru.</w:t>
      </w:r>
    </w:p>
    <w:p>
      <w:pPr>
        <w:spacing w:after="0" w:line="170" w:lineRule="exact"/>
        <w:rPr>
          <w:rFonts w:ascii="Arial" w:cs="Arial" w:eastAsia="Arial" w:hAnsi="Arial"/>
          <w:sz w:val="18"/>
          <w:szCs w:val="18"/>
          <w:color w:val="auto"/>
        </w:rPr>
      </w:pPr>
    </w:p>
    <w:p>
      <w:pPr>
        <w:jc w:val="both"/>
        <w:ind w:left="880" w:hanging="494"/>
        <w:spacing w:after="0" w:line="259"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growth in the Wholesale Banking portfolio at BCP Stand-alone, which was led by an increase in disbursements in LC through Reactiva Peru in the Middle-Market segment. This expansion, however, was offset by the evolution in Corporate Banking, where demand for loans fell due to the economic lockdown and to the fact that many businesses had already moved to shore up liquidity through low-cost financing earlier in the pandemic.</w:t>
      </w:r>
    </w:p>
    <w:p>
      <w:pPr>
        <w:spacing w:after="0" w:line="186"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the Mibanco portfolio, which was primarily attributable to loans through Reactiva Peru and FAE-Mype programs but also driven, albeit to a lesser extent, to a recovery in structural disbursements in the last two quarters of the year.</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YoY increase in loans was also attributable to the exchange rate effect on the FC portfolio generated by the 9.3% appreciation in the US Dollar YoY. If we exclude said effect, total loans reflect growth of 15.8% YoY in real terms for the total portfolio but register a decline of -5.2% YoY for the structural portfolio. At the end of December 2020, FC loans represented 32.5% of total loans versus 38.7% in December 2019. This reduction is attributable to an increase in LC loans, which was spurred by inflows of government loans, and to the drop in FC loans in the Wholesale Banking portfolio.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investments increased +6.8% QoQ and +64.5% YoY, driven by growth in the fair value through other comprehensive income portfolio at BCP Stand-alone, where expansion was spurred by an uptick in purchases of low-risk assets in the context of a highly liquid financial system. The government’s financial relief programs have been used by our clients to pay suppliers, payrolls and other working capital needs. Most of this fresh capital and payments have remained in account balances held in the financial system and in the case of Credicorp, at BCP, that led to a significant increase in the company liquidity. In this scenario, and in keeping with our strategy to optimize the structure of the balance while increasing the profitability of liquid assets, we moved to invest in low-risk assets such as certificates of deposit and sovereign bonds. These new investments were made in 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Available funds increased 44.9% YoY due to the excess liquidity generated by loan inflows from Government programs. A large portion of these loans were used to pay suppliers and payroll or to cover working capital needs but remain in account balances held in the financial system and in the case of Credicorp, at BCP. Available funds grew 1.2% QoQ in the context of a highly liquid financial 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shows loan composition by subsidiary and business segment measured in average daily balances. These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daily loan balances grew +2.0% QoQ and +18.8% YoY, which was due primarily to an increase in balances in the SME-Business and SME-Pyme segments at BCP Stand-alone given that BCP Stand-alone was a major player in loan disbursements through the government’s financial relief program “Reactiva Peru.” If we focus solely on the evolution of structural loans, rather than on the evolution of total loans (which include government loans), we see that the “Structural Portfolio” fell -2.0% QoQ and -2.7% YoY. QoQ and YoY growth in loan balances was concentrated in local currency given that government loans were disbursed in soles.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29"/>
          <w:szCs w:val="29"/>
          <w:b w:val="1"/>
          <w:bCs w:val="1"/>
          <w:color w:val="auto"/>
          <w:vertAlign w:val="superscript"/>
        </w:rPr>
        <w:t>(1)(2)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9"/>
              </w:rPr>
              <w:t>TOTAL LOANS</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left="217"/>
              <w:spacing w:after="0"/>
              <w:rPr>
                <w:sz w:val="20"/>
                <w:szCs w:val="20"/>
                <w:color w:val="auto"/>
              </w:rPr>
            </w:pPr>
            <w:r>
              <w:rPr>
                <w:rFonts w:ascii="Arial" w:cs="Arial" w:eastAsia="Arial" w:hAnsi="Arial"/>
                <w:sz w:val="13"/>
                <w:szCs w:val="13"/>
                <w:b w:val="1"/>
                <w:bCs w:val="1"/>
                <w:color w:val="auto"/>
                <w:w w:val="88"/>
              </w:rPr>
              <w:t>% change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1160" w:type="dxa"/>
            <w:vAlign w:val="bottom"/>
          </w:tcPr>
          <w:p>
            <w:pPr>
              <w:spacing w:after="0"/>
              <w:rPr>
                <w:sz w:val="12"/>
                <w:szCs w:val="12"/>
                <w:color w:val="auto"/>
              </w:rPr>
            </w:pPr>
          </w:p>
        </w:tc>
        <w:tc>
          <w:tcPr>
            <w:tcW w:w="2400" w:type="dxa"/>
            <w:vAlign w:val="bottom"/>
            <w:gridSpan w:val="8"/>
          </w:tcPr>
          <w:p>
            <w:pPr>
              <w:ind w:left="440"/>
              <w:spacing w:after="0" w:line="142" w:lineRule="exact"/>
              <w:rPr>
                <w:sz w:val="20"/>
                <w:szCs w:val="20"/>
                <w:color w:val="auto"/>
              </w:rPr>
            </w:pPr>
            <w:r>
              <w:rPr>
                <w:rFonts w:ascii="Arial" w:cs="Arial" w:eastAsia="Arial" w:hAnsi="Arial"/>
                <w:sz w:val="13"/>
                <w:szCs w:val="13"/>
                <w:i w:val="1"/>
                <w:iCs w:val="1"/>
                <w:color w:val="auto"/>
              </w:rPr>
              <w:t>Expressed in million S/</w:t>
            </w:r>
          </w:p>
        </w:tc>
        <w:tc>
          <w:tcPr>
            <w:tcW w:w="1420" w:type="dxa"/>
            <w:vAlign w:val="bottom"/>
            <w:gridSpan w:val="4"/>
          </w:tcPr>
          <w:p>
            <w:pPr>
              <w:jc w:val="right"/>
              <w:ind w:right="600"/>
              <w:spacing w:after="0" w:line="142" w:lineRule="exact"/>
              <w:rPr>
                <w:sz w:val="20"/>
                <w:szCs w:val="20"/>
                <w:color w:val="auto"/>
              </w:rPr>
            </w:pPr>
            <w:r>
              <w:rPr>
                <w:rFonts w:ascii="Arial" w:cs="Arial" w:eastAsia="Arial" w:hAnsi="Arial"/>
                <w:sz w:val="13"/>
                <w:szCs w:val="13"/>
                <w:b w:val="1"/>
                <w:bCs w:val="1"/>
                <w:color w:val="auto"/>
              </w:rPr>
              <w:t>Structural</w:t>
            </w:r>
          </w:p>
        </w:tc>
        <w:tc>
          <w:tcPr>
            <w:tcW w:w="100" w:type="dxa"/>
            <w:vAlign w:val="bottom"/>
          </w:tcPr>
          <w:p>
            <w:pPr>
              <w:spacing w:after="0"/>
              <w:rPr>
                <w:sz w:val="12"/>
                <w:szCs w:val="12"/>
                <w:color w:val="auto"/>
              </w:rPr>
            </w:pPr>
          </w:p>
        </w:tc>
        <w:tc>
          <w:tcPr>
            <w:tcW w:w="880" w:type="dxa"/>
            <w:vAlign w:val="bottom"/>
            <w:gridSpan w:val="3"/>
          </w:tcPr>
          <w:p>
            <w:pPr>
              <w:ind w:left="300"/>
              <w:spacing w:after="0" w:line="142" w:lineRule="exact"/>
              <w:rPr>
                <w:sz w:val="20"/>
                <w:szCs w:val="20"/>
                <w:color w:val="auto"/>
              </w:rPr>
            </w:pPr>
            <w:r>
              <w:rPr>
                <w:rFonts w:ascii="Arial" w:cs="Arial" w:eastAsia="Arial" w:hAnsi="Arial"/>
                <w:sz w:val="13"/>
                <w:szCs w:val="13"/>
                <w:b w:val="1"/>
                <w:bCs w:val="1"/>
                <w:color w:val="auto"/>
                <w:w w:val="92"/>
              </w:rPr>
              <w:t>% change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left="197"/>
              <w:spacing w:after="0" w:line="142" w:lineRule="exact"/>
              <w:rPr>
                <w:sz w:val="20"/>
                <w:szCs w:val="20"/>
                <w:color w:val="auto"/>
              </w:rPr>
            </w:pPr>
            <w:r>
              <w:rPr>
                <w:rFonts w:ascii="Arial" w:cs="Arial" w:eastAsia="Arial" w:hAnsi="Arial"/>
                <w:sz w:val="13"/>
                <w:szCs w:val="13"/>
                <w:b w:val="1"/>
                <w:bCs w:val="1"/>
                <w:color w:val="auto"/>
                <w:w w:val="89"/>
              </w:rPr>
              <w:t>Strctural</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ind w:left="500"/>
              <w:spacing w:after="0" w:line="142" w:lineRule="exact"/>
              <w:rPr>
                <w:sz w:val="20"/>
                <w:szCs w:val="20"/>
                <w:color w:val="auto"/>
              </w:rPr>
            </w:pPr>
            <w:r>
              <w:rPr>
                <w:rFonts w:ascii="Arial" w:cs="Arial" w:eastAsia="Arial" w:hAnsi="Arial"/>
                <w:sz w:val="13"/>
                <w:szCs w:val="13"/>
                <w:b w:val="1"/>
                <w:bCs w:val="1"/>
                <w:color w:val="auto"/>
                <w:w w:val="93"/>
              </w:rPr>
              <w:t>% Part. in total loans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120"/>
              <w:spacing w:after="0" w:line="142" w:lineRule="exact"/>
              <w:rPr>
                <w:sz w:val="20"/>
                <w:szCs w:val="20"/>
                <w:color w:val="auto"/>
              </w:rPr>
            </w:pPr>
            <w:r>
              <w:rPr>
                <w:rFonts w:ascii="Arial" w:cs="Arial" w:eastAsia="Arial" w:hAnsi="Arial"/>
                <w:sz w:val="13"/>
                <w:szCs w:val="13"/>
                <w:b w:val="1"/>
                <w:bCs w:val="1"/>
                <w:color w:val="auto"/>
                <w:w w:val="97"/>
              </w:rPr>
              <w:t>Structural</w:t>
            </w:r>
          </w:p>
        </w:tc>
      </w:tr>
      <w:tr>
        <w:trPr>
          <w:trHeight w:val="142"/>
        </w:trPr>
        <w:tc>
          <w:tcPr>
            <w:tcW w:w="11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4Q19</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3Q20</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4Q20</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3Q20</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4Q20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QoQ</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gridSpan w:val="2"/>
          </w:tcPr>
          <w:p>
            <w:pPr>
              <w:spacing w:after="0"/>
              <w:rPr>
                <w:sz w:val="12"/>
                <w:szCs w:val="12"/>
                <w:color w:val="auto"/>
              </w:rPr>
            </w:pPr>
          </w:p>
        </w:tc>
        <w:tc>
          <w:tcPr>
            <w:tcW w:w="5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4Q19</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3Q20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4Q20</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4Q20</w:t>
            </w:r>
          </w:p>
        </w:tc>
        <w:tc>
          <w:tcPr>
            <w:tcW w:w="140" w:type="dxa"/>
            <w:vAlign w:val="bottom"/>
            <w:tcBorders>
              <w:bottom w:val="single" w:sz="8" w:color="CCEEFF"/>
            </w:tcBorders>
          </w:tcPr>
          <w:p>
            <w:pPr>
              <w:spacing w:after="0"/>
              <w:rPr>
                <w:sz w:val="12"/>
                <w:szCs w:val="12"/>
                <w:color w:val="auto"/>
              </w:rPr>
            </w:pPr>
          </w:p>
        </w:tc>
      </w:tr>
      <w:tr>
        <w:trPr>
          <w:trHeight w:val="128"/>
        </w:trPr>
        <w:tc>
          <w:tcPr>
            <w:tcW w:w="11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BCP Stand-alone</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94,390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111,385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112,981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93,444</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91,075</w:t>
            </w:r>
          </w:p>
        </w:tc>
        <w:tc>
          <w:tcPr>
            <w:tcW w:w="2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1.4%</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19.7%</w:t>
            </w:r>
          </w:p>
        </w:tc>
        <w:tc>
          <w:tcPr>
            <w:tcW w:w="80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-2.5%</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-3.5%</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82.3%</w:t>
            </w: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83.4%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82.9%</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81.7%</w:t>
            </w:r>
          </w:p>
        </w:tc>
      </w:tr>
      <w:tr>
        <w:trPr>
          <w:trHeight w:val="117"/>
        </w:trPr>
        <w:tc>
          <w:tcPr>
            <w:tcW w:w="1160" w:type="dxa"/>
            <w:vAlign w:val="bottom"/>
          </w:tcPr>
          <w:p>
            <w:pPr>
              <w:ind w:left="180"/>
              <w:spacing w:after="0" w:line="117" w:lineRule="exact"/>
              <w:rPr>
                <w:sz w:val="20"/>
                <w:szCs w:val="20"/>
                <w:color w:val="auto"/>
              </w:rPr>
            </w:pPr>
            <w:r>
              <w:rPr>
                <w:rFonts w:ascii="Arial" w:cs="Arial" w:eastAsia="Arial" w:hAnsi="Arial"/>
                <w:sz w:val="13"/>
                <w:szCs w:val="13"/>
                <w:b w:val="1"/>
                <w:bCs w:val="1"/>
                <w:color w:val="auto"/>
              </w:rPr>
              <w:t>Wholesale</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3"/>
        </w:trPr>
        <w:tc>
          <w:tcPr>
            <w:tcW w:w="1160" w:type="dxa"/>
            <w:vAlign w:val="bottom"/>
          </w:tcPr>
          <w:p>
            <w:pPr>
              <w:ind w:left="180"/>
              <w:spacing w:after="0"/>
              <w:rPr>
                <w:sz w:val="20"/>
                <w:szCs w:val="20"/>
                <w:color w:val="auto"/>
              </w:rPr>
            </w:pPr>
            <w:r>
              <w:rPr>
                <w:rFonts w:ascii="Arial" w:cs="Arial" w:eastAsia="Arial" w:hAnsi="Arial"/>
                <w:sz w:val="13"/>
                <w:szCs w:val="13"/>
                <w:b w:val="1"/>
                <w:bCs w:val="1"/>
                <w:color w:val="auto"/>
              </w:rPr>
              <w:t>Banking</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47,446</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54,838</w:t>
            </w: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51,675</w:t>
            </w:r>
          </w:p>
        </w:tc>
        <w:tc>
          <w:tcPr>
            <w:tcW w:w="1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48,330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44,988</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-5.8%</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8.9%</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-6.9%</w:t>
            </w:r>
          </w:p>
        </w:tc>
        <w:tc>
          <w:tcPr>
            <w:tcW w:w="18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-5.2%</w:t>
            </w: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41.4%</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41.1%</w:t>
            </w: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37.9%</w:t>
            </w: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40.3%</w:t>
            </w:r>
          </w:p>
        </w:tc>
      </w:tr>
      <w:tr>
        <w:trPr>
          <w:trHeight w:val="135"/>
        </w:trPr>
        <w:tc>
          <w:tcPr>
            <w:tcW w:w="116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Corporate</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28,860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31,448</w:t>
            </w:r>
          </w:p>
        </w:tc>
        <w:tc>
          <w:tcPr>
            <w:tcW w:w="9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28,522</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30,626</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27,771</w:t>
            </w:r>
          </w:p>
        </w:tc>
        <w:tc>
          <w:tcPr>
            <w:tcW w:w="800" w:type="dxa"/>
            <w:vAlign w:val="bottom"/>
            <w:gridSpan w:val="3"/>
            <w:shd w:val="clear" w:color="auto" w:fill="FFA279"/>
          </w:tcPr>
          <w:p>
            <w:pPr>
              <w:jc w:val="right"/>
              <w:ind w:right="140"/>
              <w:spacing w:after="0" w:line="135" w:lineRule="exact"/>
              <w:rPr>
                <w:sz w:val="20"/>
                <w:szCs w:val="20"/>
                <w:color w:val="auto"/>
              </w:rPr>
            </w:pPr>
            <w:r>
              <w:rPr>
                <w:rFonts w:ascii="Arial" w:cs="Arial" w:eastAsia="Arial" w:hAnsi="Arial"/>
                <w:sz w:val="13"/>
                <w:szCs w:val="13"/>
                <w:color w:val="auto"/>
              </w:rPr>
              <w:t>-9.3%</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800" w:type="dxa"/>
            <w:vAlign w:val="bottom"/>
            <w:gridSpan w:val="3"/>
            <w:shd w:val="clear" w:color="auto" w:fill="FFA279"/>
          </w:tcPr>
          <w:p>
            <w:pPr>
              <w:jc w:val="right"/>
              <w:ind w:right="140"/>
              <w:spacing w:after="0" w:line="135" w:lineRule="exact"/>
              <w:rPr>
                <w:sz w:val="20"/>
                <w:szCs w:val="20"/>
                <w:color w:val="auto"/>
              </w:rPr>
            </w:pPr>
            <w:r>
              <w:rPr>
                <w:rFonts w:ascii="Arial" w:cs="Arial" w:eastAsia="Arial" w:hAnsi="Arial"/>
                <w:sz w:val="13"/>
                <w:szCs w:val="13"/>
                <w:color w:val="auto"/>
              </w:rPr>
              <w:t>-9.3%</w:t>
            </w:r>
          </w:p>
        </w:tc>
        <w:tc>
          <w:tcPr>
            <w:tcW w:w="180" w:type="dxa"/>
            <w:vAlign w:val="bottom"/>
            <w:shd w:val="clear" w:color="auto" w:fill="FFA279"/>
          </w:tcPr>
          <w:p>
            <w:pPr>
              <w:spacing w:after="0"/>
              <w:rPr>
                <w:sz w:val="11"/>
                <w:szCs w:val="11"/>
                <w:color w:val="auto"/>
              </w:rPr>
            </w:pPr>
          </w:p>
        </w:tc>
        <w:tc>
          <w:tcPr>
            <w:tcW w:w="520" w:type="dxa"/>
            <w:vAlign w:val="bottom"/>
            <w:gridSpan w:val="2"/>
            <w:shd w:val="clear" w:color="auto" w:fill="FFA279"/>
          </w:tcPr>
          <w:p>
            <w:pPr>
              <w:jc w:val="right"/>
              <w:ind w:right="40"/>
              <w:spacing w:after="0" w:line="135" w:lineRule="exact"/>
              <w:rPr>
                <w:sz w:val="20"/>
                <w:szCs w:val="20"/>
                <w:color w:val="auto"/>
              </w:rPr>
            </w:pPr>
            <w:r>
              <w:rPr>
                <w:rFonts w:ascii="Arial" w:cs="Arial" w:eastAsia="Arial" w:hAnsi="Arial"/>
                <w:sz w:val="13"/>
                <w:szCs w:val="13"/>
                <w:color w:val="auto"/>
              </w:rPr>
              <w:t>-3.8%</w:t>
            </w:r>
          </w:p>
        </w:tc>
        <w:tc>
          <w:tcPr>
            <w:tcW w:w="100" w:type="dxa"/>
            <w:vAlign w:val="bottom"/>
            <w:shd w:val="clear" w:color="auto" w:fill="FFA279"/>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25.2%</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20.9%</w:t>
            </w:r>
          </w:p>
        </w:tc>
        <w:tc>
          <w:tcPr>
            <w:tcW w:w="74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24.9%</w:t>
            </w:r>
          </w:p>
        </w:tc>
      </w:tr>
      <w:tr>
        <w:trPr>
          <w:trHeight w:val="121"/>
        </w:trPr>
        <w:tc>
          <w:tcPr>
            <w:tcW w:w="1160" w:type="dxa"/>
            <w:vAlign w:val="bottom"/>
          </w:tcPr>
          <w:p>
            <w:pPr>
              <w:ind w:left="340"/>
              <w:spacing w:after="0" w:line="121" w:lineRule="exact"/>
              <w:rPr>
                <w:sz w:val="20"/>
                <w:szCs w:val="20"/>
                <w:color w:val="auto"/>
              </w:rPr>
            </w:pPr>
            <w:r>
              <w:rPr>
                <w:rFonts w:ascii="Arial" w:cs="Arial" w:eastAsia="Arial" w:hAnsi="Arial"/>
                <w:sz w:val="13"/>
                <w:szCs w:val="13"/>
                <w:color w:val="auto"/>
              </w:rPr>
              <w:t>Middle -</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shd w:val="clear" w:color="auto" w:fill="66E0DA"/>
          </w:tcPr>
          <w:p>
            <w:pPr>
              <w:spacing w:after="0"/>
              <w:rPr>
                <w:sz w:val="10"/>
                <w:szCs w:val="10"/>
                <w:color w:val="auto"/>
              </w:rPr>
            </w:pPr>
          </w:p>
        </w:tc>
        <w:tc>
          <w:tcPr>
            <w:tcW w:w="360" w:type="dxa"/>
            <w:vAlign w:val="bottom"/>
            <w:shd w:val="clear" w:color="auto" w:fill="66E0DA"/>
          </w:tcPr>
          <w:p>
            <w:pPr>
              <w:spacing w:after="0"/>
              <w:rPr>
                <w:sz w:val="10"/>
                <w:szCs w:val="10"/>
                <w:color w:val="auto"/>
              </w:rPr>
            </w:pPr>
          </w:p>
        </w:tc>
        <w:tc>
          <w:tcPr>
            <w:tcW w:w="240" w:type="dxa"/>
            <w:vAlign w:val="bottom"/>
            <w:shd w:val="clear" w:color="auto" w:fill="66E0DA"/>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shd w:val="clear" w:color="auto" w:fill="FFA279"/>
          </w:tcPr>
          <w:p>
            <w:pPr>
              <w:spacing w:after="0"/>
              <w:rPr>
                <w:sz w:val="10"/>
                <w:szCs w:val="10"/>
                <w:color w:val="auto"/>
              </w:rPr>
            </w:pPr>
          </w:p>
        </w:tc>
        <w:tc>
          <w:tcPr>
            <w:tcW w:w="380" w:type="dxa"/>
            <w:vAlign w:val="bottom"/>
            <w:shd w:val="clear" w:color="auto" w:fill="FFA279"/>
          </w:tcPr>
          <w:p>
            <w:pPr>
              <w:spacing w:after="0"/>
              <w:rPr>
                <w:sz w:val="10"/>
                <w:szCs w:val="10"/>
                <w:color w:val="auto"/>
              </w:rPr>
            </w:pPr>
          </w:p>
        </w:tc>
        <w:tc>
          <w:tcPr>
            <w:tcW w:w="140" w:type="dxa"/>
            <w:vAlign w:val="bottom"/>
            <w:shd w:val="clear" w:color="auto" w:fill="FFA279"/>
          </w:tcPr>
          <w:p>
            <w:pPr>
              <w:spacing w:after="0"/>
              <w:rPr>
                <w:sz w:val="10"/>
                <w:szCs w:val="10"/>
                <w:color w:val="auto"/>
              </w:rPr>
            </w:pPr>
          </w:p>
        </w:tc>
        <w:tc>
          <w:tcPr>
            <w:tcW w:w="100" w:type="dxa"/>
            <w:vAlign w:val="bottom"/>
            <w:shd w:val="clear" w:color="auto" w:fill="FFA279"/>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1160" w:type="dxa"/>
            <w:vAlign w:val="bottom"/>
          </w:tcPr>
          <w:p>
            <w:pPr>
              <w:ind w:left="340"/>
              <w:spacing w:after="0"/>
              <w:rPr>
                <w:sz w:val="20"/>
                <w:szCs w:val="20"/>
                <w:color w:val="auto"/>
              </w:rPr>
            </w:pPr>
            <w:r>
              <w:rPr>
                <w:rFonts w:ascii="Arial" w:cs="Arial" w:eastAsia="Arial" w:hAnsi="Arial"/>
                <w:sz w:val="13"/>
                <w:szCs w:val="13"/>
                <w:color w:val="auto"/>
              </w:rPr>
              <w:t>Market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18,586</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23,389</w:t>
            </w:r>
          </w:p>
        </w:tc>
        <w:tc>
          <w:tcPr>
            <w:tcW w:w="900" w:type="dxa"/>
            <w:vAlign w:val="bottom"/>
            <w:gridSpan w:val="3"/>
          </w:tcPr>
          <w:p>
            <w:pPr>
              <w:jc w:val="right"/>
              <w:ind w:right="220"/>
              <w:spacing w:after="0"/>
              <w:rPr>
                <w:sz w:val="20"/>
                <w:szCs w:val="20"/>
                <w:color w:val="auto"/>
              </w:rPr>
            </w:pPr>
            <w:r>
              <w:rPr>
                <w:rFonts w:ascii="Arial" w:cs="Arial" w:eastAsia="Arial" w:hAnsi="Arial"/>
                <w:sz w:val="13"/>
                <w:szCs w:val="13"/>
                <w:color w:val="auto"/>
              </w:rPr>
              <w:t>23,153</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17,704</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17,216</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66E0DA"/>
          </w:tcPr>
          <w:p>
            <w:pPr>
              <w:spacing w:after="0"/>
              <w:rPr>
                <w:sz w:val="12"/>
                <w:szCs w:val="12"/>
                <w:color w:val="auto"/>
              </w:rPr>
            </w:pPr>
          </w:p>
        </w:tc>
        <w:tc>
          <w:tcPr>
            <w:tcW w:w="600" w:type="dxa"/>
            <w:vAlign w:val="bottom"/>
            <w:gridSpan w:val="2"/>
            <w:shd w:val="clear" w:color="auto" w:fill="66E0DA"/>
          </w:tcPr>
          <w:p>
            <w:pPr>
              <w:jc w:val="right"/>
              <w:ind w:right="120"/>
              <w:spacing w:after="0"/>
              <w:rPr>
                <w:sz w:val="20"/>
                <w:szCs w:val="20"/>
                <w:color w:val="auto"/>
              </w:rPr>
            </w:pPr>
            <w:r>
              <w:rPr>
                <w:rFonts w:ascii="Arial" w:cs="Arial" w:eastAsia="Arial" w:hAnsi="Arial"/>
                <w:sz w:val="13"/>
                <w:szCs w:val="13"/>
                <w:color w:val="auto"/>
              </w:rPr>
              <w:t>24.6%</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-2.8%</w:t>
            </w:r>
          </w:p>
        </w:tc>
        <w:tc>
          <w:tcPr>
            <w:tcW w:w="180" w:type="dxa"/>
            <w:vAlign w:val="bottom"/>
            <w:shd w:val="clear" w:color="auto" w:fill="FFA279"/>
          </w:tcPr>
          <w:p>
            <w:pPr>
              <w:spacing w:after="0"/>
              <w:rPr>
                <w:sz w:val="12"/>
                <w:szCs w:val="12"/>
                <w:color w:val="auto"/>
              </w:rPr>
            </w:pPr>
          </w:p>
        </w:tc>
        <w:tc>
          <w:tcPr>
            <w:tcW w:w="520" w:type="dxa"/>
            <w:vAlign w:val="bottom"/>
            <w:gridSpan w:val="2"/>
            <w:shd w:val="clear" w:color="auto" w:fill="FFA279"/>
          </w:tcPr>
          <w:p>
            <w:pPr>
              <w:jc w:val="right"/>
              <w:ind w:right="4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FFA279"/>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16.2%</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17.0%</w:t>
            </w: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15.4%</w:t>
            </w:r>
          </w:p>
        </w:tc>
      </w:tr>
      <w:tr>
        <w:trPr>
          <w:trHeight w:val="135"/>
        </w:trPr>
        <w:tc>
          <w:tcPr>
            <w:tcW w:w="11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Retail Banking</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46,944</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56,547</w:t>
            </w:r>
          </w:p>
        </w:tc>
        <w:tc>
          <w:tcPr>
            <w:tcW w:w="9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61,306</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45,113</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46,088</w:t>
            </w: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8.4%</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30.6%</w:t>
            </w: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2.2%</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41.0%</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42.3%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45.0%</w:t>
            </w:r>
          </w:p>
        </w:tc>
        <w:tc>
          <w:tcPr>
            <w:tcW w:w="7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41.3%</w:t>
            </w:r>
          </w:p>
        </w:tc>
      </w:tr>
      <w:tr>
        <w:trPr>
          <w:trHeight w:val="121"/>
        </w:trPr>
        <w:tc>
          <w:tcPr>
            <w:tcW w:w="1160" w:type="dxa"/>
            <w:vAlign w:val="bottom"/>
          </w:tcPr>
          <w:p>
            <w:pPr>
              <w:ind w:left="340"/>
              <w:spacing w:after="0" w:line="121" w:lineRule="exact"/>
              <w:rPr>
                <w:sz w:val="20"/>
                <w:szCs w:val="20"/>
                <w:color w:val="auto"/>
              </w:rPr>
            </w:pPr>
            <w:r>
              <w:rPr>
                <w:rFonts w:ascii="Arial" w:cs="Arial" w:eastAsia="Arial" w:hAnsi="Arial"/>
                <w:sz w:val="13"/>
                <w:szCs w:val="13"/>
                <w:color w:val="auto"/>
              </w:rPr>
              <w:t>SME -</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shd w:val="clear" w:color="auto" w:fill="66E0DA"/>
          </w:tcPr>
          <w:p>
            <w:pPr>
              <w:spacing w:after="0"/>
              <w:rPr>
                <w:sz w:val="10"/>
                <w:szCs w:val="10"/>
                <w:color w:val="auto"/>
              </w:rPr>
            </w:pPr>
          </w:p>
        </w:tc>
        <w:tc>
          <w:tcPr>
            <w:tcW w:w="440" w:type="dxa"/>
            <w:vAlign w:val="bottom"/>
            <w:shd w:val="clear" w:color="auto" w:fill="66E0DA"/>
          </w:tcPr>
          <w:p>
            <w:pPr>
              <w:spacing w:after="0"/>
              <w:rPr>
                <w:sz w:val="10"/>
                <w:szCs w:val="10"/>
                <w:color w:val="auto"/>
              </w:rPr>
            </w:pPr>
          </w:p>
        </w:tc>
        <w:tc>
          <w:tcPr>
            <w:tcW w:w="260" w:type="dxa"/>
            <w:vAlign w:val="bottom"/>
            <w:shd w:val="clear" w:color="auto" w:fill="66E0DA"/>
          </w:tcPr>
          <w:p>
            <w:pPr>
              <w:spacing w:after="0"/>
              <w:rPr>
                <w:sz w:val="10"/>
                <w:szCs w:val="10"/>
                <w:color w:val="auto"/>
              </w:rPr>
            </w:pPr>
          </w:p>
        </w:tc>
        <w:tc>
          <w:tcPr>
            <w:tcW w:w="180" w:type="dxa"/>
            <w:vAlign w:val="bottom"/>
            <w:shd w:val="clear" w:color="auto" w:fill="66E0DA"/>
          </w:tcPr>
          <w:p>
            <w:pPr>
              <w:spacing w:after="0"/>
              <w:rPr>
                <w:sz w:val="10"/>
                <w:szCs w:val="10"/>
                <w:color w:val="auto"/>
              </w:rPr>
            </w:pPr>
          </w:p>
        </w:tc>
        <w:tc>
          <w:tcPr>
            <w:tcW w:w="360" w:type="dxa"/>
            <w:vAlign w:val="bottom"/>
            <w:shd w:val="clear" w:color="auto" w:fill="66E0DA"/>
          </w:tcPr>
          <w:p>
            <w:pPr>
              <w:spacing w:after="0"/>
              <w:rPr>
                <w:sz w:val="10"/>
                <w:szCs w:val="10"/>
                <w:color w:val="auto"/>
              </w:rPr>
            </w:pPr>
          </w:p>
        </w:tc>
        <w:tc>
          <w:tcPr>
            <w:tcW w:w="240" w:type="dxa"/>
            <w:vAlign w:val="bottom"/>
            <w:shd w:val="clear" w:color="auto" w:fill="66E0DA"/>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shd w:val="clear" w:color="auto" w:fill="FFA279"/>
          </w:tcPr>
          <w:p>
            <w:pPr>
              <w:spacing w:after="0"/>
              <w:rPr>
                <w:sz w:val="10"/>
                <w:szCs w:val="10"/>
                <w:color w:val="auto"/>
              </w:rPr>
            </w:pPr>
          </w:p>
        </w:tc>
        <w:tc>
          <w:tcPr>
            <w:tcW w:w="380" w:type="dxa"/>
            <w:vAlign w:val="bottom"/>
            <w:shd w:val="clear" w:color="auto" w:fill="FFA279"/>
          </w:tcPr>
          <w:p>
            <w:pPr>
              <w:spacing w:after="0"/>
              <w:rPr>
                <w:sz w:val="10"/>
                <w:szCs w:val="10"/>
                <w:color w:val="auto"/>
              </w:rPr>
            </w:pPr>
          </w:p>
        </w:tc>
        <w:tc>
          <w:tcPr>
            <w:tcW w:w="140" w:type="dxa"/>
            <w:vAlign w:val="bottom"/>
            <w:shd w:val="clear" w:color="auto" w:fill="FFA279"/>
          </w:tcPr>
          <w:p>
            <w:pPr>
              <w:spacing w:after="0"/>
              <w:rPr>
                <w:sz w:val="10"/>
                <w:szCs w:val="10"/>
                <w:color w:val="auto"/>
              </w:rPr>
            </w:pPr>
          </w:p>
        </w:tc>
        <w:tc>
          <w:tcPr>
            <w:tcW w:w="100" w:type="dxa"/>
            <w:vAlign w:val="bottom"/>
            <w:shd w:val="clear" w:color="auto" w:fill="FFA279"/>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1160" w:type="dxa"/>
            <w:vAlign w:val="bottom"/>
          </w:tcPr>
          <w:p>
            <w:pPr>
              <w:ind w:left="340"/>
              <w:spacing w:after="0" w:line="135" w:lineRule="exact"/>
              <w:rPr>
                <w:sz w:val="20"/>
                <w:szCs w:val="20"/>
                <w:color w:val="auto"/>
              </w:rPr>
            </w:pPr>
            <w:r>
              <w:rPr>
                <w:rFonts w:ascii="Arial" w:cs="Arial" w:eastAsia="Arial" w:hAnsi="Arial"/>
                <w:sz w:val="13"/>
                <w:szCs w:val="13"/>
                <w:color w:val="auto"/>
              </w:rPr>
              <w:t>Business</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5,806</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10,014</w:t>
            </w:r>
          </w:p>
        </w:tc>
        <w:tc>
          <w:tcPr>
            <w:tcW w:w="9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10,893</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4,574</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4,652</w:t>
            </w:r>
          </w:p>
        </w:tc>
        <w:tc>
          <w:tcPr>
            <w:tcW w:w="100" w:type="dxa"/>
            <w:vAlign w:val="bottom"/>
            <w:shd w:val="clear" w:color="auto" w:fill="66E0DA"/>
          </w:tcPr>
          <w:p>
            <w:pPr>
              <w:spacing w:after="0"/>
              <w:rPr>
                <w:sz w:val="12"/>
                <w:szCs w:val="12"/>
                <w:color w:val="auto"/>
              </w:rPr>
            </w:pPr>
          </w:p>
        </w:tc>
        <w:tc>
          <w:tcPr>
            <w:tcW w:w="700" w:type="dxa"/>
            <w:vAlign w:val="bottom"/>
            <w:gridSpan w:val="2"/>
            <w:shd w:val="clear" w:color="auto" w:fill="66E0DA"/>
          </w:tcPr>
          <w:p>
            <w:pPr>
              <w:jc w:val="right"/>
              <w:ind w:right="140"/>
              <w:spacing w:after="0" w:line="135" w:lineRule="exact"/>
              <w:rPr>
                <w:sz w:val="20"/>
                <w:szCs w:val="20"/>
                <w:color w:val="auto"/>
              </w:rPr>
            </w:pPr>
            <w:r>
              <w:rPr>
                <w:rFonts w:ascii="Arial" w:cs="Arial" w:eastAsia="Arial" w:hAnsi="Arial"/>
                <w:sz w:val="13"/>
                <w:szCs w:val="13"/>
                <w:color w:val="auto"/>
              </w:rPr>
              <w:t>8.8%</w:t>
            </w:r>
          </w:p>
        </w:tc>
        <w:tc>
          <w:tcPr>
            <w:tcW w:w="180" w:type="dxa"/>
            <w:vAlign w:val="bottom"/>
            <w:shd w:val="clear" w:color="auto" w:fill="66E0DA"/>
          </w:tcPr>
          <w:p>
            <w:pPr>
              <w:spacing w:after="0"/>
              <w:rPr>
                <w:sz w:val="12"/>
                <w:szCs w:val="12"/>
                <w:color w:val="auto"/>
              </w:rPr>
            </w:pPr>
          </w:p>
        </w:tc>
        <w:tc>
          <w:tcPr>
            <w:tcW w:w="600" w:type="dxa"/>
            <w:vAlign w:val="bottom"/>
            <w:gridSpan w:val="2"/>
            <w:shd w:val="clear" w:color="auto" w:fill="66E0DA"/>
          </w:tcPr>
          <w:p>
            <w:pPr>
              <w:jc w:val="right"/>
              <w:ind w:right="120"/>
              <w:spacing w:after="0" w:line="135" w:lineRule="exact"/>
              <w:rPr>
                <w:sz w:val="20"/>
                <w:szCs w:val="20"/>
                <w:color w:val="auto"/>
              </w:rPr>
            </w:pPr>
            <w:r>
              <w:rPr>
                <w:rFonts w:ascii="Arial" w:cs="Arial" w:eastAsia="Arial" w:hAnsi="Arial"/>
                <w:sz w:val="13"/>
                <w:szCs w:val="13"/>
                <w:color w:val="auto"/>
              </w:rPr>
              <w:t>87.6%</w:t>
            </w:r>
          </w:p>
        </w:tc>
        <w:tc>
          <w:tcPr>
            <w:tcW w:w="8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1.7%</w:t>
            </w:r>
          </w:p>
        </w:tc>
        <w:tc>
          <w:tcPr>
            <w:tcW w:w="180" w:type="dxa"/>
            <w:vAlign w:val="bottom"/>
            <w:shd w:val="clear" w:color="auto" w:fill="FFA279"/>
          </w:tcPr>
          <w:p>
            <w:pPr>
              <w:spacing w:after="0"/>
              <w:rPr>
                <w:sz w:val="12"/>
                <w:szCs w:val="12"/>
                <w:color w:val="auto"/>
              </w:rPr>
            </w:pPr>
          </w:p>
        </w:tc>
        <w:tc>
          <w:tcPr>
            <w:tcW w:w="520" w:type="dxa"/>
            <w:vAlign w:val="bottom"/>
            <w:gridSpan w:val="2"/>
            <w:shd w:val="clear" w:color="auto" w:fill="FFA279"/>
          </w:tcPr>
          <w:p>
            <w:pPr>
              <w:jc w:val="right"/>
              <w:ind w:right="40"/>
              <w:spacing w:after="0" w:line="135" w:lineRule="exact"/>
              <w:rPr>
                <w:sz w:val="20"/>
                <w:szCs w:val="20"/>
                <w:color w:val="auto"/>
              </w:rPr>
            </w:pPr>
            <w:r>
              <w:rPr>
                <w:rFonts w:ascii="Arial" w:cs="Arial" w:eastAsia="Arial" w:hAnsi="Arial"/>
                <w:sz w:val="13"/>
                <w:szCs w:val="13"/>
                <w:color w:val="auto"/>
              </w:rPr>
              <w:t>-19.9%</w:t>
            </w:r>
          </w:p>
        </w:tc>
        <w:tc>
          <w:tcPr>
            <w:tcW w:w="100" w:type="dxa"/>
            <w:vAlign w:val="bottom"/>
            <w:shd w:val="clear" w:color="auto" w:fill="FFA279"/>
          </w:tcPr>
          <w:p>
            <w:pPr>
              <w:spacing w:after="0"/>
              <w:rPr>
                <w:sz w:val="12"/>
                <w:szCs w:val="12"/>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w:t>
            </w:r>
          </w:p>
        </w:tc>
        <w:tc>
          <w:tcPr>
            <w:tcW w:w="74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4.2%</w:t>
            </w:r>
          </w:p>
        </w:tc>
      </w:tr>
      <w:tr>
        <w:trPr>
          <w:trHeight w:val="135"/>
        </w:trPr>
        <w:tc>
          <w:tcPr>
            <w:tcW w:w="116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SME - Pyme</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10,194</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16,062</w:t>
            </w:r>
          </w:p>
        </w:tc>
        <w:tc>
          <w:tcPr>
            <w:tcW w:w="9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19,239</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10,068</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10,262</w:t>
            </w:r>
          </w:p>
        </w:tc>
        <w:tc>
          <w:tcPr>
            <w:tcW w:w="100" w:type="dxa"/>
            <w:vAlign w:val="bottom"/>
            <w:shd w:val="clear" w:color="auto" w:fill="66E0DA"/>
          </w:tcPr>
          <w:p>
            <w:pPr>
              <w:spacing w:after="0"/>
              <w:rPr>
                <w:sz w:val="11"/>
                <w:szCs w:val="11"/>
                <w:color w:val="auto"/>
              </w:rPr>
            </w:pPr>
          </w:p>
        </w:tc>
        <w:tc>
          <w:tcPr>
            <w:tcW w:w="700" w:type="dxa"/>
            <w:vAlign w:val="bottom"/>
            <w:gridSpan w:val="2"/>
            <w:shd w:val="clear" w:color="auto" w:fill="66E0DA"/>
          </w:tcPr>
          <w:p>
            <w:pPr>
              <w:jc w:val="right"/>
              <w:ind w:right="140"/>
              <w:spacing w:after="0" w:line="135" w:lineRule="exact"/>
              <w:rPr>
                <w:sz w:val="20"/>
                <w:szCs w:val="20"/>
                <w:color w:val="auto"/>
              </w:rPr>
            </w:pPr>
            <w:r>
              <w:rPr>
                <w:rFonts w:ascii="Arial" w:cs="Arial" w:eastAsia="Arial" w:hAnsi="Arial"/>
                <w:sz w:val="13"/>
                <w:szCs w:val="13"/>
                <w:color w:val="auto"/>
              </w:rPr>
              <w:t>19.8%</w:t>
            </w:r>
          </w:p>
        </w:tc>
        <w:tc>
          <w:tcPr>
            <w:tcW w:w="180" w:type="dxa"/>
            <w:vAlign w:val="bottom"/>
            <w:shd w:val="clear" w:color="auto" w:fill="66E0DA"/>
          </w:tcPr>
          <w:p>
            <w:pPr>
              <w:spacing w:after="0"/>
              <w:rPr>
                <w:sz w:val="11"/>
                <w:szCs w:val="11"/>
                <w:color w:val="auto"/>
              </w:rPr>
            </w:pPr>
          </w:p>
        </w:tc>
        <w:tc>
          <w:tcPr>
            <w:tcW w:w="600" w:type="dxa"/>
            <w:vAlign w:val="bottom"/>
            <w:gridSpan w:val="2"/>
            <w:shd w:val="clear" w:color="auto" w:fill="66E0DA"/>
          </w:tcPr>
          <w:p>
            <w:pPr>
              <w:jc w:val="right"/>
              <w:ind w:right="120"/>
              <w:spacing w:after="0" w:line="135" w:lineRule="exact"/>
              <w:rPr>
                <w:sz w:val="20"/>
                <w:szCs w:val="20"/>
                <w:color w:val="auto"/>
              </w:rPr>
            </w:pPr>
            <w:r>
              <w:rPr>
                <w:rFonts w:ascii="Arial" w:cs="Arial" w:eastAsia="Arial" w:hAnsi="Arial"/>
                <w:sz w:val="13"/>
                <w:szCs w:val="13"/>
                <w:color w:val="auto"/>
              </w:rPr>
              <w:t>88.7%</w:t>
            </w:r>
          </w:p>
        </w:tc>
        <w:tc>
          <w:tcPr>
            <w:tcW w:w="8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14.1%</w:t>
            </w:r>
          </w:p>
        </w:tc>
        <w:tc>
          <w:tcPr>
            <w:tcW w:w="74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9.2%</w:t>
            </w:r>
          </w:p>
        </w:tc>
      </w:tr>
      <w:tr>
        <w:trPr>
          <w:trHeight w:val="121"/>
        </w:trPr>
        <w:tc>
          <w:tcPr>
            <w:tcW w:w="1160" w:type="dxa"/>
            <w:vAlign w:val="bottom"/>
          </w:tcPr>
          <w:p>
            <w:pPr>
              <w:ind w:left="340"/>
              <w:spacing w:after="0" w:line="121" w:lineRule="exact"/>
              <w:rPr>
                <w:sz w:val="20"/>
                <w:szCs w:val="20"/>
                <w:color w:val="auto"/>
              </w:rPr>
            </w:pPr>
            <w:r>
              <w:rPr>
                <w:rFonts w:ascii="Arial" w:cs="Arial" w:eastAsia="Arial" w:hAnsi="Arial"/>
                <w:sz w:val="13"/>
                <w:szCs w:val="13"/>
                <w:color w:val="auto"/>
              </w:rPr>
              <w:t>Mortgage</w:t>
            </w:r>
          </w:p>
        </w:tc>
        <w:tc>
          <w:tcPr>
            <w:tcW w:w="7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16,590</w:t>
            </w:r>
          </w:p>
        </w:tc>
        <w:tc>
          <w:tcPr>
            <w:tcW w:w="6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16,816</w:t>
            </w:r>
          </w:p>
        </w:tc>
        <w:tc>
          <w:tcPr>
            <w:tcW w:w="900" w:type="dxa"/>
            <w:vAlign w:val="bottom"/>
            <w:gridSpan w:val="3"/>
          </w:tcPr>
          <w:p>
            <w:pPr>
              <w:jc w:val="right"/>
              <w:ind w:right="220"/>
              <w:spacing w:after="0" w:line="121" w:lineRule="exact"/>
              <w:rPr>
                <w:sz w:val="20"/>
                <w:szCs w:val="20"/>
                <w:color w:val="auto"/>
              </w:rPr>
            </w:pPr>
            <w:r>
              <w:rPr>
                <w:rFonts w:ascii="Arial" w:cs="Arial" w:eastAsia="Arial" w:hAnsi="Arial"/>
                <w:sz w:val="13"/>
                <w:szCs w:val="13"/>
                <w:color w:val="auto"/>
              </w:rPr>
              <w:t>17,218</w:t>
            </w:r>
          </w:p>
        </w:tc>
        <w:tc>
          <w:tcPr>
            <w:tcW w:w="120" w:type="dxa"/>
            <w:vAlign w:val="bottom"/>
          </w:tcPr>
          <w:p>
            <w:pPr>
              <w:spacing w:after="0"/>
              <w:rPr>
                <w:sz w:val="10"/>
                <w:szCs w:val="10"/>
                <w:color w:val="auto"/>
              </w:rPr>
            </w:pPr>
          </w:p>
        </w:tc>
        <w:tc>
          <w:tcPr>
            <w:tcW w:w="6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16,816</w:t>
            </w:r>
          </w:p>
        </w:tc>
        <w:tc>
          <w:tcPr>
            <w:tcW w:w="7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17,218</w:t>
            </w:r>
          </w:p>
        </w:tc>
        <w:tc>
          <w:tcPr>
            <w:tcW w:w="80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2.4%</w:t>
            </w:r>
          </w:p>
        </w:tc>
        <w:tc>
          <w:tcPr>
            <w:tcW w:w="180" w:type="dxa"/>
            <w:vAlign w:val="bottom"/>
          </w:tcPr>
          <w:p>
            <w:pPr>
              <w:spacing w:after="0"/>
              <w:rPr>
                <w:sz w:val="10"/>
                <w:szCs w:val="10"/>
                <w:color w:val="auto"/>
              </w:rPr>
            </w:pPr>
          </w:p>
        </w:tc>
        <w:tc>
          <w:tcPr>
            <w:tcW w:w="6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3.8%</w:t>
            </w:r>
          </w:p>
        </w:tc>
        <w:tc>
          <w:tcPr>
            <w:tcW w:w="120" w:type="dxa"/>
            <w:vAlign w:val="bottom"/>
            <w:shd w:val="clear" w:color="auto" w:fill="66E0DA"/>
          </w:tcPr>
          <w:p>
            <w:pPr>
              <w:spacing w:after="0"/>
              <w:rPr>
                <w:sz w:val="10"/>
                <w:szCs w:val="10"/>
                <w:color w:val="auto"/>
              </w:rPr>
            </w:pPr>
          </w:p>
        </w:tc>
        <w:tc>
          <w:tcPr>
            <w:tcW w:w="680" w:type="dxa"/>
            <w:vAlign w:val="bottom"/>
            <w:gridSpan w:val="2"/>
            <w:shd w:val="clear" w:color="auto" w:fill="66E0DA"/>
          </w:tcPr>
          <w:p>
            <w:pPr>
              <w:jc w:val="right"/>
              <w:ind w:right="140"/>
              <w:spacing w:after="0" w:line="121" w:lineRule="exact"/>
              <w:rPr>
                <w:sz w:val="20"/>
                <w:szCs w:val="20"/>
                <w:color w:val="auto"/>
              </w:rPr>
            </w:pPr>
            <w:r>
              <w:rPr>
                <w:rFonts w:ascii="Arial" w:cs="Arial" w:eastAsia="Arial" w:hAnsi="Arial"/>
                <w:sz w:val="13"/>
                <w:szCs w:val="13"/>
                <w:color w:val="auto"/>
              </w:rPr>
              <w:t>2.4%</w:t>
            </w:r>
          </w:p>
        </w:tc>
        <w:tc>
          <w:tcPr>
            <w:tcW w:w="180" w:type="dxa"/>
            <w:vAlign w:val="bottom"/>
            <w:shd w:val="clear" w:color="auto" w:fill="66E0DA"/>
          </w:tcPr>
          <w:p>
            <w:pPr>
              <w:spacing w:after="0"/>
              <w:rPr>
                <w:sz w:val="10"/>
                <w:szCs w:val="10"/>
                <w:color w:val="auto"/>
              </w:rPr>
            </w:pPr>
          </w:p>
        </w:tc>
        <w:tc>
          <w:tcPr>
            <w:tcW w:w="520" w:type="dxa"/>
            <w:vAlign w:val="bottom"/>
            <w:gridSpan w:val="2"/>
            <w:shd w:val="clear" w:color="auto" w:fill="66E0DA"/>
          </w:tcPr>
          <w:p>
            <w:pPr>
              <w:jc w:val="right"/>
              <w:ind w:right="40"/>
              <w:spacing w:after="0" w:line="121"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0"/>
                <w:szCs w:val="10"/>
                <w:color w:val="auto"/>
              </w:rPr>
            </w:pPr>
          </w:p>
        </w:tc>
        <w:tc>
          <w:tcPr>
            <w:tcW w:w="8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14.5%</w:t>
            </w:r>
          </w:p>
        </w:tc>
        <w:tc>
          <w:tcPr>
            <w:tcW w:w="8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12.6%</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w:t>
            </w:r>
          </w:p>
        </w:tc>
        <w:tc>
          <w:tcPr>
            <w:tcW w:w="740" w:type="dxa"/>
            <w:vAlign w:val="bottom"/>
            <w:gridSpan w:val="3"/>
          </w:tcPr>
          <w:p>
            <w:pPr>
              <w:jc w:val="right"/>
              <w:ind w:right="20"/>
              <w:spacing w:after="0" w:line="121" w:lineRule="exact"/>
              <w:rPr>
                <w:sz w:val="20"/>
                <w:szCs w:val="20"/>
                <w:color w:val="auto"/>
              </w:rPr>
            </w:pPr>
            <w:r>
              <w:rPr>
                <w:rFonts w:ascii="Arial" w:cs="Arial" w:eastAsia="Arial" w:hAnsi="Arial"/>
                <w:sz w:val="13"/>
                <w:szCs w:val="13"/>
                <w:color w:val="auto"/>
              </w:rPr>
              <w:t>15.4%</w:t>
            </w:r>
          </w:p>
        </w:tc>
      </w:tr>
      <w:tr>
        <w:trPr>
          <w:trHeight w:val="149"/>
        </w:trPr>
        <w:tc>
          <w:tcPr>
            <w:tcW w:w="11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Consumer</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8,659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9,018</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9,544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9,018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9,544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66E0DA"/>
          </w:tcPr>
          <w:p>
            <w:pPr>
              <w:spacing w:after="0"/>
              <w:rPr>
                <w:sz w:val="12"/>
                <w:szCs w:val="12"/>
                <w:color w:val="auto"/>
              </w:rPr>
            </w:pPr>
          </w:p>
        </w:tc>
        <w:tc>
          <w:tcPr>
            <w:tcW w:w="680" w:type="dxa"/>
            <w:vAlign w:val="bottom"/>
            <w:gridSpan w:val="2"/>
            <w:shd w:val="clear" w:color="auto" w:fill="66E0DA"/>
          </w:tcPr>
          <w:p>
            <w:pPr>
              <w:jc w:val="right"/>
              <w:ind w:right="140"/>
              <w:spacing w:after="0"/>
              <w:rPr>
                <w:sz w:val="20"/>
                <w:szCs w:val="20"/>
                <w:color w:val="auto"/>
              </w:rPr>
            </w:pPr>
            <w:r>
              <w:rPr>
                <w:rFonts w:ascii="Arial" w:cs="Arial" w:eastAsia="Arial" w:hAnsi="Arial"/>
                <w:sz w:val="13"/>
                <w:szCs w:val="13"/>
                <w:color w:val="auto"/>
              </w:rPr>
              <w:t>5.8%</w:t>
            </w:r>
          </w:p>
        </w:tc>
        <w:tc>
          <w:tcPr>
            <w:tcW w:w="180" w:type="dxa"/>
            <w:vAlign w:val="bottom"/>
            <w:shd w:val="clear" w:color="auto" w:fill="66E0DA"/>
          </w:tcPr>
          <w:p>
            <w:pPr>
              <w:spacing w:after="0"/>
              <w:rPr>
                <w:sz w:val="12"/>
                <w:szCs w:val="12"/>
                <w:color w:val="auto"/>
              </w:rPr>
            </w:pPr>
          </w:p>
        </w:tc>
        <w:tc>
          <w:tcPr>
            <w:tcW w:w="520" w:type="dxa"/>
            <w:vAlign w:val="bottom"/>
            <w:gridSpan w:val="2"/>
            <w:shd w:val="clear" w:color="auto" w:fill="66E0DA"/>
          </w:tcPr>
          <w:p>
            <w:pPr>
              <w:jc w:val="right"/>
              <w:ind w:right="4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8.6%</w:t>
            </w:r>
          </w:p>
        </w:tc>
      </w:tr>
      <w:tr>
        <w:trPr>
          <w:trHeight w:val="135"/>
        </w:trPr>
        <w:tc>
          <w:tcPr>
            <w:tcW w:w="1160" w:type="dxa"/>
            <w:vAlign w:val="bottom"/>
          </w:tcPr>
          <w:p>
            <w:pPr>
              <w:ind w:left="340"/>
              <w:spacing w:after="0" w:line="135" w:lineRule="exact"/>
              <w:rPr>
                <w:sz w:val="20"/>
                <w:szCs w:val="20"/>
                <w:color w:val="auto"/>
              </w:rPr>
            </w:pPr>
            <w:r>
              <w:rPr>
                <w:rFonts w:ascii="Arial" w:cs="Arial" w:eastAsia="Arial" w:hAnsi="Arial"/>
                <w:sz w:val="13"/>
                <w:szCs w:val="13"/>
                <w:color w:val="auto"/>
              </w:rPr>
              <w:t>Credit Card</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5,695</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4,637</w:t>
            </w:r>
          </w:p>
        </w:tc>
        <w:tc>
          <w:tcPr>
            <w:tcW w:w="9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4,412</w:t>
            </w:r>
          </w:p>
        </w:tc>
        <w:tc>
          <w:tcPr>
            <w:tcW w:w="1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4,637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4,412</w:t>
            </w:r>
          </w:p>
        </w:tc>
        <w:tc>
          <w:tcPr>
            <w:tcW w:w="8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-4.9%</w:t>
            </w:r>
          </w:p>
        </w:tc>
        <w:tc>
          <w:tcPr>
            <w:tcW w:w="180" w:type="dxa"/>
            <w:vAlign w:val="bottom"/>
            <w:shd w:val="clear" w:color="auto" w:fill="FFA279"/>
          </w:tcPr>
          <w:p>
            <w:pPr>
              <w:spacing w:after="0"/>
              <w:rPr>
                <w:sz w:val="11"/>
                <w:szCs w:val="11"/>
                <w:color w:val="auto"/>
              </w:rPr>
            </w:pPr>
          </w:p>
        </w:tc>
        <w:tc>
          <w:tcPr>
            <w:tcW w:w="600" w:type="dxa"/>
            <w:vAlign w:val="bottom"/>
            <w:gridSpan w:val="2"/>
            <w:shd w:val="clear" w:color="auto" w:fill="FFA279"/>
          </w:tcPr>
          <w:p>
            <w:pPr>
              <w:jc w:val="right"/>
              <w:ind w:right="120"/>
              <w:spacing w:after="0" w:line="135" w:lineRule="exact"/>
              <w:rPr>
                <w:sz w:val="20"/>
                <w:szCs w:val="20"/>
                <w:color w:val="auto"/>
              </w:rPr>
            </w:pPr>
            <w:r>
              <w:rPr>
                <w:rFonts w:ascii="Arial" w:cs="Arial" w:eastAsia="Arial" w:hAnsi="Arial"/>
                <w:sz w:val="13"/>
                <w:szCs w:val="13"/>
                <w:color w:val="auto"/>
              </w:rPr>
              <w:t>-22.5%</w:t>
            </w:r>
          </w:p>
        </w:tc>
        <w:tc>
          <w:tcPr>
            <w:tcW w:w="8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-4.9%</w:t>
            </w:r>
          </w:p>
        </w:tc>
        <w:tc>
          <w:tcPr>
            <w:tcW w:w="180" w:type="dxa"/>
            <w:vAlign w:val="bottom"/>
            <w:shd w:val="clear" w:color="auto" w:fill="FFA279"/>
          </w:tcPr>
          <w:p>
            <w:pPr>
              <w:spacing w:after="0"/>
              <w:rPr>
                <w:sz w:val="11"/>
                <w:szCs w:val="11"/>
                <w:color w:val="auto"/>
              </w:rPr>
            </w:pPr>
          </w:p>
        </w:tc>
        <w:tc>
          <w:tcPr>
            <w:tcW w:w="520" w:type="dxa"/>
            <w:vAlign w:val="bottom"/>
            <w:gridSpan w:val="2"/>
            <w:shd w:val="clear" w:color="auto" w:fill="FFA279"/>
          </w:tcPr>
          <w:p>
            <w:pPr>
              <w:jc w:val="right"/>
              <w:ind w:right="40"/>
              <w:spacing w:after="0" w:line="135" w:lineRule="exact"/>
              <w:rPr>
                <w:sz w:val="20"/>
                <w:szCs w:val="20"/>
                <w:color w:val="auto"/>
              </w:rPr>
            </w:pPr>
            <w:r>
              <w:rPr>
                <w:rFonts w:ascii="Arial" w:cs="Arial" w:eastAsia="Arial" w:hAnsi="Arial"/>
                <w:sz w:val="13"/>
                <w:szCs w:val="13"/>
                <w:color w:val="auto"/>
              </w:rPr>
              <w:t>-22.5%</w:t>
            </w:r>
          </w:p>
        </w:tc>
        <w:tc>
          <w:tcPr>
            <w:tcW w:w="100" w:type="dxa"/>
            <w:vAlign w:val="bottom"/>
            <w:shd w:val="clear" w:color="auto" w:fill="FFA279"/>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w:t>
            </w:r>
          </w:p>
        </w:tc>
        <w:tc>
          <w:tcPr>
            <w:tcW w:w="74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4.0%</w:t>
            </w: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Mibanco</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10,310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11,593</w:t>
            </w:r>
          </w:p>
        </w:tc>
        <w:tc>
          <w:tcPr>
            <w:tcW w:w="9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12,679</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9,729</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9,865</w:t>
            </w: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9.4%</w:t>
            </w:r>
          </w:p>
        </w:tc>
        <w:tc>
          <w:tcPr>
            <w:tcW w:w="180" w:type="dxa"/>
            <w:vAlign w:val="bottom"/>
            <w:shd w:val="clear" w:color="auto" w:fill="66E0DA"/>
          </w:tcPr>
          <w:p>
            <w:pPr>
              <w:spacing w:after="0"/>
              <w:rPr>
                <w:sz w:val="11"/>
                <w:szCs w:val="11"/>
                <w:color w:val="auto"/>
              </w:rPr>
            </w:pPr>
          </w:p>
        </w:tc>
        <w:tc>
          <w:tcPr>
            <w:tcW w:w="600" w:type="dxa"/>
            <w:vAlign w:val="bottom"/>
            <w:gridSpan w:val="2"/>
            <w:shd w:val="clear" w:color="auto" w:fill="66E0DA"/>
          </w:tcPr>
          <w:p>
            <w:pPr>
              <w:jc w:val="right"/>
              <w:ind w:right="100"/>
              <w:spacing w:after="0" w:line="135" w:lineRule="exact"/>
              <w:rPr>
                <w:sz w:val="20"/>
                <w:szCs w:val="20"/>
                <w:color w:val="auto"/>
              </w:rPr>
            </w:pPr>
            <w:r>
              <w:rPr>
                <w:rFonts w:ascii="Arial" w:cs="Arial" w:eastAsia="Arial" w:hAnsi="Arial"/>
                <w:sz w:val="13"/>
                <w:szCs w:val="13"/>
                <w:b w:val="1"/>
                <w:bCs w:val="1"/>
                <w:color w:val="auto"/>
              </w:rPr>
              <w:t>23.0%</w:t>
            </w:r>
          </w:p>
        </w:tc>
        <w:tc>
          <w:tcPr>
            <w:tcW w:w="800" w:type="dxa"/>
            <w:vAlign w:val="bottom"/>
            <w:gridSpan w:val="3"/>
            <w:shd w:val="clear" w:color="auto" w:fill="66E0DA"/>
          </w:tcPr>
          <w:p>
            <w:pPr>
              <w:jc w:val="right"/>
              <w:ind w:right="120"/>
              <w:spacing w:after="0" w:line="135" w:lineRule="exact"/>
              <w:rPr>
                <w:sz w:val="20"/>
                <w:szCs w:val="20"/>
                <w:color w:val="auto"/>
              </w:rPr>
            </w:pPr>
            <w:r>
              <w:rPr>
                <w:rFonts w:ascii="Arial" w:cs="Arial" w:eastAsia="Arial" w:hAnsi="Arial"/>
                <w:sz w:val="13"/>
                <w:szCs w:val="13"/>
                <w:b w:val="1"/>
                <w:bCs w:val="1"/>
                <w:color w:val="auto"/>
              </w:rPr>
              <w:t>1.4%</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-4.3%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9.0%</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8.7%</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9.3%</w:t>
            </w:r>
          </w:p>
        </w:tc>
        <w:tc>
          <w:tcPr>
            <w:tcW w:w="7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8.8%</w:t>
            </w: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b w:val="1"/>
                <w:bCs w:val="1"/>
                <w:color w:val="auto"/>
              </w:rPr>
              <w:t>Bolivia</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7,563</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8,149</w:t>
            </w:r>
          </w:p>
        </w:tc>
        <w:tc>
          <w:tcPr>
            <w:tcW w:w="90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rPr>
              <w:t>8,272</w:t>
            </w:r>
          </w:p>
        </w:tc>
        <w:tc>
          <w:tcPr>
            <w:tcW w:w="1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8,149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8,272</w:t>
            </w:r>
          </w:p>
        </w:tc>
        <w:tc>
          <w:tcPr>
            <w:tcW w:w="80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rPr>
              <w:t>1.5%</w:t>
            </w:r>
          </w:p>
        </w:tc>
        <w:tc>
          <w:tcPr>
            <w:tcW w:w="1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9.4%</w:t>
            </w:r>
          </w:p>
        </w:tc>
        <w:tc>
          <w:tcPr>
            <w:tcW w:w="80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rPr>
              <w:t>1.5%</w:t>
            </w:r>
          </w:p>
        </w:tc>
        <w:tc>
          <w:tcPr>
            <w:tcW w:w="180" w:type="dxa"/>
            <w:vAlign w:val="bottom"/>
            <w:shd w:val="clear" w:color="auto" w:fill="66E0DA"/>
          </w:tcPr>
          <w:p>
            <w:pPr>
              <w:spacing w:after="0"/>
              <w:rPr>
                <w:sz w:val="11"/>
                <w:szCs w:val="11"/>
                <w:color w:val="auto"/>
              </w:rPr>
            </w:pPr>
          </w:p>
        </w:tc>
        <w:tc>
          <w:tcPr>
            <w:tcW w:w="520" w:type="dxa"/>
            <w:vAlign w:val="bottom"/>
            <w:gridSpan w:val="2"/>
            <w:shd w:val="clear" w:color="auto" w:fill="66E0DA"/>
          </w:tcPr>
          <w:p>
            <w:pPr>
              <w:jc w:val="right"/>
              <w:ind w:right="20"/>
              <w:spacing w:after="0" w:line="135" w:lineRule="exact"/>
              <w:rPr>
                <w:sz w:val="20"/>
                <w:szCs w:val="20"/>
                <w:color w:val="auto"/>
              </w:rPr>
            </w:pPr>
            <w:r>
              <w:rPr>
                <w:rFonts w:ascii="Arial" w:cs="Arial" w:eastAsia="Arial" w:hAnsi="Arial"/>
                <w:sz w:val="13"/>
                <w:szCs w:val="13"/>
                <w:b w:val="1"/>
                <w:bCs w:val="1"/>
                <w:color w:val="auto"/>
              </w:rPr>
              <w:t>9.4%</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6.6%</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6.1%</w:t>
            </w: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6.1%</w:t>
            </w:r>
          </w:p>
        </w:tc>
        <w:tc>
          <w:tcPr>
            <w:tcW w:w="7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7.4%</w:t>
            </w:r>
          </w:p>
        </w:tc>
      </w:tr>
      <w:tr>
        <w:trPr>
          <w:trHeight w:val="135"/>
        </w:trPr>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ASB</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2,368</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2,438</w:t>
            </w:r>
          </w:p>
        </w:tc>
        <w:tc>
          <w:tcPr>
            <w:tcW w:w="9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2,293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2,438</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2,293</w:t>
            </w: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-6.0%</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-3.2%</w:t>
            </w: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-6.0%</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-3.2%</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2.1%</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1.8%</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1.7%</w:t>
            </w:r>
          </w:p>
        </w:tc>
        <w:tc>
          <w:tcPr>
            <w:tcW w:w="7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w:t>
            </w:r>
          </w:p>
        </w:tc>
      </w:tr>
      <w:tr>
        <w:trPr>
          <w:trHeight w:val="164"/>
        </w:trPr>
        <w:tc>
          <w:tcPr>
            <w:tcW w:w="1160" w:type="dxa"/>
            <w:vAlign w:val="bottom"/>
          </w:tcPr>
          <w:p>
            <w:pPr>
              <w:spacing w:after="0"/>
              <w:rPr>
                <w:sz w:val="20"/>
                <w:szCs w:val="20"/>
                <w:color w:val="auto"/>
              </w:rPr>
            </w:pPr>
            <w:r>
              <w:rPr>
                <w:rFonts w:ascii="Arial" w:cs="Arial" w:eastAsia="Arial" w:hAnsi="Arial"/>
                <w:sz w:val="13"/>
                <w:szCs w:val="13"/>
                <w:b w:val="1"/>
                <w:bCs w:val="1"/>
                <w:color w:val="auto"/>
              </w:rPr>
              <w:t>BAP’s total loans</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114,631</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133,565</w:t>
            </w: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136,226</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113,760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111,506</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18.8%</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w:t>
            </w:r>
          </w:p>
        </w:tc>
        <w:tc>
          <w:tcPr>
            <w:tcW w:w="1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-2.7%</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1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100.0%</w:t>
            </w: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997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720" cy="111760"/>
                    </a:xfrm>
                    <a:prstGeom prst="rect">
                      <a:avLst/>
                    </a:prstGeom>
                    <a:noFill/>
                  </pic:spPr>
                </pic:pic>
              </a:graphicData>
            </a:graphic>
          </wp:anchor>
        </w:drawing>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9146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128905"/>
                    </a:xfrm>
                    <a:prstGeom prst="rect">
                      <a:avLst/>
                    </a:prstGeom>
                    <a:noFill/>
                  </pic:spPr>
                </pic:pic>
              </a:graphicData>
            </a:graphic>
          </wp:anchor>
        </w:drawing>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Highest growth in volumes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For consolidation purposes, loans generated in FC are converted to LC.</w:t>
      </w:r>
    </w:p>
    <w:p>
      <w:pPr>
        <w:ind w:left="180" w:hanging="172"/>
        <w:spacing w:after="0" w:line="216" w:lineRule="auto"/>
        <w:tabs>
          <w:tab w:leader="none" w:pos="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Work out unit, and other banking.</w:t>
      </w:r>
    </w:p>
    <w:p>
      <w:pPr>
        <w:ind w:left="180" w:hanging="172"/>
        <w:spacing w:after="0"/>
        <w:tabs>
          <w:tab w:leader="none" w:pos="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Structural Portfolio excludes the average daily balances from loans offered through de Reactiva Peru y FAE-Mype Government Programs</w:t>
      </w:r>
    </w:p>
    <w:p>
      <w:pPr>
        <w:spacing w:after="0" w:line="18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Expressed in millions of 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 (-2.0%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142875</wp:posOffset>
            </wp:positionV>
            <wp:extent cx="6703695" cy="2665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369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Government programs (Reactiva and FAE 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7432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9398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146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128905"/>
                    </a:xfrm>
                    <a:prstGeom prst="rect">
                      <a:avLst/>
                    </a:prstGeom>
                    <a:noFill/>
                  </pic:spPr>
                </pic:pic>
              </a:graphicData>
            </a:graphic>
          </wp:anchor>
        </w:drawing>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analysis by segment, QoQ growth in loans measured in average daily balances was led by segments that received loans through Government programs.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Retail Banking loans reported an increase in their share of loan growth due to an uptick in the balances of SME-Pyme (+S/3,177 million +19.8% QoQ) and SME-Business (+S/879 million, +8.8% QoQ). This expansion was driven by loans through Reactiva Peru for working capital. Other retail segments, namely Consumer and Mortgage, reversed the downward trend posted last quarter; on the contrary, Credit Card balances fell –4.9% QoQ. If we isolate the effect of government loans from the calculation for growth, SME-Pyme registered expansion of 1.9% QoQ while SME-Business grew 1.7%.</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Mibanco’s loan portfolio reported growth of +9.4% QoQ, which was driven by final disbursements under government relief programs and, to a lesser extent, to disbursements for structural loans. When we extract government loans from the total loan base used to calculate growth, we find that Mibanco’s structural portfolio grew 1.4% QoQ.</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Wholesale Banking reported a drop of -5.8% QoQ in average daily balances due to a strong reduction in structural balances in the Corporate segment and, to a lesser extent, in the Middle-Market segment. The decline was attributable to the fact that at the beginning of the pandemic, wholesale banking clients assumed a conservative position and harnessed credit utilization to ensure liquidity to buffer uncertainty. Now that operations have resumed, the need for financing has dropped and clients have begun to pay off short-term loans.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BCP Bolivia, the loan portfolio grew +1.5% QoQ after growth in Wholesale Banking and Mortgage balances offset the drop in balances for retail products, namely consumer and small and medium loans.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+ 18.8% (-2.7% Portafolio Estructural)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5715</wp:posOffset>
            </wp:positionV>
            <wp:extent cx="6763385" cy="281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338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Government programs (Reactiva and FAE 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9972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9720" cy="11112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146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1465" cy="1289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YoY growth by segment measured in average daily balances shows: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Growth in Retail Banking, led by expansion in SME-Pyme (+S/9,046 million, +88.7% YoY) and SME- Business (+S/5,087 million +87.6% YoY) after an uptick in inflows through Reactiva Peru. Growth in these segments was followed by expansion in Consumer (+S/885 million, +10.2% YoY) and Mortgage (+S/628 million, +3.8% YoY), which experienced a drop in performance due to the pandemic and lockdown measures throughout 2Q20 and 3Q20 but in 4Q20, resumed growth in line with economic recovery. On the contrary, Credit Card balances fell, due in large part to the fact that this product is generally used most in sectors of the economy that have been hardest hit by lockdown restrictions, including travel, restaurants and retail establishments, which have yet to post significant recovery. The drop in CC balances was also attributable, albeit to a lesser extent, to the fact that the calculation base was larger in 4Q19, which was “pre-pandemic,” and given that in seasonal terms, 4Q hits a peak due to year-end economic activities. When we exclude Government program loans from the calculation base, SME-Pyme grew +0.7% YoY while SME-Business contracted -19.9%.</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Growth in Wholesale Banking was led by Middle Market Banking, which registered significant expansion (+S/4,567 million, +24.6% YoY) due to disbursements through Reactiva Peru. On the contrary, Corporate Banking balances fell (-S/338 million, -1.2% YoY) after disbursements dropped in a context of economic slowdown and an increase in liquidity in the corporate sector, which sought out low-cost financing early in the pandemic when interest rates were low. These variations were also driven by the exchange rate effect generated by an appreciation in the US Dollar. 40.0% of the loans in the Middle Market segment and 55.8% of Corporate Banking loans are in FC. If we exclude the exchange rate effect, the Middle Market segment registers growth of 20.4% but the Corporate Banking Segment falls -5.7%. When we exclude loans from Government programs from the total loan base used to calculate growth, Middle Market Banking loans fall –7.4% YoY and Corporate Banking, -3.8%.</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Loan growth at Mibanco (+23.0% YoY) was driven by loans disbursed through Reactiva Peru and FAE-Mype. Reactiva and FAE loans represented approximately 22% of Mibanco’s portfolio in average daily balances. Mibanco’s share of loans in phase 2 of Reactiva Peru was significantly higher than that registered for phase 1. This was due to the fact that in the latter stage, the Government relaxed loan access conditions for smaller businesses, which meant that a larger proportion of Mibanco’s clients was eligible for assistance. When we exclude Government loans from the calculation base, we find that Mibanco’s structural portfolio fell -4.3% YoY.</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of +9.4% YoY in loans at BCP Bolivia was led by growth in Corporate Banking, followed by expansion in Mortgage and SME-Pyme loans. It is important to note that the microlending segment in Bolivia reported a significant decline YoY (greater than ~30% YoY). The perspectives for this segment and for other are still uncertain, given that the financial sector is exercising caution with the onset of a second wave of Covid-19 infections and a difficult political environment.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Full year growth in average daily loan balances per segment </w:t>
      </w:r>
      <w:r>
        <w:rPr>
          <w:rFonts w:ascii="Arial" w:cs="Arial" w:eastAsia="Arial" w:hAnsi="Arial"/>
          <w:sz w:val="29"/>
          <w:szCs w:val="29"/>
          <w:b w:val="1"/>
          <w:bCs w:val="1"/>
          <w:color w:val="auto"/>
          <w:vertAlign w:val="superscript"/>
        </w:rPr>
        <w:t>(1)(2)(3)</w:t>
      </w:r>
    </w:p>
    <w:p>
      <w:pPr>
        <w:jc w:val="center"/>
        <w:ind w:right="20"/>
        <w:spacing w:after="0"/>
        <w:rPr>
          <w:sz w:val="20"/>
          <w:szCs w:val="20"/>
          <w:color w:val="auto"/>
        </w:rPr>
      </w:pPr>
      <w:r>
        <w:rPr>
          <w:rFonts w:ascii="Arial" w:cs="Arial" w:eastAsia="Arial" w:hAnsi="Arial"/>
          <w:sz w:val="18"/>
          <w:szCs w:val="18"/>
          <w:color w:val="auto"/>
        </w:rPr>
        <w:t>Expressed in millions of 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TOTAL LOANS</w:t>
            </w: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left="377"/>
              <w:spacing w:after="0"/>
              <w:rPr>
                <w:sz w:val="20"/>
                <w:szCs w:val="20"/>
                <w:color w:val="auto"/>
              </w:rPr>
            </w:pPr>
            <w:r>
              <w:rPr>
                <w:rFonts w:ascii="Arial" w:cs="Arial" w:eastAsia="Arial" w:hAnsi="Arial"/>
                <w:sz w:val="13"/>
                <w:szCs w:val="13"/>
                <w:b w:val="1"/>
                <w:bCs w:val="1"/>
                <w:color w:val="auto"/>
                <w:w w:val="91"/>
              </w:rPr>
              <w:t>Structural</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Borders>
              <w:bottom w:val="single" w:sz="8" w:color="auto"/>
            </w:tcBorders>
            <w:gridSpan w:val="7"/>
          </w:tcPr>
          <w:p>
            <w:pPr>
              <w:jc w:val="center"/>
              <w:ind w:left="577"/>
              <w:spacing w:after="0"/>
              <w:rPr>
                <w:sz w:val="20"/>
                <w:szCs w:val="20"/>
                <w:color w:val="auto"/>
              </w:rPr>
            </w:pPr>
            <w:r>
              <w:rPr>
                <w:rFonts w:ascii="Arial" w:cs="Arial" w:eastAsia="Arial" w:hAnsi="Arial"/>
                <w:sz w:val="13"/>
                <w:szCs w:val="13"/>
                <w:b w:val="1"/>
                <w:bCs w:val="1"/>
                <w:color w:val="auto"/>
                <w:w w:val="89"/>
              </w:rPr>
              <w:t>% Part. in total loans</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820" w:type="dxa"/>
            <w:vAlign w:val="bottom"/>
            <w:gridSpan w:val="5"/>
          </w:tcPr>
          <w:p>
            <w:pPr>
              <w:ind w:left="220"/>
              <w:spacing w:after="0" w:line="142" w:lineRule="exact"/>
              <w:rPr>
                <w:sz w:val="20"/>
                <w:szCs w:val="20"/>
                <w:color w:val="auto"/>
              </w:rPr>
            </w:pPr>
            <w:r>
              <w:rPr>
                <w:rFonts w:ascii="Arial" w:cs="Arial" w:eastAsia="Arial" w:hAnsi="Arial"/>
                <w:sz w:val="13"/>
                <w:szCs w:val="13"/>
                <w:i w:val="1"/>
                <w:iCs w:val="1"/>
                <w:color w:val="auto"/>
              </w:rPr>
              <w:t>Expressed in million S/</w:t>
            </w:r>
          </w:p>
        </w:tc>
        <w:tc>
          <w:tcPr>
            <w:tcW w:w="6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4"/>
              </w:rPr>
              <w:t>Structural</w:t>
            </w:r>
          </w:p>
        </w:tc>
        <w:tc>
          <w:tcPr>
            <w:tcW w:w="220" w:type="dxa"/>
            <w:vAlign w:val="bottom"/>
          </w:tcPr>
          <w:p>
            <w:pPr>
              <w:spacing w:after="0"/>
              <w:rPr>
                <w:sz w:val="12"/>
                <w:szCs w:val="12"/>
                <w:color w:val="auto"/>
              </w:rPr>
            </w:pPr>
          </w:p>
        </w:tc>
        <w:tc>
          <w:tcPr>
            <w:tcW w:w="1040" w:type="dxa"/>
            <w:vAlign w:val="bottom"/>
            <w:gridSpan w:val="3"/>
          </w:tcPr>
          <w:p>
            <w:pPr>
              <w:ind w:left="580"/>
              <w:spacing w:after="0" w:line="142" w:lineRule="exact"/>
              <w:rPr>
                <w:sz w:val="20"/>
                <w:szCs w:val="20"/>
                <w:color w:val="auto"/>
              </w:rPr>
            </w:pPr>
            <w:r>
              <w:rPr>
                <w:rFonts w:ascii="Arial" w:cs="Arial" w:eastAsia="Arial" w:hAnsi="Arial"/>
                <w:sz w:val="13"/>
                <w:szCs w:val="13"/>
                <w:b w:val="1"/>
                <w:bCs w:val="1"/>
                <w:color w:val="auto"/>
                <w:w w:val="96"/>
              </w:rPr>
              <w:t>change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left="377"/>
              <w:spacing w:after="0" w:line="142" w:lineRule="exact"/>
              <w:rPr>
                <w:sz w:val="20"/>
                <w:szCs w:val="20"/>
                <w:color w:val="auto"/>
              </w:rPr>
            </w:pPr>
            <w:r>
              <w:rPr>
                <w:rFonts w:ascii="Arial" w:cs="Arial" w:eastAsia="Arial" w:hAnsi="Arial"/>
                <w:sz w:val="13"/>
                <w:szCs w:val="13"/>
                <w:b w:val="1"/>
                <w:bCs w:val="1"/>
                <w:color w:val="auto"/>
                <w:w w:val="83"/>
              </w:rPr>
              <w:t>Change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Structural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3"/>
                <w:szCs w:val="13"/>
                <w:b w:val="1"/>
                <w:bCs w:val="1"/>
                <w:color w:val="auto"/>
              </w:rPr>
              <w:t>2019</w:t>
            </w: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S/</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S/</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BCP Stand-alone</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90,935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106,515</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94,705</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15,579</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7"/>
              </w:rPr>
              <w:t>17.1%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3,770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82.1%</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83.0%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82.1%</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b w:val="1"/>
                <w:bCs w:val="1"/>
                <w:color w:val="auto"/>
              </w:rPr>
              <w:t>Wholesale Banking</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46,266</w:t>
            </w:r>
          </w:p>
        </w:tc>
        <w:tc>
          <w:tcPr>
            <w:tcW w:w="108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rPr>
              <w:t>52,528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48,401</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6,262</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7"/>
              </w:rPr>
              <w:t>13.5%</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2,135</w:t>
            </w:r>
          </w:p>
        </w:tc>
        <w:tc>
          <w:tcPr>
            <w:tcW w:w="22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4.6%</w:t>
            </w:r>
          </w:p>
        </w:tc>
        <w:tc>
          <w:tcPr>
            <w:tcW w:w="12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41.8%</w:t>
            </w: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40.9%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42.0%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Corporate</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28,155</w:t>
            </w:r>
          </w:p>
        </w:tc>
        <w:tc>
          <w:tcPr>
            <w:tcW w:w="10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30,785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30,279</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2,631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2,124</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Arial" w:cs="Arial" w:eastAsia="Arial" w:hAnsi="Arial"/>
                <w:sz w:val="13"/>
                <w:szCs w:val="13"/>
                <w:color w:val="auto"/>
              </w:rPr>
              <w:t>Middle - Market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18,111</w:t>
            </w:r>
          </w:p>
        </w:tc>
        <w:tc>
          <w:tcPr>
            <w:tcW w:w="10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21,741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18,122</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3,631</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20.0%</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16.3%</w:t>
            </w:r>
          </w:p>
        </w:tc>
        <w:tc>
          <w:tcPr>
            <w:tcW w:w="10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Retail Banking</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44,670</w:t>
            </w:r>
          </w:p>
        </w:tc>
        <w:tc>
          <w:tcPr>
            <w:tcW w:w="10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53,987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46,304</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9,317</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7"/>
              </w:rPr>
              <w:t>20.9%</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1,634</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3.7%</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40.3%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42.1%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40.2%</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Arial" w:cs="Arial" w:eastAsia="Arial" w:hAnsi="Arial"/>
                <w:sz w:val="13"/>
                <w:szCs w:val="13"/>
                <w:color w:val="auto"/>
              </w:rPr>
              <w:t>SME - Business</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5,487</w:t>
            </w:r>
          </w:p>
        </w:tc>
        <w:tc>
          <w:tcPr>
            <w:tcW w:w="10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8,474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4,986</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2,987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54.4%</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-501</w:t>
            </w:r>
          </w:p>
        </w:tc>
        <w:tc>
          <w:tcPr>
            <w:tcW w:w="22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SME - Pyme</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9,754</w:t>
            </w:r>
          </w:p>
        </w:tc>
        <w:tc>
          <w:tcPr>
            <w:tcW w:w="10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14,390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10,194</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4,636</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47.5%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441</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Arial" w:cs="Arial" w:eastAsia="Arial" w:hAnsi="Arial"/>
                <w:sz w:val="13"/>
                <w:szCs w:val="13"/>
                <w:color w:val="auto"/>
              </w:rPr>
              <w:t>Mortgage</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15,831</w:t>
            </w:r>
          </w:p>
        </w:tc>
        <w:tc>
          <w:tcPr>
            <w:tcW w:w="10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16,969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16,969</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1,139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7.2%</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1,139</w:t>
            </w:r>
          </w:p>
        </w:tc>
        <w:tc>
          <w:tcPr>
            <w:tcW w:w="22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7.2%</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Consumer</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8,105</w:t>
            </w:r>
          </w:p>
        </w:tc>
        <w:tc>
          <w:tcPr>
            <w:tcW w:w="10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9,166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9,166</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1,061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13.1%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1,061</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35"/>
        </w:trPr>
        <w:tc>
          <w:tcPr>
            <w:tcW w:w="2380" w:type="dxa"/>
            <w:vAlign w:val="bottom"/>
          </w:tcPr>
          <w:p>
            <w:pPr>
              <w:ind w:left="180"/>
              <w:spacing w:after="0" w:line="135" w:lineRule="exact"/>
              <w:rPr>
                <w:sz w:val="20"/>
                <w:szCs w:val="20"/>
                <w:color w:val="auto"/>
              </w:rPr>
            </w:pPr>
            <w:r>
              <w:rPr>
                <w:rFonts w:ascii="Arial" w:cs="Arial" w:eastAsia="Arial" w:hAnsi="Arial"/>
                <w:sz w:val="13"/>
                <w:szCs w:val="13"/>
                <w:color w:val="auto"/>
              </w:rPr>
              <w:t>Credit Card</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5,493</w:t>
            </w:r>
          </w:p>
        </w:tc>
        <w:tc>
          <w:tcPr>
            <w:tcW w:w="10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4,988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4,988</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-505</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-9.2%</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-505</w:t>
            </w:r>
          </w:p>
        </w:tc>
        <w:tc>
          <w:tcPr>
            <w:tcW w:w="22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Mibanco</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10,080</w:t>
            </w:r>
          </w:p>
        </w:tc>
        <w:tc>
          <w:tcPr>
            <w:tcW w:w="10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11,431</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10,183</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1,351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7"/>
              </w:rPr>
              <w:t>13.4%</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103</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9.1%</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8.9%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8.8%</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b w:val="1"/>
                <w:bCs w:val="1"/>
                <w:color w:val="auto"/>
              </w:rPr>
              <w:t>Bolivia</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7,334</w:t>
            </w:r>
          </w:p>
        </w:tc>
        <w:tc>
          <w:tcPr>
            <w:tcW w:w="108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rPr>
              <w:t>8,002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8,002</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669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9.1%</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669</w:t>
            </w:r>
          </w:p>
        </w:tc>
        <w:tc>
          <w:tcPr>
            <w:tcW w:w="22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9.1%</w:t>
            </w:r>
          </w:p>
        </w:tc>
        <w:tc>
          <w:tcPr>
            <w:tcW w:w="12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6.6%</w:t>
            </w: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6.2%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6.9%</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ASB</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2,452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2,397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2,397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-54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-54</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w:t>
            </w: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Arial" w:cs="Arial" w:eastAsia="Arial" w:hAnsi="Arial"/>
                <w:sz w:val="13"/>
                <w:szCs w:val="13"/>
                <w:b w:val="1"/>
                <w:bCs w:val="1"/>
                <w:color w:val="auto"/>
              </w:rPr>
              <w:t>BAP’s total loans</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110,800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128,346</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115,287</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17,545</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7"/>
              </w:rPr>
              <w:t>15.8%</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4,487</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4.0%</w:t>
            </w: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100.0%</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100.0%</w:t>
            </w:r>
          </w:p>
        </w:tc>
        <w:tc>
          <w:tcPr>
            <w:tcW w:w="1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99720"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9720" cy="11112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146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146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 Portfolio excludes the average daily balances from loans offered through de Reactiva Peru y FAE-Mype Government Programs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Differs from previously reported, please consider the figures presented on this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growth in average daily loan balances by segment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+15.8% (+4.0%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154305</wp:posOffset>
            </wp:positionV>
            <wp:extent cx="6677660" cy="2477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7766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972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9720" cy="1117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146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12827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An analysis of annual growth in average daily balances reveals the following:</w:t>
      </w:r>
    </w:p>
    <w:p>
      <w:pPr>
        <w:spacing w:after="0" w:line="225" w:lineRule="exact"/>
        <w:rPr>
          <w:sz w:val="20"/>
          <w:szCs w:val="20"/>
          <w:color w:val="auto"/>
        </w:rPr>
      </w:pPr>
    </w:p>
    <w:p>
      <w:pPr>
        <w:jc w:val="both"/>
        <w:ind w:left="880" w:hanging="494"/>
        <w:spacing w:after="0" w:line="291"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Retail Banking was the largest contributor to total growth, led by SME-Pyme (+S/4,636 million, +47.5% YTD) and SME-Business (+S/2,987 million, +54.4% YTD.), both of which received large inflows of loans from Reactiva Peru. Other segments that contributed to expansion in this portfolio were the Mortgage segment (+S/1,139 million, +7.2% YTD) and Consumer (+S/1,061 million, +13.1% YTD), which were hit hard by the pandemic and lockdown measures in previous quarters but resumed growth in 4Q20 to close the year with positive contributions. On the contrary, Credit Card balances fell given that pre-pandemic calculation base in 2019 was markedly larger and the fact that the use of this product dropped when consumers cut household spending due to the pandemic. If we isolate the effect of Government loans in the calculation for total loan growth, expansion in SME-Pyme was situated at +4.5% YTD while SME-Business was down -9.1%.</w:t>
      </w:r>
    </w:p>
    <w:p>
      <w:pPr>
        <w:spacing w:after="0" w:line="166" w:lineRule="exact"/>
        <w:rPr>
          <w:rFonts w:ascii="Arial" w:cs="Arial" w:eastAsia="Arial" w:hAnsi="Arial"/>
          <w:sz w:val="16"/>
          <w:szCs w:val="16"/>
          <w:color w:val="auto"/>
        </w:rPr>
      </w:pPr>
    </w:p>
    <w:p>
      <w:pPr>
        <w:jc w:val="both"/>
        <w:ind w:left="880" w:hanging="494"/>
        <w:spacing w:after="0" w:line="275"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Growth in Wholesale Banking, where both Middle Market Banking and Corporate Banking posted considerable expansion. Middle Market Banking grew +S/3,631 million, +20.0% YTD. This expansion was due primarily to disbursements through Reactiva Peru. Corporate Banking, in turn, grew +S/2,631 million, +9.3% YTD, driven by an increase in low-cost disbursements at the beginning of the pandemic in a context of attractive rates and the fact that businesses sought to safeguard liquidity in the face of uncertainty. Expansion in these segments was also attributable, although to a lesser extent, to the exchange rate effect generated by the appreciation in the US Dollar.</w:t>
      </w:r>
    </w:p>
    <w:p>
      <w:pPr>
        <w:spacing w:after="0" w:line="176" w:lineRule="exact"/>
        <w:rPr>
          <w:rFonts w:ascii="Arial" w:cs="Arial" w:eastAsia="Arial" w:hAnsi="Arial"/>
          <w:sz w:val="17"/>
          <w:szCs w:val="17"/>
          <w:color w:val="auto"/>
        </w:rPr>
      </w:pPr>
    </w:p>
    <w:p>
      <w:pPr>
        <w:jc w:val="both"/>
        <w:ind w:left="880" w:hanging="494"/>
        <w:spacing w:after="0" w:line="25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Mibanco loans (+13.4% YTD) was primarily associated with loans from government relief programs: Reactiva Peru and FAE. Expansion in these programs began in 2Q20 and picked up in 3Q20 with the roll out of phase 2 of Reactiva Peru, which reached a larger number of clients in the microfinance segment. If we extract the effect of government programs from the calculation for total growth, structural loans expanded 1.0%.</w:t>
      </w:r>
    </w:p>
    <w:p>
      <w:pPr>
        <w:spacing w:after="0" w:line="186"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 Bolivia preformed positively and was up +9.1%; growth was led by the Wholesale Banking portfolio and the Mortgage segment in Retail Banking.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29"/>
          <w:szCs w:val="29"/>
          <w:b w:val="1"/>
          <w:bCs w:val="1"/>
          <w:color w:val="auto"/>
          <w:vertAlign w:val="superscript"/>
        </w:rPr>
        <w:t>(1)(2)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5"/>
          </w:tcPr>
          <w:p>
            <w:pPr>
              <w:jc w:val="right"/>
              <w:ind w:right="317"/>
              <w:spacing w:after="0"/>
              <w:rPr>
                <w:sz w:val="20"/>
                <w:szCs w:val="20"/>
                <w:color w:val="auto"/>
              </w:rPr>
            </w:pPr>
            <w:r>
              <w:rPr>
                <w:rFonts w:ascii="Arial" w:cs="Arial" w:eastAsia="Arial" w:hAnsi="Arial"/>
                <w:sz w:val="13"/>
                <w:szCs w:val="13"/>
                <w:b w:val="1"/>
                <w:bCs w:val="1"/>
                <w:color w:val="auto"/>
              </w:rPr>
              <w:t>% part. by</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w w:val="98"/>
              </w:rPr>
              <w:t>DOMESTIC CURRENCY LOANS</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 change</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rPr>
              <w:t>FOREIGN CURRENCY LOANS</w:t>
            </w:r>
          </w:p>
        </w:tc>
        <w:tc>
          <w:tcPr>
            <w:tcW w:w="3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5"/>
          </w:tcPr>
          <w:p>
            <w:pPr>
              <w:jc w:val="right"/>
              <w:ind w:right="377"/>
              <w:spacing w:after="0"/>
              <w:rPr>
                <w:sz w:val="20"/>
                <w:szCs w:val="20"/>
                <w:color w:val="auto"/>
              </w:rPr>
            </w:pPr>
            <w:r>
              <w:rPr>
                <w:rFonts w:ascii="Arial" w:cs="Arial" w:eastAsia="Arial" w:hAnsi="Arial"/>
                <w:sz w:val="13"/>
                <w:szCs w:val="13"/>
                <w:b w:val="1"/>
                <w:bCs w:val="1"/>
                <w:color w:val="auto"/>
              </w:rPr>
              <w:t>currency</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840" w:type="dxa"/>
            <w:vAlign w:val="bottom"/>
            <w:gridSpan w:val="7"/>
          </w:tcPr>
          <w:p>
            <w:pPr>
              <w:ind w:left="320"/>
              <w:spacing w:after="0"/>
              <w:rPr>
                <w:sz w:val="20"/>
                <w:szCs w:val="20"/>
                <w:color w:val="auto"/>
              </w:rPr>
            </w:pPr>
            <w:r>
              <w:rPr>
                <w:rFonts w:ascii="Arial" w:cs="Arial" w:eastAsia="Arial" w:hAnsi="Arial"/>
                <w:sz w:val="13"/>
                <w:szCs w:val="13"/>
                <w:i w:val="1"/>
                <w:iCs w:val="1"/>
                <w:color w:val="auto"/>
              </w:rPr>
              <w:t>Expressed in million S/</w:t>
            </w:r>
          </w:p>
        </w:tc>
        <w:tc>
          <w:tcPr>
            <w:tcW w:w="1280" w:type="dxa"/>
            <w:vAlign w:val="bottom"/>
            <w:gridSpan w:val="4"/>
          </w:tcPr>
          <w:p>
            <w:pPr>
              <w:ind w:left="340"/>
              <w:spacing w:after="0"/>
              <w:rPr>
                <w:sz w:val="20"/>
                <w:szCs w:val="20"/>
                <w:color w:val="auto"/>
              </w:rPr>
            </w:pPr>
            <w:r>
              <w:rPr>
                <w:rFonts w:ascii="Arial" w:cs="Arial" w:eastAsia="Arial" w:hAnsi="Arial"/>
                <w:sz w:val="13"/>
                <w:szCs w:val="13"/>
                <w:b w:val="1"/>
                <w:bCs w:val="1"/>
                <w:color w:val="auto"/>
              </w:rPr>
              <w:t>Structural</w:t>
            </w:r>
          </w:p>
        </w:tc>
        <w:tc>
          <w:tcPr>
            <w:tcW w:w="130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 change</w:t>
            </w:r>
          </w:p>
        </w:tc>
        <w:tc>
          <w:tcPr>
            <w:tcW w:w="12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Structural</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7"/>
          </w:tcPr>
          <w:p>
            <w:pPr>
              <w:ind w:left="180"/>
              <w:spacing w:after="0"/>
              <w:rPr>
                <w:sz w:val="20"/>
                <w:szCs w:val="20"/>
                <w:color w:val="auto"/>
              </w:rPr>
            </w:pPr>
            <w:r>
              <w:rPr>
                <w:rFonts w:ascii="Arial" w:cs="Arial" w:eastAsia="Arial" w:hAnsi="Arial"/>
                <w:sz w:val="13"/>
                <w:szCs w:val="13"/>
                <w:i w:val="1"/>
                <w:iCs w:val="1"/>
                <w:color w:val="auto"/>
              </w:rPr>
              <w:t>Expressed in million US$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b w:val="1"/>
                <w:bCs w:val="1"/>
                <w:color w:val="auto"/>
                <w:w w:val="87"/>
              </w:rPr>
              <w:t>4Q20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2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4Q19</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3Q20</w:t>
            </w:r>
          </w:p>
        </w:tc>
        <w:tc>
          <w:tcPr>
            <w:tcW w:w="1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4Q20</w:t>
            </w:r>
          </w:p>
        </w:tc>
        <w:tc>
          <w:tcPr>
            <w:tcW w:w="1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3Q20</w:t>
            </w:r>
          </w:p>
        </w:tc>
        <w:tc>
          <w:tcPr>
            <w:tcW w:w="2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4Q20</w:t>
            </w:r>
          </w:p>
        </w:tc>
        <w:tc>
          <w:tcPr>
            <w:tcW w:w="1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w w:val="92"/>
              </w:rPr>
              <w:t>QoQ</w:t>
            </w: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w w:val="92"/>
              </w:rPr>
              <w:t>QoQ</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4Q19</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3Q20</w:t>
            </w: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4Q20</w:t>
            </w:r>
          </w:p>
        </w:tc>
        <w:tc>
          <w:tcPr>
            <w:tcW w:w="1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w w:val="99"/>
              </w:rPr>
              <w:t>QoQ</w:t>
            </w:r>
          </w:p>
        </w:tc>
        <w:tc>
          <w:tcPr>
            <w:tcW w:w="280" w:type="dxa"/>
            <w:vAlign w:val="bottom"/>
            <w:tcBorders>
              <w:top w:val="single" w:sz="8" w:color="auto"/>
              <w:bottom w:val="single" w:sz="8" w:color="CCEEFF"/>
            </w:tcBorders>
            <w:gridSpan w:val="2"/>
          </w:tcPr>
          <w:p>
            <w:pPr>
              <w:spacing w:after="0"/>
              <w:rPr>
                <w:sz w:val="12"/>
                <w:szCs w:val="12"/>
                <w:color w:val="auto"/>
              </w:rPr>
            </w:pPr>
          </w:p>
        </w:tc>
        <w:tc>
          <w:tcPr>
            <w:tcW w:w="3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LC</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FC</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BCP Stand-alone</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60,870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78,056</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80,945</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60,115</w:t>
            </w:r>
          </w:p>
        </w:tc>
        <w:tc>
          <w:tcPr>
            <w:tcW w:w="2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59,039</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3.7%</w:t>
            </w:r>
          </w:p>
        </w:tc>
        <w:tc>
          <w:tcPr>
            <w:tcW w:w="6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b w:val="1"/>
                <w:bCs w:val="1"/>
                <w:color w:val="auto"/>
              </w:rPr>
              <w:t>33.0%</w:t>
            </w:r>
          </w:p>
        </w:tc>
        <w:tc>
          <w:tcPr>
            <w:tcW w:w="6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-1.8%</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b w:val="1"/>
                <w:bCs w:val="1"/>
                <w:color w:val="auto"/>
              </w:rPr>
              <w:t>-3.0%</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9,375</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8,865</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b w:val="1"/>
                <w:bCs w:val="1"/>
                <w:color w:val="auto"/>
              </w:rPr>
              <w:t>-5.4%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b w:val="1"/>
                <w:bCs w:val="1"/>
                <w:color w:val="auto"/>
              </w:rPr>
              <w:t>-11.3%</w:t>
            </w:r>
          </w:p>
        </w:tc>
        <w:tc>
          <w:tcPr>
            <w:tcW w:w="6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71.6%</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28.4%</w:t>
            </w:r>
          </w:p>
        </w:tc>
        <w:tc>
          <w:tcPr>
            <w:tcW w:w="0" w:type="dxa"/>
            <w:vAlign w:val="bottom"/>
          </w:tcPr>
          <w:p>
            <w:pPr>
              <w:spacing w:after="0"/>
              <w:rPr>
                <w:sz w:val="1"/>
                <w:szCs w:val="1"/>
                <w:color w:val="auto"/>
              </w:rPr>
            </w:pPr>
          </w:p>
        </w:tc>
      </w:tr>
      <w:tr>
        <w:trPr>
          <w:trHeight w:val="117"/>
        </w:trPr>
        <w:tc>
          <w:tcPr>
            <w:tcW w:w="1240" w:type="dxa"/>
            <w:vAlign w:val="bottom"/>
          </w:tcPr>
          <w:p>
            <w:pPr>
              <w:ind w:left="180"/>
              <w:spacing w:after="0" w:line="117" w:lineRule="exact"/>
              <w:rPr>
                <w:sz w:val="20"/>
                <w:szCs w:val="20"/>
                <w:color w:val="auto"/>
              </w:rPr>
            </w:pPr>
            <w:r>
              <w:rPr>
                <w:rFonts w:ascii="Arial" w:cs="Arial" w:eastAsia="Arial" w:hAnsi="Arial"/>
                <w:sz w:val="13"/>
                <w:szCs w:val="13"/>
                <w:b w:val="1"/>
                <w:bCs w:val="1"/>
                <w:color w:val="auto"/>
              </w:rPr>
              <w:t>Wholesale</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00"/>
              <w:spacing w:after="0"/>
              <w:rPr>
                <w:sz w:val="20"/>
                <w:szCs w:val="20"/>
                <w:color w:val="auto"/>
              </w:rPr>
            </w:pPr>
            <w:r>
              <w:rPr>
                <w:rFonts w:ascii="Arial" w:cs="Arial" w:eastAsia="Arial" w:hAnsi="Arial"/>
                <w:sz w:val="13"/>
                <w:szCs w:val="13"/>
                <w:b w:val="1"/>
                <w:bCs w:val="1"/>
                <w:color w:val="auto"/>
              </w:rPr>
              <w:t>Banking</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21,614</w:t>
            </w: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28,201</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26,490</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21,694</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19,802</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-6.1%</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22.6%</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-8.7%</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-8.4%</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7,707</w:t>
            </w:r>
          </w:p>
        </w:tc>
        <w:tc>
          <w:tcPr>
            <w:tcW w:w="7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7,493</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6,969</w:t>
            </w:r>
          </w:p>
        </w:tc>
        <w:tc>
          <w:tcPr>
            <w:tcW w:w="1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-7.0%</w:t>
            </w:r>
          </w:p>
        </w:tc>
        <w:tc>
          <w:tcPr>
            <w:tcW w:w="1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-9.6%</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51.3%</w:t>
            </w: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48.7%</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Corporate</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12,854</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14,204</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12,596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13,381</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11,845</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-11.3%</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-7.8%</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4,775</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4,851</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4,407</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-7.7%</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44.2%</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7"/>
              </w:rPr>
              <w:t>55.8%</w:t>
            </w:r>
          </w:p>
        </w:tc>
        <w:tc>
          <w:tcPr>
            <w:tcW w:w="0" w:type="dxa"/>
            <w:vAlign w:val="bottom"/>
          </w:tcPr>
          <w:p>
            <w:pPr>
              <w:spacing w:after="0"/>
              <w:rPr>
                <w:sz w:val="1"/>
                <w:szCs w:val="1"/>
                <w:color w:val="auto"/>
              </w:rPr>
            </w:pPr>
          </w:p>
        </w:tc>
      </w:tr>
      <w:tr>
        <w:trPr>
          <w:trHeight w:val="135"/>
        </w:trPr>
        <w:tc>
          <w:tcPr>
            <w:tcW w:w="1240" w:type="dxa"/>
            <w:vAlign w:val="bottom"/>
          </w:tcPr>
          <w:p>
            <w:pPr>
              <w:ind w:left="340"/>
              <w:spacing w:after="0" w:line="135" w:lineRule="exact"/>
              <w:rPr>
                <w:sz w:val="20"/>
                <w:szCs w:val="20"/>
                <w:color w:val="auto"/>
              </w:rPr>
            </w:pPr>
            <w:r>
              <w:rPr>
                <w:rFonts w:ascii="Arial" w:cs="Arial" w:eastAsia="Arial" w:hAnsi="Arial"/>
                <w:sz w:val="13"/>
                <w:szCs w:val="13"/>
                <w:color w:val="auto"/>
              </w:rPr>
              <w:t>Middle-Market</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8,760</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13,997</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13,894</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8,313</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7,957</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-0.7%</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58.6%</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-9.2%</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2,931</w:t>
            </w: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2,642</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2,562</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-12.6%</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4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w w:val="97"/>
              </w:rPr>
              <w:t>40.0%</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Retail Banking</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39,257</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49,855</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54,455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38,421</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39,237</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9.2%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38.7%</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2.1%</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0.0%</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2,293</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1,882</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1,896</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0.7%</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-17.3%</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88.8%</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w:t>
            </w:r>
          </w:p>
        </w:tc>
        <w:tc>
          <w:tcPr>
            <w:tcW w:w="0" w:type="dxa"/>
            <w:vAlign w:val="bottom"/>
          </w:tcPr>
          <w:p>
            <w:pPr>
              <w:spacing w:after="0"/>
              <w:rPr>
                <w:sz w:val="1"/>
                <w:szCs w:val="1"/>
                <w:color w:val="auto"/>
              </w:rPr>
            </w:pPr>
          </w:p>
        </w:tc>
      </w:tr>
      <w:tr>
        <w:trPr>
          <w:trHeight w:val="121"/>
        </w:trPr>
        <w:tc>
          <w:tcPr>
            <w:tcW w:w="1240" w:type="dxa"/>
            <w:vAlign w:val="bottom"/>
          </w:tcPr>
          <w:p>
            <w:pPr>
              <w:ind w:left="340"/>
              <w:spacing w:after="0" w:line="121" w:lineRule="exact"/>
              <w:rPr>
                <w:sz w:val="20"/>
                <w:szCs w:val="20"/>
                <w:color w:val="auto"/>
              </w:rPr>
            </w:pPr>
            <w:r>
              <w:rPr>
                <w:rFonts w:ascii="Arial" w:cs="Arial" w:eastAsia="Arial" w:hAnsi="Arial"/>
                <w:sz w:val="13"/>
                <w:szCs w:val="13"/>
                <w:color w:val="auto"/>
              </w:rPr>
              <w:t>SME -</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660"/>
              <w:spacing w:after="0"/>
              <w:rPr>
                <w:sz w:val="20"/>
                <w:szCs w:val="20"/>
                <w:color w:val="auto"/>
              </w:rPr>
            </w:pPr>
            <w:r>
              <w:rPr>
                <w:rFonts w:ascii="Arial" w:cs="Arial" w:eastAsia="Arial" w:hAnsi="Arial"/>
                <w:sz w:val="13"/>
                <w:szCs w:val="13"/>
                <w:color w:val="auto"/>
              </w:rPr>
              <w:t>Business</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2,695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7,545</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8,402</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2,105</w:t>
            </w:r>
          </w:p>
        </w:tc>
        <w:tc>
          <w:tcPr>
            <w:tcW w:w="480" w:type="dxa"/>
            <w:vAlign w:val="bottom"/>
          </w:tcPr>
          <w:p>
            <w:pPr>
              <w:jc w:val="right"/>
              <w:spacing w:after="0"/>
              <w:rPr>
                <w:sz w:val="20"/>
                <w:szCs w:val="20"/>
                <w:color w:val="auto"/>
              </w:rPr>
            </w:pPr>
            <w:r>
              <w:rPr>
                <w:rFonts w:ascii="Arial" w:cs="Arial" w:eastAsia="Arial" w:hAnsi="Arial"/>
                <w:sz w:val="13"/>
                <w:szCs w:val="13"/>
                <w:color w:val="auto"/>
              </w:rPr>
              <w:t>2,161</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11.4%</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211.8%</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2.7%</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-19.8%</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928</w:t>
            </w: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694</w:t>
            </w:r>
          </w:p>
        </w:tc>
        <w:tc>
          <w:tcPr>
            <w:tcW w:w="480" w:type="dxa"/>
            <w:vAlign w:val="bottom"/>
          </w:tcPr>
          <w:p>
            <w:pPr>
              <w:jc w:val="right"/>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-25.7%</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2"/>
                <w:szCs w:val="12"/>
                <w:color w:val="auto"/>
              </w:rPr>
            </w:pPr>
          </w:p>
        </w:tc>
        <w:tc>
          <w:tcPr>
            <w:tcW w:w="460" w:type="dxa"/>
            <w:vAlign w:val="bottom"/>
            <w:gridSpan w:val="2"/>
          </w:tcPr>
          <w:p>
            <w:pPr>
              <w:jc w:val="right"/>
              <w:ind w:right="17"/>
              <w:spacing w:after="0"/>
              <w:rPr>
                <w:sz w:val="20"/>
                <w:szCs w:val="20"/>
                <w:color w:val="auto"/>
              </w:rPr>
            </w:pPr>
            <w:r>
              <w:rPr>
                <w:rFonts w:ascii="Arial" w:cs="Arial" w:eastAsia="Arial" w:hAnsi="Arial"/>
                <w:sz w:val="13"/>
                <w:szCs w:val="13"/>
                <w:color w:val="auto"/>
                <w:w w:val="97"/>
              </w:rPr>
              <w:t>22.9%</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SME - Pyme</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9,982</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15,862</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19,040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9,868</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10,062</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20.0%</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90.7%</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0.8%</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63</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-12.9%</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1240" w:type="dxa"/>
            <w:vAlign w:val="bottom"/>
          </w:tcPr>
          <w:p>
            <w:pPr>
              <w:ind w:left="340"/>
              <w:spacing w:after="0" w:line="135" w:lineRule="exact"/>
              <w:rPr>
                <w:sz w:val="20"/>
                <w:szCs w:val="20"/>
                <w:color w:val="auto"/>
              </w:rPr>
            </w:pPr>
            <w:r>
              <w:rPr>
                <w:rFonts w:ascii="Arial" w:cs="Arial" w:eastAsia="Arial" w:hAnsi="Arial"/>
                <w:sz w:val="13"/>
                <w:szCs w:val="13"/>
                <w:color w:val="auto"/>
              </w:rPr>
              <w:t>Mortgage</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14,249</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14,673</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15,063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14,673</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15,063</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698</w:t>
            </w: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603</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596</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-14.6%</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87.5%</w:t>
            </w:r>
          </w:p>
        </w:tc>
        <w:tc>
          <w:tcPr>
            <w:tcW w:w="100" w:type="dxa"/>
            <w:vAlign w:val="bottom"/>
          </w:tcPr>
          <w:p>
            <w:pPr>
              <w:spacing w:after="0"/>
              <w:rPr>
                <w:sz w:val="11"/>
                <w:szCs w:val="11"/>
                <w:color w:val="auto"/>
              </w:rPr>
            </w:pPr>
          </w:p>
        </w:tc>
        <w:tc>
          <w:tcPr>
            <w:tcW w:w="4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w w:val="97"/>
              </w:rPr>
              <w:t>12.5%</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Consumer</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7,465</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7,717</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8,119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7,717</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8,119</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356</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366</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10.7%</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7"/>
              </w:rPr>
              <w:t>14.9%</w:t>
            </w:r>
          </w:p>
        </w:tc>
        <w:tc>
          <w:tcPr>
            <w:tcW w:w="0" w:type="dxa"/>
            <w:vAlign w:val="bottom"/>
          </w:tcPr>
          <w:p>
            <w:pPr>
              <w:spacing w:after="0"/>
              <w:rPr>
                <w:sz w:val="1"/>
                <w:szCs w:val="1"/>
                <w:color w:val="auto"/>
              </w:rPr>
            </w:pPr>
          </w:p>
        </w:tc>
      </w:tr>
      <w:tr>
        <w:trPr>
          <w:trHeight w:val="135"/>
        </w:trPr>
        <w:tc>
          <w:tcPr>
            <w:tcW w:w="1240" w:type="dxa"/>
            <w:vAlign w:val="bottom"/>
          </w:tcPr>
          <w:p>
            <w:pPr>
              <w:ind w:left="340"/>
              <w:spacing w:after="0" w:line="135" w:lineRule="exact"/>
              <w:rPr>
                <w:sz w:val="20"/>
                <w:szCs w:val="20"/>
                <w:color w:val="auto"/>
              </w:rPr>
            </w:pPr>
            <w:r>
              <w:rPr>
                <w:rFonts w:ascii="Arial" w:cs="Arial" w:eastAsia="Arial" w:hAnsi="Arial"/>
                <w:sz w:val="13"/>
                <w:szCs w:val="13"/>
                <w:color w:val="auto"/>
              </w:rPr>
              <w:t>Credit Card</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4,865</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4,058</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3,831</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4,058</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3,831</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-21.3%</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-21.3%</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248</w:t>
            </w: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163</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161</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-35.1%</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86.8%</w:t>
            </w:r>
          </w:p>
        </w:tc>
        <w:tc>
          <w:tcPr>
            <w:tcW w:w="100" w:type="dxa"/>
            <w:vAlign w:val="bottom"/>
          </w:tcPr>
          <w:p>
            <w:pPr>
              <w:spacing w:after="0"/>
              <w:rPr>
                <w:sz w:val="11"/>
                <w:szCs w:val="11"/>
                <w:color w:val="auto"/>
              </w:rPr>
            </w:pPr>
          </w:p>
        </w:tc>
        <w:tc>
          <w:tcPr>
            <w:tcW w:w="4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w w:val="97"/>
              </w:rPr>
              <w:t>13.2%</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Mibanco</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9,785</w:t>
            </w:r>
          </w:p>
        </w:tc>
        <w:tc>
          <w:tcPr>
            <w:tcW w:w="6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11,085</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12,191</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9,221</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9,377</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10.0%</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24.6%</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1.7%</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-4.2%</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157</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143</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135</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-5.5%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-13.7%</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96.1%</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3.9%</w:t>
            </w:r>
          </w:p>
        </w:tc>
        <w:tc>
          <w:tcPr>
            <w:tcW w:w="0" w:type="dxa"/>
            <w:vAlign w:val="bottom"/>
          </w:tcPr>
          <w:p>
            <w:pPr>
              <w:spacing w:after="0"/>
              <w:rPr>
                <w:sz w:val="1"/>
                <w:szCs w:val="1"/>
                <w:color w:val="auto"/>
              </w:rPr>
            </w:pPr>
          </w:p>
        </w:tc>
      </w:tr>
      <w:tr>
        <w:trPr>
          <w:trHeight w:val="135"/>
        </w:trPr>
        <w:tc>
          <w:tcPr>
            <w:tcW w:w="1240" w:type="dxa"/>
            <w:vAlign w:val="bottom"/>
          </w:tcPr>
          <w:p>
            <w:pPr>
              <w:spacing w:after="0" w:line="135" w:lineRule="exact"/>
              <w:rPr>
                <w:sz w:val="20"/>
                <w:szCs w:val="20"/>
                <w:color w:val="auto"/>
              </w:rPr>
            </w:pPr>
            <w:r>
              <w:rPr>
                <w:rFonts w:ascii="Arial" w:cs="Arial" w:eastAsia="Arial" w:hAnsi="Arial"/>
                <w:sz w:val="13"/>
                <w:szCs w:val="13"/>
                <w:b w:val="1"/>
                <w:bCs w:val="1"/>
                <w:color w:val="auto"/>
              </w:rPr>
              <w:t>Bolivia</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2,256</w:t>
            </w: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b w:val="1"/>
                <w:bCs w:val="1"/>
                <w:color w:val="auto"/>
              </w:rPr>
              <w:t>2,292</w:t>
            </w: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2,289</w:t>
            </w:r>
          </w:p>
        </w:tc>
        <w:tc>
          <w:tcPr>
            <w:tcW w:w="12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-0.1%</w:t>
            </w:r>
          </w:p>
        </w:tc>
        <w:tc>
          <w:tcPr>
            <w:tcW w:w="12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1.5%</w:t>
            </w: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100.0%</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ASB</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706</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686</w:t>
            </w:r>
          </w:p>
        </w:tc>
        <w:tc>
          <w:tcPr>
            <w:tcW w:w="4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635</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-7.5%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-10.2%</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0"/>
              </w:rPr>
              <w:t>100.0%</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rPr>
              <w:t>Total loans</w:t>
            </w: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70,655</w:t>
            </w: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89,141</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93,136</w:t>
            </w: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69,336</w:t>
            </w:r>
          </w:p>
        </w:tc>
        <w:tc>
          <w:tcPr>
            <w:tcW w:w="220" w:type="dxa"/>
            <w:vAlign w:val="bottom"/>
            <w:vMerge w:val="continue"/>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68,416</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4.5%</w:t>
            </w:r>
          </w:p>
        </w:tc>
        <w:tc>
          <w:tcPr>
            <w:tcW w:w="64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rPr>
              <w:t>31.8%</w:t>
            </w:r>
          </w:p>
        </w:tc>
        <w:tc>
          <w:tcPr>
            <w:tcW w:w="66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-1.3%</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rPr>
              <w:t>-3.2%</w:t>
            </w: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13,119</w:t>
            </w:r>
          </w:p>
        </w:tc>
        <w:tc>
          <w:tcPr>
            <w:tcW w:w="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12,496</w:t>
            </w:r>
          </w:p>
        </w:tc>
        <w:tc>
          <w:tcPr>
            <w:tcW w:w="140" w:type="dxa"/>
            <w:vAlign w:val="bottom"/>
            <w:vMerge w:val="continue"/>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11,924</w:t>
            </w:r>
          </w:p>
        </w:tc>
        <w:tc>
          <w:tcPr>
            <w:tcW w:w="120" w:type="dxa"/>
            <w:vAlign w:val="bottom"/>
          </w:tcPr>
          <w:p>
            <w:pPr>
              <w:spacing w:after="0"/>
              <w:rPr>
                <w:sz w:val="11"/>
                <w:szCs w:val="11"/>
                <w:color w:val="auto"/>
              </w:rPr>
            </w:pPr>
          </w:p>
        </w:tc>
        <w:tc>
          <w:tcPr>
            <w:tcW w:w="520" w:type="dxa"/>
            <w:vAlign w:val="bottom"/>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-4.6%</w:t>
            </w:r>
          </w:p>
        </w:tc>
        <w:tc>
          <w:tcPr>
            <w:tcW w:w="12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rPr>
              <w:t>-9.1%</w:t>
            </w:r>
          </w:p>
        </w:tc>
        <w:tc>
          <w:tcPr>
            <w:tcW w:w="62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68.4%</w:t>
            </w:r>
          </w:p>
        </w:tc>
        <w:tc>
          <w:tcPr>
            <w:tcW w:w="10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31.6</w:t>
            </w: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972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97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465" cy="12890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Highest growth in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Structural Portfolio excludes the average daily balances from loans offered through de Reactiva Peru y FAE-Mype Government Programs.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Government loan disbursements, which were in local currency, drove the upward trend in the LC portfolio both QoQ and YoY. In this regard, significant expansion was spurred by LC loans through Reactiva Peru for the SME-Pyme and SME-Business clients in Retail Banking, Middle Market borrowers in Wholesale Banking and Mibanco’s clients. The structural portfolio in LC contracted both QoQ and YoY after the drop in Corporate Banking and due to the fact that pandemic dealt a hefty blow to the Credit Card segment.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line="342" w:lineRule="auto"/>
        <w:rPr>
          <w:sz w:val="20"/>
          <w:szCs w:val="20"/>
          <w:color w:val="auto"/>
        </w:rPr>
      </w:pPr>
      <w:r>
        <w:rPr>
          <w:rFonts w:ascii="Arial" w:cs="Arial" w:eastAsia="Arial" w:hAnsi="Arial"/>
          <w:sz w:val="16"/>
          <w:szCs w:val="16"/>
          <w:color w:val="222222"/>
        </w:rPr>
        <w:t>The evolution of FC loans followed the opposite track, falling both QoQ and YoY in the majority of segments due to a downturn in commercial activity in the context of COVID-19 and to the fact that the government offered large amounts of state-backed, low-cost financing through relief programs in 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-38735</wp:posOffset>
            </wp:positionV>
            <wp:extent cx="6737985" cy="2151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798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right="20" w:firstLine="8"/>
        <w:spacing w:after="0" w:line="250"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firstLine="8"/>
        <w:spacing w:after="0" w:line="260" w:lineRule="auto"/>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 with the historic maximum level of dollarization for Wholesale Banking was 2012, for Mibanco was 2016 and for the rest of segments was 2009.</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BCP Stand-alone, the dollarization level fell YoY to situate at 28.4%. The downward trend was evident across segments but the drop in dollarization in the SME-Business segment, which went from 54% at the end of December 2019 to 23% at the end of December 2020, was particularly noteworthy. The aforementioned was attributable to a significant increase in LC loan disbursements in this segment through the Reactiva Peru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97790</wp:posOffset>
            </wp:positionV>
            <wp:extent cx="6806565" cy="1885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please consider the data presented in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Peruvian Financial System </w:t>
      </w:r>
      <w:r>
        <w:rPr>
          <w:rFonts w:ascii="Arial" w:cs="Arial" w:eastAsia="Arial" w:hAnsi="Arial"/>
          <w:sz w:val="29"/>
          <w:szCs w:val="29"/>
          <w:b w:val="1"/>
          <w:bCs w:val="1"/>
          <w:i w:val="1"/>
          <w:iCs w:val="1"/>
          <w:color w:val="auto"/>
          <w:vertAlign w:val="superscript"/>
        </w:rPr>
        <w:t>(1)</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November 2020, BCP Stand-alone continued to lead the Peruvian financial system1 with a market share (MS) of 30.4%, which outpaced the 18.8% share registered by its closest competitor. Mibanco increased its share of the total Financial system to 3.4%, marking an improvement over the 3.3% reported last quarter. BCP and Mibanco have considerably increased their market shares in the system, particularly in the SME-Pyme segment due to loans through Reactiva Peru and FAE-Mype.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Wholesale Banking, the Corporate Banking segment reported an MS of 37.8%, which represented a decline of -110pbs QoQ and growth of +30pbs YoY. Middle Market Banking registered an MS of 37.0%, which reflected a drop of -10pbs QoQ and +110pbs YoY. The YoY increase in Middle Market Banking was attributable to loan disbursements through Reactiva Peru. It is important to note that these segments at BCP Stand-alone lead their respective markets.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Within Retail Banking, BCP continued to lead the market in the Mortgage and SME-Business segments with shares of 32.4% and 38.1%, respectively. Leadership in the SME-Business segment was boosted by the fact that BCP disbursed a large share of the loans offered by Reactiva Peru. In the Consumer and Credit Card segments, BCP ranked second for market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SME-Pyme segment, Mibanco continued to lead with a record-breaking market share of 28.6%. Growth QoQ and YoY (27.9% in 3Q20 and 20.8% in 4Q19) was attributable to disbursements through Reactiva Peru and FAE-Mype. BCP is the number 2 player in this segment in terms of market share with and MS of 18.9%, which reflects the significant boost provided by loans under Reactiva Peru.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MS at BCP Bolivia reported a drop both QoQ and YoY, while leading local competitors increased their balances in the Corporate segment. In this context, BCP Bolivia moved from fifth place to six place in the Bolivian Financial System with a MS of 9.2%.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Sources</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i w:val="1"/>
          <w:iCs w:val="1"/>
          <w:color w:val="auto"/>
        </w:rPr>
        <w:t>At the end of 4Q20, total funding increased +2.5% QoQ and +34.8% YoY. Growth was attributable to expansion in Deposits and obligations and in BCRP Instruments. The increase reported for deposits was driven by growth in saving deposits and in demand deposits, particularly non-interest-bearing deposits. Both of these deposit types are associated with lower costs. Growth in BCRP Instruments was driven by the government programs Reactiva Peru and FAE. The aforementioned offset the reduction in Other sources of funding, which were replaced by lower-cost alternatives. In this context, Credicorp’s structural funding cost fell -16 bps QoQ, -86 bps YoY and -57 bps YTD, which was attributable to funding mix and rate effects.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20</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QoQ</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34,213,188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53,574,151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54,530,356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35,179,770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45,999,882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50,069,129</w:t>
            </w:r>
          </w:p>
        </w:tc>
        <w:tc>
          <w:tcPr>
            <w:tcW w:w="8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34,034,037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29,785,440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29,324,090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7,897,199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7,127,617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7,736,747</w:t>
            </w:r>
          </w:p>
        </w:tc>
        <w:tc>
          <w:tcPr>
            <w:tcW w:w="8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681,191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715,584</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705,180</w:t>
            </w: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112,005,385</w:t>
            </w:r>
          </w:p>
        </w:tc>
        <w:tc>
          <w:tcPr>
            <w:tcW w:w="20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137,202,674</w:t>
            </w:r>
          </w:p>
        </w:tc>
        <w:tc>
          <w:tcPr>
            <w:tcW w:w="2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142,365,502</w:t>
            </w:r>
          </w:p>
        </w:tc>
        <w:tc>
          <w:tcPr>
            <w:tcW w:w="2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8,841,732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6,601,722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5,978,257</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4,381,011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25,344,724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25,734,963</w:t>
            </w:r>
          </w:p>
        </w:tc>
        <w:tc>
          <w:tcPr>
            <w:tcW w:w="8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1,820,911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1,204,487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1,072,920</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-10.9%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396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14,946,363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16,425,832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16,319,407</w:t>
            </w:r>
          </w:p>
        </w:tc>
        <w:tc>
          <w:tcPr>
            <w:tcW w:w="82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funding</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141,995,402</w:t>
            </w:r>
          </w:p>
        </w:tc>
        <w:tc>
          <w:tcPr>
            <w:tcW w:w="2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186,779,439</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191,471,049</w:t>
            </w: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(1) 2019 figures differ from previously reported due to the implementation of IFRS 19, where financing expenses related to lease agreements are included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figure depicting the Evolution of Credicorp’s cost and funding structure is calculated with quarter-end balances. In general, the funding structure reflects:</w:t>
      </w:r>
    </w:p>
    <w:p>
      <w:pPr>
        <w:spacing w:after="0" w:line="170" w:lineRule="exact"/>
        <w:rPr>
          <w:sz w:val="20"/>
          <w:szCs w:val="20"/>
          <w:color w:val="auto"/>
        </w:rPr>
      </w:pPr>
    </w:p>
    <w:p>
      <w:pPr>
        <w:jc w:val="both"/>
        <w:ind w:left="880" w:hanging="494"/>
        <w:spacing w:after="0" w:line="25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growth in deposits (+3.8% QoQ and +27.1% YoY), the main source of funding and a lower-cost alternative in comparison to Other sources of funding. The increase in the deposit volume was attributable to the measures taken by the government, which gave retail banking a platform to capture deposits and allowed clients in the wholesale banking, business and SME clients to benefit from loans from Reactiva Peru y FAE, which were subsequently deposited in accounts at BCP Stand-alone and Mibanco. Growth in deposits accounted for 108.7% and 61.3% of total growth in funding QoQ and YoY respectively.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880" w:hanging="494"/>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Within the deposit mix, demand deposits and savings deposits reported significant growth at the end of Dec 2020. These deposits account for 73.5% of total deposits (vs 72.6% in Sept 20 and 62.0% in Dec 19). Also, an increase in severance indemnity deposits due to statutory payments to dependent workers. Growth in the shares of aforementioned deposit types was attributable to a contraction in other types of deposits, which were replaced by lower-cost alternatives.</w:t>
      </w:r>
    </w:p>
    <w:p>
      <w:pPr>
        <w:spacing w:after="0" w:line="186" w:lineRule="exact"/>
        <w:rPr>
          <w:rFonts w:ascii="Arial" w:cs="Arial" w:eastAsia="Arial" w:hAnsi="Arial"/>
          <w:sz w:val="18"/>
          <w:szCs w:val="18"/>
          <w:color w:val="auto"/>
        </w:rPr>
      </w:pPr>
    </w:p>
    <w:p>
      <w:pPr>
        <w:jc w:val="both"/>
        <w:ind w:left="880" w:hanging="494"/>
        <w:spacing w:after="0" w:line="27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contraction in Other sources of funding is attributable to maturities and expirations of obligations and repos (-0.8% QoQ). In percentual terms, this contraction was offset by an increase in BCRP Instruments, which was spurred by government programs (further details in section 2.3 Other sources of funding). In this context, BCRP Instruments share of total funding remained high (13.4% in Dec 20) in terms of the figure posted in Sept 20 (13.6%) but showed a notable increase with regard to the 3.1% registered in Dec 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Deposits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99"/>
              </w:rPr>
              <w:t>% change</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3"/>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 19</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Sep 20</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 20</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QoQ</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34,213,188</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53,574,151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54,530,356</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59.4%</w:t>
            </w:r>
          </w:p>
        </w:tc>
      </w:tr>
      <w:tr>
        <w:trPr>
          <w:trHeight w:val="203"/>
        </w:trPr>
        <w:tc>
          <w:tcPr>
            <w:tcW w:w="3360" w:type="dxa"/>
            <w:vAlign w:val="bottom"/>
            <w:gridSpan w:val="2"/>
          </w:tcPr>
          <w:p>
            <w:pPr>
              <w:spacing w:after="0"/>
              <w:rPr>
                <w:sz w:val="20"/>
                <w:szCs w:val="20"/>
                <w:color w:val="auto"/>
              </w:rPr>
            </w:pPr>
            <w:r>
              <w:rPr>
                <w:rFonts w:ascii="Arial" w:cs="Arial" w:eastAsia="Arial" w:hAnsi="Arial"/>
                <w:sz w:val="16"/>
                <w:szCs w:val="16"/>
                <w:color w:val="auto"/>
              </w:rPr>
              <w:t>Saving deposits</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35,179,770</w:t>
            </w:r>
          </w:p>
        </w:tc>
        <w:tc>
          <w:tcPr>
            <w:tcW w:w="1040" w:type="dxa"/>
            <w:vAlign w:val="bottom"/>
          </w:tcPr>
          <w:p>
            <w:pPr>
              <w:jc w:val="right"/>
              <w:spacing w:after="0"/>
              <w:rPr>
                <w:sz w:val="20"/>
                <w:szCs w:val="20"/>
                <w:color w:val="auto"/>
              </w:rPr>
            </w:pPr>
            <w:r>
              <w:rPr>
                <w:rFonts w:ascii="Arial" w:cs="Arial" w:eastAsia="Arial" w:hAnsi="Arial"/>
                <w:sz w:val="16"/>
                <w:szCs w:val="16"/>
                <w:color w:val="auto"/>
              </w:rPr>
              <w:t>45,999,882</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50,069,129</w:t>
            </w:r>
          </w:p>
        </w:tc>
        <w:tc>
          <w:tcPr>
            <w:tcW w:w="720" w:type="dxa"/>
            <w:vAlign w:val="bottom"/>
          </w:tcPr>
          <w:p>
            <w:pPr>
              <w:spacing w:after="0"/>
              <w:rPr>
                <w:sz w:val="17"/>
                <w:szCs w:val="17"/>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6"/>
                <w:szCs w:val="16"/>
                <w:color w:val="auto"/>
              </w:rPr>
              <w:t>8.8%</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42.3%</w:t>
            </w:r>
          </w:p>
        </w:tc>
      </w:tr>
      <w:tr>
        <w:trPr>
          <w:trHeight w:val="203"/>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Time deposits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34,034,037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29,785,440</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29,324,090</w:t>
            </w: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3"/>
        </w:trPr>
        <w:tc>
          <w:tcPr>
            <w:tcW w:w="3360" w:type="dxa"/>
            <w:vAlign w:val="bottom"/>
            <w:gridSpan w:val="2"/>
          </w:tcPr>
          <w:p>
            <w:pPr>
              <w:spacing w:after="0"/>
              <w:rPr>
                <w:sz w:val="20"/>
                <w:szCs w:val="20"/>
                <w:color w:val="auto"/>
              </w:rPr>
            </w:pPr>
            <w:r>
              <w:rPr>
                <w:rFonts w:ascii="Arial" w:cs="Arial" w:eastAsia="Arial" w:hAnsi="Arial"/>
                <w:sz w:val="16"/>
                <w:szCs w:val="16"/>
                <w:color w:val="auto"/>
              </w:rPr>
              <w:t>Severance indemnity deposits</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7,897,199</w:t>
            </w:r>
          </w:p>
        </w:tc>
        <w:tc>
          <w:tcPr>
            <w:tcW w:w="1040" w:type="dxa"/>
            <w:vAlign w:val="bottom"/>
          </w:tcPr>
          <w:p>
            <w:pPr>
              <w:jc w:val="right"/>
              <w:spacing w:after="0"/>
              <w:rPr>
                <w:sz w:val="20"/>
                <w:szCs w:val="20"/>
                <w:color w:val="auto"/>
              </w:rPr>
            </w:pPr>
            <w:r>
              <w:rPr>
                <w:rFonts w:ascii="Arial" w:cs="Arial" w:eastAsia="Arial" w:hAnsi="Arial"/>
                <w:sz w:val="16"/>
                <w:szCs w:val="16"/>
                <w:color w:val="auto"/>
              </w:rPr>
              <w:t>7,127,617</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7,736,747</w:t>
            </w:r>
          </w:p>
        </w:tc>
        <w:tc>
          <w:tcPr>
            <w:tcW w:w="720" w:type="dxa"/>
            <w:vAlign w:val="bottom"/>
          </w:tcPr>
          <w:p>
            <w:pPr>
              <w:spacing w:after="0"/>
              <w:rPr>
                <w:sz w:val="17"/>
                <w:szCs w:val="17"/>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681,191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715,584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705,180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196"/>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112,005,385</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137,202,674</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142,365,502</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expanded +3.8% QoQ. The</w:t>
      </w:r>
      <w:r>
        <w:rPr>
          <w:rFonts w:ascii="Arial" w:cs="Arial" w:eastAsia="Arial" w:hAnsi="Arial"/>
          <w:sz w:val="18"/>
          <w:szCs w:val="18"/>
          <w:b w:val="1"/>
          <w:bCs w:val="1"/>
          <w:color w:val="auto"/>
        </w:rPr>
        <w:t xml:space="preserve"> QoQ </w:t>
      </w:r>
      <w:r>
        <w:rPr>
          <w:rFonts w:ascii="Arial" w:cs="Arial" w:eastAsia="Arial" w:hAnsi="Arial"/>
          <w:sz w:val="18"/>
          <w:szCs w:val="18"/>
          <w:color w:val="auto"/>
        </w:rPr>
        <w:t>evolution of the deposit mix indicates:</w:t>
      </w:r>
    </w:p>
    <w:p>
      <w:pPr>
        <w:spacing w:after="0" w:line="225" w:lineRule="exact"/>
        <w:rPr>
          <w:sz w:val="20"/>
          <w:szCs w:val="20"/>
          <w:color w:val="auto"/>
        </w:rPr>
      </w:pPr>
    </w:p>
    <w:p>
      <w:pPr>
        <w:jc w:val="both"/>
        <w:ind w:left="880" w:hanging="494"/>
        <w:spacing w:after="0" w:line="26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posted +8.8% growth QoQ, mainly in LC. The increase is given by bonus payments recorded in the last month of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Likewise, these low-cost deposits led to an increase in funds held in savings accounts, bolstered by campaigns to attract savings through digital and cost-efficient channels.</w:t>
      </w:r>
    </w:p>
    <w:p>
      <w:pPr>
        <w:spacing w:after="0" w:line="175" w:lineRule="exact"/>
        <w:rPr>
          <w:rFonts w:ascii="Arial" w:cs="Arial" w:eastAsia="Arial" w:hAnsi="Arial"/>
          <w:sz w:val="18"/>
          <w:szCs w:val="18"/>
          <w:color w:val="auto"/>
        </w:rPr>
      </w:pPr>
    </w:p>
    <w:p>
      <w:pPr>
        <w:jc w:val="both"/>
        <w:ind w:left="880" w:hanging="494"/>
        <w:spacing w:after="0" w:line="26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+1.8% growth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was attributable to growth in the volume of current accounts in LC at BCP Stand-alone. This growth was primarily associated with loans under Reactiva Peru, whose balances were transferred and held in the accounts of institutional clients. Growth in demand deposits was due entirely to non-interest bearing deposits, which had a positive impact on the funding cost. Interest-earning deposits fell -12.5% QoQ.</w:t>
      </w:r>
    </w:p>
    <w:p>
      <w:pPr>
        <w:spacing w:after="0" w:line="179"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severance indemnity deposits</w:t>
      </w:r>
      <w:r>
        <w:rPr>
          <w:rFonts w:ascii="Arial" w:cs="Arial" w:eastAsia="Arial" w:hAnsi="Arial"/>
          <w:sz w:val="18"/>
          <w:szCs w:val="18"/>
          <w:color w:val="auto"/>
        </w:rPr>
        <w:t xml:space="preserve"> (+8.5%), mainly at BCP Stand-alone and in LC due to economic reactivation and the fact that dependent workers received statutory payments to this account in November 2020.</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Contraction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which was primarily attributable to BCP Stand-alone and driven by a decrease in this type of deposit. It is important to note that these deposits have been replaced by lower-cost deposits.</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 xml:space="preserve">In YoY terms, </w:t>
      </w:r>
      <w:r>
        <w:rPr>
          <w:rFonts w:ascii="Arial" w:cs="Arial" w:eastAsia="Arial" w:hAnsi="Arial"/>
          <w:sz w:val="17"/>
          <w:szCs w:val="17"/>
          <w:b w:val="1"/>
          <w:bCs w:val="1"/>
          <w:color w:val="auto"/>
        </w:rPr>
        <w:t>deposits and obligations</w:t>
      </w:r>
      <w:r>
        <w:rPr>
          <w:rFonts w:ascii="Arial" w:cs="Arial" w:eastAsia="Arial" w:hAnsi="Arial"/>
          <w:sz w:val="17"/>
          <w:szCs w:val="17"/>
          <w:color w:val="auto"/>
        </w:rPr>
        <w:t xml:space="preserve"> grew +27.1%. Growth in deposits followed the same trend found in the QoQ analysis. The aforementioned was partially attenuated by a drop in time deposits, which reflected the decreases reported in the Middle Market and BCP Stand-alone segments.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-38735</wp:posOffset>
            </wp:positionV>
            <wp:extent cx="3583305" cy="1525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330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 Q-end balances.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154305</wp:posOffset>
            </wp:positionV>
            <wp:extent cx="4766310" cy="1731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631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dollarization level of Credicorp’s deposits remained stable QoQ, which was attributable to the fact that LC and FC experienced similar growth in volumes (+3.7% in LC vs +3.9% in FC). Saving, demand and severance deposits shows increase in the last quarter. Expansion in savings deposits was primarily attributable to individuals while the increase in demand deposits was associated with Wholesale Banking clients, both at BCP Stand-alone. Additionally, severance deposits registered an increase, commensurate with November depositing requirements for employers. The aforementioned offset the contraction in other types of deposits in LC.</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terms of FC volumes, growth was attributable to savings deposits and, to a lesser extent, to demand deposits. The quarterly evolution was attributable to the exchange rate effect generated by the +0.7% appreciation in the US Dollar, which drove an increase in FC deposits. In the case of demand deposits, growth was spurred by an uptick in volumes from institutional clients in Middle Market Banking at BCP Stand-alone.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w:t>
      </w:r>
      <w:r>
        <w:rPr>
          <w:rFonts w:ascii="Arial" w:cs="Arial" w:eastAsia="Arial" w:hAnsi="Arial"/>
          <w:sz w:val="18"/>
          <w:szCs w:val="18"/>
          <w:color w:val="auto"/>
        </w:rPr>
        <w:t xml:space="preserve"> evolution reveals a significant contraction at the dollarization level. The aforementioned was attributable to growth in demand deposits and savings deposits in LC, which was higher than the increase in deposits FC.</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It is important to note that a significantly higher increase in deposit volumes for demand deposits and savings deposits in LC (QoQ and YoY) was driven by the different economic relief measures implemented by the Peruvian government to provide individuals and companies with liquidity, in soles, during the pandemic. In this context, companies received loan facilities backed by government programs and individuals were allowed to withdraw funds from their severance and pension accounts (severance indemnity and AFP). These funds were subsequently held in bank accounts at BCP Stand-alone and Mibanco. The immediate liquidity effect also explains the reduction in time deposits, both in LC and FC.</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417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Figures may not add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end of Nov 20, Credicorp’s subsidiaries in Peru, BCP Stand-alone and Mibanco reported market shares of 31.8% and 2.3% respectively. In this context, Credicorp maintained leadership in the market for total deposits in the financial system with an MS significantly higher than that of its closest competitor (whose MS is 19.7%).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the YoY analysis, which eliminates a seasonal effect, BCP Stand-alone increased its share by 200 bps with regard to the figure reported at the end of Dec</w:t>
      </w:r>
    </w:p>
    <w:p>
      <w:pPr>
        <w:spacing w:after="0" w:line="4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was due primarily to the fact that demand deposits grew significantly this period (+410 bps). Mibanco’s market share fell 2.3% (vs 2.8% in Dec</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 due to a contraction in the MS for time deposits.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BPC Bolivia continued to rank fifth in the Bolivian financial system with an MS of 9.5% at the end of Dec 20 (versus 9.3% in Sep 20). In the YoY analysis, the MS fell -30 bps in comparison to the figure at the end of Dec 19 (9.8%).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Other funding sources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20</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 20</w:t>
            </w:r>
          </w:p>
        </w:tc>
        <w:tc>
          <w:tcPr>
            <w:tcW w:w="1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8,841,732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6,601,722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5,978,257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4,381,011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25,344,724</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25,734,963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1,820,911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1,204,487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1,072,920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14,946,363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16,425,832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16,319,407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29,990,017</w:t>
            </w:r>
          </w:p>
        </w:tc>
        <w:tc>
          <w:tcPr>
            <w:tcW w:w="2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49,576,765</w:t>
            </w:r>
          </w:p>
        </w:tc>
        <w:tc>
          <w:tcPr>
            <w:tcW w:w="2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49,105,547</w:t>
            </w:r>
          </w:p>
        </w:tc>
        <w:tc>
          <w:tcPr>
            <w:tcW w:w="1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total level of </w:t>
      </w:r>
      <w:r>
        <w:rPr>
          <w:rFonts w:ascii="Arial" w:cs="Arial" w:eastAsia="Arial" w:hAnsi="Arial"/>
          <w:sz w:val="18"/>
          <w:szCs w:val="18"/>
          <w:b w:val="1"/>
          <w:bCs w:val="1"/>
          <w:color w:val="auto"/>
        </w:rPr>
        <w:t>Other sources of funding</w:t>
      </w:r>
      <w:r>
        <w:rPr>
          <w:rFonts w:ascii="Arial" w:cs="Arial" w:eastAsia="Arial" w:hAnsi="Arial"/>
          <w:sz w:val="18"/>
          <w:szCs w:val="18"/>
          <w:color w:val="auto"/>
        </w:rPr>
        <w:t xml:space="preserve"> fell -0.8% QoQ. This was driven mainly by the expiration of sources of funding that carry higher rates. This reduction was offset by an increase in the volume of BCRP Instruments, which increased their share of total Other sources of funding to 52.4% (in comparison to 51.1% at the end of Sept 20).</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fell, due to (i) BCP Stand-alone, where obligations in FC with foreign financial institutions expired and, to lesser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to (ii) Mibanco, which was affected by expiration of obligations with companies in the national financial system, and (iii) ASB, after a decrease was registered in the volume of obligations in FC after products expired and were not renewed.</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BCRP Instruments</w:t>
      </w:r>
      <w:r>
        <w:rPr>
          <w:rFonts w:ascii="Arial" w:cs="Arial" w:eastAsia="Arial" w:hAnsi="Arial"/>
          <w:sz w:val="18"/>
          <w:szCs w:val="18"/>
          <w:color w:val="auto"/>
        </w:rPr>
        <w:t>, significant growth was attributable to the evolution at BCP Stand-alone to a lesser extent, to movements at Mibanco, after inflows of new repos. Growth in these instruments was driven by the liquidity facilities offered by the Peruvian government for loan disbursements under Reactiva Peru and FAE. It is important to note that BCRP repos, which are tied to funds from government relief programs, are administered at rates below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Repos </w:t>
      </w:r>
      <w:r>
        <w:rPr>
          <w:rFonts w:ascii="Arial" w:cs="Arial" w:eastAsia="Arial" w:hAnsi="Arial"/>
          <w:sz w:val="18"/>
          <w:szCs w:val="18"/>
          <w:color w:val="auto"/>
        </w:rPr>
        <w:t>contracted due to the expiration of repos with foreign financial institutions (FC) at BCP Stand-alone and ASB.</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Bonds and issued notes </w:t>
      </w:r>
      <w:r>
        <w:rPr>
          <w:rFonts w:ascii="Arial" w:cs="Arial" w:eastAsia="Arial" w:hAnsi="Arial"/>
          <w:sz w:val="17"/>
          <w:szCs w:val="17"/>
          <w:color w:val="auto"/>
        </w:rPr>
        <w:t>registered a decrease after the exchange of a Senior Global bond in the month of October at BCP Stand-alone and in LC.</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YoY evolution reveals growth of +63.7% in Other sources of funding, which was attributable to an increase in the level of BCRP Instruments, as indicated in the QoQ analysis. Growth in this source represents 112% of the total increase in Other sources of funding, which may offset the drop registered in Other sources of funding.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154305</wp:posOffset>
            </wp:positionV>
            <wp:extent cx="3600450" cy="1689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0045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L/D ratio at Credicorp contracted QoQ to situate at 96.7%. Expansion was attributable to that fact that growth in deposits (+3.8%) outpaced the expansion registered by loans (+1.1%).</w:t>
      </w:r>
    </w:p>
    <w:p>
      <w:pPr>
        <w:spacing w:after="0" w:line="17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analysis by subsidiary shows the same trend as that seen for BCP Stand-alone (95.9% Dec 20 vs 99.1% Sept 20). The QoQ drop in the L/D at BCP Stand-alone was generated by a scenario in which deposit growth (+3.5%) outstripped loan growth (+0.1%). The increase in deposits was driven by government financial relief programs for individuals and companies; withdrawals of severance and AFP funds; and the fact that disbursements from Reactiva Peru were deposited in current or savings accounts. The primary driven of growth in loans, on the other hand, were Reactiva Peru loans to companies. In the case of Mibanco, QoQ growth in the L/D was generated in a context marked by a +6.4% increase in loans versus +4.5% increase in deposits. Significant loan expansion this period was driven by disbursements under Reactiva Peru and FAE.</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YoY analysis, the L/D ratio at Credicorp and BCP Stand-alone fell as growth in deposits (+27.1% and +30.2% respectively) outpaced expansion at the loan level (+19.1% and +18.8% respectively). Mibanco’s L/D ratio followed the same trend as that seen in the QoQ analysis.</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4320"/>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Local Currency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5760720" cy="13633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072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QoQ analysis by currency, we see a reduction in the L/C ratio in LC at Credicorp and BCP. This drop was generated by an increase in deposits (+3.6% and +3.7% respectively), which was driven by government facilities and a seasonal variation in severance deposits. The L/C in FC at Credicorp, BCP Stand-alone and Mibanco contracted due to growth in LC deposits. In the case of Mibanco, the L/D ratio in FC contracted slightly due to a decrease in loan volumes (-7.6%) in a context of a drop in the commercial transactions level.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we see a contraction in the L/C ratio in LC and FC at Credicorp after growth in deposits outpaced expansion in loans, in line with the explanation provided in 2.2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97790</wp:posOffset>
            </wp:positionV>
            <wp:extent cx="5280660" cy="3128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066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24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w:t>
      </w:r>
    </w:p>
    <w:p>
      <w:pPr>
        <w:spacing w:after="0" w:line="23" w:lineRule="exact"/>
        <w:rPr>
          <w:rFonts w:ascii="Arial" w:cs="Arial" w:eastAsia="Arial" w:hAnsi="Arial"/>
          <w:sz w:val="18"/>
          <w:szCs w:val="18"/>
          <w:color w:val="auto"/>
        </w:rPr>
      </w:pPr>
    </w:p>
    <w:p>
      <w:pPr>
        <w:ind w:left="400" w:right="20" w:hanging="9"/>
        <w:spacing w:after="0" w:line="250"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2019 figures differ from previously reported due to the implementation of IFRS 16, where financing expenses related to lease agreements are included.</w:t>
      </w:r>
    </w:p>
    <w:p>
      <w:pPr>
        <w:ind w:left="400" w:hanging="9"/>
        <w:spacing w:after="0" w:line="260"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Credicorp’s funding cost fell -40 bps QoQ and -96 bps YoY. The QoQ evolution shows:</w:t>
      </w:r>
    </w:p>
    <w:p>
      <w:pPr>
        <w:spacing w:after="0" w:line="225" w:lineRule="exact"/>
        <w:rPr>
          <w:sz w:val="20"/>
          <w:szCs w:val="20"/>
          <w:color w:val="auto"/>
        </w:rPr>
      </w:pPr>
    </w:p>
    <w:p>
      <w:pPr>
        <w:jc w:val="both"/>
        <w:ind w:left="880" w:hanging="494"/>
        <w:spacing w:after="0" w:line="25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reduction in the total funding cost was attributable to an increase in funding (+2.5%) and a decrease in interest expenses (-20.0%). Growth in the funding level was driven by an increase in deposits, the main source of funding and in BCRP Instruments, while the drop in expenses was due to a decrease in interest on deposits and bonds. An analysis of the total cost of structural funding that excludes interest and funding from government programs indicates that the ratio situated at 1.43% (-16 bps QoQ).</w:t>
      </w:r>
    </w:p>
    <w:p>
      <w:pPr>
        <w:spacing w:after="0" w:line="186" w:lineRule="exact"/>
        <w:rPr>
          <w:rFonts w:ascii="Arial" w:cs="Arial" w:eastAsia="Arial" w:hAnsi="Arial"/>
          <w:sz w:val="18"/>
          <w:szCs w:val="18"/>
          <w:color w:val="auto"/>
        </w:rPr>
      </w:pPr>
    </w:p>
    <w:p>
      <w:pPr>
        <w:jc w:val="both"/>
        <w:ind w:left="880" w:hanging="494"/>
        <w:spacing w:after="0" w:line="275"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drop in the funding cost in LC (-20 bps) was attributable to a -9.0% contraction in interest expenses and to growth of +2.5% in total funding. Expansion in the total funding volume in LC was attributable to growth of +3.7% in deposits and BCRP Instruments. If we analyze the cost of structural funding in LC (excluding the effects of government programs), said cost falls -21 bps (1.36% 4Q20 vs 1.57% 3Q20). This was primarily driven by a decrease in interest on deposits (-8.8% QoQ), which was in line with an improvement in the mix in 4Q20, where low-cost deposits (savings and non-interest-bearing deposits) reported the highest growth.</w:t>
      </w:r>
    </w:p>
    <w:p>
      <w:pPr>
        <w:spacing w:after="0" w:line="176" w:lineRule="exact"/>
        <w:rPr>
          <w:rFonts w:ascii="Arial" w:cs="Arial" w:eastAsia="Arial" w:hAnsi="Arial"/>
          <w:sz w:val="17"/>
          <w:szCs w:val="17"/>
          <w:color w:val="auto"/>
        </w:rPr>
      </w:pPr>
    </w:p>
    <w:p>
      <w:pPr>
        <w:jc w:val="both"/>
        <w:ind w:left="880" w:hanging="494"/>
        <w:spacing w:after="0" w:line="311"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reduction in the funding cost in FC (-65 bps) was driven by a decrease in interest expenses due to a drop in expenses for bonds and issued notes given that in 3Q20, a non-recurring charge was reported for liability management. This was accompanied by an increase in FC deposits, which was spurred by an exchange rate effect. The funding cost in FC in 4Q20 was situated at 1.51% (an improvement of -11 bps).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reveals a reduction in the total funding cost due to:</w:t>
      </w:r>
    </w:p>
    <w:p>
      <w:pPr>
        <w:spacing w:after="0" w:line="225" w:lineRule="exact"/>
        <w:rPr>
          <w:sz w:val="20"/>
          <w:szCs w:val="20"/>
          <w:color w:val="auto"/>
        </w:rPr>
      </w:pPr>
    </w:p>
    <w:p>
      <w:pPr>
        <w:ind w:left="880" w:right="20" w:hanging="494"/>
        <w:spacing w:after="0" w:line="342"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Growth in total funding of +34.8% YoY, which was primarily attributable to an increase in low-cost funding: deposits and low-cost funding from government programs. This was attributable to the high level of liquidity generated in the financial system by economic relief programs.</w:t>
      </w:r>
    </w:p>
    <w:p>
      <w:pPr>
        <w:spacing w:after="0" w:line="123" w:lineRule="exact"/>
        <w:rPr>
          <w:rFonts w:ascii="Arial" w:cs="Arial" w:eastAsia="Arial" w:hAnsi="Arial"/>
          <w:sz w:val="16"/>
          <w:szCs w:val="16"/>
          <w:color w:val="auto"/>
        </w:rPr>
      </w:pPr>
    </w:p>
    <w:p>
      <w:pPr>
        <w:jc w:val="both"/>
        <w:ind w:left="880" w:hanging="494"/>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 mix: given a -33.2% reduction in interest expenses on deposits was recorded YoY. This was attributable to an improvement in the deposit mix, when demand and savings deposits registered the highest growth with variations of +59.4% and +42.3% respectively while higher costs deposits, such as time and severance deposits, fell -13.8% and -2.0% respectively.</w:t>
      </w:r>
    </w:p>
    <w:p>
      <w:pPr>
        <w:spacing w:after="0" w:line="183"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rate: given that interest rates (national and international) have presented a downward trend in the context of economic contraction due to the pandemic.</w:t>
      </w:r>
    </w:p>
    <w:p>
      <w:pPr>
        <w:spacing w:after="0" w:line="170"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auto"/>
        </w:rPr>
        <w:t>In the aforementioned context, the total structural funding cost in LV and FC registered a broad contraction of -86 bps, -104 bps and -70 bps YoY respectively. Cost of funding is at the lowest level registered in the last 4 years, which attests to the success of the strategy to restructure liabilities at Credicorp with an eye on improving the profile of maturities and reducing the funding cost curve in national and foreign currencies.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the FY analysis, the funding cost registered a 57 bps decline due to:</w:t>
      </w:r>
    </w:p>
    <w:p>
      <w:pPr>
        <w:spacing w:after="0" w:line="225" w:lineRule="exact"/>
        <w:rPr>
          <w:sz w:val="20"/>
          <w:szCs w:val="20"/>
          <w:color w:val="auto"/>
        </w:rPr>
      </w:pPr>
    </w:p>
    <w:p>
      <w:pPr>
        <w:ind w:left="880" w:hanging="49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funding volume due to the measures taken by the Peruvian government in 2020 with the advent of COVID-19.</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expenses for deposits, which was mainly attributable to reduction in below-market rates, where demand deposits and savings deposits grew considerably.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funding cost by subsidiary is depicted in the following figure: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by subsidiary– Credicorp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-38735</wp:posOffset>
            </wp:positionV>
            <wp:extent cx="4697730" cy="2768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9773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0" w:right="180" w:firstLine="2"/>
        <w:spacing w:after="0" w:line="258" w:lineRule="auto"/>
        <w:tabs>
          <w:tab w:leader="none" w:pos="11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2019 figures differ from previously reported due to the implementation of IFRS 16, where financing expenses related to lease agreements are included.</w:t>
      </w:r>
    </w:p>
    <w:p>
      <w:pPr>
        <w:spacing w:after="0" w:line="1" w:lineRule="exact"/>
        <w:rPr>
          <w:rFonts w:ascii="Arial" w:cs="Arial" w:eastAsia="Arial" w:hAnsi="Arial"/>
          <w:sz w:val="18"/>
          <w:szCs w:val="18"/>
          <w:color w:val="auto"/>
        </w:rPr>
      </w:pPr>
    </w:p>
    <w:p>
      <w:pPr>
        <w:ind w:left="900" w:right="140" w:firstLine="2"/>
        <w:spacing w:after="0" w:line="260" w:lineRule="auto"/>
        <w:tabs>
          <w:tab w:leader="none" w:pos="11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81" w:lineRule="exact"/>
        <w:rPr>
          <w:rFonts w:ascii="Arial" w:cs="Arial" w:eastAsia="Arial" w:hAnsi="Arial"/>
          <w:sz w:val="18"/>
          <w:szCs w:val="18"/>
          <w:color w:val="auto"/>
        </w:rPr>
      </w:pPr>
    </w:p>
    <w:p>
      <w:pPr>
        <w:jc w:val="both"/>
        <w:ind w:left="880" w:hanging="494"/>
        <w:spacing w:after="0" w:line="25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followed a trend similar to that seen for the funding cost at Credicorp, which registered a contraction QoQ and YoY. The decline was due to (i) the volume effect, which was driven by significant growth in BCRP Instruments and deposits, (ii) an improvement in the funding mix after the volume of lower-cost funding sources increased and (iii) the rate effect, where all funding sources registered a reduction in their implicit rates. The structural funding cost at BCP Stand-alone, excluding expenses and funding associated with government programs, situates at 1.12%, which represents a decline of -16 bps QoQ and -89 bps YoY. FY, funding cost decreased -58% due to measures relief from the Peruvian Government.</w:t>
      </w:r>
    </w:p>
    <w:p>
      <w:pPr>
        <w:spacing w:after="0" w:line="187" w:lineRule="exact"/>
        <w:rPr>
          <w:rFonts w:ascii="Arial" w:cs="Arial" w:eastAsia="Arial" w:hAnsi="Arial"/>
          <w:sz w:val="18"/>
          <w:szCs w:val="18"/>
          <w:color w:val="auto"/>
        </w:rPr>
      </w:pPr>
    </w:p>
    <w:p>
      <w:pPr>
        <w:jc w:val="both"/>
        <w:ind w:left="880" w:hanging="494"/>
        <w:spacing w:after="0" w:line="25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also reported a considerable contraction QoQ and YoY in the funding cost. In the QoQ and YoY analysis, the decrease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expense line (-12.9% and -28.4% respectively) was attributable to a drop in interest on deposits, which was primarily driven by a context of lower rates in the retail segment and for time deposits, as well as by an improvement in the funding mix. The total funding volume increased +6.2% QoQ and +19.8% YoY, spurred by repos under government programs, which contributed to the denominator of the calculation. Finally, the structural funding cost at Mibanco, excluding the effects of Reactiva and FAE, situates at 3.15% to represent a decline of -52 bps QoQ and -124 bps YoY. This contributes positively to interest margins. FY, funding cost of Miabnco decreased -90 bps due measures before mention.</w:t>
      </w:r>
    </w:p>
    <w:p>
      <w:pPr>
        <w:spacing w:after="0" w:line="188" w:lineRule="exact"/>
        <w:rPr>
          <w:rFonts w:ascii="Arial" w:cs="Arial" w:eastAsia="Arial" w:hAnsi="Arial"/>
          <w:sz w:val="18"/>
          <w:szCs w:val="18"/>
          <w:color w:val="auto"/>
        </w:rPr>
      </w:pPr>
    </w:p>
    <w:p>
      <w:pPr>
        <w:jc w:val="both"/>
        <w:ind w:left="880" w:hanging="494"/>
        <w:spacing w:after="0" w:line="26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registered a slight increase QoQ (+8 bps) due to similar growth in both expenses and funding (+6.5% y +6.4%, respectively). The YoY funding cost registered a small increase of +9 bps, which was attributable to growth in interest expenses on deposits after higher-cost deposits (time) registered an increase in volume. FY, growth of +14 bps was attributable to an increase in interest expenses on deposits.</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 the end of 4Q20, net provisions for loan losses registered a significant decline with regard to the level posted last quarter (-43.9% QoQ), which was attributable to an improvement in expectations for 2021 and in the probability of default of specific segments. The aforementioned led the Cost of Risk (CofR) to situate at 2.13% with a structural CofR of 2.44% (compared to 3.84% and 4.36% in 3Q20 respectively). The variations in annual and full-year terms reflect the fact that COVID-19 has generated the deepest global recession since World War II.</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terms of traditional delinquency ratios, the IOL and NPL ratios registered growth after the grace periods on Credicorp’s pandemic relief facilities expired. The deterioration seen in both portfolios was mainly attributable to the evolution of the Retail portfolio at BCP Stand-alone, particularly in the Consumer segment, and to the performance of Mibanco. In this context, the coverage ratio for the NPL portfolio situated at 156.1% in 4Q20 (versus 169.9% in 3Q20 and 114.4% in 4Q19).</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QoQ Evolution of 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154305</wp:posOffset>
            </wp:positionV>
            <wp:extent cx="4714875" cy="1594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1487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(1) Includes BCP Bolivia, Encumbra, Bancompartir, ASB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Reprogrammed and Payment Ratios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4Q20, in line with on-going economic reactivation, an improvement was observed in the payment ratio of maturing installments at both BCP and Mibanco. In the case of BCP's Retail Banking, on-time payments rose from 94% in September to 96% in December, while at Mibanco the ratio improved from 84% in September to 93% in December.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the breakdown of our up-to-date structural portfolio was as follows: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case of Retail Banking at BCP, 20% reprogrammed and up-to-date, 74% were non-reprogrammed up-to-date loans, and 6% overdue loans (in comparison to the 23%, 71% and 6% in 3Q20, respectively). In the case of Mibanco, 45% were reprogrammed and up-to-date; 49% were non-reprogrammed up-to-date loans; and 6% overdue loans (in comparison to the 61%, 35% and 4% in 3Q20,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Incorporating the total of reprogrammed loans for the Wholesale and BCP Bolivia portfolios, the level of reprogrammed loans at Credicorp level represents approximately 15% of total loans. Reprogramming facilities have helped prevent further deterioration in the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60" w:type="dxa"/>
            <w:vAlign w:val="bottom"/>
            <w:gridSpan w:val="2"/>
          </w:tcPr>
          <w:p>
            <w:pPr>
              <w:spacing w:after="0"/>
              <w:rPr>
                <w:sz w:val="20"/>
                <w:szCs w:val="20"/>
                <w:color w:val="auto"/>
              </w:rPr>
            </w:pPr>
            <w:r>
              <w:rPr>
                <w:rFonts w:ascii="Arial" w:cs="Arial" w:eastAsia="Arial" w:hAnsi="Arial"/>
                <w:sz w:val="13"/>
                <w:szCs w:val="13"/>
                <w:b w:val="1"/>
                <w:bCs w:val="1"/>
                <w:color w:val="auto"/>
                <w:w w:val="87"/>
              </w:rPr>
              <w:t>Provision for credit losses on loan portfolio, net of recoveries</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 change</w:t>
            </w:r>
          </w:p>
        </w:tc>
        <w:tc>
          <w:tcPr>
            <w:tcW w:w="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bottom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Year</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 change</w:t>
            </w:r>
          </w:p>
        </w:tc>
      </w:tr>
      <w:tr>
        <w:trPr>
          <w:trHeight w:val="142"/>
        </w:trPr>
        <w:tc>
          <w:tcPr>
            <w:tcW w:w="32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S/ 000</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4Q19</w:t>
            </w: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3Q20</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4Q20</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3"/>
                <w:szCs w:val="13"/>
                <w:b w:val="1"/>
                <w:bCs w:val="1"/>
                <w:color w:val="auto"/>
                <w:w w:val="92"/>
              </w:rPr>
              <w:t>QoQ</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2020 / 2019</w:t>
            </w:r>
          </w:p>
        </w:tc>
        <w:tc>
          <w:tcPr>
            <w:tcW w:w="140" w:type="dxa"/>
            <w:vAlign w:val="bottom"/>
            <w:tcBorders>
              <w:bottom w:val="single" w:sz="8" w:color="CCEEFF"/>
            </w:tcBorders>
          </w:tcPr>
          <w:p>
            <w:pPr>
              <w:spacing w:after="0"/>
              <w:rPr>
                <w:sz w:val="12"/>
                <w:szCs w:val="12"/>
                <w:color w:val="auto"/>
              </w:rPr>
            </w:pPr>
          </w:p>
        </w:tc>
      </w:tr>
      <w:tr>
        <w:trPr>
          <w:trHeight w:val="128"/>
        </w:trPr>
        <w:tc>
          <w:tcPr>
            <w:tcW w:w="3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Gross provision for credit losses on loan portfolio</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(568,727)</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(1,348,726)</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(785,194)</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7"/>
              </w:rPr>
              <w:t>-41.8%</w:t>
            </w:r>
          </w:p>
        </w:tc>
        <w:tc>
          <w:tcPr>
            <w:tcW w:w="6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2"/>
              </w:rPr>
              <w:t>38.1%</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(2,100,091)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(6,080,289)</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189.5%</w:t>
            </w:r>
          </w:p>
        </w:tc>
      </w:tr>
      <w:tr>
        <w:trPr>
          <w:trHeight w:val="135"/>
        </w:trPr>
        <w:tc>
          <w:tcPr>
            <w:tcW w:w="3360" w:type="dxa"/>
            <w:vAlign w:val="bottom"/>
            <w:gridSpan w:val="2"/>
          </w:tcPr>
          <w:p>
            <w:pPr>
              <w:spacing w:after="0" w:line="135" w:lineRule="exact"/>
              <w:rPr>
                <w:sz w:val="20"/>
                <w:szCs w:val="20"/>
                <w:color w:val="auto"/>
              </w:rPr>
            </w:pPr>
            <w:r>
              <w:rPr>
                <w:rFonts w:ascii="Arial" w:cs="Arial" w:eastAsia="Arial" w:hAnsi="Arial"/>
                <w:sz w:val="13"/>
                <w:szCs w:val="13"/>
                <w:color w:val="auto"/>
              </w:rPr>
              <w:t>Recoveries of written-off loans</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57,068</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42,821</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52,529</w:t>
            </w:r>
          </w:p>
        </w:tc>
        <w:tc>
          <w:tcPr>
            <w:tcW w:w="560" w:type="dxa"/>
            <w:vAlign w:val="bottom"/>
          </w:tcPr>
          <w:p>
            <w:pPr>
              <w:spacing w:after="0"/>
              <w:rPr>
                <w:sz w:val="11"/>
                <w:szCs w:val="11"/>
                <w:color w:val="auto"/>
              </w:rPr>
            </w:pPr>
          </w:p>
        </w:tc>
        <w:tc>
          <w:tcPr>
            <w:tcW w:w="4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7"/>
              </w:rPr>
              <w:t>22.7%</w:t>
            </w:r>
          </w:p>
        </w:tc>
        <w:tc>
          <w:tcPr>
            <w:tcW w:w="600" w:type="dxa"/>
            <w:vAlign w:val="bottom"/>
          </w:tcPr>
          <w:p>
            <w:pPr>
              <w:spacing w:after="0"/>
              <w:rPr>
                <w:sz w:val="11"/>
                <w:szCs w:val="11"/>
                <w:color w:val="auto"/>
              </w:rPr>
            </w:pP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9"/>
              </w:rPr>
              <w:t>-8.0%</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254,155</w:t>
            </w:r>
          </w:p>
        </w:tc>
        <w:tc>
          <w:tcPr>
            <w:tcW w:w="2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159,781</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-37.1%</w:t>
            </w:r>
          </w:p>
        </w:tc>
      </w:tr>
      <w:tr>
        <w:trPr>
          <w:trHeight w:val="135"/>
        </w:trPr>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7"/>
              </w:rPr>
              <w:t>Provision for credit losses on loan portfolio, net of recoveries</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(511,659)</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(1,305,905)</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(732,665)</w:t>
            </w:r>
          </w:p>
        </w:tc>
        <w:tc>
          <w:tcPr>
            <w:tcW w:w="5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w w:val="92"/>
              </w:rPr>
              <w:t>-43.9%</w:t>
            </w:r>
          </w:p>
        </w:tc>
        <w:tc>
          <w:tcPr>
            <w:tcW w:w="6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w w:val="97"/>
              </w:rPr>
              <w:t>43.2%</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(1,845,936)</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(5,920,508)</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220.7%</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Provisions fell -43.9% QoQ due to:</w:t>
      </w:r>
    </w:p>
    <w:p>
      <w:pPr>
        <w:spacing w:after="0" w:line="225" w:lineRule="exact"/>
        <w:rPr>
          <w:sz w:val="20"/>
          <w:szCs w:val="20"/>
          <w:color w:val="auto"/>
        </w:rPr>
      </w:pPr>
    </w:p>
    <w:p>
      <w:pPr>
        <w:ind w:left="880" w:right="20" w:hanging="49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improvement in macroeconomic expectations for coming years, aligned to the economic reactivation. It is important to note that these expectations may be affected by future waves of infections or strict confinement measures.</w:t>
      </w:r>
    </w:p>
    <w:p>
      <w:pPr>
        <w:spacing w:after="0" w:line="170" w:lineRule="exact"/>
        <w:rPr>
          <w:rFonts w:ascii="Arial" w:cs="Arial" w:eastAsia="Arial" w:hAnsi="Arial"/>
          <w:sz w:val="18"/>
          <w:szCs w:val="18"/>
          <w:color w:val="auto"/>
        </w:rPr>
      </w:pPr>
    </w:p>
    <w:p>
      <w:pPr>
        <w:jc w:val="both"/>
        <w:ind w:left="880" w:hanging="494"/>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Since the beginning of the pandemic, forward-looking provisions were set aside in a context of high uncertainty regarding COVID-19’s total impact on the economy and on the credit quality of clients. Given the progress in clients’ payment behavior and a reduction in risk levels, in line with the improvement in transactional, provision expenses have gradually fallen since 2Q20.</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this context, the contraction in provisions was mainly attributable to Mibanco, due to (i) the improvement in the probability of default (PD), in line with the improvement in the risk quality of the new loans originated, (ii) improvements in the evolution of reprogrammed loans and collection processes, and</w:t>
      </w:r>
    </w:p>
    <w:p>
      <w:pPr>
        <w:ind w:firstLine="8"/>
        <w:spacing w:after="0" w:line="260"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provisions reversal. BCP Stand-alone also contributed to a contraction in the provisions level, primarily via its SME-Pyme segment. The decrease in provisions expenses was primarily driven by drop in the probability of default.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aforementioned was offset by the growth in provisions of Retail Banking at BCP Stand-alone, mainly in the Credit Card and Consumer segment, due to (i) the incorporation into Stage 3 of clients who had two facilities and arrears in excess of 30 days, (ii) an increase in entries in default, and (iii) growth in the volume of loans. In addition, BCP Bolivia recorded higher provisions this quarter due to political volatility stemming from the presidential election in 4Q20 and the possibility that new regulations may be enacted with potential adverse effects for financial institutions.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and accumulated analysis, net provisions for loan losses net of recoveries registered a significant increase after clients experienced a reduction in their debt service capacities in the context of the COVID-19 pandemic. The increase in provisions was driven by the same retail segments that drove the QoQ analysis but was also impacted by the evolution in Wholesale Banking, where adjustments were made to the probability of default of clients in Stage 3 to anticipate potential difficulties in the execution of guarantees. Credicorp and the government have taken distinct measures to attenuate deterioration at the client and economic levels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Cost of risk and Provisions</w:t>
            </w:r>
          </w:p>
        </w:tc>
        <w:tc>
          <w:tcPr>
            <w:tcW w:w="6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 change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520"/>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7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5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4Q19</w:t>
            </w:r>
          </w:p>
        </w:tc>
        <w:tc>
          <w:tcPr>
            <w:tcW w:w="20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4Q20</w:t>
            </w:r>
          </w:p>
        </w:tc>
        <w:tc>
          <w:tcPr>
            <w:tcW w:w="1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QoQ</w:t>
            </w:r>
          </w:p>
        </w:tc>
        <w:tc>
          <w:tcPr>
            <w:tcW w:w="1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2020 / 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-171 bps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 bps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270 bps</w:t>
            </w: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Structural Cost of risk </w:t>
            </w:r>
            <w:r>
              <w:rPr>
                <w:rFonts w:ascii="Arial" w:cs="Arial" w:eastAsia="Arial" w:hAnsi="Arial"/>
                <w:sz w:val="21"/>
                <w:szCs w:val="21"/>
                <w:color w:val="auto"/>
                <w:vertAlign w:val="superscript"/>
              </w:rPr>
              <w:t>(2)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1.77%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4.36%</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2.44%</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-192 bps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67 bps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5.07%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347 bps</w:t>
            </w:r>
          </w:p>
        </w:tc>
        <w:tc>
          <w:tcPr>
            <w:tcW w:w="0" w:type="dxa"/>
            <w:vAlign w:val="bottom"/>
          </w:tcPr>
          <w:p>
            <w:pPr>
              <w:spacing w:after="0"/>
              <w:rPr>
                <w:sz w:val="1"/>
                <w:szCs w:val="1"/>
                <w:color w:val="auto"/>
              </w:rPr>
            </w:pPr>
          </w:p>
        </w:tc>
      </w:tr>
      <w:tr>
        <w:trPr>
          <w:trHeight w:val="148"/>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Provision for credit losses on loan portfolio, net of recoveries / Net interest income</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 bps</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1380 bps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69.1%</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4860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Annualized Provision for credit losses on loan portfolio, net of recoveries / Total loans.</w:t>
      </w: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Structural Cost of risk excludes the provisions for credit losses on loan portfolio, net of recoveries and total loans from the Reactiva Peru and FAE Government Programs.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aforementioned scenario, Credicorp’s CofR fell -171 bps QoQ but increased +36 bps YoY and +270 bps full-year 2020. If we exclude provisions and loans associated with government programs (GP), the cost of risk for the structural portfolio at Credicorp situated at 2.44% in 4Q20 and 5.07% in FY 2020, which represented a reduction of -192 bps QoQ and an increase of +67 bps YoY and +347 bps FY 2020.</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3.2. Portfolio Quality: Delinquency ratios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Portfolio quality and Delinquency ratios</w:t>
            </w: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As of</w:t>
            </w: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 change</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 19</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Sep 20</w:t>
            </w: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 20</w:t>
            </w: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202"/>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loans (Quarter-end balance)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115,609,679</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136,148,711</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137,659,885</w:t>
            </w: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Structural Loan Portfolio</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115,609,679</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111,873,729</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113,017,211</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w:t>
            </w:r>
          </w:p>
        </w:tc>
        <w:tc>
          <w:tcPr>
            <w:tcW w:w="3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-2.2%</w:t>
            </w:r>
          </w:p>
        </w:tc>
      </w:tr>
      <w:tr>
        <w:trPr>
          <w:trHeight w:val="243"/>
        </w:trPr>
        <w:tc>
          <w:tcPr>
            <w:tcW w:w="3900" w:type="dxa"/>
            <w:vAlign w:val="bottom"/>
            <w:gridSpan w:val="2"/>
            <w:shd w:val="clear" w:color="auto" w:fill="CCEEFF"/>
          </w:tcPr>
          <w:p>
            <w:pPr>
              <w:spacing w:after="0" w:line="243" w:lineRule="exact"/>
              <w:rPr>
                <w:sz w:val="20"/>
                <w:szCs w:val="20"/>
                <w:color w:val="auto"/>
              </w:rPr>
            </w:pPr>
            <w:r>
              <w:rPr>
                <w:rFonts w:ascii="Arial" w:cs="Arial" w:eastAsia="Arial" w:hAnsi="Arial"/>
                <w:sz w:val="16"/>
                <w:szCs w:val="16"/>
                <w:color w:val="auto"/>
              </w:rPr>
              <w:t xml:space="preserve">Allowance for loan losses </w:t>
            </w:r>
            <w:r>
              <w:rPr>
                <w:rFonts w:ascii="Arial" w:cs="Arial" w:eastAsia="Arial" w:hAnsi="Arial"/>
                <w:sz w:val="26"/>
                <w:szCs w:val="26"/>
                <w:color w:val="auto"/>
                <w:vertAlign w:val="superscript"/>
              </w:rPr>
              <w:t>(1)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5,123,962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9,656,383</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9,898,760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color w:val="auto"/>
              </w:rPr>
              <w:t>Write-offs</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509,571</w:t>
            </w:r>
          </w:p>
        </w:tc>
        <w:tc>
          <w:tcPr>
            <w:tcW w:w="1220" w:type="dxa"/>
            <w:vAlign w:val="bottom"/>
          </w:tcPr>
          <w:p>
            <w:pPr>
              <w:jc w:val="right"/>
              <w:spacing w:after="0"/>
              <w:rPr>
                <w:sz w:val="20"/>
                <w:szCs w:val="20"/>
                <w:color w:val="auto"/>
              </w:rPr>
            </w:pPr>
            <w:r>
              <w:rPr>
                <w:rFonts w:ascii="Arial" w:cs="Arial" w:eastAsia="Arial" w:hAnsi="Arial"/>
                <w:sz w:val="16"/>
                <w:szCs w:val="16"/>
                <w:color w:val="auto"/>
              </w:rPr>
              <w:t>20,249</w:t>
            </w:r>
          </w:p>
        </w:tc>
        <w:tc>
          <w:tcPr>
            <w:tcW w:w="28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509,001</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n.a</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43"/>
        </w:trPr>
        <w:tc>
          <w:tcPr>
            <w:tcW w:w="3900" w:type="dxa"/>
            <w:vAlign w:val="bottom"/>
            <w:gridSpan w:val="2"/>
            <w:shd w:val="clear" w:color="auto" w:fill="CCEEFF"/>
          </w:tcPr>
          <w:p>
            <w:pPr>
              <w:spacing w:after="0" w:line="243" w:lineRule="exact"/>
              <w:rPr>
                <w:sz w:val="20"/>
                <w:szCs w:val="20"/>
                <w:color w:val="auto"/>
              </w:rPr>
            </w:pPr>
            <w:r>
              <w:rPr>
                <w:rFonts w:ascii="Arial" w:cs="Arial" w:eastAsia="Arial" w:hAnsi="Arial"/>
                <w:sz w:val="16"/>
                <w:szCs w:val="16"/>
                <w:color w:val="auto"/>
              </w:rPr>
              <w:t xml:space="preserve">Internal overdue loans (lOLs) </w:t>
            </w:r>
            <w:r>
              <w:rPr>
                <w:rFonts w:ascii="Arial" w:cs="Arial" w:eastAsia="Arial" w:hAnsi="Arial"/>
                <w:sz w:val="26"/>
                <w:szCs w:val="26"/>
                <w:color w:val="auto"/>
                <w:vertAlign w:val="superscript"/>
              </w:rPr>
              <w:t>(2)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3,297,791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4,142,844</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4,675,731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w:t>
            </w: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r>
      <w:tr>
        <w:trPr>
          <w:trHeight w:val="243"/>
        </w:trPr>
        <w:tc>
          <w:tcPr>
            <w:tcW w:w="3900" w:type="dxa"/>
            <w:vAlign w:val="bottom"/>
            <w:gridSpan w:val="2"/>
          </w:tcPr>
          <w:p>
            <w:pPr>
              <w:spacing w:after="0" w:line="243" w:lineRule="exact"/>
              <w:rPr>
                <w:sz w:val="20"/>
                <w:szCs w:val="20"/>
                <w:color w:val="auto"/>
              </w:rPr>
            </w:pPr>
            <w:r>
              <w:rPr>
                <w:rFonts w:ascii="Arial" w:cs="Arial" w:eastAsia="Arial" w:hAnsi="Arial"/>
                <w:sz w:val="16"/>
                <w:szCs w:val="16"/>
                <w:color w:val="auto"/>
              </w:rPr>
              <w:t xml:space="preserve">Internal overdue loans over 90-days </w:t>
            </w:r>
            <w:r>
              <w:rPr>
                <w:rFonts w:ascii="Arial" w:cs="Arial" w:eastAsia="Arial" w:hAnsi="Arial"/>
                <w:sz w:val="26"/>
                <w:szCs w:val="26"/>
                <w:color w:val="auto"/>
                <w:vertAlign w:val="superscript"/>
              </w:rPr>
              <w:t>(1)(2)</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2,480,672</w:t>
            </w:r>
          </w:p>
        </w:tc>
        <w:tc>
          <w:tcPr>
            <w:tcW w:w="1220" w:type="dxa"/>
            <w:vAlign w:val="bottom"/>
          </w:tcPr>
          <w:p>
            <w:pPr>
              <w:jc w:val="right"/>
              <w:spacing w:after="0"/>
              <w:rPr>
                <w:sz w:val="20"/>
                <w:szCs w:val="20"/>
                <w:color w:val="auto"/>
              </w:rPr>
            </w:pPr>
            <w:r>
              <w:rPr>
                <w:rFonts w:ascii="Arial" w:cs="Arial" w:eastAsia="Arial" w:hAnsi="Arial"/>
                <w:sz w:val="16"/>
                <w:szCs w:val="16"/>
                <w:color w:val="auto"/>
              </w:rPr>
              <w:t>3,442,908</w:t>
            </w:r>
          </w:p>
        </w:tc>
        <w:tc>
          <w:tcPr>
            <w:tcW w:w="28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3,709,865</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49.6%</w:t>
            </w: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Refinanced loans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1,182,797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1,539,484</w:t>
            </w: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1,664,626</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40.7%</w:t>
            </w:r>
          </w:p>
        </w:tc>
      </w:tr>
      <w:tr>
        <w:trPr>
          <w:trHeight w:val="243"/>
        </w:trPr>
        <w:tc>
          <w:tcPr>
            <w:tcW w:w="3900" w:type="dxa"/>
            <w:vAlign w:val="bottom"/>
            <w:gridSpan w:val="2"/>
          </w:tcPr>
          <w:p>
            <w:pPr>
              <w:spacing w:after="0" w:line="243" w:lineRule="exact"/>
              <w:rPr>
                <w:sz w:val="20"/>
                <w:szCs w:val="20"/>
                <w:color w:val="auto"/>
              </w:rPr>
            </w:pPr>
            <w:r>
              <w:rPr>
                <w:rFonts w:ascii="Arial" w:cs="Arial" w:eastAsia="Arial" w:hAnsi="Arial"/>
                <w:sz w:val="16"/>
                <w:szCs w:val="16"/>
                <w:color w:val="auto"/>
              </w:rPr>
              <w:t xml:space="preserve">Non-performing loans (NPLs) </w:t>
            </w:r>
            <w:r>
              <w:rPr>
                <w:rFonts w:ascii="Arial" w:cs="Arial" w:eastAsia="Arial" w:hAnsi="Arial"/>
                <w:sz w:val="26"/>
                <w:szCs w:val="26"/>
                <w:color w:val="auto"/>
                <w:vertAlign w:val="superscript"/>
              </w:rPr>
              <w:t>(3)</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4,480,588</w:t>
            </w:r>
          </w:p>
        </w:tc>
        <w:tc>
          <w:tcPr>
            <w:tcW w:w="1220" w:type="dxa"/>
            <w:vAlign w:val="bottom"/>
          </w:tcPr>
          <w:p>
            <w:pPr>
              <w:jc w:val="right"/>
              <w:spacing w:after="0"/>
              <w:rPr>
                <w:sz w:val="20"/>
                <w:szCs w:val="20"/>
                <w:color w:val="auto"/>
              </w:rPr>
            </w:pPr>
            <w:r>
              <w:rPr>
                <w:rFonts w:ascii="Arial" w:cs="Arial" w:eastAsia="Arial" w:hAnsi="Arial"/>
                <w:sz w:val="16"/>
                <w:szCs w:val="16"/>
                <w:color w:val="auto"/>
              </w:rPr>
              <w:t>5,682,328</w:t>
            </w:r>
          </w:p>
        </w:tc>
        <w:tc>
          <w:tcPr>
            <w:tcW w:w="28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6,340,357</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11.6%</w:t>
            </w:r>
          </w:p>
        </w:tc>
        <w:tc>
          <w:tcPr>
            <w:tcW w:w="3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41.5%</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IOL ratio</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2.85%</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3.04%</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3.40%</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36 bps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 bps</w:t>
            </w:r>
          </w:p>
        </w:tc>
      </w:tr>
      <w:tr>
        <w:trPr>
          <w:trHeight w:val="213"/>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Structural IOL ratio</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2.85%</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3.70%</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4.14%</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44 bps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129 bps</w:t>
            </w:r>
          </w:p>
        </w:tc>
      </w:tr>
      <w:tr>
        <w:trPr>
          <w:trHeight w:val="246"/>
        </w:trPr>
        <w:tc>
          <w:tcPr>
            <w:tcW w:w="3900" w:type="dxa"/>
            <w:vAlign w:val="bottom"/>
            <w:gridSpan w:val="2"/>
            <w:shd w:val="clear" w:color="auto" w:fill="CCEEFF"/>
          </w:tcPr>
          <w:p>
            <w:pPr>
              <w:spacing w:after="0" w:line="246" w:lineRule="exact"/>
              <w:rPr>
                <w:sz w:val="20"/>
                <w:szCs w:val="20"/>
                <w:color w:val="auto"/>
              </w:rPr>
            </w:pPr>
            <w:r>
              <w:rPr>
                <w:rFonts w:ascii="Arial" w:cs="Arial" w:eastAsia="Arial" w:hAnsi="Arial"/>
                <w:sz w:val="16"/>
                <w:szCs w:val="16"/>
                <w:b w:val="1"/>
                <w:bCs w:val="1"/>
                <w:color w:val="auto"/>
              </w:rPr>
              <w:t xml:space="preserve">IOL over 90-days ratio </w:t>
            </w:r>
            <w:r>
              <w:rPr>
                <w:rFonts w:ascii="Arial" w:cs="Arial" w:eastAsia="Arial" w:hAnsi="Arial"/>
                <w:sz w:val="26"/>
                <w:szCs w:val="26"/>
                <w:b w:val="1"/>
                <w:bCs w:val="1"/>
                <w:color w:val="auto"/>
                <w:vertAlign w:val="superscript"/>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2.15%</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2.69%</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16 bps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 bps</w:t>
            </w:r>
          </w:p>
        </w:tc>
      </w:tr>
      <w:tr>
        <w:trPr>
          <w:trHeight w:val="213"/>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NPL ratio</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3.88%</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4.17%</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4.61%</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44 bps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73 bps</w:t>
            </w:r>
          </w:p>
        </w:tc>
      </w:tr>
      <w:tr>
        <w:trPr>
          <w:trHeight w:val="21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Structural NPL ratio</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5.08%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5.61%</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53 bps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 bps</w:t>
            </w:r>
          </w:p>
        </w:tc>
      </w:tr>
      <w:tr>
        <w:trPr>
          <w:trHeight w:val="213"/>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Allowance for loan losses over Total loans</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4.43%</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7.09%</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7.19%</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10 bps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280 bps</w:t>
            </w:r>
          </w:p>
        </w:tc>
      </w:tr>
      <w:tr>
        <w:trPr>
          <w:trHeight w:val="21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Coverage ratio of IOLs</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233.1%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211.7%</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-2140 bps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5630 bps</w:t>
            </w:r>
          </w:p>
        </w:tc>
      </w:tr>
      <w:tr>
        <w:trPr>
          <w:trHeight w:val="243"/>
        </w:trPr>
        <w:tc>
          <w:tcPr>
            <w:tcW w:w="3900" w:type="dxa"/>
            <w:vAlign w:val="bottom"/>
            <w:gridSpan w:val="2"/>
          </w:tcPr>
          <w:p>
            <w:pPr>
              <w:spacing w:after="0" w:line="243" w:lineRule="exact"/>
              <w:rPr>
                <w:sz w:val="20"/>
                <w:szCs w:val="20"/>
                <w:color w:val="auto"/>
              </w:rPr>
            </w:pPr>
            <w:r>
              <w:rPr>
                <w:rFonts w:ascii="Arial" w:cs="Arial" w:eastAsia="Arial" w:hAnsi="Arial"/>
                <w:sz w:val="16"/>
                <w:szCs w:val="16"/>
                <w:color w:val="auto"/>
              </w:rPr>
              <w:t xml:space="preserve">Coverage ratio of IOL 90-days </w:t>
            </w:r>
            <w:r>
              <w:rPr>
                <w:rFonts w:ascii="Arial" w:cs="Arial" w:eastAsia="Arial" w:hAnsi="Arial"/>
                <w:sz w:val="26"/>
                <w:szCs w:val="26"/>
                <w:color w:val="auto"/>
                <w:vertAlign w:val="superscript"/>
              </w:rPr>
              <w:t>(1)</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206.6%</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280.5%</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266.8%</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-1370 bps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6020 bps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Coverage ratio of NPLs</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169.9%</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156.1%</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-1380 bps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4170 bps</w:t>
            </w:r>
          </w:p>
        </w:tc>
      </w:tr>
    </w:tbl>
    <w:p>
      <w:pPr>
        <w:spacing w:after="0" w:line="202"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these.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terms of portfolio delinquency, it is important to note:</w:t>
      </w:r>
    </w:p>
    <w:p>
      <w:pPr>
        <w:spacing w:after="0" w:line="225" w:lineRule="exact"/>
        <w:rPr>
          <w:sz w:val="20"/>
          <w:szCs w:val="20"/>
          <w:color w:val="auto"/>
        </w:rPr>
      </w:pPr>
    </w:p>
    <w:p>
      <w:pPr>
        <w:jc w:val="both"/>
        <w:ind w:left="880" w:hanging="494"/>
        <w:spacing w:after="0" w:line="301"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IOL loans increased +12.9% QoQ and +41.8% YoY. This was primarily driven by Retail Banking at BCP Stand-alone, specifically in the Consumer and Credit Card segments and at Mibanco. At both subsidiaries, it is attributable to the deterioration in client debt service capacities after grace periods expired. Additionally, the Wholesale Banking segment registered deterioration, which was attributable to the evolution of the debt service capacity of corporate clients in the air transportation, agricultural and to a lesser extent, health and energy sectors.</w:t>
      </w:r>
    </w:p>
    <w:p>
      <w:pPr>
        <w:spacing w:after="0" w:line="157" w:lineRule="exact"/>
        <w:rPr>
          <w:rFonts w:ascii="Arial" w:cs="Arial" w:eastAsia="Arial" w:hAnsi="Arial"/>
          <w:sz w:val="16"/>
          <w:szCs w:val="16"/>
          <w:color w:val="auto"/>
        </w:rPr>
      </w:pPr>
    </w:p>
    <w:p>
      <w:pPr>
        <w:ind w:left="880"/>
        <w:spacing w:after="0" w:line="277" w:lineRule="auto"/>
        <w:rPr>
          <w:rFonts w:ascii="Arial" w:cs="Arial" w:eastAsia="Arial" w:hAnsi="Arial"/>
          <w:sz w:val="16"/>
          <w:szCs w:val="16"/>
          <w:color w:val="auto"/>
        </w:rPr>
      </w:pPr>
      <w:r>
        <w:rPr>
          <w:rFonts w:ascii="Arial" w:cs="Arial" w:eastAsia="Arial" w:hAnsi="Arial"/>
          <w:sz w:val="18"/>
          <w:szCs w:val="18"/>
          <w:color w:val="auto"/>
        </w:rPr>
        <w:t>The aforementioned was attenuated by a drop in total IOL loans at BCP Bolivia given that a large percentage of retail loans were refinanced under government-mandated financial relief directives in 4Q20.</w:t>
      </w:r>
    </w:p>
    <w:p>
      <w:pPr>
        <w:spacing w:after="0" w:line="170" w:lineRule="exact"/>
        <w:rPr>
          <w:rFonts w:ascii="Arial" w:cs="Arial" w:eastAsia="Arial" w:hAnsi="Arial"/>
          <w:sz w:val="16"/>
          <w:szCs w:val="16"/>
          <w:color w:val="auto"/>
        </w:rPr>
      </w:pPr>
    </w:p>
    <w:p>
      <w:pPr>
        <w:ind w:left="880" w:hanging="494"/>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refinanced loans increased +8.1% QoQ and +40.7% YoY after clients in the Consumer segment that were not eligible to receive the facilities initially offered by Credicorp, because they were behind in payments prior to the pandemic, were offered reprogramming facilities.</w:t>
      </w:r>
    </w:p>
    <w:p>
      <w:pPr>
        <w:spacing w:after="0" w:line="123" w:lineRule="exact"/>
        <w:rPr>
          <w:rFonts w:ascii="Arial" w:cs="Arial" w:eastAsia="Arial" w:hAnsi="Arial"/>
          <w:sz w:val="16"/>
          <w:szCs w:val="16"/>
          <w:color w:val="auto"/>
        </w:rPr>
      </w:pPr>
    </w:p>
    <w:p>
      <w:pPr>
        <w:jc w:val="both"/>
        <w:ind w:left="880" w:hanging="494"/>
        <w:spacing w:after="0" w:line="28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written-off loans increased significantly QoQ given that in 4Q20, banks began to write off the loans that were deemed unrecoverable under the expected loss model. Growth in this line was attributable to Peruvian regulatory requirements, which dictated that clients could not be classified as a situation of loss (due to days delinquent) – and its subsequent progression to charge-offs – until the end of August.</w:t>
      </w:r>
    </w:p>
    <w:p>
      <w:pPr>
        <w:spacing w:after="0" w:line="165" w:lineRule="exact"/>
        <w:rPr>
          <w:rFonts w:ascii="Arial" w:cs="Arial" w:eastAsia="Arial" w:hAnsi="Arial"/>
          <w:sz w:val="17"/>
          <w:szCs w:val="17"/>
          <w:color w:val="auto"/>
        </w:rPr>
      </w:pPr>
    </w:p>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coverage ratios for the IOL portfolio increased considerably YoY, in line with what was mentioned previously.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ratios, it is important to note that:</w:t>
      </w:r>
    </w:p>
    <w:p>
      <w:pPr>
        <w:spacing w:after="0" w:line="225" w:lineRule="exact"/>
        <w:rPr>
          <w:sz w:val="20"/>
          <w:szCs w:val="20"/>
          <w:color w:val="auto"/>
        </w:rPr>
      </w:pPr>
    </w:p>
    <w:p>
      <w:pPr>
        <w:jc w:val="both"/>
        <w:ind w:left="880" w:hanging="494"/>
        <w:spacing w:after="0" w:line="31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 off (despite the fact that provisions have been set aside) given that a judicial process must be initiated to liquidate the collateral, which takes five years on average.</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880" w:right="20" w:hanging="49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second semester (2S) every year, loans are more dynamic, primarily in the SME-Pyme and Mibanco segments given that the main campaigns take place in the second semester and these short-term loans are paid in 1S of the following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154305</wp:posOffset>
            </wp:positionV>
            <wp:extent cx="5615305" cy="2091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1530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00" w:right="320" w:firstLine="2"/>
        <w:spacing w:after="0" w:line="277" w:lineRule="auto"/>
        <w:tabs>
          <w:tab w:leader="none" w:pos="11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Structura Cost of risk excludes the provisions for credit losses on loan portfolio, net of recoveries and total loans from the Reactiva Peru and FAE Government Programs.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IOL and NPL ratios increase for both the Total Portfolio and Structural Portfolio. This was attributable to the fact that grace periods expired and reflected the strategy to focus on disbursements in Retail Banking, which carry higher risks but are more profitable. The CofR fell -171 bps QoQ due to forward-looking provisions registered throughout the year in an environment driven by COVID-19 and its impacts. Additionally, when reviewing the results of 2020, it is important to note that:</w:t>
      </w:r>
    </w:p>
    <w:p>
      <w:pPr>
        <w:spacing w:after="0" w:line="187" w:lineRule="exact"/>
        <w:rPr>
          <w:sz w:val="20"/>
          <w:szCs w:val="20"/>
          <w:color w:val="auto"/>
        </w:rPr>
      </w:pPr>
    </w:p>
    <w:p>
      <w:pPr>
        <w:ind w:left="880" w:right="20" w:hanging="494"/>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Credicorp offered reprogramming and freezing facilities to clients who were up to date in their payments as of February 15. As such, the delinquency ratios for the Retail segments began to reflect the real deterioration of client debt capacities in 4Q20, once facilities expired.</w:t>
      </w:r>
    </w:p>
    <w:p>
      <w:pPr>
        <w:spacing w:after="0" w:line="146" w:lineRule="exact"/>
        <w:rPr>
          <w:rFonts w:ascii="Arial" w:cs="Arial" w:eastAsia="Arial" w:hAnsi="Arial"/>
          <w:sz w:val="17"/>
          <w:szCs w:val="17"/>
          <w:color w:val="auto"/>
        </w:rPr>
      </w:pPr>
    </w:p>
    <w:p>
      <w:pPr>
        <w:ind w:left="880" w:hanging="494"/>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delinquency ratios for the Wholesale, SME-Business and SME-Pyme segments are distorted due to Reactiva Perú and FAE loans. As such, we also provide adjusted ratios to isolate the effect and analyze the evolution of the quality of the structural loan portfolio.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154305</wp:posOffset>
            </wp:positionV>
            <wp:extent cx="6797675" cy="2665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767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IOL and NPL ratios increased QoQ, which was mainly driven by a deterioration in the situation of particular Corporate Banking clients and from a set of clients who were unable to make payments once grace periods expired.</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As of 4Q20, IOL portfolio was mainly composed by clients from air transport and energy sectors. Ratios also increased due to a contraction in loans. It is important to mention that, since the beginning of the pandemic, clients took a conservative approach to securing credit when seeking liquidity to face economic uncertainty. Over the months, some of these clients have seen their sales bounce back and their needs for financing have dropped; consequently, they have begun to pay off short-term debt.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YoY analysis, the deterioration seen in ratios was primarily driven by growth in the IOL portfolio, which outpaced the expansion registered for loans. Growth in this portfolio was directly related to the COVID-19 crisis, whose impacts were reflected in clients’ inability to service debt obligations. The YoY analysis shows a deterioration in ratios, which was mainly attributable to growth in the IOL portfolio, which outpaced the expansion posted by loans. The increase in total IOL loans reflected, once again, COVID-19’s impact on client debt service capacities. Additionally, some clients with refinanced loans began to register an increase in the number of days that they were behind in payments, which meant that these loans had to be shifted from the current loan portfolio to the IOL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154305</wp:posOffset>
            </wp:positionV>
            <wp:extent cx="6934835" cy="2777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83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IOL and NPL ratios fell QoQ and YoY. This was primarily attributable to the recovery of a number of clients that were behind on their payments and to loan growth. In the ambit of loan expansion, there are two important points to consider: (i) the SME-Business segment registered seasonality in loan origination in 4Q20, and (ii) a large number of clients received Reactiva Perú loans. As such, it is important to analyze NPL portfolio focusing on the YoY variation of the structural portfolio (which isolate GP loans). In this way, growth derives mainly from refinanced loans as a result of the facilities provided to clients.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this segment’s loan quality ratios remain within the defined risk appetite where the prime objective is to maximize the portfolio’s profitability while striking a good balance between risk quality and growth.</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154305</wp:posOffset>
            </wp:positionV>
            <wp:extent cx="6840855" cy="2905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4085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2014, early delinquency has followed a downward trend, in line with on-going improvements in the risk quality of vintages following adjustments to the anticipated loss model. In 4Q20, the portfolio grew at a faster pace, which was mainly attributable to loans under Reactiva Peru. In line with the latter, early delinquency ratio and traditional ratios for the SME-Pyme segment fell, but if we exclude the influx of government loans from the calculation base, the IOL and NPL ratios increased. This was attributable to deterioration in the debt service capacity of clients that received facilities from Credicorp but were unable to meet payment obligations once the grace periods expired. Structural early delinquency fell due to the reprogramming facilities offered to clients in the COVID-19 environment.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831965" cy="2940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terms of Mortgage loans, it is important to remember that ratios are affected by the existence of real estate collateral (commercial properties). In these cases, the liquidation process can take up to 5 years, which impedes any attempt at write offs despite the fact that the loans are completely provisioned.</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Traditional delinquency ratios registered an increase QoQ and YoY, after grace periods on loans extended earlier in the pandemic expired. Likewise, the increase is affected by higher origination of MiVivienda loans, as a result of the strategy of entering slightly riskier segments to maximize the portfolio's profitability, always within the risk appetite of the organization.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early delinquency ratio, which excludes the effect of loans that are more than 150 days past due, also increased QoQ and YoY. It is important to note that this ratio is within the average levels observed since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154305</wp:posOffset>
            </wp:positionV>
            <wp:extent cx="6858000" cy="30175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consumer segment registered a significant increase in its QoQ and YoY ratios. The IOL and NPL portfolios increased mainly due to the deterioration in the debt service capacity of clients from riskier sectors and due to refinancing for clients that were granted one facility (mainly a freezing facility or skip) but were unable to pay their obligations once grace periods expired. In some of these cases, a second facility was extended.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 delinquency also increased QoQ and YoY, which was attributable to clients that were unable to comply with loan obligations payments and had sought facilities. It is important to note that adequate levels of forward-looking provisions were set aside to cover risks associated with the improbability of payments from clients affected by the pandemic and from products sold through digital channels, where higher risk of this last goes hand-in-hand with higher income and lower operating expenses.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154305</wp:posOffset>
            </wp:positionV>
            <wp:extent cx="6840855" cy="28975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4085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Card segment registered strong growth QoQ and YoY in its IOL and NPL ratios, similar to the evolution seen in the Consumer segment. This was primarily attributable to (i) growth in IOL loans associated with clients that fell past due after freezing and skip facilities expired, (ii) a contraction in the loan balances for credit cards, and (iii) a low level of written-off loans throughout the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Early delinquency reported growth QoQ and YoY. This growth was attributable to an increase in net provisions for loan losses at year-end, in line with an increase in the portfolio’s probability of default.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154305</wp:posOffset>
            </wp:positionV>
            <wp:extent cx="6969125" cy="3051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912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IOL and NPL ratios for the total portfolio rose QoQ and YoY due to the deterioration in the debt service capacity of clients that opted not to use the financial facilities offered by Mibanco and delinquency among clients unable to pay after grace periods expired. It is important to bear in mind that the highest level of delinquent loans is reported by the reprogrammed portfolio with a 6-month grace period. The aforementioned was slightly attenuated by growth in written-off loans. Without these charge-offs, the NPL and Structural NPL ratio situates at 8.78% and 11.25% respectively. Finally, it is important to note that 35% of the total portfolio is still within a grace period (18% considering only the structural portfolio) and approximately 7% will mature in 1Q21.</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The cost of risk fell QoQ after forward-looking provisions made in previous quarters were reversed. Subsequently, net provisions for loan losses returned to pre-pandemic levels.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969125" cy="3111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912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Bolivia continued to report improvement in its delinquency ratios QoQ and YoY due to massive, automatic loan reprogramming in the Retail Banking segment, which was in effect until the end of December 2020 as mandated by Bolivian law in the context of COVID-19. This law stipulates deferments of up to 6 months for principal and interest payments and as such, we will not be able to fully determine deterioration at the portfolio level for several quarters.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of risk increased significantly, after the anticipated loss model was updated to contemplate macroeconomic expectations under a second wave of infections and the post-election political context.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 4Q20, NII, the main component of income, reported a decline of -4.3% QoQ and -12.5% AaA after interest income dropped but was partially attenuated by a decrease in interest expenses. Interest income fell –8.5% QoQ, –14.8% YoY and -6.7% YTD given the reduction of the structural portfolio and a less profitable balance due to high inflows of government loans and a decrease in rates. Additionally, in 4Q20, non-recurring charges impacted income. If we exclude these charges, recurring interest income registered a decline of –2.3% QoQ, –11.9% YoY and -4.1% YTD. Interest expenses fell –20.0% QoQ, which was due primarily to the fact that in 3Q20, this account included a non-recurring charge for liability management at BCP Stand-alone. If we exclude this charge, recurring interest expenses fell –7.3% QoQ thanks to an improvement in the funding mix and to a drop in market rates. In YoY and YTD terms, interest expenses fell -21.5% and -9.5% due to an improvement in the funding structure; a drop in market rates; and high inflow of low-cost funding from government programs. Recurring NII fell -0.8% QoQ, –8.6% YoY and -1.0% YTD. In terms of margin, the Structural NIM situated at 4.30% in the quarter (-16bps QoQ y –118bps YoY) and at 4.78% YTD (-62pbs YTD). Risk-adjusted NIM grew +80pbs QoQ, in line with a drop in net provisions for loan losses but fell -189bps YoY and -297bps YTD due to the provisions built to stave off the crisis.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Net interest income</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Quarter</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ind w:left="540"/>
              <w:spacing w:after="0"/>
              <w:rPr>
                <w:sz w:val="20"/>
                <w:szCs w:val="20"/>
                <w:color w:val="auto"/>
              </w:rPr>
            </w:pPr>
            <w:r>
              <w:rPr>
                <w:rFonts w:ascii="Arial" w:cs="Arial" w:eastAsia="Arial" w:hAnsi="Arial"/>
                <w:sz w:val="13"/>
                <w:szCs w:val="13"/>
                <w:b w:val="1"/>
                <w:bCs w:val="1"/>
                <w:color w:val="auto"/>
                <w:w w:val="95"/>
              </w:rPr>
              <w:t>% change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820"/>
              <w:spacing w:after="0"/>
              <w:rPr>
                <w:sz w:val="20"/>
                <w:szCs w:val="20"/>
                <w:color w:val="auto"/>
              </w:rPr>
            </w:pPr>
            <w:r>
              <w:rPr>
                <w:rFonts w:ascii="Arial" w:cs="Arial" w:eastAsia="Arial" w:hAnsi="Arial"/>
                <w:sz w:val="13"/>
                <w:szCs w:val="13"/>
                <w:b w:val="1"/>
                <w:bCs w:val="1"/>
                <w:color w:val="auto"/>
              </w:rPr>
              <w:t>YTD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S/ 000</w:t>
            </w:r>
          </w:p>
        </w:tc>
        <w:tc>
          <w:tcPr>
            <w:tcW w:w="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4Q19</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3Q20</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4Q20</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rPr>
              <w:t>QoQ</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YoY</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Dec-19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Dec-20</w:t>
            </w:r>
          </w:p>
        </w:tc>
        <w:tc>
          <w:tcPr>
            <w:tcW w:w="2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Sep-20 /Sep-19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Interest income</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3,172,695</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2,953,570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2,703,100</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-8.5%</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b w:val="1"/>
                <w:bCs w:val="1"/>
                <w:color w:val="auto"/>
              </w:rPr>
              <w:t>-14.8%</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12,381,664</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11,547,648</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-6.7%</w:t>
            </w:r>
          </w:p>
        </w:tc>
        <w:tc>
          <w:tcPr>
            <w:tcW w:w="0" w:type="dxa"/>
            <w:vAlign w:val="bottom"/>
          </w:tcPr>
          <w:p>
            <w:pPr>
              <w:spacing w:after="0"/>
              <w:rPr>
                <w:sz w:val="1"/>
                <w:szCs w:val="1"/>
                <w:color w:val="auto"/>
              </w:rPr>
            </w:pPr>
          </w:p>
        </w:tc>
      </w:tr>
      <w:tr>
        <w:trPr>
          <w:trHeight w:val="135"/>
        </w:trPr>
        <w:tc>
          <w:tcPr>
            <w:tcW w:w="31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Interest on loans</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2,768,468</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2,578,362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2,325,836</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w:t>
            </w:r>
          </w:p>
        </w:tc>
        <w:tc>
          <w:tcPr>
            <w:tcW w:w="2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-16.0%</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10,664,520</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10,027,834</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Dividends on investments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3,764</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8,871</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3,987</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-55.1%</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25,260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25,603</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31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Interest on deposits with banks</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68,813</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7,981</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8,456</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w:t>
            </w:r>
          </w:p>
        </w:tc>
        <w:tc>
          <w:tcPr>
            <w:tcW w:w="2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-87.7%</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320,712</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74,813</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-76.7%</w:t>
            </w: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Interest on securities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311,414</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347,309</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351,502</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12.9%</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1,311,443</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1,372,164</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31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Other interest income</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20,236</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11,047</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13,319</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20.6%</w:t>
            </w:r>
          </w:p>
        </w:tc>
        <w:tc>
          <w:tcPr>
            <w:tcW w:w="2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59,729</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47,234</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Interest expense</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807,645</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791,875</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633,880</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-20.0%</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-21.5%</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3,289,913</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2,976,306</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-9.5%</w:t>
            </w:r>
          </w:p>
        </w:tc>
        <w:tc>
          <w:tcPr>
            <w:tcW w:w="0" w:type="dxa"/>
            <w:vAlign w:val="bottom"/>
          </w:tcPr>
          <w:p>
            <w:pPr>
              <w:spacing w:after="0"/>
              <w:rPr>
                <w:sz w:val="1"/>
                <w:szCs w:val="1"/>
                <w:color w:val="auto"/>
              </w:rPr>
            </w:pPr>
          </w:p>
        </w:tc>
      </w:tr>
      <w:tr>
        <w:trPr>
          <w:trHeight w:val="135"/>
        </w:trPr>
        <w:tc>
          <w:tcPr>
            <w:tcW w:w="31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Interest on deposits</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367,257</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258,838</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245,221</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w:t>
            </w:r>
          </w:p>
        </w:tc>
        <w:tc>
          <w:tcPr>
            <w:tcW w:w="2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1,458,910</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1,188,335</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Interest on borrowed funds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141,552</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143,739</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118,457</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-17.6%</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590,908</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557,141</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31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Interest on bonds and subordinated notes</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209,238</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301,347</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185,104</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-38.6%</w:t>
            </w:r>
          </w:p>
        </w:tc>
        <w:tc>
          <w:tcPr>
            <w:tcW w:w="2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-11.5%</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900,172</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883,913</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 xml:space="preserve">Other interest expense </w:t>
            </w:r>
            <w:r>
              <w:rPr>
                <w:rFonts w:ascii="Arial" w:cs="Arial" w:eastAsia="Arial" w:hAnsi="Arial"/>
                <w:sz w:val="20"/>
                <w:szCs w:val="20"/>
                <w:color w:val="auto"/>
                <w:vertAlign w:val="superscript"/>
              </w:rPr>
              <w:t>(1)(3)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89,598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87,951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85,098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-3.2%</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339,923</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346,917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 xml:space="preserve">Net interest income </w:t>
            </w:r>
            <w:r>
              <w:rPr>
                <w:rFonts w:ascii="Arial" w:cs="Arial" w:eastAsia="Arial" w:hAnsi="Arial"/>
                <w:sz w:val="20"/>
                <w:szCs w:val="20"/>
                <w:b w:val="1"/>
                <w:bCs w:val="1"/>
                <w:color w:val="auto"/>
                <w:vertAlign w:val="superscript"/>
              </w:rPr>
              <w:t>(1)(3)</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2,365,050</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2,161,695</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2,069,220</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-4.3%</w:t>
            </w:r>
          </w:p>
        </w:tc>
        <w:tc>
          <w:tcPr>
            <w:tcW w:w="2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-12.5%</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9,091,751</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8,571,342</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-5.7%</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Risk-adjusted Net interest income </w:t>
            </w:r>
            <w:r>
              <w:rPr>
                <w:rFonts w:ascii="Arial" w:cs="Arial" w:eastAsia="Arial" w:hAnsi="Arial"/>
                <w:sz w:val="20"/>
                <w:szCs w:val="20"/>
                <w:b w:val="1"/>
                <w:bCs w:val="1"/>
                <w:color w:val="auto"/>
                <w:vertAlign w:val="superscript"/>
              </w:rPr>
              <w:t>(1)(3)</w:t>
            </w: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gridSpan w:val="2"/>
            <w:vMerge w:val="continue"/>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1,853,391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855,790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1,336,555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56.2%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-27.9%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7,245,815</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2,650,834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-63.4%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 xml:space="preserve">Average interest earning assets </w:t>
            </w:r>
            <w:r>
              <w:rPr>
                <w:rFonts w:ascii="Arial" w:cs="Arial" w:eastAsia="Arial" w:hAnsi="Arial"/>
                <w:sz w:val="20"/>
                <w:szCs w:val="20"/>
                <w:color w:val="auto"/>
                <w:vertAlign w:val="superscript"/>
              </w:rPr>
              <w:t>(1)</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172,401,759</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213,481,060</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222,098,498</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4.0%</w:t>
            </w:r>
          </w:p>
        </w:tc>
        <w:tc>
          <w:tcPr>
            <w:tcW w:w="2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28.8%</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168,409,014</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199,243,133</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line="216"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0"/>
                <w:szCs w:val="20"/>
                <w:b w:val="1"/>
                <w:bCs w:val="1"/>
                <w:color w:val="auto"/>
                <w:vertAlign w:val="superscript"/>
              </w:rPr>
              <w:t>(1)(2)(3)</w:t>
            </w: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5.49%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4.05%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3.73%</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b w:val="1"/>
                <w:bCs w:val="1"/>
                <w:color w:val="auto"/>
              </w:rPr>
              <w:t>-32 bps</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-176 bps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5.40%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-110 bps</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line="216"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0"/>
                <w:szCs w:val="20"/>
                <w:b w:val="1"/>
                <w:bCs w:val="1"/>
                <w:color w:val="auto"/>
                <w:vertAlign w:val="superscript"/>
              </w:rPr>
              <w:t>(1)(2)(3)</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7.85%</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6.19%</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5.65%</w:t>
            </w:r>
          </w:p>
        </w:tc>
        <w:tc>
          <w:tcPr>
            <w:tcW w:w="114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-54 bps</w:t>
            </w: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-220 bps</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7.47%</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6.43%</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-104 bps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0"/>
                <w:szCs w:val="20"/>
                <w:b w:val="1"/>
                <w:bCs w:val="1"/>
                <w:color w:val="auto"/>
                <w:vertAlign w:val="superscript"/>
              </w:rPr>
              <w:t>(1)(2)(3)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4.30%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1.60%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2.41%</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b w:val="1"/>
                <w:bCs w:val="1"/>
                <w:color w:val="auto"/>
              </w:rPr>
              <w:t>81 bps</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-189 bps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-297 bps</w:t>
            </w:r>
          </w:p>
        </w:tc>
        <w:tc>
          <w:tcPr>
            <w:tcW w:w="0" w:type="dxa"/>
            <w:vAlign w:val="bottom"/>
          </w:tcPr>
          <w:p>
            <w:pPr>
              <w:spacing w:after="0"/>
              <w:rPr>
                <w:sz w:val="1"/>
                <w:szCs w:val="1"/>
                <w:color w:val="auto"/>
              </w:rPr>
            </w:pPr>
          </w:p>
        </w:tc>
      </w:tr>
      <w:tr>
        <w:trPr>
          <w:trHeight w:val="276"/>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w w:val="84"/>
              </w:rPr>
              <w:t xml:space="preserve">Net provisions for loan losses / Net interest income </w:t>
            </w:r>
            <w:r>
              <w:rPr>
                <w:rFonts w:ascii="Arial" w:cs="Arial" w:eastAsia="Arial" w:hAnsi="Arial"/>
                <w:sz w:val="20"/>
                <w:szCs w:val="20"/>
                <w:b w:val="1"/>
                <w:bCs w:val="1"/>
                <w:color w:val="auto"/>
                <w:w w:val="84"/>
                <w:vertAlign w:val="superscript"/>
              </w:rPr>
              <w:t>(1)(2)(3)</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21.63%</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60.41%</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35.41%</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-25.0%</w:t>
            </w:r>
          </w:p>
        </w:tc>
        <w:tc>
          <w:tcPr>
            <w:tcW w:w="2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13.8%</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20.30%</w:t>
            </w:r>
          </w:p>
        </w:tc>
        <w:tc>
          <w:tcPr>
            <w:tcW w:w="14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69.07%</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48.77%</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Figures differ from those presented previously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54850" cy="26485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5485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-8.5% drop in Interest Income was attributable to a –9.8% decline in interest on loans, which was attributable to:</w:t>
      </w:r>
    </w:p>
    <w:p>
      <w:pPr>
        <w:spacing w:after="0" w:line="229" w:lineRule="exact"/>
        <w:rPr>
          <w:sz w:val="20"/>
          <w:szCs w:val="20"/>
          <w:color w:val="auto"/>
        </w:rPr>
      </w:pPr>
    </w:p>
    <w:p>
      <w:pPr>
        <w:jc w:val="both"/>
        <w:ind w:left="880" w:hanging="494"/>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non-recurring charge of S/148 million in 4Q20 for income from loans in FC; this was attributable to an interest impairment for BCP Bolivia reprogrammed loans, after the Government mandated that these loans must be registered as zero-interest-rate loans and the interest capitalized by reprogramming during the pandemic must be condoned.</w:t>
      </w:r>
    </w:p>
    <w:p>
      <w:pPr>
        <w:spacing w:after="0" w:line="183" w:lineRule="exact"/>
        <w:rPr>
          <w:rFonts w:ascii="Arial" w:cs="Arial" w:eastAsia="Arial" w:hAnsi="Arial"/>
          <w:sz w:val="18"/>
          <w:szCs w:val="18"/>
          <w:color w:val="auto"/>
        </w:rPr>
      </w:pPr>
    </w:p>
    <w:p>
      <w:pPr>
        <w:ind w:left="880" w:hanging="494"/>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Structural Portfolio: the decrease in interest income was also due to -2.0% QoQ decline in the average daily balances of the structural portfolio.</w:t>
      </w:r>
    </w:p>
    <w:p>
      <w:pPr>
        <w:spacing w:after="0" w:line="248" w:lineRule="exact"/>
        <w:rPr>
          <w:rFonts w:ascii="Arial" w:cs="Arial" w:eastAsia="Arial" w:hAnsi="Arial"/>
          <w:sz w:val="16"/>
          <w:szCs w:val="16"/>
          <w:color w:val="auto"/>
        </w:rPr>
      </w:pPr>
    </w:p>
    <w:p>
      <w:pPr>
        <w:ind w:left="880" w:hanging="494"/>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Rate effect: In 4Q20, government loans’ share of total loans increased, and these products were offered at much lower rates than those associated with structural loans.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exclude the impairment reported at BCP Bolivia and the impairment amortization on zero-interest-rate loans, recurring net interest income fell -2.3% QoQ due to a decrease in the balance of structural loans and the high inflows of government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interest income fell -14.8% due to:</w:t>
      </w:r>
    </w:p>
    <w:p>
      <w:pPr>
        <w:spacing w:after="0" w:line="229" w:lineRule="exact"/>
        <w:rPr>
          <w:sz w:val="20"/>
          <w:szCs w:val="20"/>
          <w:color w:val="auto"/>
        </w:rPr>
      </w:pPr>
    </w:p>
    <w:p>
      <w:pPr>
        <w:ind w:left="880" w:hanging="49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Earning Assets Mix: the decline in the structural portfolio and the drop in the share of these loans within the mix of interest earning assets.</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Rate effect: high inflows of government loans and the decrease in market rates, coupled with the evolution of the assets mix explained above, led to a subsequent –16.0% YoY decline in interest on loans.</w:t>
      </w:r>
    </w:p>
    <w:p>
      <w:pPr>
        <w:spacing w:after="0" w:line="170" w:lineRule="exact"/>
        <w:rPr>
          <w:rFonts w:ascii="Arial" w:cs="Arial" w:eastAsia="Arial" w:hAnsi="Arial"/>
          <w:sz w:val="18"/>
          <w:szCs w:val="18"/>
          <w:color w:val="auto"/>
        </w:rPr>
      </w:pPr>
    </w:p>
    <w:p>
      <w:pPr>
        <w:jc w:val="both"/>
        <w:ind w:left="880" w:hanging="494"/>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reduction in interest income on deposits in other banks of -87.7% (-S/60 million), which was due to a lower remuneration rate of legal reserves and a reduction in voluntary legal reserves held in the Central Bank to fund the purchase of investments to boost the profitability of liquidity.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important to note that the YoY drop in Interest Income was partially offset by growth in Interest on Securities (+12.9%, +S/40 million) due to growth in the investment portfolio. This expansion reflects our strategy to optimize the structure of the balance and bolster the profitability of the excess liquidity generated by the Government for economic reactivation and to ensure the continuity of the chain of payments in the context of the pandemic.</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we exclude the reversals registered at BCP Bolivia and the impairment amortization on zero-interest-rate loans in other subsidiaries, recurring Interest Income fell -11.9% YoY, which was once again attributable to the decrease of structural loans, high inflows of government loans and lower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YTD</w:t>
      </w:r>
      <w:r>
        <w:rPr>
          <w:rFonts w:ascii="Arial" w:cs="Arial" w:eastAsia="Arial" w:hAnsi="Arial"/>
          <w:sz w:val="18"/>
          <w:szCs w:val="18"/>
          <w:color w:val="auto"/>
        </w:rPr>
        <w:t xml:space="preserve"> analysis, interest income fell -6.7%, explained by:</w:t>
      </w:r>
    </w:p>
    <w:p>
      <w:pPr>
        <w:spacing w:after="0" w:line="229" w:lineRule="exact"/>
        <w:rPr>
          <w:sz w:val="20"/>
          <w:szCs w:val="20"/>
          <w:color w:val="auto"/>
        </w:rPr>
      </w:pPr>
    </w:p>
    <w:p>
      <w:pPr>
        <w:ind w:left="960" w:hanging="56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Contraction of interest income on loans contracted -6.0% due to:</w:t>
      </w:r>
    </w:p>
    <w:p>
      <w:pPr>
        <w:spacing w:after="0" w:line="225" w:lineRule="exact"/>
        <w:rPr>
          <w:rFonts w:ascii="Arial" w:cs="Arial" w:eastAsia="Arial" w:hAnsi="Arial"/>
          <w:sz w:val="18"/>
          <w:szCs w:val="18"/>
          <w:color w:val="auto"/>
        </w:rPr>
      </w:pPr>
    </w:p>
    <w:p>
      <w:pPr>
        <w:jc w:val="both"/>
        <w:ind w:left="1140" w:right="20" w:hanging="376"/>
        <w:spacing w:after="0" w:line="275" w:lineRule="auto"/>
        <w:tabs>
          <w:tab w:leader="none" w:pos="11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Relief offered to help clients weather the crisis and, in particular, to mitigate the effects of the lockdowns in Peru and Colombia. These relief efforts led to an impairment related to the offering of zero-interest-rate loans for -S/472 million, including movements at BCP Stand-alone, Mibanco and Mibanco Colombia (formerly Bancocompartir and Encumbra). Additionally, there was an impairment for -S/148 million at BCP Bolivia after the Bolivian Government mandated that these loans must be registered as zero-interest-rate loans and interest capitalized under reprogramming during the pandemic must be condoned.</w:t>
      </w:r>
    </w:p>
    <w:p>
      <w:pPr>
        <w:spacing w:after="0" w:line="176" w:lineRule="exact"/>
        <w:rPr>
          <w:rFonts w:ascii="Arial" w:cs="Arial" w:eastAsia="Arial" w:hAnsi="Arial"/>
          <w:sz w:val="17"/>
          <w:szCs w:val="17"/>
          <w:color w:val="auto"/>
        </w:rPr>
      </w:pPr>
    </w:p>
    <w:p>
      <w:pPr>
        <w:jc w:val="both"/>
        <w:ind w:left="1140" w:hanging="376"/>
        <w:spacing w:after="0" w:line="263"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interest rates within the structural portfolio and the presence of high levels of government loans in the portfolio mix, which led to significant growth in the loan volume but contributed little to profitability given that government loans were disbursed with low interest rates.</w:t>
      </w:r>
    </w:p>
    <w:p>
      <w:pPr>
        <w:spacing w:after="0" w:line="183"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Contraction in interest on deposits in other banks (-76.7%, -S/246 million) due to a contraction in the remuneration rate for legal reserves and a reduction in voluntary reserves.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The increase of +4.6% (+S/61 million) in interest on securities, which was driven by growth of 64.7% in total investments YoY, was insufficient to offset the evolution described above. Growth in investments YoY was attributable to an increase in fair value through other comprehensive income at BCP Stand-alone.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exclude non-recurring charges at BCP Bolivia and the provisions and amortizations associated with a deterioration of interest related to zero-interest-rate loans in other subsidiaries, recurring Interest Income fall -4.1% in 2020 with regard to the YTD figure reported in 2019. This was due, once again, to lower market rates, the decrease in structural loan origination and the impact of government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Interest Expenses – LC</w:t>
      </w:r>
    </w:p>
    <w:p>
      <w:pPr>
        <w:spacing w:after="0" w:line="50"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Expenses – FC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142875</wp:posOffset>
            </wp:positionV>
            <wp:extent cx="6831965" cy="1937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1937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interest expenses fell -20.0%. This was driven primarily by a decrease in interest on bonds and subordinated notes (-38.6%, -S/116 million), which was in turn attributable to the fact that in 3Q20, an extraordinary expense of S/108 million was reported for a bond exchange at BCP Stand-alone. Recurring interest expenses contracted -7.3% due to the improvement of the funding structure and the decrease in market interest rates:</w:t>
      </w:r>
    </w:p>
    <w:p>
      <w:pPr>
        <w:spacing w:after="0" w:line="146" w:lineRule="exact"/>
        <w:rPr>
          <w:sz w:val="20"/>
          <w:szCs w:val="20"/>
          <w:color w:val="auto"/>
        </w:rPr>
      </w:pPr>
    </w:p>
    <w:p>
      <w:pPr>
        <w:jc w:val="both"/>
        <w:ind w:left="880" w:hanging="494"/>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Funding mix: growth in savings and demand deposits and in non-interest-bearing deposits in particular, which was accompanied by new subordinated debt at lower interest rates, which led to a reduction in more costly funding alternatives and subsequent decline in associated interest expenses.</w:t>
      </w:r>
    </w:p>
    <w:p>
      <w:pPr>
        <w:spacing w:after="0" w:line="183" w:lineRule="exact"/>
        <w:rPr>
          <w:rFonts w:ascii="Arial" w:cs="Arial" w:eastAsia="Arial" w:hAnsi="Arial"/>
          <w:sz w:val="18"/>
          <w:szCs w:val="18"/>
          <w:color w:val="auto"/>
        </w:rPr>
      </w:pPr>
    </w:p>
    <w:p>
      <w:pPr>
        <w:ind w:left="880" w:hanging="49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Rate effect: both LC and FC rates have followed a downward trend over the last few periods, which accentuated the drop in expenses.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expenses fell -21.5%, which was attributable to:</w:t>
      </w:r>
    </w:p>
    <w:p>
      <w:pPr>
        <w:spacing w:after="0" w:line="229" w:lineRule="exact"/>
        <w:rPr>
          <w:sz w:val="20"/>
          <w:szCs w:val="20"/>
          <w:color w:val="auto"/>
        </w:rPr>
      </w:pPr>
    </w:p>
    <w:p>
      <w:pPr>
        <w:jc w:val="both"/>
        <w:ind w:left="880" w:hanging="494"/>
        <w:spacing w:after="0" w:line="25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contraction in interest expenses on deposits due to significant growth in demand deposits and savings deposits (+59.4% and +42.3% YoY, respectively), our main sources of funding. These deposit types also imply lower costs than other sources of funding. Consequently, and thanks to a reduction in the most expensive deposits such as time deposits, severance deposits and interest bearing demand deposits, interest expenses contracted 33.2% YoY.</w:t>
      </w:r>
    </w:p>
    <w:p>
      <w:pPr>
        <w:spacing w:after="0" w:line="186"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reduction in interest expenses from other sources of funding, which was associated with high inflows of low-interest government loans, which replaced other sources of more expensive funding such as bank loans.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Rate effect: lower market rates.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4" w:name="page35"/>
    <w:bookmarkEnd w:id="34"/>
    <w:p>
      <w:pPr>
        <w:spacing w:after="0" w:line="347" w:lineRule="auto"/>
        <w:rPr>
          <w:sz w:val="20"/>
          <w:szCs w:val="20"/>
          <w:color w:val="auto"/>
        </w:rPr>
      </w:pPr>
      <w:r>
        <w:rPr>
          <w:rFonts w:ascii="Arial" w:cs="Arial" w:eastAsia="Arial" w:hAnsi="Arial"/>
          <w:sz w:val="16"/>
          <w:szCs w:val="16"/>
          <w:color w:val="auto"/>
        </w:rPr>
        <w:t xml:space="preserve">At the </w:t>
      </w:r>
      <w:r>
        <w:rPr>
          <w:rFonts w:ascii="Arial" w:cs="Arial" w:eastAsia="Arial" w:hAnsi="Arial"/>
          <w:sz w:val="16"/>
          <w:szCs w:val="16"/>
          <w:b w:val="1"/>
          <w:bCs w:val="1"/>
          <w:color w:val="auto"/>
        </w:rPr>
        <w:t>YTD level,</w:t>
      </w:r>
      <w:r>
        <w:rPr>
          <w:rFonts w:ascii="Arial" w:cs="Arial" w:eastAsia="Arial" w:hAnsi="Arial"/>
          <w:sz w:val="16"/>
          <w:szCs w:val="16"/>
          <w:color w:val="auto"/>
        </w:rPr>
        <w:t xml:space="preserve"> interest expenses fell -9.5%. If we exclude the non-recurring expense for a bond exchange at BCP, recurring interest expenses fell – 12.7%. The reduction was due primarily to a decrease in interest on deposits (-18.5%, -S/271 million). The main factors that explain this decrease are:</w:t>
      </w:r>
    </w:p>
    <w:p>
      <w:pPr>
        <w:spacing w:after="0" w:line="120" w:lineRule="exact"/>
        <w:rPr>
          <w:sz w:val="20"/>
          <w:szCs w:val="20"/>
          <w:color w:val="auto"/>
        </w:rPr>
      </w:pPr>
    </w:p>
    <w:p>
      <w:pPr>
        <w:ind w:left="880" w:hanging="494"/>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Deposit mix: significant growth of low-cost deposits and a contraction in the most expensive deposits type, which led to a subsequent decrease in interest expenses.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Context marked by low-cost funding due to the inflow of government relief funds.</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Rate effect: rates have followed a downward trend in a scenario of economic contraction due to the pandemic.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97790</wp:posOffset>
            </wp:positionV>
            <wp:extent cx="6934835" cy="2160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48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2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was situated at 3.73% in 4Q20 and 4.30% for 2020. The margin continued to follow a downward trend, registering decreases QoQ, YoY and YTD,</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attributable to:</w:t>
      </w:r>
    </w:p>
    <w:p>
      <w:pPr>
        <w:spacing w:after="0" w:line="166" w:lineRule="exact"/>
        <w:rPr>
          <w:sz w:val="20"/>
          <w:szCs w:val="20"/>
          <w:color w:val="auto"/>
        </w:rPr>
      </w:pPr>
    </w:p>
    <w:p>
      <w:pPr>
        <w:ind w:left="880" w:hanging="494"/>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Structural portfolio registered a NIM of 4.30% in 4Q20 and 4.78% YTD, which represents a decline of -16 bps QoQ, –118 bps YoY and -62bps YTD. The drop in the margin was attributable to:</w:t>
      </w:r>
    </w:p>
    <w:p>
      <w:pPr>
        <w:spacing w:after="0" w:line="170" w:lineRule="exact"/>
        <w:rPr>
          <w:rFonts w:ascii="Arial" w:cs="Arial" w:eastAsia="Arial" w:hAnsi="Arial"/>
          <w:sz w:val="18"/>
          <w:szCs w:val="18"/>
          <w:color w:val="auto"/>
        </w:rPr>
      </w:pPr>
    </w:p>
    <w:p>
      <w:pPr>
        <w:jc w:val="both"/>
        <w:ind w:left="1140" w:hanging="376"/>
        <w:spacing w:after="0" w:line="263"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Mix of interest-earning assets: total loans have gone from representing 66.5% of the total mix to accounting for 61.43% in 4Q20 (56.5%, excluding government loans). Investments went from representing 19.3% of the total mix in 4Q19 and 23.5% in 3Q20 to accounting 24.6% of the mix in 4Q20 (27.6% excluding government programs).</w:t>
      </w:r>
    </w:p>
    <w:p>
      <w:pPr>
        <w:spacing w:after="0" w:line="183" w:lineRule="exact"/>
        <w:rPr>
          <w:rFonts w:ascii="Arial" w:cs="Arial" w:eastAsia="Arial" w:hAnsi="Arial"/>
          <w:sz w:val="18"/>
          <w:szCs w:val="18"/>
          <w:color w:val="auto"/>
        </w:rPr>
      </w:pPr>
    </w:p>
    <w:p>
      <w:pPr>
        <w:ind w:left="1140" w:hanging="376"/>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fact that structural loans were less profitable in a context marked by lower rates in both LC and FC and to a decrease in loan origination in 2019.</w:t>
      </w:r>
    </w:p>
    <w:p>
      <w:pPr>
        <w:spacing w:after="0" w:line="170" w:lineRule="exact"/>
        <w:rPr>
          <w:rFonts w:ascii="Arial" w:cs="Arial" w:eastAsia="Arial" w:hAnsi="Arial"/>
          <w:sz w:val="18"/>
          <w:szCs w:val="18"/>
          <w:color w:val="auto"/>
        </w:rPr>
      </w:pPr>
    </w:p>
    <w:p>
      <w:pPr>
        <w:ind w:left="880" w:right="20" w:hanging="494"/>
        <w:spacing w:after="0" w:line="308"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Mix of Government loans and Structural loans. Government loans were responsible for a -37bps decline in NIM QoQ and -23bps YTD. If we exclude these loans from the calculation, NIM without government program inflows situates at 4.10% for the quarter and 4.53% YTD.</w:t>
      </w:r>
    </w:p>
    <w:p>
      <w:pPr>
        <w:spacing w:after="0" w:line="146" w:lineRule="exact"/>
        <w:rPr>
          <w:rFonts w:ascii="Arial" w:cs="Arial" w:eastAsia="Arial" w:hAnsi="Arial"/>
          <w:sz w:val="17"/>
          <w:szCs w:val="17"/>
          <w:color w:val="auto"/>
        </w:rPr>
      </w:pPr>
    </w:p>
    <w:p>
      <w:pPr>
        <w:ind w:left="880" w:hanging="49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Non-recurring events: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Impairments related to zero-interest-rate loans and subsequent amortizations in BCP Stand-Alone and Mibanco.</w:t>
      </w:r>
    </w:p>
    <w:p>
      <w:pPr>
        <w:spacing w:after="0" w:line="225" w:lineRule="exact"/>
        <w:rPr>
          <w:rFonts w:ascii="Arial" w:cs="Arial" w:eastAsia="Arial" w:hAnsi="Arial"/>
          <w:sz w:val="18"/>
          <w:szCs w:val="18"/>
          <w:color w:val="auto"/>
        </w:rPr>
      </w:pPr>
    </w:p>
    <w:p>
      <w:pPr>
        <w:ind w:left="1140" w:right="20" w:hanging="376"/>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Impairment at BCP Bolivia after the government mandated that reprogrammed loans (granted during the pandemic) must change to zero-interest-rate loans and accrued interest from reprogrammed loans must be condoned.</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Interest expenses on bond exchanges at BCP Stand-alone.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Combined impact of the effects of non-recurring effects on NIM is –18bps for the quarterly calculation and –23pbs YTD.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20"/>
        <w:spacing w:after="0" w:line="282" w:lineRule="auto"/>
        <w:rPr>
          <w:sz w:val="20"/>
          <w:szCs w:val="20"/>
          <w:color w:val="auto"/>
        </w:rPr>
      </w:pPr>
      <w:r>
        <w:rPr>
          <w:rFonts w:ascii="Arial" w:cs="Arial" w:eastAsia="Arial" w:hAnsi="Arial"/>
          <w:sz w:val="18"/>
          <w:szCs w:val="18"/>
          <w:b w:val="1"/>
          <w:bCs w:val="1"/>
          <w:color w:val="auto"/>
        </w:rPr>
        <w:t xml:space="preserve">Risk-adjusted NIM </w:t>
      </w:r>
      <w:r>
        <w:rPr>
          <w:rFonts w:ascii="Arial" w:cs="Arial" w:eastAsia="Arial" w:hAnsi="Arial"/>
          <w:sz w:val="18"/>
          <w:szCs w:val="18"/>
          <w:color w:val="auto"/>
        </w:rPr>
        <w:t>increased +81bps QoQ given that the provisions level dropped in comparison to 3Q20’s level. Risk-adjusted NIM fell -189bps YoY</w:t>
      </w:r>
      <w:r>
        <w:rPr>
          <w:rFonts w:ascii="Arial" w:cs="Arial" w:eastAsia="Arial" w:hAnsi="Arial"/>
          <w:sz w:val="18"/>
          <w:szCs w:val="18"/>
          <w:b w:val="1"/>
          <w:bCs w:val="1"/>
          <w:color w:val="auto"/>
        </w:rPr>
        <w:t xml:space="preserve"> </w:t>
      </w:r>
      <w:r>
        <w:rPr>
          <w:rFonts w:ascii="Arial" w:cs="Arial" w:eastAsia="Arial" w:hAnsi="Arial"/>
          <w:sz w:val="18"/>
          <w:szCs w:val="18"/>
          <w:color w:val="auto"/>
        </w:rPr>
        <w:t>and -297bps YTD in line with growth in provisions to absorb the impact of the pandemic.</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100" w:type="dxa"/>
            <w:vAlign w:val="bottom"/>
          </w:tcPr>
          <w:p>
            <w:pPr>
              <w:spacing w:after="0"/>
              <w:rPr>
                <w:sz w:val="20"/>
                <w:szCs w:val="20"/>
                <w:color w:val="auto"/>
              </w:rPr>
            </w:pPr>
            <w:r>
              <w:rPr>
                <w:rFonts w:ascii="Arial" w:cs="Arial" w:eastAsia="Arial" w:hAnsi="Arial"/>
                <w:sz w:val="18"/>
                <w:szCs w:val="18"/>
                <w:color w:val="auto"/>
              </w:rPr>
              <w:t>NIIM on loans decreased QoQ, YoY and YTD. During these periods, the loan</w:t>
            </w:r>
          </w:p>
        </w:tc>
        <w:tc>
          <w:tcPr>
            <w:tcW w:w="2260" w:type="dxa"/>
            <w:vAlign w:val="bottom"/>
          </w:tcPr>
          <w:p>
            <w:pPr>
              <w:ind w:left="980"/>
              <w:spacing w:after="0"/>
              <w:rPr>
                <w:sz w:val="20"/>
                <w:szCs w:val="20"/>
                <w:color w:val="auto"/>
              </w:rPr>
            </w:pPr>
            <w:r>
              <w:rPr>
                <w:rFonts w:ascii="Arial" w:cs="Arial" w:eastAsia="Arial" w:hAnsi="Arial"/>
                <w:sz w:val="18"/>
                <w:szCs w:val="18"/>
                <w:b w:val="1"/>
                <w:bCs w:val="1"/>
                <w:color w:val="auto"/>
                <w:w w:val="89"/>
              </w:rPr>
              <w:t xml:space="preserve">NIM on loans </w:t>
            </w:r>
            <w:r>
              <w:rPr>
                <w:rFonts w:ascii="Arial" w:cs="Arial" w:eastAsia="Arial" w:hAnsi="Arial"/>
                <w:sz w:val="29"/>
                <w:szCs w:val="29"/>
                <w:b w:val="1"/>
                <w:bCs w:val="1"/>
                <w:color w:val="auto"/>
                <w:w w:val="89"/>
                <w:vertAlign w:val="superscript"/>
              </w:rPr>
              <w:t>(1)</w:t>
            </w:r>
          </w:p>
        </w:tc>
      </w:tr>
      <w:tr>
        <w:trPr>
          <w:trHeight w:val="215"/>
        </w:trPr>
        <w:tc>
          <w:tcPr>
            <w:tcW w:w="7100" w:type="dxa"/>
            <w:vAlign w:val="bottom"/>
          </w:tcPr>
          <w:p>
            <w:pPr>
              <w:spacing w:after="0"/>
              <w:rPr>
                <w:sz w:val="20"/>
                <w:szCs w:val="20"/>
                <w:color w:val="auto"/>
              </w:rPr>
            </w:pPr>
            <w:r>
              <w:rPr>
                <w:rFonts w:ascii="Arial" w:cs="Arial" w:eastAsia="Arial" w:hAnsi="Arial"/>
                <w:sz w:val="18"/>
                <w:szCs w:val="18"/>
                <w:color w:val="auto"/>
              </w:rPr>
              <w:t>balance increased but was heavily weighted with low-interest government loans.</w:t>
            </w:r>
          </w:p>
        </w:tc>
        <w:tc>
          <w:tcPr>
            <w:tcW w:w="226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Besides, zero-interest-rate facilities granted to our clients also led to impairment for</w:t>
            </w:r>
          </w:p>
        </w:tc>
        <w:tc>
          <w:tcPr>
            <w:tcW w:w="226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deterioration in interest on loans.</w:t>
            </w:r>
          </w:p>
        </w:tc>
        <w:tc>
          <w:tcPr>
            <w:tcW w:w="2260" w:type="dxa"/>
            <w:vAlign w:val="bottom"/>
          </w:tcPr>
          <w:p>
            <w:pPr>
              <w:spacing w:after="0"/>
              <w:rPr>
                <w:sz w:val="20"/>
                <w:szCs w:val="20"/>
                <w:color w:val="auto"/>
              </w:rPr>
            </w:pPr>
          </w:p>
        </w:tc>
      </w:tr>
      <w:tr>
        <w:trPr>
          <w:trHeight w:val="418"/>
        </w:trPr>
        <w:tc>
          <w:tcPr>
            <w:tcW w:w="7100" w:type="dxa"/>
            <w:vAlign w:val="bottom"/>
          </w:tcPr>
          <w:p>
            <w:pPr>
              <w:spacing w:after="0"/>
              <w:rPr>
                <w:sz w:val="20"/>
                <w:szCs w:val="20"/>
                <w:color w:val="auto"/>
              </w:rPr>
            </w:pPr>
            <w:r>
              <w:rPr>
                <w:rFonts w:ascii="Arial" w:cs="Arial" w:eastAsia="Arial" w:hAnsi="Arial"/>
                <w:sz w:val="18"/>
                <w:szCs w:val="18"/>
                <w:color w:val="auto"/>
              </w:rPr>
              <w:t>NIM on loans in the Structural portfolio was situated at 7.37% this quarter, which</w:t>
            </w:r>
          </w:p>
        </w:tc>
        <w:tc>
          <w:tcPr>
            <w:tcW w:w="2260" w:type="dxa"/>
            <w:vAlign w:val="bottom"/>
          </w:tcPr>
          <w:p>
            <w:pPr>
              <w:spacing w:after="0"/>
              <w:rPr>
                <w:sz w:val="24"/>
                <w:szCs w:val="24"/>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represented a reduction of -13pbs QoQ and -48pbs YoY. This decrease was driven</w:t>
            </w:r>
          </w:p>
        </w:tc>
        <w:tc>
          <w:tcPr>
            <w:tcW w:w="226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by lower market rates in both LC and FC.</w:t>
            </w:r>
          </w:p>
        </w:tc>
        <w:tc>
          <w:tcPr>
            <w:tcW w:w="2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-933450</wp:posOffset>
            </wp:positionV>
            <wp:extent cx="2562860" cy="13627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also important to note analyze NIM by business line. The table below contains information on the interest margins for each of Credicorp’s business lines.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Universal</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30"/>
              <w:spacing w:after="0" w:line="271" w:lineRule="exact"/>
              <w:rPr>
                <w:sz w:val="20"/>
                <w:szCs w:val="20"/>
                <w:color w:val="auto"/>
              </w:rPr>
            </w:pPr>
            <w:r>
              <w:rPr>
                <w:rFonts w:ascii="Arial" w:cs="Arial" w:eastAsia="Arial" w:hAnsi="Arial"/>
                <w:sz w:val="18"/>
                <w:szCs w:val="18"/>
                <w:b w:val="1"/>
                <w:bCs w:val="1"/>
                <w:color w:val="auto"/>
                <w:w w:val="88"/>
              </w:rPr>
              <w:t>Banking</w:t>
            </w:r>
            <w:r>
              <w:rPr>
                <w:rFonts w:ascii="Arial" w:cs="Arial" w:eastAsia="Arial" w:hAnsi="Arial"/>
                <w:sz w:val="29"/>
                <w:szCs w:val="29"/>
                <w:b w:val="1"/>
                <w:bCs w:val="1"/>
                <w:color w:val="auto"/>
                <w:w w:val="88"/>
                <w:vertAlign w:val="superscript"/>
              </w:rPr>
              <w:t>(1)</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gridSpan w:val="2"/>
          </w:tcPr>
          <w:p>
            <w:pPr>
              <w:ind w:left="20"/>
              <w:spacing w:after="0" w:line="271" w:lineRule="exact"/>
              <w:rPr>
                <w:sz w:val="20"/>
                <w:szCs w:val="20"/>
                <w:color w:val="auto"/>
              </w:rPr>
            </w:pPr>
            <w:r>
              <w:rPr>
                <w:rFonts w:ascii="Arial" w:cs="Arial" w:eastAsia="Arial" w:hAnsi="Arial"/>
                <w:sz w:val="18"/>
                <w:szCs w:val="18"/>
                <w:b w:val="1"/>
                <w:bCs w:val="1"/>
                <w:color w:val="auto"/>
                <w:w w:val="89"/>
              </w:rPr>
              <w:t>Microfinance</w:t>
            </w:r>
            <w:r>
              <w:rPr>
                <w:rFonts w:ascii="Arial" w:cs="Arial" w:eastAsia="Arial" w:hAnsi="Arial"/>
                <w:sz w:val="29"/>
                <w:szCs w:val="29"/>
                <w:b w:val="1"/>
                <w:bCs w:val="1"/>
                <w:color w:val="auto"/>
                <w:w w:val="89"/>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gridSpan w:val="2"/>
          </w:tcPr>
          <w:p>
            <w:pPr>
              <w:ind w:left="40"/>
              <w:spacing w:after="0" w:line="271" w:lineRule="exact"/>
              <w:rPr>
                <w:sz w:val="20"/>
                <w:szCs w:val="20"/>
                <w:color w:val="auto"/>
              </w:rPr>
            </w:pPr>
            <w:r>
              <w:rPr>
                <w:rFonts w:ascii="Arial" w:cs="Arial" w:eastAsia="Arial" w:hAnsi="Arial"/>
                <w:sz w:val="18"/>
                <w:szCs w:val="18"/>
                <w:b w:val="1"/>
                <w:bCs w:val="1"/>
                <w:color w:val="auto"/>
                <w:w w:val="89"/>
              </w:rPr>
              <w:t>Credicorp</w:t>
            </w:r>
            <w:r>
              <w:rPr>
                <w:rFonts w:ascii="Arial" w:cs="Arial" w:eastAsia="Arial" w:hAnsi="Arial"/>
                <w:sz w:val="29"/>
                <w:szCs w:val="29"/>
                <w:b w:val="1"/>
                <w:bCs w:val="1"/>
                <w:color w:val="auto"/>
                <w:w w:val="89"/>
                <w:vertAlign w:val="superscript"/>
              </w:rPr>
              <w:t>(3)(4)</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4Q19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0" w:type="dxa"/>
            <w:vAlign w:val="bottom"/>
          </w:tcPr>
          <w:p>
            <w:pPr>
              <w:spacing w:after="0"/>
              <w:rPr>
                <w:sz w:val="1"/>
                <w:szCs w:val="1"/>
                <w:color w:val="auto"/>
              </w:rPr>
            </w:pPr>
          </w:p>
        </w:tc>
      </w:tr>
      <w:tr>
        <w:trPr>
          <w:trHeight w:val="216"/>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3Q20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12.12%</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4.05%</w:t>
            </w:r>
          </w:p>
        </w:tc>
        <w:tc>
          <w:tcPr>
            <w:tcW w:w="0" w:type="dxa"/>
            <w:vAlign w:val="bottom"/>
          </w:tcPr>
          <w:p>
            <w:pPr>
              <w:spacing w:after="0"/>
              <w:rPr>
                <w:sz w:val="1"/>
                <w:szCs w:val="1"/>
                <w:color w:val="auto"/>
              </w:rPr>
            </w:pPr>
          </w:p>
        </w:tc>
      </w:tr>
      <w:tr>
        <w:trPr>
          <w:trHeight w:val="229"/>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4Q20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1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14.39%</w:t>
            </w:r>
          </w:p>
        </w:tc>
        <w:tc>
          <w:tcPr>
            <w:tcW w:w="120" w:type="dxa"/>
            <w:vAlign w:val="bottom"/>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Universal Banking includes BCP Stand-alone and BCP Bolivia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Microfinance includes Mibanco and Mibanco Colombia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QoQ, YoY and YTD,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registered a reduction in NIM due to deterioration in both Universal Banking and Microfinance. Universal Banking represents 76% of net interest income while Microfinance represents 19%.</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NIM for </w:t>
      </w:r>
      <w:r>
        <w:rPr>
          <w:rFonts w:ascii="Arial" w:cs="Arial" w:eastAsia="Arial" w:hAnsi="Arial"/>
          <w:sz w:val="18"/>
          <w:szCs w:val="18"/>
          <w:b w:val="1"/>
          <w:bCs w:val="1"/>
          <w:color w:val="auto"/>
        </w:rPr>
        <w:t>Universal Banking</w:t>
      </w:r>
      <w:r>
        <w:rPr>
          <w:rFonts w:ascii="Arial" w:cs="Arial" w:eastAsia="Arial" w:hAnsi="Arial"/>
          <w:sz w:val="18"/>
          <w:szCs w:val="18"/>
          <w:color w:val="auto"/>
        </w:rPr>
        <w:t xml:space="preserve"> fell -94bps decline at the YTD level was attributable to the impairment set aside for deterioration in interest income from zero-interest-rate loans; the fact that government loans were granted at lower rates; interest impairment at BCP Bolivia; and a decrease in market rates for LC and FC. The QoQ decline of –31pbs was attributable primarily to the impairment charge at BCP Bolivia and the YoY decrease of –162bps due to the impact of low-interest government loans, a less profitability structural portfolio in a context of lower interest rates, and cancelations and pre-payments on Structural loans with higher rates.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NIM for </w:t>
      </w:r>
      <w:r>
        <w:rPr>
          <w:rFonts w:ascii="Arial" w:cs="Arial" w:eastAsia="Arial" w:hAnsi="Arial"/>
          <w:sz w:val="18"/>
          <w:szCs w:val="18"/>
          <w:b w:val="1"/>
          <w:bCs w:val="1"/>
          <w:color w:val="auto"/>
        </w:rPr>
        <w:t>Microfinance</w:t>
      </w:r>
      <w:r>
        <w:rPr>
          <w:rFonts w:ascii="Arial" w:cs="Arial" w:eastAsia="Arial" w:hAnsi="Arial"/>
          <w:sz w:val="18"/>
          <w:szCs w:val="18"/>
          <w:color w:val="auto"/>
        </w:rPr>
        <w:t xml:space="preserve"> fell -149bps QoQ and –458bps YoY due to the impact of low-interest government loans. At the YTD level, NIM fell -344bps due to the concentration of low-interest government loans; the impairment charge related to frozen loans; and, to a lesser extent, to reversals for interest for loans that had been reprogrammed but fell delinquent once grace periods expired. Accordingly, these loans migrated from the current portfolio to the IOL portfolio.</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analysis of Risk-adjusted NIM by business line is also important. The table below shows the risk-adjusted margins for each of the business lines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3" w:lineRule="exact"/>
        <w:rPr>
          <w:sz w:val="20"/>
          <w:szCs w:val="20"/>
          <w:color w:val="auto"/>
        </w:rPr>
      </w:pPr>
    </w:p>
    <w:p>
      <w:pPr>
        <w:ind w:left="220" w:hanging="212"/>
        <w:spacing w:after="0"/>
        <w:tabs>
          <w:tab w:leader="none" w:pos="220"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137160</wp:posOffset>
            </wp:positionV>
            <wp:extent cx="466344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634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Universal</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Risk Adjusted NIM Breakdown</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30"/>
              <w:spacing w:after="0" w:line="271" w:lineRule="exact"/>
              <w:rPr>
                <w:sz w:val="20"/>
                <w:szCs w:val="20"/>
                <w:color w:val="auto"/>
              </w:rPr>
            </w:pPr>
            <w:r>
              <w:rPr>
                <w:rFonts w:ascii="Arial" w:cs="Arial" w:eastAsia="Arial" w:hAnsi="Arial"/>
                <w:sz w:val="18"/>
                <w:szCs w:val="18"/>
                <w:b w:val="1"/>
                <w:bCs w:val="1"/>
                <w:color w:val="auto"/>
                <w:w w:val="88"/>
              </w:rPr>
              <w:t>Banking</w:t>
            </w:r>
            <w:r>
              <w:rPr>
                <w:rFonts w:ascii="Arial" w:cs="Arial" w:eastAsia="Arial" w:hAnsi="Arial"/>
                <w:sz w:val="29"/>
                <w:szCs w:val="29"/>
                <w:b w:val="1"/>
                <w:bCs w:val="1"/>
                <w:color w:val="auto"/>
                <w:w w:val="88"/>
                <w:vertAlign w:val="superscript"/>
              </w:rPr>
              <w:t>(1)</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gridSpan w:val="2"/>
          </w:tcPr>
          <w:p>
            <w:pPr>
              <w:ind w:left="20"/>
              <w:spacing w:after="0" w:line="271" w:lineRule="exact"/>
              <w:rPr>
                <w:sz w:val="20"/>
                <w:szCs w:val="20"/>
                <w:color w:val="auto"/>
              </w:rPr>
            </w:pPr>
            <w:r>
              <w:rPr>
                <w:rFonts w:ascii="Arial" w:cs="Arial" w:eastAsia="Arial" w:hAnsi="Arial"/>
                <w:sz w:val="18"/>
                <w:szCs w:val="18"/>
                <w:b w:val="1"/>
                <w:bCs w:val="1"/>
                <w:color w:val="auto"/>
                <w:w w:val="89"/>
              </w:rPr>
              <w:t>Microfinance</w:t>
            </w:r>
            <w:r>
              <w:rPr>
                <w:rFonts w:ascii="Arial" w:cs="Arial" w:eastAsia="Arial" w:hAnsi="Arial"/>
                <w:sz w:val="29"/>
                <w:szCs w:val="29"/>
                <w:b w:val="1"/>
                <w:bCs w:val="1"/>
                <w:color w:val="auto"/>
                <w:w w:val="89"/>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gridSpan w:val="2"/>
          </w:tcPr>
          <w:p>
            <w:pPr>
              <w:ind w:left="40"/>
              <w:spacing w:after="0" w:line="271" w:lineRule="exact"/>
              <w:rPr>
                <w:sz w:val="20"/>
                <w:szCs w:val="20"/>
                <w:color w:val="auto"/>
              </w:rPr>
            </w:pPr>
            <w:r>
              <w:rPr>
                <w:rFonts w:ascii="Arial" w:cs="Arial" w:eastAsia="Arial" w:hAnsi="Arial"/>
                <w:sz w:val="18"/>
                <w:szCs w:val="18"/>
                <w:b w:val="1"/>
                <w:bCs w:val="1"/>
                <w:color w:val="auto"/>
                <w:w w:val="89"/>
              </w:rPr>
              <w:t>Credicorp</w:t>
            </w:r>
            <w:r>
              <w:rPr>
                <w:rFonts w:ascii="Arial" w:cs="Arial" w:eastAsia="Arial" w:hAnsi="Arial"/>
                <w:sz w:val="29"/>
                <w:szCs w:val="29"/>
                <w:b w:val="1"/>
                <w:bCs w:val="1"/>
                <w:color w:val="auto"/>
                <w:w w:val="89"/>
                <w:vertAlign w:val="superscript"/>
              </w:rPr>
              <w:t>(3)(4)</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4Q19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12.03%</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r>
        <w:trPr>
          <w:trHeight w:val="216"/>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3Q20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0.99%</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4Q20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12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11.27%</w:t>
            </w:r>
          </w:p>
        </w:tc>
        <w:tc>
          <w:tcPr>
            <w:tcW w:w="120" w:type="dxa"/>
            <w:vAlign w:val="bottom"/>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Risk-Adjusted NIM: (Annualized Net interest income - annualized provisions) / Average period end and period beginning interest earning assets.</w:t>
      </w:r>
    </w:p>
    <w:p>
      <w:pPr>
        <w:spacing w:after="0" w:line="35"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Universal Banking includes BCP Stand-alone and BCP Bolivia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Microfinance includes Mibanco and Mibanco Colombia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in the business lines, a QoQ increase is evident in the risk-adjusted margin, which corresponds primarily to a QoQ reduction in provisions in the business units, which show signs of recovery. Nevertheless, the YoY and YTD evolutions are negative for both lines. This was driven by the reasons outlined above and by significant growth in net provisions for loan losses for the pandemic in 2020.</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Non-financial income expanded +20.7% QoQ in 4Q20. This was driven primarily by the fact that fee exemptions were in place until September and as such, the last quarter of the year was actually the first to reflect full fee income. In addition, although to a lesser extent, to the acceleration in economic activity in the last quarter of the year. Nevertheless, in 2020, non-financial income fell -10.0% following months of confinement to stem the COVID-19 pandemic. Fee income was hit hardest in this context, and as such, was responsible for the majority of the decline in the non-financial component.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gridSpan w:val="3"/>
          </w:tcPr>
          <w:p>
            <w:pPr>
              <w:spacing w:after="0"/>
              <w:rPr>
                <w:sz w:val="20"/>
                <w:szCs w:val="20"/>
                <w:color w:val="auto"/>
              </w:rPr>
            </w:pPr>
            <w:r>
              <w:rPr>
                <w:rFonts w:ascii="Arial" w:cs="Arial" w:eastAsia="Arial" w:hAnsi="Arial"/>
                <w:sz w:val="13"/>
                <w:szCs w:val="13"/>
                <w:b w:val="1"/>
                <w:bCs w:val="1"/>
                <w:color w:val="auto"/>
              </w:rPr>
              <w:t>Non-financial income</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w w:val="97"/>
              </w:rPr>
              <w:t>Quarter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ind w:left="520"/>
              <w:spacing w:after="0"/>
              <w:rPr>
                <w:sz w:val="20"/>
                <w:szCs w:val="20"/>
                <w:color w:val="auto"/>
              </w:rPr>
            </w:pPr>
            <w:r>
              <w:rPr>
                <w:rFonts w:ascii="Arial" w:cs="Arial" w:eastAsia="Arial" w:hAnsi="Arial"/>
                <w:sz w:val="13"/>
                <w:szCs w:val="13"/>
                <w:b w:val="1"/>
                <w:bCs w:val="1"/>
                <w:color w:val="auto"/>
                <w:w w:val="98"/>
              </w:rPr>
              <w:t>% change</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40"/>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 change</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4Q19</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3Q20</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4Q20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QoQ</w:t>
            </w: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4"/>
              </w:rPr>
              <w:t>2020/2019</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Fee income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847,206</w:t>
            </w: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775,805</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873,155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3,232,781</w:t>
            </w: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2,912,778</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3400" w:type="dxa"/>
            <w:vAlign w:val="bottom"/>
            <w:gridSpan w:val="3"/>
          </w:tcPr>
          <w:p>
            <w:pPr>
              <w:spacing w:after="0" w:line="135" w:lineRule="exact"/>
              <w:rPr>
                <w:sz w:val="20"/>
                <w:szCs w:val="20"/>
                <w:color w:val="auto"/>
              </w:rPr>
            </w:pPr>
            <w:r>
              <w:rPr>
                <w:rFonts w:ascii="Arial" w:cs="Arial" w:eastAsia="Arial" w:hAnsi="Arial"/>
                <w:sz w:val="13"/>
                <w:szCs w:val="13"/>
                <w:color w:val="auto"/>
              </w:rPr>
              <w:t>Net gain on foreign exchange transactions</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193,528</w:t>
            </w:r>
          </w:p>
        </w:tc>
        <w:tc>
          <w:tcPr>
            <w:tcW w:w="2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155,028</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151,464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-21.7%</w:t>
            </w:r>
          </w:p>
        </w:tc>
        <w:tc>
          <w:tcPr>
            <w:tcW w:w="120" w:type="dxa"/>
            <w:vAlign w:val="bottom"/>
          </w:tcPr>
          <w:p>
            <w:pPr>
              <w:spacing w:after="0"/>
              <w:rPr>
                <w:sz w:val="11"/>
                <w:szCs w:val="11"/>
                <w:color w:val="auto"/>
              </w:rPr>
            </w:pPr>
          </w:p>
        </w:tc>
        <w:tc>
          <w:tcPr>
            <w:tcW w:w="9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748,382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622,783</w:t>
            </w: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35"/>
        </w:trPr>
        <w:tc>
          <w:tcPr>
            <w:tcW w:w="34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Net gain on securities</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102,011</w:t>
            </w: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135,957</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162,523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59.3%</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466,970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458,410</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5"/>
        </w:trPr>
        <w:tc>
          <w:tcPr>
            <w:tcW w:w="340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0"/>
                <w:szCs w:val="20"/>
                <w:color w:val="auto"/>
                <w:vertAlign w:val="superscript"/>
              </w:rPr>
              <w:t>(1)</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22,738</w:t>
            </w:r>
          </w:p>
        </w:tc>
        <w:tc>
          <w:tcPr>
            <w:tcW w:w="2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11,245</w:t>
            </w:r>
          </w:p>
        </w:tc>
        <w:tc>
          <w:tcPr>
            <w:tcW w:w="2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19,297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79,844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64,672</w:t>
            </w: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35"/>
        </w:trPr>
        <w:tc>
          <w:tcPr>
            <w:tcW w:w="34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Net gain on derivatives held for trading</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7,043</w:t>
            </w: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(21,297)</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18,298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480"/>
              <w:spacing w:after="0" w:line="135"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159.8%</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6,043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28,927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378.7%</w:t>
            </w:r>
          </w:p>
        </w:tc>
        <w:tc>
          <w:tcPr>
            <w:tcW w:w="0" w:type="dxa"/>
            <w:vAlign w:val="bottom"/>
          </w:tcPr>
          <w:p>
            <w:pPr>
              <w:spacing w:after="0"/>
              <w:rPr>
                <w:sz w:val="1"/>
                <w:szCs w:val="1"/>
                <w:color w:val="auto"/>
              </w:rPr>
            </w:pPr>
          </w:p>
        </w:tc>
      </w:tr>
      <w:tr>
        <w:trPr>
          <w:trHeight w:val="135"/>
        </w:trPr>
        <w:tc>
          <w:tcPr>
            <w:tcW w:w="3400" w:type="dxa"/>
            <w:vAlign w:val="bottom"/>
            <w:gridSpan w:val="3"/>
          </w:tcPr>
          <w:p>
            <w:pPr>
              <w:spacing w:after="0" w:line="135" w:lineRule="exact"/>
              <w:rPr>
                <w:sz w:val="20"/>
                <w:szCs w:val="20"/>
                <w:color w:val="auto"/>
              </w:rPr>
            </w:pPr>
            <w:r>
              <w:rPr>
                <w:rFonts w:ascii="Arial" w:cs="Arial" w:eastAsia="Arial" w:hAnsi="Arial"/>
                <w:sz w:val="13"/>
                <w:szCs w:val="13"/>
                <w:color w:val="auto"/>
              </w:rPr>
              <w:t>Net gain from exchange differences</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17,745</w:t>
            </w:r>
          </w:p>
        </w:tc>
        <w:tc>
          <w:tcPr>
            <w:tcW w:w="2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6,361</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75.3%</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-37.2%</w:t>
            </w:r>
          </w:p>
        </w:tc>
        <w:tc>
          <w:tcPr>
            <w:tcW w:w="120" w:type="dxa"/>
            <w:vAlign w:val="bottom"/>
          </w:tcPr>
          <w:p>
            <w:pPr>
              <w:spacing w:after="0"/>
              <w:rPr>
                <w:sz w:val="11"/>
                <w:szCs w:val="11"/>
                <w:color w:val="auto"/>
              </w:rPr>
            </w:pPr>
          </w:p>
        </w:tc>
        <w:tc>
          <w:tcPr>
            <w:tcW w:w="9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19,735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31,666</w:t>
            </w: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49"/>
        </w:trPr>
        <w:tc>
          <w:tcPr>
            <w:tcW w:w="3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non-financial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75,274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94,517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139.3%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344,229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286,981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non-financial income, net</w:t>
            </w: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gridSpan w:val="3"/>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1,265,545</w:t>
            </w:r>
          </w:p>
        </w:tc>
        <w:tc>
          <w:tcPr>
            <w:tcW w:w="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1,102,597</w:t>
            </w: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1,330,406</w:t>
            </w: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20.7%</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5.1%</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4,897,984</w:t>
            </w:r>
          </w:p>
        </w:tc>
        <w:tc>
          <w:tcPr>
            <w:tcW w:w="320" w:type="dxa"/>
            <w:vAlign w:val="bottom"/>
            <w:vMerge w:val="continue"/>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4,406,217</w:t>
            </w:r>
          </w:p>
        </w:tc>
        <w:tc>
          <w:tcPr>
            <w:tcW w:w="2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(1) Includes gains on other investments, mainly made up of the profit of Banmedica.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(S/ 000)</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ind w:left="500"/>
              <w:spacing w:after="0"/>
              <w:rPr>
                <w:sz w:val="20"/>
                <w:szCs w:val="20"/>
                <w:color w:val="auto"/>
              </w:rPr>
            </w:pPr>
            <w:r>
              <w:rPr>
                <w:rFonts w:ascii="Arial" w:cs="Arial" w:eastAsia="Arial" w:hAnsi="Arial"/>
                <w:sz w:val="13"/>
                <w:szCs w:val="13"/>
                <w:b w:val="1"/>
                <w:bCs w:val="1"/>
                <w:color w:val="auto"/>
              </w:rPr>
              <w:t>% change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 change</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4Q19</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3Q20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4Q20</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gridSpan w:val="2"/>
          </w:tcPr>
          <w:p>
            <w:pPr>
              <w:spacing w:after="0"/>
              <w:rPr>
                <w:sz w:val="12"/>
                <w:szCs w:val="12"/>
                <w:color w:val="auto"/>
              </w:rPr>
            </w:pPr>
          </w:p>
        </w:tc>
        <w:tc>
          <w:tcPr>
            <w:tcW w:w="5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YoY</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4"/>
              </w:rPr>
              <w:t>2020/2019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 EPS contribution (50%)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17,262</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9,416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16,625</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-36.0%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53,658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60,033</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48"/>
        </w:trPr>
        <w:tc>
          <w:tcPr>
            <w:tcW w:w="3400" w:type="dxa"/>
            <w:vAlign w:val="bottom"/>
            <w:gridSpan w:val="3"/>
          </w:tcPr>
          <w:p>
            <w:pPr>
              <w:spacing w:after="0"/>
              <w:rPr>
                <w:sz w:val="20"/>
                <w:szCs w:val="20"/>
                <w:color w:val="auto"/>
              </w:rPr>
            </w:pPr>
            <w:r>
              <w:rPr>
                <w:rFonts w:ascii="Arial" w:cs="Arial" w:eastAsia="Arial" w:hAnsi="Arial"/>
                <w:sz w:val="13"/>
                <w:szCs w:val="13"/>
                <w:color w:val="auto"/>
              </w:rPr>
              <w:t>(-) Private health insurance deduction (50%)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(9,806)</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(10,566)</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(17,079)</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97.6%</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(22,638)</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(52,019)</w:t>
            </w:r>
          </w:p>
        </w:tc>
        <w:tc>
          <w:tcPr>
            <w:tcW w:w="1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20"/>
        </w:trPr>
        <w:tc>
          <w:tcPr>
            <w:tcW w:w="34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b w:val="1"/>
                <w:bCs w:val="1"/>
                <w:color w:val="auto"/>
              </w:rPr>
              <w:t>(=) Net gain from association with Banmedica</w:t>
            </w: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400" w:type="dxa"/>
            <w:vAlign w:val="bottom"/>
            <w:gridSpan w:val="3"/>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7,456</w:t>
            </w:r>
          </w:p>
        </w:tc>
        <w:tc>
          <w:tcPr>
            <w:tcW w:w="2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(1,150)</w:t>
            </w:r>
          </w:p>
        </w:tc>
        <w:tc>
          <w:tcPr>
            <w:tcW w:w="2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(454)</w:t>
            </w:r>
          </w:p>
        </w:tc>
        <w:tc>
          <w:tcPr>
            <w:tcW w:w="2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1.1%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b w:val="1"/>
                <w:bCs w:val="1"/>
                <w:color w:val="auto"/>
                <w:w w:val="74"/>
              </w:rPr>
              <w:t>n.a</w:t>
            </w:r>
          </w:p>
        </w:tc>
        <w:tc>
          <w:tcPr>
            <w:tcW w:w="22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31,020</w:t>
            </w:r>
          </w:p>
        </w:tc>
        <w:tc>
          <w:tcPr>
            <w:tcW w:w="2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8,014</w:t>
            </w:r>
          </w:p>
        </w:tc>
        <w:tc>
          <w:tcPr>
            <w:tcW w:w="22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evolution</w:t>
      </w:r>
      <w:r>
        <w:rPr>
          <w:rFonts w:ascii="Arial" w:cs="Arial" w:eastAsia="Arial" w:hAnsi="Arial"/>
          <w:sz w:val="18"/>
          <w:szCs w:val="18"/>
          <w:color w:val="auto"/>
        </w:rPr>
        <w:t xml:space="preserve"> reveals growth of +20.7% in non-finan cial income that was primarily attributable to:</w:t>
      </w:r>
    </w:p>
    <w:p>
      <w:pPr>
        <w:spacing w:after="0" w:line="225" w:lineRule="exact"/>
        <w:rPr>
          <w:sz w:val="20"/>
          <w:szCs w:val="20"/>
          <w:color w:val="auto"/>
        </w:rPr>
      </w:pPr>
    </w:p>
    <w:p>
      <w:pPr>
        <w:jc w:val="both"/>
        <w:ind w:left="880" w:hanging="494"/>
        <w:spacing w:after="0" w:line="26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Expansion in </w:t>
      </w:r>
      <w:r>
        <w:rPr>
          <w:rFonts w:ascii="Arial" w:cs="Arial" w:eastAsia="Arial" w:hAnsi="Arial"/>
          <w:sz w:val="18"/>
          <w:szCs w:val="18"/>
          <w:b w:val="1"/>
          <w:bCs w:val="1"/>
          <w:color w:val="auto"/>
        </w:rPr>
        <w:t>Fee income (+12.5%)</w:t>
      </w:r>
      <w:r>
        <w:rPr>
          <w:rFonts w:ascii="Arial" w:cs="Arial" w:eastAsia="Arial" w:hAnsi="Arial"/>
          <w:sz w:val="18"/>
          <w:szCs w:val="18"/>
          <w:color w:val="auto"/>
        </w:rPr>
        <w:t>, which was mainly driven by BCP Stand-alone and Mibanco after (i) fees were reinstated after the exemptions offered to clients through September to help mitigate the effects of the most critical months of the pandemic were discontinued and (ii) +20% in monetary transactions, driven by an uptick in economic activity this quarter.</w:t>
      </w:r>
    </w:p>
    <w:p>
      <w:pPr>
        <w:spacing w:after="0" w:line="175" w:lineRule="exact"/>
        <w:rPr>
          <w:rFonts w:ascii="Arial" w:cs="Arial" w:eastAsia="Arial" w:hAnsi="Arial"/>
          <w:sz w:val="18"/>
          <w:szCs w:val="18"/>
          <w:color w:val="auto"/>
        </w:rPr>
      </w:pPr>
    </w:p>
    <w:p>
      <w:pPr>
        <w:ind w:left="880" w:hanging="49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increase in </w:t>
      </w:r>
      <w:r>
        <w:rPr>
          <w:rFonts w:ascii="Arial" w:cs="Arial" w:eastAsia="Arial" w:hAnsi="Arial"/>
          <w:sz w:val="17"/>
          <w:szCs w:val="17"/>
          <w:b w:val="1"/>
          <w:bCs w:val="1"/>
          <w:color w:val="auto"/>
        </w:rPr>
        <w:t>Net gain on speculative derivatives,</w:t>
      </w:r>
      <w:r>
        <w:rPr>
          <w:rFonts w:ascii="Arial" w:cs="Arial" w:eastAsia="Arial" w:hAnsi="Arial"/>
          <w:sz w:val="17"/>
          <w:szCs w:val="17"/>
          <w:color w:val="auto"/>
        </w:rPr>
        <w:t xml:space="preserve"> which was mainly attributable to hedging transactions for credit operations at ASB.</w:t>
      </w:r>
    </w:p>
    <w:p>
      <w:pPr>
        <w:spacing w:after="0" w:line="237"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 xml:space="preserve">An increase in the </w:t>
      </w:r>
      <w:r>
        <w:rPr>
          <w:rFonts w:ascii="Arial" w:cs="Arial" w:eastAsia="Arial" w:hAnsi="Arial"/>
          <w:sz w:val="16"/>
          <w:szCs w:val="16"/>
          <w:b w:val="1"/>
          <w:bCs w:val="1"/>
          <w:color w:val="auto"/>
        </w:rPr>
        <w:t>Net gain on securities</w:t>
      </w:r>
      <w:r>
        <w:rPr>
          <w:rFonts w:ascii="Arial" w:cs="Arial" w:eastAsia="Arial" w:hAnsi="Arial"/>
          <w:sz w:val="16"/>
          <w:szCs w:val="16"/>
          <w:color w:val="auto"/>
        </w:rPr>
        <w:t>, generated by (i) a recovery in the market value of a fair value through other comprehensive income investment at ASB and (ii) an increase in the profitability of legal reserves, which was driven by recovery in the capital markets in the last quarter at Prima.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5.1% growth in non-financial income was attributable to:</w:t>
      </w:r>
    </w:p>
    <w:p>
      <w:pPr>
        <w:spacing w:after="0" w:line="225" w:lineRule="exact"/>
        <w:rPr>
          <w:sz w:val="20"/>
          <w:szCs w:val="20"/>
          <w:color w:val="auto"/>
        </w:rPr>
      </w:pPr>
    </w:p>
    <w:p>
      <w:pPr>
        <w:ind w:left="880" w:right="20" w:hanging="494"/>
        <w:spacing w:after="0" w:line="282"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 increase in income in </w:t>
      </w:r>
      <w:r>
        <w:rPr>
          <w:rFonts w:ascii="Arial" w:cs="Arial" w:eastAsia="Arial" w:hAnsi="Arial"/>
          <w:sz w:val="18"/>
          <w:szCs w:val="18"/>
          <w:b w:val="1"/>
          <w:bCs w:val="1"/>
          <w:color w:val="auto"/>
        </w:rPr>
        <w:t>Net Gain on Securities,</w:t>
      </w:r>
      <w:r>
        <w:rPr>
          <w:rFonts w:ascii="Arial" w:cs="Arial" w:eastAsia="Arial" w:hAnsi="Arial"/>
          <w:sz w:val="18"/>
          <w:szCs w:val="18"/>
          <w:color w:val="auto"/>
        </w:rPr>
        <w:t xml:space="preserve"> due to recovery in the capital markets, which had a positive effect on investments at Credicorp Capital, ASB and Prima.</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Mibanco’s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increase, which correspond to the collection of credit life insurance fees from frozen and reprogrammed loans during 2020.</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aforementioned was somewhat offset by the contraction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which corresponds to operations at Credicorp Capital and ASB as a consequence of volatility in the exchange market.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comparison to results in 2020, non-financial income fell -10.0% with regard to 2019, which was primarily due to a contraction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and a drop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which were impacted throughout 2020 in a context of a decrease in economic activity and transactionality after lockdowns were imposed to stem the pandemic. Additionally, different subsidiaries offered fee exemptions to clients in the period from March and September.</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line="282"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Net gain on speculative derivatives</w:t>
      </w:r>
      <w:r>
        <w:rPr>
          <w:rFonts w:ascii="Arial" w:cs="Arial" w:eastAsia="Arial" w:hAnsi="Arial"/>
          <w:sz w:val="18"/>
          <w:szCs w:val="18"/>
          <w:color w:val="auto"/>
        </w:rPr>
        <w:t>, which was driven by BCP Stand-alone growth of +152% (S/30 million) in this component in 2020, was nonetheless insufficient to offset the evolution described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the contribution of each subsidiary to growth in Credicorp’s fee income in 4Q20.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154305</wp:posOffset>
            </wp:positionV>
            <wp:extent cx="6703695" cy="2314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369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Mibanco Colombia, Grupo Pacifico and eliminations for consolidation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154305</wp:posOffset>
            </wp:positionV>
            <wp:extent cx="6489065" cy="2272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8906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Mibanco Colombia,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 xml:space="preserve">Evolution of fee income YTD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6643370" cy="2169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4337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Mibanco Colombia, Grupo Pacifico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Fee Income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ind w:left="50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4Q19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3Q20</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4Q20</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QoQ</w:t>
            </w: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gridSpan w:val="2"/>
          </w:tcPr>
          <w:p>
            <w:pPr>
              <w:spacing w:after="0"/>
              <w:rPr>
                <w:sz w:val="13"/>
                <w:szCs w:val="13"/>
                <w:color w:val="auto"/>
              </w:rPr>
            </w:pPr>
          </w:p>
        </w:tc>
        <w:tc>
          <w:tcPr>
            <w:tcW w:w="5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Miscellaneous accounts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186,506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165,699</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184,634</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718,581</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630,881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Credit cards </w:t>
            </w:r>
            <w:r>
              <w:rPr>
                <w:rFonts w:ascii="Arial" w:cs="Arial" w:eastAsia="Arial" w:hAnsi="Arial"/>
                <w:sz w:val="21"/>
                <w:szCs w:val="21"/>
                <w:color w:val="auto"/>
                <w:vertAlign w:val="superscript"/>
              </w:rPr>
              <w:t>(2)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72,051</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51,781</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65,867</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284,213</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190,689</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Drafts and transfers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71,547</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62,106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83,451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264,791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248,398</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Personal loans </w:t>
            </w:r>
            <w:r>
              <w:rPr>
                <w:rFonts w:ascii="Arial" w:cs="Arial" w:eastAsia="Arial" w:hAnsi="Arial"/>
                <w:sz w:val="21"/>
                <w:szCs w:val="21"/>
                <w:color w:val="auto"/>
                <w:vertAlign w:val="superscript"/>
              </w:rPr>
              <w:t>(2)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28,125</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29,197</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26,463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101,618</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95,310</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SME loans </w:t>
            </w:r>
            <w:r>
              <w:rPr>
                <w:rFonts w:ascii="Arial" w:cs="Arial" w:eastAsia="Arial" w:hAnsi="Arial"/>
                <w:sz w:val="21"/>
                <w:szCs w:val="21"/>
                <w:color w:val="auto"/>
                <w:vertAlign w:val="superscript"/>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18,452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20,161</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24,343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70,957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69,762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Insurance </w:t>
            </w:r>
            <w:r>
              <w:rPr>
                <w:rFonts w:ascii="Arial" w:cs="Arial" w:eastAsia="Arial" w:hAnsi="Arial"/>
                <w:sz w:val="21"/>
                <w:szCs w:val="21"/>
                <w:color w:val="auto"/>
                <w:vertAlign w:val="superscript"/>
              </w:rPr>
              <w:t>(2)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25,776</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23,990</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26,112</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98,490</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98,028</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Mortgage loans </w:t>
            </w:r>
            <w:r>
              <w:rPr>
                <w:rFonts w:ascii="Arial" w:cs="Arial" w:eastAsia="Arial" w:hAnsi="Arial"/>
                <w:sz w:val="21"/>
                <w:szCs w:val="21"/>
                <w:color w:val="auto"/>
                <w:vertAlign w:val="superscript"/>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10,678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14,085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11,066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33,683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Off-balance sheet </w:t>
            </w:r>
            <w:r>
              <w:rPr>
                <w:rFonts w:ascii="Arial" w:cs="Arial" w:eastAsia="Arial" w:hAnsi="Arial"/>
                <w:sz w:val="21"/>
                <w:szCs w:val="21"/>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48,215</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48,430</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53,825</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193,189</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201,579</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Payments and collections </w:t>
            </w:r>
            <w:r>
              <w:rPr>
                <w:rFonts w:ascii="Arial" w:cs="Arial" w:eastAsia="Arial" w:hAnsi="Arial"/>
                <w:sz w:val="21"/>
                <w:szCs w:val="21"/>
                <w:color w:val="auto"/>
                <w:vertAlign w:val="superscript"/>
              </w:rPr>
              <w:t>(3)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109,311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99,836</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106,078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426,640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389,521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21"/>
                <w:szCs w:val="21"/>
                <w:color w:val="auto"/>
                <w:vertAlign w:val="superscript"/>
              </w:rPr>
              <w:t>(3)(4)</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24,391</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16,626</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17,628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89,076</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62,680</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Foreign trade </w:t>
            </w:r>
            <w:r>
              <w:rPr>
                <w:rFonts w:ascii="Arial" w:cs="Arial" w:eastAsia="Arial" w:hAnsi="Arial"/>
                <w:sz w:val="21"/>
                <w:szCs w:val="21"/>
                <w:color w:val="auto"/>
                <w:vertAlign w:val="superscript"/>
              </w:rPr>
              <w:t>(3)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13,516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12,079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14,775</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56,122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48,390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Corporate finance and mutual funds </w:t>
            </w:r>
            <w:r>
              <w:rPr>
                <w:rFonts w:ascii="Arial" w:cs="Arial" w:eastAsia="Arial" w:hAnsi="Arial"/>
                <w:sz w:val="21"/>
                <w:szCs w:val="21"/>
                <w:color w:val="auto"/>
                <w:vertAlign w:val="superscript"/>
              </w:rPr>
              <w:t>(4)</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18,690</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13,162</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14,136</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71,451</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56,122</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ASB</w:t>
            </w:r>
            <w:r>
              <w:rPr>
                <w:rFonts w:ascii="Arial" w:cs="Arial" w:eastAsia="Arial" w:hAnsi="Arial"/>
                <w:sz w:val="10"/>
                <w:szCs w:val="10"/>
                <w:color w:val="auto"/>
              </w:rPr>
              <w:t xml:space="preserve"> (4)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11,550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10,024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34,110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25,208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3"/>
        </w:trPr>
        <w:tc>
          <w:tcPr>
            <w:tcW w:w="340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(4)(5)</w:t>
            </w:r>
          </w:p>
        </w:tc>
        <w:tc>
          <w:tcPr>
            <w:tcW w:w="680" w:type="dxa"/>
            <w:vAlign w:val="bottom"/>
          </w:tcPr>
          <w:p>
            <w:pPr>
              <w:jc w:val="right"/>
              <w:spacing w:after="0"/>
              <w:rPr>
                <w:sz w:val="20"/>
                <w:szCs w:val="20"/>
                <w:color w:val="auto"/>
              </w:rPr>
            </w:pPr>
            <w:r>
              <w:rPr>
                <w:rFonts w:ascii="Arial" w:cs="Arial" w:eastAsia="Arial" w:hAnsi="Arial"/>
                <w:sz w:val="14"/>
                <w:szCs w:val="14"/>
                <w:color w:val="auto"/>
              </w:rPr>
              <w:t>79,916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80,975</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303,388</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207,467</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
        </w:trPr>
        <w:tc>
          <w:tcPr>
            <w:tcW w:w="3400" w:type="dxa"/>
            <w:vAlign w:val="bottom"/>
            <w:gridSpan w:val="3"/>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fee income</w:t>
            </w: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gridSpan w:val="3"/>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718,725</w:t>
            </w:r>
          </w:p>
        </w:tc>
        <w:tc>
          <w:tcPr>
            <w:tcW w:w="24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601,968</w:t>
            </w:r>
          </w:p>
        </w:tc>
        <w:tc>
          <w:tcPr>
            <w:tcW w:w="2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715,453</w:t>
            </w:r>
          </w:p>
        </w:tc>
        <w:tc>
          <w:tcPr>
            <w:tcW w:w="2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2,751,682</w:t>
            </w:r>
          </w:p>
        </w:tc>
        <w:tc>
          <w:tcPr>
            <w:tcW w:w="2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2,357,719</w:t>
            </w:r>
          </w:p>
        </w:tc>
        <w:tc>
          <w:tcPr>
            <w:tcW w:w="2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BCP</w:t>
      </w:r>
    </w:p>
    <w:p>
      <w:pPr>
        <w:ind w:left="220" w:hanging="212"/>
        <w:spacing w:after="0" w:line="221"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Saving accounts, current accounts, debit card and master account.</w:t>
      </w:r>
    </w:p>
    <w:p>
      <w:pPr>
        <w:ind w:left="220" w:hanging="212"/>
        <w:spacing w:after="0" w:line="221"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Mainly Retail fees.</w:t>
      </w:r>
    </w:p>
    <w:p>
      <w:pPr>
        <w:ind w:left="220" w:hanging="212"/>
        <w:spacing w:after="0" w:line="221"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Mainly Wholesale fees.</w:t>
      </w:r>
    </w:p>
    <w:p>
      <w:pPr>
        <w:ind w:left="220" w:hanging="212"/>
        <w:spacing w:after="0" w:line="221"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fees from BCP Bolivia, Mibanco, network usage and other services to third parties, among others.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fee income in the banking business expanded +18.9% QoQ. The components that registered the highest growth this quarter were:</w:t>
      </w:r>
    </w:p>
    <w:p>
      <w:pPr>
        <w:spacing w:after="0" w:line="248" w:lineRule="exact"/>
        <w:rPr>
          <w:sz w:val="20"/>
          <w:szCs w:val="20"/>
          <w:color w:val="auto"/>
        </w:rPr>
      </w:pPr>
    </w:p>
    <w:p>
      <w:pPr>
        <w:jc w:val="both"/>
        <w:ind w:left="880" w:hanging="494"/>
        <w:spacing w:after="0" w:line="26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which evolved positively due to an increase in fees for (i) national transfers through savings accounts and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(ii) foreign transfers, and (iii) interbank transfers. These elements experienced growth after fee exemptions for clients, which were offered as part of financial relief measures during the pandemic, ceased in 4Q20.</w:t>
      </w:r>
    </w:p>
    <w:p>
      <w:pPr>
        <w:spacing w:after="0" w:line="175" w:lineRule="exact"/>
        <w:rPr>
          <w:rFonts w:ascii="Arial" w:cs="Arial" w:eastAsia="Arial" w:hAnsi="Arial"/>
          <w:sz w:val="18"/>
          <w:szCs w:val="18"/>
          <w:color w:val="auto"/>
        </w:rPr>
      </w:pPr>
    </w:p>
    <w:p>
      <w:pPr>
        <w:jc w:val="both"/>
        <w:ind w:left="880" w:hanging="494"/>
        <w:spacing w:after="0" w:line="303"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Miscellaneous accounts</w:t>
      </w:r>
      <w:r>
        <w:rPr>
          <w:rFonts w:ascii="Arial" w:cs="Arial" w:eastAsia="Arial" w:hAnsi="Arial"/>
          <w:sz w:val="16"/>
          <w:szCs w:val="16"/>
          <w:color w:val="auto"/>
        </w:rPr>
        <w:t>, with growth of +11.4% that was primarily driven by (i) Savings accounts and Current accounts, which posted growth</w:t>
      </w:r>
      <w:r>
        <w:rPr>
          <w:rFonts w:ascii="Arial" w:cs="Arial" w:eastAsia="Arial" w:hAnsi="Arial"/>
          <w:sz w:val="16"/>
          <w:szCs w:val="16"/>
          <w:b w:val="1"/>
          <w:bCs w:val="1"/>
          <w:color w:val="auto"/>
        </w:rPr>
        <w:t xml:space="preserve"> </w:t>
      </w:r>
      <w:r>
        <w:rPr>
          <w:rFonts w:ascii="Arial" w:cs="Arial" w:eastAsia="Arial" w:hAnsi="Arial"/>
          <w:sz w:val="16"/>
          <w:szCs w:val="16"/>
          <w:color w:val="auto"/>
        </w:rPr>
        <w:t>due to an increase in the account maintenance line, in line with the increase in saving deposit; sand an increase in transactions; and, to a lesser extent (ii) to expansion through Debit Cards. This evolution was attributable to an increase in the fee level reported for merchant-free fees after economic activity registered an uptick in the quarter; card replacements reported an upswing; and more cash withdrawals were made.</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880" w:hanging="373"/>
        <w:spacing w:after="0" w:line="282"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Credit cards</w:t>
      </w:r>
      <w:r>
        <w:rPr>
          <w:rFonts w:ascii="Arial" w:cs="Arial" w:eastAsia="Arial" w:hAnsi="Arial"/>
          <w:sz w:val="18"/>
          <w:szCs w:val="18"/>
          <w:color w:val="auto"/>
        </w:rPr>
        <w:t>, after (i) growth in the merchant-fee after the level for fees charged to establishments rose alongside an increase in client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and (ii) collection of membership fee after the waiver was discontinued.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and YTD</w:t>
      </w:r>
      <w:r>
        <w:rPr>
          <w:rFonts w:ascii="Arial" w:cs="Arial" w:eastAsia="Arial" w:hAnsi="Arial"/>
          <w:sz w:val="18"/>
          <w:szCs w:val="18"/>
          <w:color w:val="auto"/>
        </w:rPr>
        <w:t xml:space="preserve"> analysis, the contractions of -0.5% and -14.3% respectively were, primarily, attributable to:</w:t>
      </w:r>
    </w:p>
    <w:p>
      <w:pPr>
        <w:spacing w:after="0" w:line="225" w:lineRule="exact"/>
        <w:rPr>
          <w:sz w:val="20"/>
          <w:szCs w:val="20"/>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Credit cards</w:t>
      </w:r>
      <w:r>
        <w:rPr>
          <w:rFonts w:ascii="Arial" w:cs="Arial" w:eastAsia="Arial" w:hAnsi="Arial"/>
          <w:sz w:val="18"/>
          <w:szCs w:val="18"/>
          <w:color w:val="auto"/>
        </w:rPr>
        <w:t>, after the fee level reported for the merchant fee dropped alongside a dip in consumer activity,</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Miscellaneous accounts</w:t>
      </w:r>
      <w:r>
        <w:rPr>
          <w:rFonts w:ascii="Arial" w:cs="Arial" w:eastAsia="Arial" w:hAnsi="Arial"/>
          <w:sz w:val="18"/>
          <w:szCs w:val="18"/>
          <w:color w:val="auto"/>
        </w:rPr>
        <w:t>, which was primarily due to a reduction in income for Debit cards, y</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Payments and collections</w:t>
      </w:r>
      <w:r>
        <w:rPr>
          <w:rFonts w:ascii="Arial" w:cs="Arial" w:eastAsia="Arial" w:hAnsi="Arial"/>
          <w:sz w:val="18"/>
          <w:szCs w:val="18"/>
          <w:color w:val="auto"/>
        </w:rPr>
        <w:t>, due to the lower transactionality during the year, and</w:t>
      </w:r>
    </w:p>
    <w:p>
      <w:pPr>
        <w:spacing w:after="0" w:line="22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Fee on </w:t>
      </w:r>
      <w:r>
        <w:rPr>
          <w:rFonts w:ascii="Arial" w:cs="Arial" w:eastAsia="Arial" w:hAnsi="Arial"/>
          <w:sz w:val="18"/>
          <w:szCs w:val="18"/>
          <w:b w:val="1"/>
          <w:bCs w:val="1"/>
          <w:color w:val="auto"/>
        </w:rPr>
        <w:t>Commercial Loans</w:t>
      </w:r>
      <w:r>
        <w:rPr>
          <w:rFonts w:ascii="Arial" w:cs="Arial" w:eastAsia="Arial" w:hAnsi="Arial"/>
          <w:sz w:val="18"/>
          <w:szCs w:val="18"/>
          <w:color w:val="auto"/>
        </w:rPr>
        <w:t>, given the lower economic activity during 2020 as a result of the social distancing measures imposed by the government.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note that year-over-year variations are attributable to the impact of the COVID-19 pandemic and the lockdowns imposed from mid-March to the end of June, both of which dampened transactional and commercial activity. Additionally, Credicorp, in its bid to help clients at each subsidiary, offered different facilities and fee exemptions. Another factor that impacted income was client migration to digital, low-cost channels, which was in line with the Group’s strategy to build a more profitable and efficient client network.</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underwriting result registered an increase QoQ. This was driven by growth premiums after the premium level rose in the Life and P&amp;C lines due to economic recovery; a decrease in net claims explained by lower reported cases in the context of COVID-19; and lower underwriting expenses.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 the YoY and YTD analysis, the underwriting result fell 41.3% and 27.9% respectively due to an increase in net claims in the Life business for excess mortality related to the COVID-19 pandemic. This growth was offset by a decreased in claims in the P&amp;C line due to confinement and social distancing measures.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Insurance underwriting result </w:t>
            </w:r>
            <w:r>
              <w:rPr>
                <w:rFonts w:ascii="Arial" w:cs="Arial" w:eastAsia="Arial" w:hAnsi="Arial"/>
                <w:sz w:val="20"/>
                <w:szCs w:val="20"/>
                <w:b w:val="1"/>
                <w:bCs w:val="1"/>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 change</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Yea</w:t>
            </w: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4Q19</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3Q20</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4Q20</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2020 / 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620,578</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595,394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652,669</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9.6%</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5.2%</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2,394,243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2,428,060</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(387,426)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(513,091)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(492,738)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(1,531,418)</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(1,708,113)</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(88,662)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(86,643)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(75,065)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-13.4%</w:t>
            </w: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(365,848)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(361,814)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insurance underwriting result</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144,490</w:t>
            </w:r>
          </w:p>
        </w:tc>
        <w:tc>
          <w:tcPr>
            <w:tcW w:w="24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(4,340)</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84,866</w:t>
            </w:r>
          </w:p>
        </w:tc>
        <w:tc>
          <w:tcPr>
            <w:tcW w:w="220" w:type="dxa"/>
            <w:vAlign w:val="bottom"/>
            <w:vMerge w:val="continue"/>
          </w:tcPr>
          <w:p>
            <w:pPr>
              <w:spacing w:after="0"/>
              <w:rPr>
                <w:sz w:val="12"/>
                <w:szCs w:val="12"/>
                <w:color w:val="auto"/>
              </w:rPr>
            </w:pPr>
          </w:p>
        </w:tc>
        <w:tc>
          <w:tcPr>
            <w:tcW w:w="760" w:type="dxa"/>
            <w:vAlign w:val="bottom"/>
          </w:tcPr>
          <w:p>
            <w:pPr>
              <w:ind w:left="540"/>
              <w:spacing w:after="0" w:line="142" w:lineRule="exact"/>
              <w:rPr>
                <w:sz w:val="20"/>
                <w:szCs w:val="20"/>
                <w:color w:val="auto"/>
              </w:rPr>
            </w:pPr>
            <w:r>
              <w:rPr>
                <w:rFonts w:ascii="Arial" w:cs="Arial" w:eastAsia="Arial" w:hAnsi="Arial"/>
                <w:sz w:val="13"/>
                <w:szCs w:val="13"/>
                <w:b w:val="1"/>
                <w:bCs w:val="1"/>
                <w:color w:val="auto"/>
                <w:w w:val="89"/>
              </w:rPr>
              <w:t>N/A</w:t>
            </w:r>
          </w:p>
        </w:tc>
        <w:tc>
          <w:tcPr>
            <w:tcW w:w="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-41.3%</w:t>
            </w: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496,977</w:t>
            </w: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358,133</w:t>
            </w:r>
          </w:p>
        </w:tc>
        <w:tc>
          <w:tcPr>
            <w:tcW w:w="220" w:type="dxa"/>
            <w:vAlign w:val="bottom"/>
            <w:vMerge w:val="continue"/>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904" w:right="339" w:bottom="1440" w:gutter="0" w:footer="0" w:header="0"/>
        </w:sectPr>
      </w:pPr>
    </w:p>
    <w:p>
      <w:pPr>
        <w:ind w:left="220" w:hanging="212"/>
        <w:spacing w:after="0"/>
        <w:tabs>
          <w:tab w:leader="none" w:pos="2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the results of the Life, Property &amp; Casualty and Crediseguros business</w:t>
      </w:r>
    </w:p>
    <w:p>
      <w:pPr>
        <w:spacing w:after="0" w:line="22" w:lineRule="exact"/>
        <w:rPr>
          <w:rFonts w:ascii="Arial" w:cs="Arial" w:eastAsia="Arial" w:hAnsi="Arial"/>
          <w:sz w:val="12"/>
          <w:szCs w:val="12"/>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net fees and underwriting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Life Insurance</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Life insurance total premiums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3540125" cy="2194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40125" cy="2194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 xml:space="preserve">Life insurance net earned premiums </w:t>
      </w:r>
      <w:r>
        <w:rPr>
          <w:rFonts w:ascii="Arial" w:cs="Arial" w:eastAsia="Arial" w:hAnsi="Arial"/>
          <w:sz w:val="26"/>
          <w:szCs w:val="26"/>
          <w:b w:val="1"/>
          <w:bCs w:val="1"/>
          <w:color w:val="auto"/>
          <w:vertAlign w:val="superscript"/>
        </w:rPr>
        <w:t>(1)</w:t>
      </w:r>
    </w:p>
    <w:p>
      <w:pPr>
        <w:jc w:val="center"/>
        <w:ind w:right="116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141605</wp:posOffset>
            </wp:positionV>
            <wp:extent cx="3068955" cy="2185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68955" cy="2185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24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(1) Total premiums without considering reinsurance nor reserve premiums.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premiums increased 23.6% QoQ, which was attributable to (i) Credit Life, after premiums were reprogrammed at Mibanco to alleviate pressure on clients during the lockdown; (ii) Group life, due to recovery of an extraordinary premium for a SCTR product from a mining client and to an increase in premium renewals; (iii) Annuities, which was mainly driven by an increase in sales for personal products; (iv) Individual life, due to an increase in the effectiveness of collections efforts; growth in policy issuances; and the exchange rate effect. The aforementioned was attenuated by D&amp;S, which was associated with a decrease in collections for SISCO IV in a context unemployment generated.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earned premiums increased 17.1% due to the reasons outlined in the YoY analysis; this was attenuated by an increase in reserves in Annuities due to changes in investment rate parameters.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total premiums and net premiums increased 17.9% y 12.7% respectively for the reasons outlined in the QoQ analysis.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YTD analysis, total premiums increased 2.6% in 2020 due to (i) Credit Life, through the alliance channel and due to solidarity payments (debt delinquency that is assumed by the entity) and an increase in sales in the bancassurance channel; (ii) Individual life, due to an increase in renewal premiums; an improvement in collections; and an increase in the exchange rate; (iii) Group Life, which was mainly attributable to Statutory Life after new regulations went into effect in 2020 to expand this product’s coverage; and to SCTR, due to the recovery of an extraordinary premium from a mining client; (iv) Annuities, due to an increase in premiums on personal products.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The aforementioned was attenuated by the result for D&amp;S, which was driven by a decrease in premiums from SISCO IV due to widespread unemployment in the context of the pandemic.</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Net earned premiums increased 5.0% due to the reasons outlined in the direct premium analysis and to a decrease in reserves for the Annuities business.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 insurance net claims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142875</wp:posOffset>
            </wp:positionV>
            <wp:extent cx="5083175" cy="2177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8317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claims fell 1.5% QoQ, which was due primarily to (i) Credit Life and Individual Life, after lower cases were reported in the context of COVID-19. (ii) The aforementioned was attenuated by Obligatory and Group Life, where more cases were reported due to COVID-19 and to a lesser extent, to Annuities, after more payments were received in a context marked by an increase in the policy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net claims increased 59.8% after growth in claims was reported in most of lines due to an uptick in reported cases in the context of COVID-19 and increase of IBNR reserves for COVID-19.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YTD analysis, claims rose 37.1% after excess mortality related to COVID-19 was reported.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6.2. Property and Casualty Insurance</w:t>
            </w:r>
          </w:p>
        </w:tc>
        <w:tc>
          <w:tcPr>
            <w:tcW w:w="4840" w:type="dxa"/>
            <w:vAlign w:val="bottom"/>
          </w:tcPr>
          <w:p>
            <w:pPr>
              <w:spacing w:after="0"/>
              <w:rPr>
                <w:sz w:val="20"/>
                <w:szCs w:val="20"/>
                <w:color w:val="auto"/>
              </w:rPr>
            </w:pPr>
          </w:p>
        </w:tc>
      </w:tr>
      <w:tr>
        <w:trPr>
          <w:trHeight w:val="418"/>
        </w:trPr>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1"/>
              </w:rPr>
              <w:t>Property and Casualty total premiums</w:t>
            </w:r>
          </w:p>
        </w:tc>
        <w:tc>
          <w:tcPr>
            <w:tcW w:w="484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Property and Casualty net earned premiums</w:t>
            </w:r>
            <w:r>
              <w:rPr>
                <w:rFonts w:ascii="Arial" w:cs="Arial" w:eastAsia="Arial" w:hAnsi="Arial"/>
                <w:sz w:val="29"/>
                <w:szCs w:val="29"/>
                <w:b w:val="1"/>
                <w:bCs w:val="1"/>
                <w:color w:val="auto"/>
                <w:w w:val="90"/>
                <w:vertAlign w:val="superscript"/>
              </w:rPr>
              <w:t>(1)</w:t>
            </w:r>
          </w:p>
        </w:tc>
      </w:tr>
      <w:tr>
        <w:trPr>
          <w:trHeight w:val="270"/>
        </w:trPr>
        <w:tc>
          <w:tcPr>
            <w:tcW w:w="5440" w:type="dxa"/>
            <w:vAlign w:val="bottom"/>
          </w:tcPr>
          <w:p>
            <w:pPr>
              <w:jc w:val="center"/>
              <w:spacing w:after="0"/>
              <w:rPr>
                <w:sz w:val="20"/>
                <w:szCs w:val="20"/>
                <w:color w:val="auto"/>
              </w:rPr>
            </w:pPr>
            <w:r>
              <w:rPr>
                <w:rFonts w:ascii="Arial" w:cs="Arial" w:eastAsia="Arial" w:hAnsi="Arial"/>
                <w:sz w:val="18"/>
                <w:szCs w:val="18"/>
                <w:color w:val="auto"/>
                <w:w w:val="97"/>
              </w:rPr>
              <w:t>(S/ millions)</w:t>
            </w:r>
          </w:p>
        </w:tc>
        <w:tc>
          <w:tcPr>
            <w:tcW w:w="4840" w:type="dxa"/>
            <w:vAlign w:val="bottom"/>
          </w:tcPr>
          <w:p>
            <w:pPr>
              <w:jc w:val="center"/>
              <w:ind w:left="1170"/>
              <w:spacing w:after="0"/>
              <w:rPr>
                <w:sz w:val="20"/>
                <w:szCs w:val="20"/>
                <w:color w:val="auto"/>
              </w:rPr>
            </w:pPr>
            <w:r>
              <w:rPr>
                <w:rFonts w:ascii="Arial" w:cs="Arial" w:eastAsia="Arial" w:hAnsi="Arial"/>
                <w:sz w:val="18"/>
                <w:szCs w:val="18"/>
                <w:color w:val="auto"/>
                <w:w w:val="95"/>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137160</wp:posOffset>
            </wp:positionV>
            <wp:extent cx="7012305" cy="1834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230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(1) Total premiums without considering reinsurance nor reserve premiums.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premiums increased 46.9% QoQ, which was attributable to (i) Commercial lines, due to an increase in sales in the Aviation and Third-person Liability lines and to an increase in renewal premiums in the Fire line; (ii) Cars, due to an increase in renewal premiums in the commercial channel and for bancassurance; (iii) Personal Lines, due to an increase in new sales through the bancassurance channel. The aforementioned was attenuated by Medical Assistance, where new sales rose along with renewals of comprehensive products, and by SOAT, which experienced an uptick in sales through the digital channel.</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Net earned premiums increased 1.7%, for the same reasons that drove the evolution of total premiums, and due to a decrease in reserves for current risks in the Medical Assistance line. The aforementioned was attenuated by an increase in ceded premiums in Commercial Lines, which was attributable to an increase in direct premiums for facultative insurance.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total premiums registered an increase of 17.4%, which was primarily attributable to: i) Commercial and Personal Lines and for the reasons outlined in the QoQ analysis; ii) Medical Assistance, due to an increase in renewals of comprehensive products; and Cars, due to growth in sales in the digital channel. The aforementioned was attenuated by SOAT, which was marked by a decrease in sales after alliances with Falabella and Cencosud ended.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earned premiums fell 2.8% due to an increase in ceded premiums in the Commercial Lines; growth in direct premiums relative to facultative insurance; and more reserves for current risks in the Cars and Personal Lines.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YTD analysis, total premiums in 2020 fell 1.4%. This drop was mainly attributable to Cars, SOAT and Personal Lines, where sales declined due to the lockdown to stem COVID-19. The aforementioned was mitigated by the result for Commercial Lines, which was due to an increase in sales in the Third- Person Liability, Fire and Agriculture lines and to the evolution of Medical Assistance, where sales for oncological and comprehensive products grew.</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earned premiums fell 2.7%. This was primarily due to an increase in ceded premiums in the Commercial Lines, which was driven by an uptick in direct premiums.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&amp; Casualty net claims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142875</wp:posOffset>
            </wp:positionV>
            <wp:extent cx="4903470" cy="22459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0347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claims fell 7.7% QoQ, which was primarily attributable to more reserves for claims registered in 3Q20 in the Medical Assistance and Cars lines. This was attenuated by the result for the Commercial Lines, which registered an increase in claim severity in the technical and transportation lines, and by the evolution of SOAT, which registered an increase in accident frequency once economic activities resumed.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analysis, net claims fell 24.5%, which was primarily due to a decrease in claims across business lines. The decrease in claims was attributable to Cars and SOAT, where fewer claims were reported in the context of restricted movement due to COVID-19; Personal Lines, which reported a decline because schools and universities are closed; and Medical Assistance, after clients avoided clinics to prevent exposure to COVID-19 and a loss was recorded in the corporate account for high claims levels. The aforementioned was attenuated by the evolution of Commercial Lines, for the reasons outlined in the QoQ analysis.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YTD, claims fell 26.8%. This was attributable to a decrease in case frequency across all of the business lines due to the confinement measures imposed by the government to stem the spread of COVID-19.</w:t>
      </w: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per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142875</wp:posOffset>
            </wp:positionV>
            <wp:extent cx="3883025" cy="257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830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Acquisition cost</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7"/>
              </w:rPr>
              <w:t>% change</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Year</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3Q20</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4Q20</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9"/>
              </w:rPr>
              <w:t>2020 / 2019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fees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(65,316)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(59,653)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(63,831)</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-2.3%</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(249,761)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(239,219)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(35,206)</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(27,715)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(19,628)</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-29.2%</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(149,058)</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(132,994)</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Underwriting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8,395</w:t>
            </w:r>
          </w:p>
        </w:tc>
        <w:tc>
          <w:tcPr>
            <w:tcW w:w="1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32,971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10,399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 cost</w:t>
            </w: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(88,662)</w:t>
            </w:r>
          </w:p>
        </w:tc>
        <w:tc>
          <w:tcPr>
            <w:tcW w:w="20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(86,643)</w:t>
            </w:r>
          </w:p>
        </w:tc>
        <w:tc>
          <w:tcPr>
            <w:tcW w:w="20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(75,065)</w:t>
            </w:r>
          </w:p>
        </w:tc>
        <w:tc>
          <w:tcPr>
            <w:tcW w:w="180" w:type="dxa"/>
            <w:vAlign w:val="bottom"/>
            <w:vMerge w:val="continue"/>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-13.4%</w:t>
            </w:r>
          </w:p>
        </w:tc>
        <w:tc>
          <w:tcPr>
            <w:tcW w:w="22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-15.3%</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(365,848)</w:t>
            </w: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(361,814)</w:t>
            </w:r>
          </w:p>
        </w:tc>
        <w:tc>
          <w:tcPr>
            <w:tcW w:w="180" w:type="dxa"/>
            <w:vAlign w:val="bottom"/>
            <w:vMerge w:val="continue"/>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acquisition cost fell 13.4% QoQ. This was driven by a decrease in underwriting expenses after profit sharing with reinsurers was registered; reserves were released for uncollectible premiums; and a decrease in sales expenses due to the current context. The aforementioned was attenuated by an increase in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acquisition cost fell 15.3%, for the reasons outlined in the QoQ analysis.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YTD analysis, the acquisition cost fell 1.1% due to a decrease in commission in the P &amp; C business due to a drop in net premiums in Cars, Commercial Lines and Personal Lines and to a decrease in underwriting expenses in the Life business, due to the environment generated by COVID-19. The aforementioned was attenuated by an increase in the underwriting expenses in P&amp;C. This increase which was primarily attributable to Cars, where 10 million soles in premiums were reimbursed after clients were unable to use their vehicles during the lockdown; to an increase in the reserves set aside for uncollectible premiums in Cars and Medical Assistance; and to the evolution in the Life business, where commissions for Credit Life rose in line with an increase in premiums in the alliances channel.</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6.4 Underwriting Result by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142875</wp:posOffset>
            </wp:positionV>
            <wp:extent cx="4080510" cy="2700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8051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QoQ analysis, the increase in the underwriting result was attributable to life insurance and, to a lesser extent, to P&amp;C. The result for Life was driven primarily by (i) An increase in net premiums in Credit Life for reprogramming of premiums for Mibanco and Group Life due to a recovery of premiums in SCTR; (ii) A decrease in acquisition costs due to profit sharing; and (i) a decrease in claims due to a drop in reported cases and a decrease in the reserves set aside for incurred but not reported claims (IBNR) associated with COVID-19. In P &amp; C, the increase in the underwriting result was attributable to a drop in claims registered in the Medical Assistance lines and in Cars and to an increase in net earned premiums due to new sales and renewals in Commercial Lines and Cars.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YoY analysis, the decrease in the underwriting result was attributable to the Life business but attenuated by the evolution in P&amp;C. The result for Life was driven by an increase in claims, which was mainly associated with an increase in reported cases and a move to set aside more IBNR reserves for COVID-19. The aforementioned was mainly attributable to an uptick in D&amp;S, Credit Life and Group Life and to a lesser extent, to Annuities, where higher payments were recorded due to an increase in the policy stock. In P&amp;C, the increase in the underwriting result was attributable to a decrease in claims and to a drop in acquisition costs after fewer commissions were registered in a context of lower premiums.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YTD, the drop in the underwriting result was attributable to the Life business but was mitigated by the evolution of P&amp;C. In the Life lines, a decrease in the underwriting result was attributable to an increase in reported claims and in provisions for COVID-19; to an increase in Credit Life commissions, which was mitigated by an increase in net earned premiums in Credit Life, Group Life, Annuities and Individual Life. In P&amp;C, the result was attributable to a decrease in claims after client exposure dropped in a context of social immobility. This was attenuated by a decrease in the net earned premium due to a drop in sales and an uptick in policy cancellations due to non-payment and to an increase in the acquisition cost due to the reimbursement of 10 million soles in premiums in the Cars segment.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7. Operating Expenses and Efficiency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Operating expenses increased +8.1% QoQ due to seasonal factors that are present in the last quarter of every year. Nevertheless, YoY and YTD, these expenses fell -3.3% and -0.1% respectively after strategies were implemented throughout the year to mitigate the effects of economic crisis in the context of COVID-19.</w:t>
      </w:r>
    </w:p>
    <w:p>
      <w:pPr>
        <w:sectPr>
          <w:pgSz w:w="11900" w:h="16838" w:orient="portrait"/>
          <w:cols w:equalWidth="0" w:num="1">
            <w:col w:w="11240"/>
          </w:cols>
          <w:pgMar w:left="320" w:top="1147" w:right="33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Quarter</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 000</w:t>
            </w:r>
          </w:p>
        </w:tc>
        <w:tc>
          <w:tcPr>
            <w:tcW w:w="940" w:type="dxa"/>
            <w:vAlign w:val="bottom"/>
            <w:tcBorders>
              <w:right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4Q19</w:t>
            </w:r>
          </w:p>
        </w:tc>
        <w:tc>
          <w:tcPr>
            <w:tcW w:w="100" w:type="dxa"/>
            <w:vAlign w:val="bottom"/>
          </w:tcPr>
          <w:p>
            <w:pPr>
              <w:spacing w:after="0"/>
              <w:rPr>
                <w:sz w:val="13"/>
                <w:szCs w:val="13"/>
                <w:color w:val="auto"/>
              </w:rPr>
            </w:pPr>
          </w:p>
        </w:tc>
        <w:tc>
          <w:tcPr>
            <w:tcW w:w="940" w:type="dxa"/>
            <w:vAlign w:val="bottom"/>
            <w:tcBorders>
              <w:right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3Q20</w:t>
            </w:r>
          </w:p>
        </w:tc>
        <w:tc>
          <w:tcPr>
            <w:tcW w:w="100" w:type="dxa"/>
            <w:vAlign w:val="bottom"/>
          </w:tcPr>
          <w:p>
            <w:pPr>
              <w:spacing w:after="0"/>
              <w:rPr>
                <w:sz w:val="13"/>
                <w:szCs w:val="13"/>
                <w:color w:val="auto"/>
              </w:rPr>
            </w:pPr>
          </w:p>
        </w:tc>
        <w:tc>
          <w:tcPr>
            <w:tcW w:w="78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4Q20</w:t>
            </w:r>
          </w:p>
        </w:tc>
        <w:tc>
          <w:tcPr>
            <w:tcW w:w="20" w:type="dxa"/>
            <w:vAlign w:val="bottom"/>
          </w:tcPr>
          <w:p>
            <w:pPr>
              <w:spacing w:after="0"/>
              <w:rPr>
                <w:sz w:val="13"/>
                <w:szCs w:val="13"/>
                <w:color w:val="auto"/>
              </w:rPr>
            </w:pPr>
          </w:p>
        </w:tc>
      </w:tr>
      <w:tr>
        <w:trPr>
          <w:trHeight w:val="123"/>
        </w:trPr>
        <w:tc>
          <w:tcPr>
            <w:tcW w:w="3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Salaries and employees benefits</w:t>
            </w:r>
          </w:p>
        </w:tc>
        <w:tc>
          <w:tcPr>
            <w:tcW w:w="120" w:type="dxa"/>
            <w:vAlign w:val="bottom"/>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885,526</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803,438</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792,335</w:t>
            </w:r>
          </w:p>
        </w:tc>
        <w:tc>
          <w:tcPr>
            <w:tcW w:w="20" w:type="dxa"/>
            <w:vAlign w:val="bottom"/>
          </w:tcPr>
          <w:p>
            <w:pPr>
              <w:spacing w:after="0"/>
              <w:rPr>
                <w:sz w:val="10"/>
                <w:szCs w:val="10"/>
                <w:color w:val="auto"/>
              </w:rPr>
            </w:pPr>
          </w:p>
        </w:tc>
      </w:tr>
      <w:tr>
        <w:trPr>
          <w:trHeight w:val="158"/>
        </w:trPr>
        <w:tc>
          <w:tcPr>
            <w:tcW w:w="3280" w:type="dxa"/>
            <w:vAlign w:val="bottom"/>
            <w:gridSpan w:val="2"/>
          </w:tcPr>
          <w:p>
            <w:pPr>
              <w:spacing w:after="0" w:line="159" w:lineRule="exact"/>
              <w:rPr>
                <w:sz w:val="20"/>
                <w:szCs w:val="20"/>
                <w:color w:val="auto"/>
              </w:rPr>
            </w:pPr>
            <w:r>
              <w:rPr>
                <w:rFonts w:ascii="Arial" w:cs="Arial" w:eastAsia="Arial" w:hAnsi="Arial"/>
                <w:sz w:val="14"/>
                <w:szCs w:val="14"/>
                <w:color w:val="auto"/>
              </w:rPr>
              <w:t>Administrative, general and tax expenses</w:t>
            </w:r>
          </w:p>
        </w:tc>
        <w:tc>
          <w:tcPr>
            <w:tcW w:w="9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693,458</w:t>
            </w:r>
          </w:p>
        </w:tc>
        <w:tc>
          <w:tcPr>
            <w:tcW w:w="10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588,994</w:t>
            </w:r>
          </w:p>
        </w:tc>
        <w:tc>
          <w:tcPr>
            <w:tcW w:w="100" w:type="dxa"/>
            <w:vAlign w:val="bottom"/>
          </w:tcPr>
          <w:p>
            <w:pPr>
              <w:spacing w:after="0"/>
              <w:rPr>
                <w:sz w:val="13"/>
                <w:szCs w:val="13"/>
                <w:color w:val="auto"/>
              </w:rPr>
            </w:pPr>
          </w:p>
        </w:tc>
        <w:tc>
          <w:tcPr>
            <w:tcW w:w="8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749,393</w:t>
            </w:r>
          </w:p>
        </w:tc>
      </w:tr>
      <w:tr>
        <w:trPr>
          <w:trHeight w:val="189"/>
        </w:trPr>
        <w:tc>
          <w:tcPr>
            <w:tcW w:w="32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175,168</w:t>
            </w: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168,234</w:t>
            </w: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158,494</w:t>
            </w:r>
          </w:p>
        </w:tc>
      </w:tr>
      <w:tr>
        <w:trPr>
          <w:trHeight w:val="189"/>
        </w:trPr>
        <w:tc>
          <w:tcPr>
            <w:tcW w:w="32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Association in participation </w:t>
            </w:r>
            <w:r>
              <w:rPr>
                <w:rFonts w:ascii="Arial" w:cs="Arial" w:eastAsia="Arial" w:hAnsi="Arial"/>
                <w:sz w:val="21"/>
                <w:szCs w:val="21"/>
                <w:color w:val="auto"/>
                <w:vertAlign w:val="superscript"/>
              </w:rPr>
              <w:t>(2)</w:t>
            </w: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9,806</w:t>
            </w: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10,566</w:t>
            </w: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17,079</w:t>
            </w:r>
          </w:p>
        </w:tc>
      </w:tr>
      <w:tr>
        <w:trPr>
          <w:trHeight w:val="189"/>
        </w:trPr>
        <w:tc>
          <w:tcPr>
            <w:tcW w:w="32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(3)</w:t>
            </w: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88,662</w:t>
            </w: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86,643</w:t>
            </w: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75,065</w:t>
            </w:r>
          </w:p>
        </w:tc>
      </w:tr>
      <w:tr>
        <w:trPr>
          <w:trHeight w:val="198"/>
        </w:trPr>
        <w:tc>
          <w:tcPr>
            <w:tcW w:w="32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2"/>
                <w:szCs w:val="22"/>
                <w:color w:val="auto"/>
                <w:vertAlign w:val="superscript"/>
              </w:rPr>
              <w:t>(4)</w:t>
            </w: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1,852,620</w:t>
            </w:r>
          </w:p>
        </w:tc>
        <w:tc>
          <w:tcPr>
            <w:tcW w:w="1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1,657,875</w:t>
            </w: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1,792,366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788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80" w:hanging="188"/>
        <w:spacing w:after="0"/>
        <w:tabs>
          <w:tab w:leader="none" w:pos="4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2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QoQ</w:t>
      </w:r>
      <w:r>
        <w:rPr>
          <w:rFonts w:ascii="Arial" w:cs="Arial" w:eastAsia="Arial" w:hAnsi="Arial"/>
          <w:sz w:val="13"/>
          <w:szCs w:val="13"/>
          <w:b w:val="1"/>
          <w:bCs w:val="1"/>
          <w:color w:val="auto"/>
        </w:rPr>
        <w:t>YoY</w:t>
      </w:r>
    </w:p>
    <w:p>
      <w:pPr>
        <w:spacing w:after="0" w:line="6"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-1.4%</w:t>
      </w:r>
      <w:r>
        <w:rPr>
          <w:rFonts w:ascii="Arial" w:cs="Arial" w:eastAsia="Arial" w:hAnsi="Arial"/>
          <w:sz w:val="13"/>
          <w:szCs w:val="13"/>
          <w:color w:val="auto"/>
        </w:rPr>
        <w:t>-10.5%</w:t>
      </w:r>
    </w:p>
    <w:p>
      <w:pPr>
        <w:ind w:left="240"/>
        <w:spacing w:after="0"/>
        <w:rPr>
          <w:rFonts w:ascii="Arial" w:cs="Arial" w:eastAsia="Arial" w:hAnsi="Arial"/>
          <w:sz w:val="14"/>
          <w:szCs w:val="14"/>
          <w:b w:val="1"/>
          <w:bCs w:val="1"/>
          <w:color w:val="auto"/>
        </w:rPr>
      </w:pPr>
      <w:r>
        <w:rPr>
          <w:rFonts w:ascii="Arial" w:cs="Arial" w:eastAsia="Arial" w:hAnsi="Arial"/>
          <w:sz w:val="14"/>
          <w:szCs w:val="14"/>
          <w:color w:val="auto"/>
        </w:rPr>
        <w:t>27.2%</w:t>
      </w:r>
      <w:r>
        <w:rPr>
          <w:rFonts w:ascii="Arial" w:cs="Arial" w:eastAsia="Arial" w:hAnsi="Arial"/>
          <w:sz w:val="13"/>
          <w:szCs w:val="13"/>
          <w:color w:val="auto"/>
        </w:rPr>
        <w:t>8.1%</w:t>
      </w:r>
    </w:p>
    <w:p>
      <w:pPr>
        <w:spacing w:after="0" w:line="16"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-5.8%</w:t>
      </w:r>
      <w:r>
        <w:rPr>
          <w:rFonts w:ascii="Arial" w:cs="Arial" w:eastAsia="Arial" w:hAnsi="Arial"/>
          <w:sz w:val="12"/>
          <w:szCs w:val="12"/>
          <w:color w:val="auto"/>
        </w:rPr>
        <w:t>-9.5%</w:t>
      </w:r>
    </w:p>
    <w:p>
      <w:pPr>
        <w:spacing w:after="0" w:line="28" w:lineRule="exact"/>
        <w:rPr>
          <w:rFonts w:ascii="Arial" w:cs="Arial" w:eastAsia="Arial" w:hAnsi="Arial"/>
          <w:sz w:val="14"/>
          <w:szCs w:val="14"/>
          <w:b w:val="1"/>
          <w:bCs w:val="1"/>
          <w:color w:val="auto"/>
        </w:rPr>
      </w:pPr>
    </w:p>
    <w:p>
      <w:pPr>
        <w:ind w:left="240"/>
        <w:spacing w:after="0"/>
        <w:rPr>
          <w:rFonts w:ascii="Arial" w:cs="Arial" w:eastAsia="Arial" w:hAnsi="Arial"/>
          <w:sz w:val="14"/>
          <w:szCs w:val="14"/>
          <w:b w:val="1"/>
          <w:bCs w:val="1"/>
          <w:color w:val="auto"/>
        </w:rPr>
      </w:pPr>
      <w:r>
        <w:rPr>
          <w:rFonts w:ascii="Arial" w:cs="Arial" w:eastAsia="Arial" w:hAnsi="Arial"/>
          <w:sz w:val="14"/>
          <w:szCs w:val="14"/>
          <w:color w:val="auto"/>
        </w:rPr>
        <w:t>61.6%</w:t>
      </w:r>
      <w:r>
        <w:rPr>
          <w:rFonts w:ascii="Arial" w:cs="Arial" w:eastAsia="Arial" w:hAnsi="Arial"/>
          <w:sz w:val="13"/>
          <w:szCs w:val="13"/>
          <w:color w:val="auto"/>
        </w:rPr>
        <w:t>74.2%</w:t>
      </w:r>
    </w:p>
    <w:p>
      <w:pPr>
        <w:spacing w:after="0" w:line="28" w:lineRule="exact"/>
        <w:rPr>
          <w:rFonts w:ascii="Arial" w:cs="Arial" w:eastAsia="Arial" w:hAnsi="Arial"/>
          <w:sz w:val="14"/>
          <w:szCs w:val="14"/>
          <w:b w:val="1"/>
          <w:bCs w:val="1"/>
          <w:color w:val="auto"/>
        </w:rPr>
      </w:pPr>
    </w:p>
    <w:p>
      <w:pPr>
        <w:ind w:left="180"/>
        <w:spacing w:after="0"/>
        <w:rPr>
          <w:rFonts w:ascii="Arial" w:cs="Arial" w:eastAsia="Arial" w:hAnsi="Arial"/>
          <w:sz w:val="14"/>
          <w:szCs w:val="14"/>
          <w:b w:val="1"/>
          <w:bCs w:val="1"/>
          <w:color w:val="auto"/>
        </w:rPr>
      </w:pPr>
      <w:r>
        <w:rPr>
          <w:rFonts w:ascii="Arial" w:cs="Arial" w:eastAsia="Arial" w:hAnsi="Arial"/>
          <w:sz w:val="14"/>
          <w:szCs w:val="14"/>
          <w:color w:val="auto"/>
        </w:rPr>
        <w:t>-13.4%</w:t>
      </w:r>
      <w:r>
        <w:rPr>
          <w:rFonts w:ascii="Arial" w:cs="Arial" w:eastAsia="Arial" w:hAnsi="Arial"/>
          <w:sz w:val="13"/>
          <w:szCs w:val="13"/>
          <w:color w:val="auto"/>
        </w:rPr>
        <w:t>-15.3%</w:t>
      </w:r>
    </w:p>
    <w:p>
      <w:pPr>
        <w:spacing w:after="0" w:line="28" w:lineRule="exact"/>
        <w:rPr>
          <w:rFonts w:ascii="Arial" w:cs="Arial" w:eastAsia="Arial" w:hAnsi="Arial"/>
          <w:sz w:val="14"/>
          <w:szCs w:val="14"/>
          <w:b w:val="1"/>
          <w:bCs w:val="1"/>
          <w:color w:val="auto"/>
        </w:rPr>
      </w:pPr>
    </w:p>
    <w:p>
      <w:pPr>
        <w:ind w:left="300"/>
        <w:spacing w:after="0"/>
        <w:rPr>
          <w:rFonts w:ascii="Arial" w:cs="Arial" w:eastAsia="Arial" w:hAnsi="Arial"/>
          <w:sz w:val="14"/>
          <w:szCs w:val="14"/>
          <w:b w:val="1"/>
          <w:bCs w:val="1"/>
          <w:color w:val="auto"/>
        </w:rPr>
      </w:pPr>
      <w:r>
        <w:rPr>
          <w:rFonts w:ascii="Arial" w:cs="Arial" w:eastAsia="Arial" w:hAnsi="Arial"/>
          <w:sz w:val="14"/>
          <w:szCs w:val="14"/>
          <w:color w:val="auto"/>
        </w:rPr>
        <w:t>8.1%</w:t>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2"/>
          <w:szCs w:val="12"/>
          <w:color w:val="auto"/>
        </w:rPr>
        <w:t>3,411,023</w:t>
      </w:r>
      <w:r>
        <w:rPr>
          <w:sz w:val="20"/>
          <w:szCs w:val="20"/>
          <w:color w:val="auto"/>
        </w:rPr>
        <w:tab/>
      </w:r>
      <w:r>
        <w:rPr>
          <w:rFonts w:ascii="Arial" w:cs="Arial" w:eastAsia="Arial" w:hAnsi="Arial"/>
          <w:sz w:val="12"/>
          <w:szCs w:val="12"/>
          <w:color w:val="auto"/>
        </w:rPr>
        <w:t>3,312,954</w:t>
      </w:r>
    </w:p>
    <w:p>
      <w:pPr>
        <w:spacing w:after="0" w:line="1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2"/>
          <w:szCs w:val="12"/>
          <w:color w:val="auto"/>
        </w:rPr>
        <w:t>2,361,117</w:t>
      </w:r>
      <w:r>
        <w:rPr>
          <w:sz w:val="20"/>
          <w:szCs w:val="20"/>
          <w:color w:val="auto"/>
        </w:rPr>
        <w:tab/>
      </w:r>
      <w:r>
        <w:rPr>
          <w:rFonts w:ascii="Arial" w:cs="Arial" w:eastAsia="Arial" w:hAnsi="Arial"/>
          <w:sz w:val="12"/>
          <w:szCs w:val="12"/>
          <w:color w:val="auto"/>
        </w:rPr>
        <w:t>2,386,109</w:t>
      </w:r>
    </w:p>
    <w:p>
      <w:pPr>
        <w:spacing w:after="0" w:line="3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2"/>
          <w:szCs w:val="12"/>
          <w:color w:val="auto"/>
        </w:rPr>
        <w:t>624,439</w:t>
      </w:r>
      <w:r>
        <w:rPr>
          <w:sz w:val="20"/>
          <w:szCs w:val="20"/>
          <w:color w:val="auto"/>
        </w:rPr>
        <w:tab/>
      </w:r>
      <w:r>
        <w:rPr>
          <w:rFonts w:ascii="Arial" w:cs="Arial" w:eastAsia="Arial" w:hAnsi="Arial"/>
          <w:sz w:val="12"/>
          <w:szCs w:val="12"/>
          <w:color w:val="auto"/>
        </w:rPr>
        <w:t>669,914</w:t>
      </w:r>
    </w:p>
    <w:p>
      <w:pPr>
        <w:spacing w:after="0" w:line="51" w:lineRule="exact"/>
        <w:rPr>
          <w:sz w:val="20"/>
          <w:szCs w:val="20"/>
          <w:color w:val="auto"/>
        </w:rPr>
      </w:pPr>
    </w:p>
    <w:p>
      <w:pPr>
        <w:jc w:val="both"/>
        <w:ind w:left="180"/>
        <w:spacing w:after="0"/>
        <w:tabs>
          <w:tab w:leader="none" w:pos="1160" w:val="left"/>
        </w:tabs>
        <w:rPr>
          <w:sz w:val="20"/>
          <w:szCs w:val="20"/>
          <w:color w:val="auto"/>
        </w:rPr>
      </w:pPr>
      <w:r>
        <w:rPr>
          <w:rFonts w:ascii="Arial" w:cs="Arial" w:eastAsia="Arial" w:hAnsi="Arial"/>
          <w:sz w:val="14"/>
          <w:szCs w:val="14"/>
          <w:color w:val="auto"/>
        </w:rPr>
        <w:t>22,636</w:t>
      </w:r>
      <w:r>
        <w:rPr>
          <w:sz w:val="20"/>
          <w:szCs w:val="20"/>
          <w:color w:val="auto"/>
        </w:rPr>
        <w:tab/>
      </w:r>
      <w:r>
        <w:rPr>
          <w:rFonts w:ascii="Arial" w:cs="Arial" w:eastAsia="Arial" w:hAnsi="Arial"/>
          <w:sz w:val="14"/>
          <w:szCs w:val="14"/>
          <w:color w:val="auto"/>
        </w:rPr>
        <w:t>52,019</w:t>
      </w:r>
    </w:p>
    <w:p>
      <w:pPr>
        <w:spacing w:after="0" w:line="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2"/>
          <w:szCs w:val="12"/>
          <w:color w:val="auto"/>
        </w:rPr>
        <w:t>365,848</w:t>
      </w:r>
      <w:r>
        <w:rPr>
          <w:sz w:val="20"/>
          <w:szCs w:val="20"/>
          <w:color w:val="auto"/>
        </w:rPr>
        <w:tab/>
      </w:r>
      <w:r>
        <w:rPr>
          <w:rFonts w:ascii="Arial" w:cs="Arial" w:eastAsia="Arial" w:hAnsi="Arial"/>
          <w:sz w:val="12"/>
          <w:szCs w:val="12"/>
          <w:color w:val="auto"/>
        </w:rPr>
        <w:t>361,814</w:t>
      </w:r>
    </w:p>
    <w:p>
      <w:pPr>
        <w:spacing w:after="0" w:line="51"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6,785,063</w:t>
      </w:r>
      <w:r>
        <w:rPr>
          <w:sz w:val="20"/>
          <w:szCs w:val="20"/>
          <w:color w:val="auto"/>
        </w:rPr>
        <w:tab/>
      </w:r>
      <w:r>
        <w:rPr>
          <w:rFonts w:ascii="Arial" w:cs="Arial" w:eastAsia="Arial" w:hAnsi="Arial"/>
          <w:sz w:val="12"/>
          <w:szCs w:val="12"/>
          <w:color w:val="auto"/>
        </w:rPr>
        <w:t>6,782,810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5" w:right="120" w:hanging="25"/>
        <w:spacing w:after="0" w:line="302" w:lineRule="auto"/>
        <w:tabs>
          <w:tab w:leader="none" w:pos="189"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change 2020 / 2019</w:t>
      </w:r>
    </w:p>
    <w:p>
      <w:pPr>
        <w:jc w:val="both"/>
        <w:ind w:left="525" w:hanging="48"/>
        <w:spacing w:after="0" w:line="265" w:lineRule="auto"/>
        <w:rPr>
          <w:rFonts w:ascii="Arial" w:cs="Arial" w:eastAsia="Arial" w:hAnsi="Arial"/>
          <w:sz w:val="12"/>
          <w:szCs w:val="12"/>
          <w:b w:val="1"/>
          <w:bCs w:val="1"/>
          <w:color w:val="auto"/>
        </w:rPr>
      </w:pPr>
      <w:r>
        <w:rPr>
          <w:rFonts w:ascii="Arial" w:cs="Arial" w:eastAsia="Arial" w:hAnsi="Arial"/>
          <w:sz w:val="13"/>
          <w:szCs w:val="13"/>
          <w:color w:val="auto"/>
        </w:rPr>
        <w:t>-2.9% 1.1%</w:t>
      </w:r>
    </w:p>
    <w:p>
      <w:pPr>
        <w:ind w:left="525"/>
        <w:spacing w:after="0"/>
        <w:rPr>
          <w:rFonts w:ascii="Arial" w:cs="Arial" w:eastAsia="Arial" w:hAnsi="Arial"/>
          <w:sz w:val="12"/>
          <w:szCs w:val="12"/>
          <w:b w:val="1"/>
          <w:bCs w:val="1"/>
          <w:color w:val="auto"/>
        </w:rPr>
      </w:pPr>
      <w:r>
        <w:rPr>
          <w:rFonts w:ascii="Arial" w:cs="Arial" w:eastAsia="Arial" w:hAnsi="Arial"/>
          <w:sz w:val="13"/>
          <w:szCs w:val="13"/>
          <w:color w:val="auto"/>
        </w:rPr>
        <w:t>7.3%</w:t>
      </w:r>
    </w:p>
    <w:p>
      <w:pPr>
        <w:spacing w:after="0" w:line="39" w:lineRule="exact"/>
        <w:rPr>
          <w:rFonts w:ascii="Arial" w:cs="Arial" w:eastAsia="Arial" w:hAnsi="Arial"/>
          <w:sz w:val="12"/>
          <w:szCs w:val="12"/>
          <w:b w:val="1"/>
          <w:bCs w:val="1"/>
          <w:color w:val="auto"/>
        </w:rPr>
      </w:pPr>
    </w:p>
    <w:p>
      <w:pPr>
        <w:jc w:val="right"/>
        <w:ind w:left="405" w:hanging="24"/>
        <w:spacing w:after="0" w:line="329" w:lineRule="auto"/>
        <w:rPr>
          <w:rFonts w:ascii="Arial" w:cs="Arial" w:eastAsia="Arial" w:hAnsi="Arial"/>
          <w:sz w:val="12"/>
          <w:szCs w:val="12"/>
          <w:b w:val="1"/>
          <w:bCs w:val="1"/>
          <w:color w:val="auto"/>
        </w:rPr>
      </w:pPr>
      <w:r>
        <w:rPr>
          <w:rFonts w:ascii="Arial" w:cs="Arial" w:eastAsia="Arial" w:hAnsi="Arial"/>
          <w:sz w:val="13"/>
          <w:szCs w:val="13"/>
          <w:color w:val="auto"/>
        </w:rPr>
        <w:t>129.8% -1.1% -0.03%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-832485</wp:posOffset>
            </wp:positionV>
            <wp:extent cx="8255" cy="788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78867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4">
            <w:col w:w="6140" w:space="500"/>
            <w:col w:w="1600" w:space="300"/>
            <w:col w:w="1560" w:space="315"/>
            <w:col w:w="825"/>
          </w:cols>
          <w:pgMar w:left="320" w:top="1147" w:right="339" w:bottom="1440" w:gutter="0" w:footer="0" w:header="0"/>
          <w:type w:val="continuous"/>
        </w:sectPr>
      </w:pPr>
    </w:p>
    <w:p>
      <w:pPr>
        <w:ind w:right="300" w:firstLine="8"/>
        <w:spacing w:after="0" w:line="230" w:lineRule="auto"/>
        <w:tabs>
          <w:tab w:leader="none" w:pos="204"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of 2019,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of 2019, the item “Association in participation” was incorporated, which previously was presented in the item “Net gain on securities”</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acquisition cost of Pacífico includes net fees and underwriting expenses.</w:t>
      </w: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Operating expenses = Salaries and employee’s benefits + Administrative expenses + Depreciation and amortization + Association in participation + Acquisition cost.</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growth of +8.1% in Operating Expenses was attributable to the increase of +27.2% registered in Administrative and general expenses and taxes, primarily at BCP Stand-alone. This line will be analyzed in further detail later in this report. Additionally, there was a +61.6% increase in Association in participation due to an improvement in health insurance results and the payment to made to Banmedica in recognition of these gains.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reported for the cost of acquisition, which was driven by a decrease in fee payments (fee concepts were transferred to other companies in the Group), was insufficient to offset the evolution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and YTD analysis,</w:t>
      </w:r>
      <w:r>
        <w:rPr>
          <w:rFonts w:ascii="Arial" w:cs="Arial" w:eastAsia="Arial" w:hAnsi="Arial"/>
          <w:sz w:val="18"/>
          <w:szCs w:val="18"/>
          <w:color w:val="auto"/>
        </w:rPr>
        <w:t xml:space="preserve"> Operating Expenses fell -3.3% and 0.1% due to:</w:t>
      </w:r>
    </w:p>
    <w:p>
      <w:pPr>
        <w:spacing w:after="0" w:line="229" w:lineRule="exact"/>
        <w:rPr>
          <w:sz w:val="20"/>
          <w:szCs w:val="20"/>
          <w:color w:val="auto"/>
        </w:rPr>
      </w:pPr>
    </w:p>
    <w:p>
      <w:pPr>
        <w:jc w:val="both"/>
        <w:ind w:left="880" w:hanging="494"/>
        <w:spacing w:after="0" w:line="259"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in Salaries and employee benefits, which was in line with the cost-savings strategy implemented. In this context, both hiring, and promotion were put on hold and some variable compensation schemes were frozen. This strategy was implemented to manage the impact generated by the COVID-19 pandemic. It is important to note that the merger between Encumbra and Bancompartir also led to a decrease in total head-count.</w:t>
      </w:r>
    </w:p>
    <w:p>
      <w:pPr>
        <w:spacing w:after="0" w:line="186"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in acquisition costs, which was generated by a reduction in payments for underwriting fees and expenses in the P &amp; C line after sales through Creditor’s channels registered an uptick.</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This drop in expenses was partially offset by slight growth in Administrative and general expenses and taxes, which rose YoY and YTD by +8.3% and +1.3% respectively. This scenario was driven mainly by growth in expenses for Microfinance after expenses from Bancompartir were assumed in 2020.</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Credicorp’s administrative, general and tax expenses</w:t>
      </w:r>
    </w:p>
    <w:p>
      <w:pPr>
        <w:sectPr>
          <w:pgSz w:w="11900" w:h="16838" w:orient="portrait"/>
          <w:cols w:equalWidth="0" w:num="1">
            <w:col w:w="11240"/>
          </w:cols>
          <w:pgMar w:left="320" w:top="904" w:right="339" w:bottom="1440" w:gutter="0" w:footer="0" w:header="0"/>
        </w:sectPr>
      </w:pPr>
    </w:p>
    <w:p>
      <w:pPr>
        <w:spacing w:after="0" w:line="248" w:lineRule="exact"/>
        <w:rPr>
          <w:sz w:val="20"/>
          <w:szCs w:val="20"/>
          <w:color w:val="auto"/>
        </w:rPr>
      </w:pPr>
    </w:p>
    <w:p>
      <w:pPr>
        <w:ind w:right="380"/>
        <w:spacing w:after="0" w:line="252" w:lineRule="auto"/>
        <w:rPr>
          <w:sz w:val="20"/>
          <w:szCs w:val="20"/>
          <w:color w:val="auto"/>
        </w:rPr>
      </w:pPr>
      <w:r>
        <w:rPr>
          <w:rFonts w:ascii="Arial" w:cs="Arial" w:eastAsia="Arial" w:hAnsi="Arial"/>
          <w:sz w:val="13"/>
          <w:szCs w:val="13"/>
          <w:b w:val="1"/>
          <w:bCs w:val="1"/>
          <w:color w:val="auto"/>
        </w:rPr>
        <w:t>Administrative, general and tax expenses S/ 000</w:t>
      </w:r>
    </w:p>
    <w:p>
      <w:pPr>
        <w:spacing w:after="0" w:line="233" w:lineRule="auto"/>
        <w:rPr>
          <w:sz w:val="20"/>
          <w:szCs w:val="20"/>
          <w:color w:val="auto"/>
        </w:rPr>
      </w:pPr>
      <w:r>
        <w:rPr>
          <w:rFonts w:ascii="Arial" w:cs="Arial" w:eastAsia="Arial" w:hAnsi="Arial"/>
          <w:sz w:val="13"/>
          <w:szCs w:val="13"/>
          <w:color w:val="auto"/>
        </w:rPr>
        <w:t>Repair and maintenance</w:t>
      </w:r>
    </w:p>
    <w:p>
      <w:pPr>
        <w:spacing w:after="0" w:line="217" w:lineRule="auto"/>
        <w:rPr>
          <w:sz w:val="20"/>
          <w:szCs w:val="20"/>
          <w:color w:val="auto"/>
        </w:rPr>
      </w:pPr>
      <w:r>
        <w:rPr>
          <w:rFonts w:ascii="Arial" w:cs="Arial" w:eastAsia="Arial" w:hAnsi="Arial"/>
          <w:sz w:val="13"/>
          <w:szCs w:val="13"/>
          <w:color w:val="auto"/>
        </w:rPr>
        <w:t>Publicity</w:t>
      </w:r>
    </w:p>
    <w:p>
      <w:pPr>
        <w:spacing w:after="0" w:line="217" w:lineRule="auto"/>
        <w:rPr>
          <w:sz w:val="20"/>
          <w:szCs w:val="20"/>
          <w:color w:val="auto"/>
        </w:rPr>
      </w:pPr>
      <w:r>
        <w:rPr>
          <w:rFonts w:ascii="Arial" w:cs="Arial" w:eastAsia="Arial" w:hAnsi="Arial"/>
          <w:sz w:val="13"/>
          <w:szCs w:val="13"/>
          <w:color w:val="auto"/>
        </w:rPr>
        <w:t>Taxes and contributions</w:t>
      </w:r>
    </w:p>
    <w:p>
      <w:pPr>
        <w:spacing w:after="0" w:line="216" w:lineRule="auto"/>
        <w:rPr>
          <w:sz w:val="20"/>
          <w:szCs w:val="20"/>
          <w:color w:val="auto"/>
        </w:rPr>
      </w:pPr>
      <w:r>
        <w:rPr>
          <w:rFonts w:ascii="Arial" w:cs="Arial" w:eastAsia="Arial" w:hAnsi="Arial"/>
          <w:sz w:val="13"/>
          <w:szCs w:val="13"/>
          <w:color w:val="auto"/>
        </w:rPr>
        <w:t>Consulting and professional fees</w:t>
      </w:r>
    </w:p>
    <w:p>
      <w:pPr>
        <w:spacing w:after="0" w:line="217" w:lineRule="auto"/>
        <w:rPr>
          <w:sz w:val="20"/>
          <w:szCs w:val="20"/>
          <w:color w:val="auto"/>
        </w:rPr>
      </w:pPr>
      <w:r>
        <w:rPr>
          <w:rFonts w:ascii="Arial" w:cs="Arial" w:eastAsia="Arial" w:hAnsi="Arial"/>
          <w:sz w:val="13"/>
          <w:szCs w:val="13"/>
          <w:color w:val="auto"/>
        </w:rPr>
        <w:t>Transport and communications</w:t>
      </w:r>
    </w:p>
    <w:p>
      <w:pPr>
        <w:spacing w:after="0" w:line="217" w:lineRule="auto"/>
        <w:rPr>
          <w:sz w:val="20"/>
          <w:szCs w:val="20"/>
          <w:color w:val="auto"/>
        </w:rPr>
      </w:pPr>
      <w:r>
        <w:rPr>
          <w:rFonts w:ascii="Arial" w:cs="Arial" w:eastAsia="Arial" w:hAnsi="Arial"/>
          <w:sz w:val="13"/>
          <w:szCs w:val="13"/>
          <w:color w:val="auto"/>
        </w:rPr>
        <w:t>IBM services expenses</w:t>
      </w:r>
    </w:p>
    <w:p>
      <w:pPr>
        <w:spacing w:after="0" w:line="217" w:lineRule="auto"/>
        <w:rPr>
          <w:sz w:val="20"/>
          <w:szCs w:val="20"/>
          <w:color w:val="auto"/>
        </w:rPr>
      </w:pPr>
      <w:r>
        <w:rPr>
          <w:rFonts w:ascii="Arial" w:cs="Arial" w:eastAsia="Arial" w:hAnsi="Arial"/>
          <w:sz w:val="13"/>
          <w:szCs w:val="13"/>
          <w:color w:val="auto"/>
        </w:rPr>
        <w:t>Comissions by agents</w:t>
      </w:r>
    </w:p>
    <w:p>
      <w:pPr>
        <w:spacing w:after="0" w:line="216" w:lineRule="auto"/>
        <w:rPr>
          <w:sz w:val="20"/>
          <w:szCs w:val="20"/>
          <w:color w:val="auto"/>
        </w:rPr>
      </w:pPr>
      <w:r>
        <w:rPr>
          <w:rFonts w:ascii="Arial" w:cs="Arial" w:eastAsia="Arial" w:hAnsi="Arial"/>
          <w:sz w:val="13"/>
          <w:szCs w:val="13"/>
          <w:color w:val="auto"/>
        </w:rPr>
        <w:t>Security and protection</w:t>
      </w:r>
    </w:p>
    <w:p>
      <w:pPr>
        <w:spacing w:after="0" w:line="217" w:lineRule="auto"/>
        <w:rPr>
          <w:sz w:val="20"/>
          <w:szCs w:val="20"/>
          <w:color w:val="auto"/>
        </w:rPr>
      </w:pPr>
      <w:r>
        <w:rPr>
          <w:rFonts w:ascii="Arial" w:cs="Arial" w:eastAsia="Arial" w:hAnsi="Arial"/>
          <w:sz w:val="13"/>
          <w:szCs w:val="13"/>
          <w:color w:val="auto"/>
        </w:rPr>
        <w:t>Sundry supplies</w:t>
      </w:r>
    </w:p>
    <w:p>
      <w:pPr>
        <w:ind w:right="820"/>
        <w:spacing w:after="0" w:line="216" w:lineRule="auto"/>
        <w:rPr>
          <w:sz w:val="20"/>
          <w:szCs w:val="20"/>
          <w:color w:val="auto"/>
        </w:rPr>
      </w:pPr>
      <w:r>
        <w:rPr>
          <w:rFonts w:ascii="Arial" w:cs="Arial" w:eastAsia="Arial" w:hAnsi="Arial"/>
          <w:sz w:val="13"/>
          <w:szCs w:val="13"/>
          <w:color w:val="auto"/>
        </w:rPr>
        <w:t>Leases of low value and short-term Electricity and water Subscriptions and quotes Insurance</w:t>
      </w:r>
    </w:p>
    <w:p>
      <w:pPr>
        <w:spacing w:after="0" w:line="219" w:lineRule="auto"/>
        <w:rPr>
          <w:sz w:val="20"/>
          <w:szCs w:val="20"/>
          <w:color w:val="auto"/>
        </w:rPr>
      </w:pPr>
      <w:r>
        <w:rPr>
          <w:rFonts w:ascii="Arial" w:cs="Arial" w:eastAsia="Arial" w:hAnsi="Arial"/>
          <w:sz w:val="13"/>
          <w:szCs w:val="13"/>
          <w:color w:val="auto"/>
        </w:rPr>
        <w:t>Electronic processing</w:t>
      </w:r>
    </w:p>
    <w:p>
      <w:pPr>
        <w:spacing w:after="0" w:line="217" w:lineRule="auto"/>
        <w:rPr>
          <w:sz w:val="20"/>
          <w:szCs w:val="20"/>
          <w:color w:val="auto"/>
        </w:rPr>
      </w:pPr>
      <w:r>
        <w:rPr>
          <w:rFonts w:ascii="Arial" w:cs="Arial" w:eastAsia="Arial" w:hAnsi="Arial"/>
          <w:sz w:val="13"/>
          <w:szCs w:val="13"/>
          <w:color w:val="auto"/>
        </w:rPr>
        <w:t>Cleaning</w:t>
      </w:r>
    </w:p>
    <w:p>
      <w:pPr>
        <w:spacing w:after="0" w:line="225" w:lineRule="auto"/>
        <w:rPr>
          <w:sz w:val="20"/>
          <w:szCs w:val="20"/>
          <w:color w:val="auto"/>
        </w:rPr>
      </w:pPr>
      <w:r>
        <w:rPr>
          <w:rFonts w:ascii="Arial" w:cs="Arial" w:eastAsia="Arial" w:hAnsi="Arial"/>
          <w:sz w:val="13"/>
          <w:szCs w:val="13"/>
          <w:color w:val="auto"/>
        </w:rPr>
        <w:t>Audit Services</w:t>
      </w:r>
    </w:p>
    <w:p>
      <w:pPr>
        <w:spacing w:after="0" w:line="192" w:lineRule="auto"/>
        <w:rPr>
          <w:sz w:val="20"/>
          <w:szCs w:val="20"/>
          <w:color w:val="auto"/>
        </w:rPr>
      </w:pPr>
      <w:r>
        <w:rPr>
          <w:rFonts w:ascii="Arial" w:cs="Arial" w:eastAsia="Arial" w:hAnsi="Arial"/>
          <w:sz w:val="13"/>
          <w:szCs w:val="13"/>
          <w:color w:val="auto"/>
        </w:rPr>
        <w:t xml:space="preserve">Services by third-party and others </w:t>
      </w:r>
      <w:r>
        <w:rPr>
          <w:rFonts w:ascii="Arial" w:cs="Arial" w:eastAsia="Arial" w:hAnsi="Arial"/>
          <w:sz w:val="20"/>
          <w:szCs w:val="20"/>
          <w:color w:val="auto"/>
          <w:vertAlign w:val="superscript"/>
        </w:rPr>
        <w:t>(1)</w:t>
      </w:r>
    </w:p>
    <w:p>
      <w:pPr>
        <w:spacing w:after="0"/>
        <w:rPr>
          <w:sz w:val="20"/>
          <w:szCs w:val="20"/>
          <w:color w:val="auto"/>
        </w:rPr>
      </w:pPr>
      <w:r>
        <w:rPr>
          <w:rFonts w:ascii="Arial" w:cs="Arial" w:eastAsia="Arial" w:hAnsi="Arial"/>
          <w:sz w:val="10"/>
          <w:szCs w:val="10"/>
          <w:b w:val="1"/>
          <w:bCs w:val="1"/>
          <w:color w:val="auto"/>
        </w:rPr>
        <w:t>Total administrative and general expenses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680"/>
        <w:spacing w:after="0"/>
        <w:rPr>
          <w:sz w:val="20"/>
          <w:szCs w:val="20"/>
          <w:color w:val="auto"/>
        </w:rPr>
      </w:pPr>
      <w:r>
        <w:rPr>
          <w:rFonts w:ascii="Arial" w:cs="Arial" w:eastAsia="Arial" w:hAnsi="Arial"/>
          <w:sz w:val="13"/>
          <w:szCs w:val="13"/>
          <w:b w:val="1"/>
          <w:bCs w:val="1"/>
          <w:color w:val="auto"/>
        </w:rPr>
        <w:t>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2540</wp:posOffset>
            </wp:positionV>
            <wp:extent cx="7132320" cy="1688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4Q19</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3Q20</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4Q20</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500" w:type="dxa"/>
            <w:vAlign w:val="bottom"/>
          </w:tcPr>
          <w:p>
            <w:pPr>
              <w:jc w:val="right"/>
              <w:spacing w:after="0" w:line="114" w:lineRule="exact"/>
              <w:rPr>
                <w:sz w:val="20"/>
                <w:szCs w:val="20"/>
                <w:color w:val="auto"/>
              </w:rPr>
            </w:pPr>
            <w:r>
              <w:rPr>
                <w:rFonts w:ascii="Arial" w:cs="Arial" w:eastAsia="Arial" w:hAnsi="Arial"/>
                <w:sz w:val="13"/>
                <w:szCs w:val="13"/>
                <w:color w:val="auto"/>
              </w:rPr>
              <w:t>88,640</w:t>
            </w:r>
          </w:p>
        </w:tc>
        <w:tc>
          <w:tcPr>
            <w:tcW w:w="200" w:type="dxa"/>
            <w:vAlign w:val="bottom"/>
          </w:tcPr>
          <w:p>
            <w:pPr>
              <w:spacing w:after="0"/>
              <w:rPr>
                <w:sz w:val="9"/>
                <w:szCs w:val="9"/>
                <w:color w:val="auto"/>
              </w:rPr>
            </w:pPr>
          </w:p>
        </w:tc>
        <w:tc>
          <w:tcPr>
            <w:tcW w:w="620" w:type="dxa"/>
            <w:vAlign w:val="bottom"/>
            <w:gridSpan w:val="2"/>
          </w:tcPr>
          <w:p>
            <w:pPr>
              <w:jc w:val="right"/>
              <w:ind w:right="120"/>
              <w:spacing w:after="0" w:line="114" w:lineRule="exact"/>
              <w:rPr>
                <w:sz w:val="20"/>
                <w:szCs w:val="20"/>
                <w:color w:val="auto"/>
              </w:rPr>
            </w:pPr>
            <w:r>
              <w:rPr>
                <w:rFonts w:ascii="Arial" w:cs="Arial" w:eastAsia="Arial" w:hAnsi="Arial"/>
                <w:sz w:val="13"/>
                <w:szCs w:val="13"/>
                <w:color w:val="auto"/>
              </w:rPr>
              <w:t>13%</w:t>
            </w:r>
          </w:p>
        </w:tc>
        <w:tc>
          <w:tcPr>
            <w:tcW w:w="520" w:type="dxa"/>
            <w:vAlign w:val="bottom"/>
          </w:tcPr>
          <w:p>
            <w:pPr>
              <w:jc w:val="right"/>
              <w:spacing w:after="0" w:line="114" w:lineRule="exact"/>
              <w:rPr>
                <w:sz w:val="20"/>
                <w:szCs w:val="20"/>
                <w:color w:val="auto"/>
              </w:rPr>
            </w:pPr>
            <w:r>
              <w:rPr>
                <w:rFonts w:ascii="Arial" w:cs="Arial" w:eastAsia="Arial" w:hAnsi="Arial"/>
                <w:sz w:val="13"/>
                <w:szCs w:val="13"/>
                <w:color w:val="auto"/>
              </w:rPr>
              <w:t>102,788</w:t>
            </w:r>
          </w:p>
        </w:tc>
        <w:tc>
          <w:tcPr>
            <w:tcW w:w="18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Arial" w:cs="Arial" w:eastAsia="Arial" w:hAnsi="Arial"/>
                <w:sz w:val="13"/>
                <w:szCs w:val="13"/>
                <w:color w:val="auto"/>
              </w:rPr>
              <w:t>17%</w:t>
            </w:r>
          </w:p>
        </w:tc>
        <w:tc>
          <w:tcPr>
            <w:tcW w:w="520" w:type="dxa"/>
            <w:vAlign w:val="bottom"/>
          </w:tcPr>
          <w:p>
            <w:pPr>
              <w:jc w:val="right"/>
              <w:spacing w:after="0" w:line="114" w:lineRule="exact"/>
              <w:rPr>
                <w:sz w:val="20"/>
                <w:szCs w:val="20"/>
                <w:color w:val="auto"/>
              </w:rPr>
            </w:pPr>
            <w:r>
              <w:rPr>
                <w:rFonts w:ascii="Arial" w:cs="Arial" w:eastAsia="Arial" w:hAnsi="Arial"/>
                <w:sz w:val="13"/>
                <w:szCs w:val="13"/>
                <w:color w:val="auto"/>
              </w:rPr>
              <w:t>140,378</w:t>
            </w:r>
          </w:p>
        </w:tc>
        <w:tc>
          <w:tcPr>
            <w:tcW w:w="22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60"/>
              <w:spacing w:after="0" w:line="114"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129,938</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90,912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129,314</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82,516</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59,866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75,477</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106,193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45,962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82,153</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40,632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43,882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50,052</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32,450</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40,148</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43,411</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23,263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22,266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23,077</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24,412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16,101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26,113</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18,793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12,679</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21,311</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16,316</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11,938</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21,182</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15,027</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12,170</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14,532</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13,252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12,263</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13,978</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7,374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20,392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17,550</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9,235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8,824</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12,619</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5,790</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6,706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5,155</w:t>
            </w:r>
          </w:p>
        </w:tc>
        <w:tc>
          <w:tcPr>
            <w:tcW w:w="580" w:type="dxa"/>
            <w:vAlign w:val="bottom"/>
            <w:tcBorders>
              <w:right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1,083</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3,693</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1,093</w:t>
            </w:r>
          </w:p>
        </w:tc>
        <w:tc>
          <w:tcPr>
            <w:tcW w:w="5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78,544</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78,404</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13%</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71,998</w:t>
            </w:r>
          </w:p>
        </w:tc>
        <w:tc>
          <w:tcPr>
            <w:tcW w:w="5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693,458</w:t>
            </w:r>
          </w:p>
        </w:tc>
        <w:tc>
          <w:tcPr>
            <w:tcW w:w="200" w:type="dxa"/>
            <w:vAlign w:val="bottom"/>
            <w:vMerge w:val="continue"/>
          </w:tcPr>
          <w:p>
            <w:pPr>
              <w:spacing w:after="0"/>
              <w:rPr>
                <w:sz w:val="11"/>
                <w:szCs w:val="11"/>
                <w:color w:val="auto"/>
              </w:rPr>
            </w:pP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100%</w:t>
            </w: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588,994</w:t>
            </w:r>
          </w:p>
        </w:tc>
        <w:tc>
          <w:tcPr>
            <w:tcW w:w="180" w:type="dxa"/>
            <w:vAlign w:val="bottom"/>
            <w:vMerge w:val="continue"/>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100%</w:t>
            </w: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749,393</w:t>
            </w:r>
          </w:p>
        </w:tc>
        <w:tc>
          <w:tcPr>
            <w:tcW w:w="220" w:type="dxa"/>
            <w:vAlign w:val="bottom"/>
            <w:vMerge w:val="continue"/>
          </w:tcPr>
          <w:p>
            <w:pPr>
              <w:spacing w:after="0"/>
              <w:rPr>
                <w:sz w:val="11"/>
                <w:szCs w:val="11"/>
                <w:color w:val="auto"/>
              </w:rPr>
            </w:pPr>
          </w:p>
        </w:tc>
        <w:tc>
          <w:tcPr>
            <w:tcW w:w="580" w:type="dxa"/>
            <w:vAlign w:val="bottom"/>
            <w:tcBorders>
              <w:right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85"/>
              </w:rPr>
              <w:t>% change</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w w:val="70"/>
              </w:rPr>
              <w:t>Year</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w w:val="99"/>
              </w:rPr>
              <w:t>QoQ</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YoY</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gridSpan w:val="2"/>
          </w:tcPr>
          <w:p>
            <w:pPr>
              <w:jc w:val="right"/>
              <w:ind w:right="140"/>
              <w:spacing w:after="0" w:line="114" w:lineRule="exact"/>
              <w:rPr>
                <w:sz w:val="20"/>
                <w:szCs w:val="20"/>
                <w:color w:val="auto"/>
              </w:rPr>
            </w:pPr>
            <w:r>
              <w:rPr>
                <w:rFonts w:ascii="Arial" w:cs="Arial" w:eastAsia="Arial" w:hAnsi="Arial"/>
                <w:sz w:val="13"/>
                <w:szCs w:val="13"/>
                <w:color w:val="auto"/>
              </w:rPr>
              <w:t>36.6%</w:t>
            </w:r>
          </w:p>
        </w:tc>
        <w:tc>
          <w:tcPr>
            <w:tcW w:w="140" w:type="dxa"/>
            <w:vAlign w:val="bottom"/>
          </w:tcPr>
          <w:p>
            <w:pPr>
              <w:spacing w:after="0"/>
              <w:rPr>
                <w:sz w:val="9"/>
                <w:szCs w:val="9"/>
                <w:color w:val="auto"/>
              </w:rPr>
            </w:pPr>
          </w:p>
        </w:tc>
        <w:tc>
          <w:tcPr>
            <w:tcW w:w="440" w:type="dxa"/>
            <w:vAlign w:val="bottom"/>
            <w:tcBorders>
              <w:right w:val="single" w:sz="8" w:color="auto"/>
            </w:tcBorders>
            <w:gridSpan w:val="2"/>
          </w:tcPr>
          <w:p>
            <w:pPr>
              <w:jc w:val="right"/>
              <w:ind w:right="40"/>
              <w:spacing w:after="0" w:line="114" w:lineRule="exact"/>
              <w:rPr>
                <w:sz w:val="20"/>
                <w:szCs w:val="20"/>
                <w:color w:val="auto"/>
              </w:rPr>
            </w:pPr>
            <w:r>
              <w:rPr>
                <w:rFonts w:ascii="Arial" w:cs="Arial" w:eastAsia="Arial" w:hAnsi="Arial"/>
                <w:sz w:val="13"/>
                <w:szCs w:val="13"/>
                <w:color w:val="auto"/>
              </w:rPr>
              <w:t>58.4%</w:t>
            </w:r>
          </w:p>
        </w:tc>
        <w:tc>
          <w:tcPr>
            <w:tcW w:w="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3"/>
                <w:szCs w:val="13"/>
                <w:color w:val="auto"/>
              </w:rPr>
              <w:t>328,875</w:t>
            </w:r>
          </w:p>
        </w:tc>
        <w:tc>
          <w:tcPr>
            <w:tcW w:w="22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3"/>
                <w:szCs w:val="13"/>
                <w:color w:val="auto"/>
              </w:rPr>
              <w:t>417,286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42.2%</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380,147</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348,987</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26.1%</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-8.5%</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291,621</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266,704</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78.7%</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w w:val="92"/>
              </w:rPr>
              <w:t>-22.6%</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261,144</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214,012</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14.1%</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23.2%</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168,237</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159,556</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33.8%</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106,102</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146,874</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-0.8%</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84,641</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85,852</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71,581</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74,016</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68.1%</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13.4%</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74,550</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67,537</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77.4%</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29.8%</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66,424</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64,439</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19.4%</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-3.3%</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54,952</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51,649</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5.5%</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44,523</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49,212</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-13.9%</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w w:val="86"/>
              </w:rPr>
              <w:t>138.0%</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30,873</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46,047</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43.0%</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36.6%</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28,217</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36,920</w:t>
            </w:r>
          </w:p>
        </w:tc>
        <w:tc>
          <w:tcPr>
            <w:tcW w:w="0" w:type="dxa"/>
            <w:vAlign w:val="bottom"/>
          </w:tcPr>
          <w:p>
            <w:pPr>
              <w:spacing w:after="0"/>
              <w:rPr>
                <w:sz w:val="1"/>
                <w:szCs w:val="1"/>
                <w:color w:val="auto"/>
              </w:rPr>
            </w:pPr>
          </w:p>
        </w:tc>
      </w:tr>
      <w:tr>
        <w:trPr>
          <w:trHeight w:val="135"/>
        </w:trPr>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-23.1%</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w w:val="92"/>
              </w:rPr>
              <w:t>-11.0%</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21,445</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22,900</w:t>
            </w:r>
          </w:p>
        </w:tc>
        <w:tc>
          <w:tcPr>
            <w:tcW w:w="0" w:type="dxa"/>
            <w:vAlign w:val="bottom"/>
          </w:tcPr>
          <w:p>
            <w:pPr>
              <w:spacing w:after="0"/>
              <w:rPr>
                <w:sz w:val="1"/>
                <w:szCs w:val="1"/>
                <w:color w:val="auto"/>
              </w:rPr>
            </w:pPr>
          </w:p>
        </w:tc>
      </w:tr>
      <w:tr>
        <w:trPr>
          <w:trHeight w:val="160"/>
        </w:trPr>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-70.4%</w:t>
            </w:r>
          </w:p>
        </w:tc>
        <w:tc>
          <w:tcPr>
            <w:tcW w:w="14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6,245</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7,256</w:t>
            </w:r>
          </w:p>
        </w:tc>
        <w:tc>
          <w:tcPr>
            <w:tcW w:w="0" w:type="dxa"/>
            <w:vAlign w:val="bottom"/>
          </w:tcPr>
          <w:p>
            <w:pPr>
              <w:spacing w:after="0"/>
              <w:rPr>
                <w:sz w:val="1"/>
                <w:szCs w:val="1"/>
                <w:color w:val="auto"/>
              </w:rPr>
            </w:pPr>
          </w:p>
        </w:tc>
      </w:tr>
      <w:tr>
        <w:trPr>
          <w:trHeight w:val="164"/>
        </w:trPr>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341,540</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326,861</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27.2%</w:t>
            </w:r>
          </w:p>
        </w:tc>
        <w:tc>
          <w:tcPr>
            <w:tcW w:w="14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8.1%</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2,361,117</w:t>
            </w:r>
          </w:p>
        </w:tc>
        <w:tc>
          <w:tcPr>
            <w:tcW w:w="220" w:type="dxa"/>
            <w:vAlign w:val="bottom"/>
            <w:vMerge w:val="continue"/>
          </w:tcPr>
          <w:p>
            <w:pPr>
              <w:spacing w:after="0"/>
              <w:rPr>
                <w:sz w:val="11"/>
                <w:szCs w:val="11"/>
                <w:color w:val="auto"/>
              </w:rPr>
            </w:pPr>
          </w:p>
        </w:tc>
        <w:tc>
          <w:tcPr>
            <w:tcW w:w="640" w:type="dxa"/>
            <w:vAlign w:val="bottom"/>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2,386,108</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right="140" w:hanging="20"/>
        <w:spacing w:after="0" w:line="338" w:lineRule="auto"/>
        <w:tabs>
          <w:tab w:leader="none" w:pos="157" w:val="left"/>
        </w:tabs>
        <w:numPr>
          <w:ilvl w:val="0"/>
          <w:numId w:val="63"/>
        </w:numPr>
        <w:rPr>
          <w:rFonts w:ascii="Arial" w:cs="Arial" w:eastAsia="Arial" w:hAnsi="Arial"/>
          <w:sz w:val="10"/>
          <w:szCs w:val="10"/>
          <w:b w:val="1"/>
          <w:bCs w:val="1"/>
          <w:color w:val="auto"/>
        </w:rPr>
      </w:pPr>
      <w:r>
        <w:rPr>
          <w:rFonts w:ascii="Arial" w:cs="Arial" w:eastAsia="Arial" w:hAnsi="Arial"/>
          <w:sz w:val="10"/>
          <w:szCs w:val="10"/>
          <w:b w:val="1"/>
          <w:bCs w:val="1"/>
          <w:color w:val="auto"/>
        </w:rPr>
        <w:t>change 2020 / 2019</w:t>
      </w:r>
    </w:p>
    <w:p>
      <w:pPr>
        <w:jc w:val="right"/>
        <w:ind w:left="360" w:right="20" w:firstLine="42"/>
        <w:spacing w:after="0" w:line="281" w:lineRule="auto"/>
        <w:rPr>
          <w:rFonts w:ascii="Arial" w:cs="Arial" w:eastAsia="Arial" w:hAnsi="Arial"/>
          <w:sz w:val="10"/>
          <w:szCs w:val="10"/>
          <w:b w:val="1"/>
          <w:bCs w:val="1"/>
          <w:color w:val="auto"/>
        </w:rPr>
      </w:pPr>
      <w:r>
        <w:rPr>
          <w:rFonts w:ascii="Arial" w:cs="Arial" w:eastAsia="Arial" w:hAnsi="Arial"/>
          <w:sz w:val="10"/>
          <w:szCs w:val="10"/>
          <w:color w:val="auto"/>
        </w:rPr>
        <w:t>26.9% -8.2% -8.5% -18.0% -5.2% 38.4%</w:t>
      </w:r>
    </w:p>
    <w:p>
      <w:pPr>
        <w:spacing w:after="0" w:line="2" w:lineRule="exact"/>
        <w:rPr>
          <w:rFonts w:ascii="Arial" w:cs="Arial" w:eastAsia="Arial" w:hAnsi="Arial"/>
          <w:sz w:val="10"/>
          <w:szCs w:val="10"/>
          <w:b w:val="1"/>
          <w:bCs w:val="1"/>
          <w:color w:val="auto"/>
        </w:rPr>
      </w:pPr>
    </w:p>
    <w:p>
      <w:pPr>
        <w:ind w:left="460"/>
        <w:spacing w:after="0" w:line="216" w:lineRule="auto"/>
        <w:rPr>
          <w:rFonts w:ascii="Arial" w:cs="Arial" w:eastAsia="Arial" w:hAnsi="Arial"/>
          <w:sz w:val="10"/>
          <w:szCs w:val="10"/>
          <w:b w:val="1"/>
          <w:bCs w:val="1"/>
          <w:color w:val="auto"/>
        </w:rPr>
      </w:pPr>
      <w:r>
        <w:rPr>
          <w:rFonts w:ascii="Arial" w:cs="Arial" w:eastAsia="Arial" w:hAnsi="Arial"/>
          <w:sz w:val="13"/>
          <w:szCs w:val="13"/>
          <w:color w:val="auto"/>
        </w:rPr>
        <w:t>1.4%</w:t>
      </w:r>
    </w:p>
    <w:p>
      <w:pPr>
        <w:jc w:val="both"/>
        <w:ind w:left="400" w:right="20" w:firstLine="63"/>
        <w:spacing w:after="0" w:line="281" w:lineRule="auto"/>
        <w:rPr>
          <w:rFonts w:ascii="Arial" w:cs="Arial" w:eastAsia="Arial" w:hAnsi="Arial"/>
          <w:sz w:val="10"/>
          <w:szCs w:val="10"/>
          <w:b w:val="1"/>
          <w:bCs w:val="1"/>
          <w:color w:val="auto"/>
        </w:rPr>
      </w:pPr>
      <w:r>
        <w:rPr>
          <w:rFonts w:ascii="Arial" w:cs="Arial" w:eastAsia="Arial" w:hAnsi="Arial"/>
          <w:sz w:val="10"/>
          <w:szCs w:val="10"/>
          <w:color w:val="auto"/>
        </w:rPr>
        <w:t>3.4% -9.4% -3.0% -6.0% 10.5%</w:t>
      </w:r>
    </w:p>
    <w:p>
      <w:pPr>
        <w:spacing w:after="0" w:line="1" w:lineRule="exact"/>
        <w:rPr>
          <w:rFonts w:ascii="Arial" w:cs="Arial" w:eastAsia="Arial" w:hAnsi="Arial"/>
          <w:sz w:val="10"/>
          <w:szCs w:val="10"/>
          <w:b w:val="1"/>
          <w:bCs w:val="1"/>
          <w:color w:val="auto"/>
        </w:rPr>
      </w:pPr>
    </w:p>
    <w:p>
      <w:pPr>
        <w:ind w:left="400"/>
        <w:spacing w:after="0" w:line="234" w:lineRule="auto"/>
        <w:rPr>
          <w:rFonts w:ascii="Arial" w:cs="Arial" w:eastAsia="Arial" w:hAnsi="Arial"/>
          <w:sz w:val="10"/>
          <w:szCs w:val="10"/>
          <w:b w:val="1"/>
          <w:bCs w:val="1"/>
          <w:color w:val="auto"/>
        </w:rPr>
      </w:pPr>
      <w:r>
        <w:rPr>
          <w:rFonts w:ascii="Arial" w:cs="Arial" w:eastAsia="Arial" w:hAnsi="Arial"/>
          <w:sz w:val="12"/>
          <w:szCs w:val="12"/>
          <w:color w:val="auto"/>
        </w:rPr>
        <w:t>49.1%</w:t>
      </w:r>
    </w:p>
    <w:p>
      <w:pPr>
        <w:ind w:left="400"/>
        <w:spacing w:after="0" w:line="234" w:lineRule="auto"/>
        <w:rPr>
          <w:rFonts w:ascii="Arial" w:cs="Arial" w:eastAsia="Arial" w:hAnsi="Arial"/>
          <w:sz w:val="10"/>
          <w:szCs w:val="10"/>
          <w:b w:val="1"/>
          <w:bCs w:val="1"/>
          <w:color w:val="auto"/>
        </w:rPr>
      </w:pPr>
      <w:r>
        <w:rPr>
          <w:rFonts w:ascii="Arial" w:cs="Arial" w:eastAsia="Arial" w:hAnsi="Arial"/>
          <w:sz w:val="12"/>
          <w:szCs w:val="12"/>
          <w:color w:val="auto"/>
        </w:rPr>
        <w:t>30.8%</w:t>
      </w:r>
    </w:p>
    <w:p>
      <w:pPr>
        <w:ind w:left="460"/>
        <w:spacing w:after="0" w:line="216" w:lineRule="auto"/>
        <w:rPr>
          <w:rFonts w:ascii="Arial" w:cs="Arial" w:eastAsia="Arial" w:hAnsi="Arial"/>
          <w:sz w:val="10"/>
          <w:szCs w:val="10"/>
          <w:b w:val="1"/>
          <w:bCs w:val="1"/>
          <w:color w:val="auto"/>
        </w:rPr>
      </w:pPr>
      <w:r>
        <w:rPr>
          <w:rFonts w:ascii="Arial" w:cs="Arial" w:eastAsia="Arial" w:hAnsi="Arial"/>
          <w:sz w:val="13"/>
          <w:szCs w:val="13"/>
          <w:color w:val="auto"/>
        </w:rPr>
        <w:t>6.8%</w:t>
      </w:r>
    </w:p>
    <w:p>
      <w:pPr>
        <w:ind w:left="400"/>
        <w:spacing w:after="0"/>
        <w:rPr>
          <w:rFonts w:ascii="Arial" w:cs="Arial" w:eastAsia="Arial" w:hAnsi="Arial"/>
          <w:sz w:val="10"/>
          <w:szCs w:val="10"/>
          <w:b w:val="1"/>
          <w:bCs w:val="1"/>
          <w:color w:val="auto"/>
        </w:rPr>
      </w:pPr>
      <w:r>
        <w:rPr>
          <w:rFonts w:ascii="Arial" w:cs="Arial" w:eastAsia="Arial" w:hAnsi="Arial"/>
          <w:sz w:val="12"/>
          <w:szCs w:val="12"/>
          <w:color w:val="auto"/>
        </w:rPr>
        <w:t>16.2%</w:t>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-5715</wp:posOffset>
            </wp:positionV>
            <wp:extent cx="386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600" w:space="720"/>
            <w:col w:w="3960" w:space="100"/>
            <w:col w:w="2800" w:space="300"/>
            <w:col w:w="760"/>
          </w:cols>
          <w:pgMar w:left="320" w:top="904" w:right="339" w:bottom="1440" w:gutter="0" w:footer="0" w:header="0"/>
          <w:type w:val="continuous"/>
        </w:sectPr>
      </w:pPr>
    </w:p>
    <w:p>
      <w:pPr>
        <w:ind w:right="80" w:firstLine="8"/>
        <w:spacing w:after="0" w:line="253" w:lineRule="auto"/>
        <w:tabs>
          <w:tab w:leader="none" w:pos="204"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balance consists mainly of security and protection services, cleaning service, representation expenses, electricity and water utilities, insurance policy expenses, subscription expenses and commission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administrative and general expenses and taxes rose +27.2% due to:</w:t>
      </w:r>
    </w:p>
    <w:p>
      <w:pPr>
        <w:spacing w:after="0" w:line="229" w:lineRule="exact"/>
        <w:rPr>
          <w:sz w:val="20"/>
          <w:szCs w:val="20"/>
          <w:color w:val="auto"/>
        </w:rPr>
      </w:pPr>
    </w:p>
    <w:p>
      <w:pPr>
        <w:ind w:left="880" w:hanging="494"/>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42.2% increase in advertising costs due to higher expenses for the Millas Latam Program, in line with the 32% increase in transactions through points of sale (P.O.S.)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maintenance and repair expenses associated with support and maintenance services for IT servers.</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expenses for consultancy and professional fees given that the majority of these fees are reported in the accounting books in the last quarter of the year.</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reveals growth of +8.1%, which was attributable to growth in maintenance and repair expenses and in advertising expenses for the reasons noted above. Additionally, expenses relative to IBM increased after the Group stepped up its use of services and associated projects to ensure effective management of vulnerabilities at the IT level and prevent system obsolescence.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YTD</w:t>
      </w:r>
      <w:r>
        <w:rPr>
          <w:rFonts w:ascii="Arial" w:cs="Arial" w:eastAsia="Arial" w:hAnsi="Arial"/>
          <w:sz w:val="18"/>
          <w:szCs w:val="18"/>
          <w:color w:val="auto"/>
        </w:rPr>
        <w:t>, expenses registered growth in +1.1%. This increase was primarily driven by expenses for repair and maintenance and for IBM services. In both</w:t>
      </w:r>
      <w:r>
        <w:rPr>
          <w:rFonts w:ascii="Arial" w:cs="Arial" w:eastAsia="Arial" w:hAnsi="Arial"/>
          <w:sz w:val="18"/>
          <w:szCs w:val="18"/>
          <w:b w:val="1"/>
          <w:bCs w:val="1"/>
          <w:color w:val="auto"/>
        </w:rPr>
        <w:t xml:space="preserve"> </w:t>
      </w:r>
      <w:r>
        <w:rPr>
          <w:rFonts w:ascii="Arial" w:cs="Arial" w:eastAsia="Arial" w:hAnsi="Arial"/>
          <w:sz w:val="18"/>
          <w:szCs w:val="18"/>
          <w:color w:val="auto"/>
        </w:rPr>
        <w:t>cases, expenses were associated with support, maintenance and improvement of IT processors. These efforts are highly important to ensuring that Credicorp can continue offering products and services in ways that ensure high standards for information security.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Credicorp made significant efforts to control expenses in 2020, it was unable to fully contain growth in expenses for servers without compromising operating standards referred. This, added to pressure on operating income, lent to a challenging scenario throughout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Operating Efficency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efficiency ratio at Credicorp deteriorated 220bps, 170bps, and 270bps QoQ, YoY and YTD respectively to situate at 47.2% for the quarter and 46.3% for the year. At the quarterly level, the evolution was driven by seasonal effects on operating expenses while the yearly result was attributable to a reduction in net interest income and in non-financial income, mainly at BCP Stand-alone and Mibanco and due to a decrease in transactions in the COVID-19 context. Nonetheless, the adjusted efficiency ratio stood at 46.1% in the quarter and 44.9% in the year, showing less deterioration. The variation was 125bps, 62bps and 136bps QoQ, YoY and YTD respectively.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53"/>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Operating Efficiency</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8"/>
              </w:rPr>
              <w:t>% change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ind w:left="740"/>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4Q19</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3Q20</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4Q20</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3"/>
                <w:szCs w:val="13"/>
                <w:b w:val="1"/>
                <w:bCs w:val="1"/>
                <w:color w:val="auto"/>
              </w:rPr>
              <w:t>QoQ</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YoY</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 / 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1,852,620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1,657,875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1,792,366</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8.1%</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6,785,063</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6,782,810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Operating income </w:t>
            </w:r>
            <w:r>
              <w:rPr>
                <w:rFonts w:ascii="Arial" w:cs="Arial" w:eastAsia="Arial" w:hAnsi="Arial"/>
                <w:sz w:val="20"/>
                <w:szCs w:val="20"/>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4,073,888</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3,684,231</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3,795,255</w:t>
            </w:r>
          </w:p>
        </w:tc>
        <w:tc>
          <w:tcPr>
            <w:tcW w:w="1000" w:type="dxa"/>
            <w:vAlign w:val="bottom"/>
            <w:gridSpan w:val="2"/>
          </w:tcPr>
          <w:p>
            <w:pPr>
              <w:ind w:left="640"/>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15,571,825</w:t>
            </w: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14,660,228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0"/>
                <w:szCs w:val="20"/>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47.2%</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220 bps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 bps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 bps</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line="176" w:lineRule="exact"/>
              <w:rPr>
                <w:sz w:val="20"/>
                <w:szCs w:val="20"/>
                <w:color w:val="auto"/>
              </w:rPr>
            </w:pPr>
            <w:r>
              <w:rPr>
                <w:rFonts w:ascii="Arial" w:cs="Arial" w:eastAsia="Arial" w:hAnsi="Arial"/>
                <w:sz w:val="13"/>
                <w:szCs w:val="13"/>
                <w:color w:val="auto"/>
              </w:rPr>
              <w:t xml:space="preserve">Operating expenses / Total average assets </w:t>
            </w:r>
            <w:r>
              <w:rPr>
                <w:rFonts w:ascii="Arial" w:cs="Arial" w:eastAsia="Arial" w:hAnsi="Arial"/>
                <w:sz w:val="20"/>
                <w:szCs w:val="20"/>
                <w:color w:val="auto"/>
                <w:vertAlign w:val="superscript"/>
              </w:rPr>
              <w:t>(4)</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gridSpan w:val="2"/>
            <w:vMerge w:val="continue"/>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4.03%</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3.09%</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3.06%</w:t>
            </w:r>
          </w:p>
        </w:tc>
        <w:tc>
          <w:tcPr>
            <w:tcW w:w="1240" w:type="dxa"/>
            <w:vAlign w:val="bottom"/>
            <w:gridSpan w:val="3"/>
          </w:tcPr>
          <w:p>
            <w:pPr>
              <w:jc w:val="right"/>
              <w:ind w:right="440"/>
              <w:spacing w:after="0"/>
              <w:rPr>
                <w:sz w:val="20"/>
                <w:szCs w:val="20"/>
                <w:color w:val="auto"/>
              </w:rPr>
            </w:pPr>
            <w:r>
              <w:rPr>
                <w:rFonts w:ascii="Arial" w:cs="Arial" w:eastAsia="Arial" w:hAnsi="Arial"/>
                <w:sz w:val="13"/>
                <w:szCs w:val="13"/>
                <w:color w:val="auto"/>
              </w:rPr>
              <w:t>-3 bps</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-97 bps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4.25%</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-71 bps</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Operating expenses = Salaries and employee’s benefits + Administrative expenses + Depreciation and amortization + Association in participation + Acquisition cost.</w:t>
      </w:r>
    </w:p>
    <w:p>
      <w:pPr>
        <w:ind w:right="20" w:firstLine="8"/>
        <w:spacing w:after="0" w:line="221" w:lineRule="auto"/>
        <w:tabs>
          <w:tab w:leader="none" w:pos="205"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220" w:hanging="212"/>
        <w:spacing w:after="0" w:line="221" w:lineRule="auto"/>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Operating expenses / Operating income.</w:t>
      </w: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Operating expenses / Average of Total Assets. Average is calculated with period beginning and period-ending balances.</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efficiency ratio deteriorated 220bps due to a drop in net interest income, which was in turn driven by a devaluation in reprogrammed loans at BCP Bolivia.</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efficiency deteriorated 170bps. The following figure depicts the impact that variation in each of the components of income and in the operating expense had on the efficiency ratio YoY: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334760" cy="1714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476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Other operating income includes: Net gain on foreign exchange transactions, Net gain from associates, Net gain on derivatives held for trading and Net gain from exchange difference.</w:t>
      </w:r>
    </w:p>
    <w:p>
      <w:pPr>
        <w:spacing w:after="0" w:line="11" w:lineRule="exact"/>
        <w:rPr>
          <w:rFonts w:ascii="Arial" w:cs="Arial" w:eastAsia="Arial" w:hAnsi="Arial"/>
          <w:sz w:val="13"/>
          <w:szCs w:val="13"/>
          <w:color w:val="auto"/>
        </w:rPr>
      </w:pPr>
    </w:p>
    <w:p>
      <w:pPr>
        <w:ind w:left="220" w:hanging="212"/>
        <w:spacing w:after="0"/>
        <w:tabs>
          <w:tab w:leader="none" w:pos="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operating expenses includes: Acquisition cost and Association in participation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Deterioration in the efficiency ratio was attributable to:</w:t>
      </w:r>
    </w:p>
    <w:p>
      <w:pPr>
        <w:spacing w:after="0" w:line="221" w:lineRule="exact"/>
        <w:rPr>
          <w:sz w:val="20"/>
          <w:szCs w:val="20"/>
          <w:color w:val="auto"/>
        </w:rPr>
      </w:pPr>
    </w:p>
    <w:p>
      <w:pPr>
        <w:ind w:left="880" w:hanging="494"/>
        <w:spacing w:after="0" w:line="282"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 reduction in </w:t>
      </w:r>
      <w:r>
        <w:rPr>
          <w:rFonts w:ascii="Arial" w:cs="Arial" w:eastAsia="Arial" w:hAnsi="Arial"/>
          <w:sz w:val="18"/>
          <w:szCs w:val="18"/>
          <w:b w:val="1"/>
          <w:bCs w:val="1"/>
          <w:color w:val="auto"/>
        </w:rPr>
        <w:t>Net interest income</w:t>
      </w:r>
      <w:r>
        <w:rPr>
          <w:rFonts w:ascii="Arial" w:cs="Arial" w:eastAsia="Arial" w:hAnsi="Arial"/>
          <w:sz w:val="18"/>
          <w:szCs w:val="18"/>
          <w:color w:val="auto"/>
        </w:rPr>
        <w:t xml:space="preserve"> due to low-interest government loans and to the devaluation of reprogrammed loans at BCP Bolivia, as indicated in section 4.1. Interest Income.</w:t>
      </w:r>
    </w:p>
    <w:p>
      <w:pPr>
        <w:spacing w:after="0" w:line="161"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Administrative and general expenses and taxes</w:t>
      </w:r>
      <w:r>
        <w:rPr>
          <w:rFonts w:ascii="Arial" w:cs="Arial" w:eastAsia="Arial" w:hAnsi="Arial"/>
          <w:sz w:val="18"/>
          <w:szCs w:val="18"/>
          <w:color w:val="auto"/>
        </w:rPr>
        <w:t>, which rose at BCP Stand-alone do an increase in expenses to maintain servers. Credicorp’s efforts to reduce expenses were insufficient, as described in the section 7.1. Credicorp – Administrative and general expenses and taxes, to attenuate growth in this line.</w:t>
      </w:r>
    </w:p>
    <w:p>
      <w:pPr>
        <w:spacing w:after="0" w:line="17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aforementioned was partially attenuated by the increase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in banking services, as indicated in section 5. Non-financial income.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YTD, </w:t>
      </w:r>
      <w:r>
        <w:rPr>
          <w:rFonts w:ascii="Arial" w:cs="Arial" w:eastAsia="Arial" w:hAnsi="Arial"/>
          <w:sz w:val="18"/>
          <w:szCs w:val="18"/>
          <w:color w:val="auto"/>
        </w:rPr>
        <w:t>efficiency deteriorated 270bps. The figure below shows the impact that variations in each component of income and in the operating expense had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YTD efficiency ratio:</w:t>
      </w:r>
    </w:p>
    <w:p>
      <w:pPr>
        <w:spacing w:after="0" w:line="38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275070" cy="1543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7507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Other operating income includes: Net gain on foreign exchange transactions, Net gain from associates, Net gain on derivatives held for trading and Net gain from exchange difference.</w:t>
      </w:r>
    </w:p>
    <w:p>
      <w:pPr>
        <w:spacing w:after="0" w:line="11" w:lineRule="exact"/>
        <w:rPr>
          <w:rFonts w:ascii="Arial" w:cs="Arial" w:eastAsia="Arial" w:hAnsi="Arial"/>
          <w:sz w:val="13"/>
          <w:szCs w:val="13"/>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Other operating expenses includes: Acquisition cost and Association in participation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largest impact was generated by a decrease in operating income, which was due to:</w:t>
      </w:r>
    </w:p>
    <w:p>
      <w:pPr>
        <w:spacing w:after="0" w:line="225" w:lineRule="exact"/>
        <w:rPr>
          <w:sz w:val="20"/>
          <w:szCs w:val="20"/>
          <w:color w:val="auto"/>
        </w:rPr>
      </w:pPr>
    </w:p>
    <w:p>
      <w:pPr>
        <w:ind w:left="880" w:right="20" w:hanging="494"/>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reduction in net interest income due to the devaluation of loans frozen in April and May at BCP Stand-alone and Mibanco; the influx of low-interest government loans; and a devaluation of refinanced loans at BCP Bolivia.</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contraction of fee income after fee exemptions were granted by BCP Stand-alone and Mibanco in the period from March-September to provide support for clients at the most critical point of the economic crisis generated by COVID-19.</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administrative expenses, which was attributable to maintenance and improvement work on IT processors.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Efficiency Ratio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 xml:space="preserve">Reported efficiency ratio by subsidiary </w:t>
            </w:r>
            <w:r>
              <w:rPr>
                <w:rFonts w:ascii="Arial" w:cs="Arial" w:eastAsia="Arial" w:hAnsi="Arial"/>
                <w:sz w:val="29"/>
                <w:szCs w:val="29"/>
                <w:b w:val="1"/>
                <w:bCs w:val="1"/>
                <w:color w:val="auto"/>
                <w:vertAlign w:val="superscript"/>
              </w:rPr>
              <w:t>(1)(2)</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BCP</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1"/>
              </w:rPr>
              <w:t xml:space="preserve">Microfinance </w:t>
            </w:r>
            <w:r>
              <w:rPr>
                <w:rFonts w:ascii="Arial" w:cs="Arial" w:eastAsia="Arial" w:hAnsi="Arial"/>
                <w:sz w:val="29"/>
                <w:szCs w:val="29"/>
                <w:b w:val="1"/>
                <w:bCs w:val="1"/>
                <w:color w:val="auto"/>
                <w:w w:val="91"/>
                <w:vertAlign w:val="superscript"/>
              </w:rPr>
              <w:t>(3)</w:t>
            </w:r>
          </w:p>
        </w:tc>
        <w:tc>
          <w:tcPr>
            <w:tcW w:w="28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7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Stand-alone</w:t>
            </w:r>
          </w:p>
        </w:tc>
        <w:tc>
          <w:tcPr>
            <w:tcW w:w="26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BCP Bolivia</w:t>
            </w:r>
          </w:p>
        </w:tc>
        <w:tc>
          <w:tcPr>
            <w:tcW w:w="26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vMerge w:val="continue"/>
          </w:tcPr>
          <w:p>
            <w:pPr>
              <w:spacing w:after="0"/>
              <w:rPr>
                <w:sz w:val="21"/>
                <w:szCs w:val="21"/>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Pacifico</w:t>
            </w:r>
          </w:p>
        </w:tc>
        <w:tc>
          <w:tcPr>
            <w:tcW w:w="2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Prima AFP</w:t>
            </w:r>
          </w:p>
        </w:tc>
        <w:tc>
          <w:tcPr>
            <w:tcW w:w="28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Credicorp</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4Q19</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5"/>
              </w:rPr>
              <w:t>3Q20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4Q20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Var. QoQ</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70 pbs</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-290 pbs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430 pbs</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-370 pbs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220 pbs</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Var. YoY</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-190 pbs</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n.a.</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460 pbs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-500 pbs</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 pbs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 pbs</w:t>
            </w:r>
          </w:p>
        </w:tc>
        <w:tc>
          <w:tcPr>
            <w:tcW w:w="0" w:type="dxa"/>
            <w:vAlign w:val="bottom"/>
          </w:tcPr>
          <w:p>
            <w:pPr>
              <w:spacing w:after="0"/>
              <w:rPr>
                <w:sz w:val="1"/>
                <w:szCs w:val="1"/>
                <w:color w:val="auto"/>
              </w:rPr>
            </w:pP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YTD - 2019</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YTD - 2020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98"/>
        </w:trPr>
        <w:tc>
          <w:tcPr>
            <w:tcW w:w="17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 change</w:t>
            </w: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2020/2019</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 pbs</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2780 pbs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1230 pbs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-120 pbs</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450 pbs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 pbs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80" w:firstLine="8"/>
        <w:spacing w:after="0" w:line="248" w:lineRule="auto"/>
        <w:tabs>
          <w:tab w:leader="none" w:pos="204" w:val="left"/>
        </w:tabs>
        <w:numPr>
          <w:ilvl w:val="0"/>
          <w:numId w:val="71"/>
        </w:numPr>
        <w:rPr>
          <w:rFonts w:ascii="Arial" w:cs="Arial" w:eastAsia="Arial" w:hAnsi="Arial"/>
          <w:sz w:val="13"/>
          <w:szCs w:val="13"/>
          <w:color w:val="auto"/>
        </w:rPr>
      </w:pPr>
      <w:r>
        <w:rPr>
          <w:rFonts w:ascii="Arial" w:cs="Arial" w:eastAsia="Arial" w:hAnsi="Arial"/>
          <w:sz w:val="13"/>
          <w:szCs w:val="13"/>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ind w:left="220" w:hanging="212"/>
        <w:spacing w:after="0" w:line="221" w:lineRule="auto"/>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efficiency ratio differs from previously reported, please consider the data presented on this report.</w:t>
      </w: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Microfinance includes Mibanco, Bancompartir and Encumbra</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efficiency ratio deteriorated due to an increase in operating expenses at BCP Stand-alone and to a reduction in net interest income, which was attributable to the devaluation of refinanced loans at BCP Bolivia.</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figure below shows the contribution of each subsidiary to the evolution of the efficiency ratio YoY.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683250" cy="1945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8325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(1) Others includes: Credicorp Capital, Prima AFP, BCP Bolivia, ASB, Grupo Crédito, among other subsidiaries and the eliminations for consolidation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efficiency ratio deteriorated 170bps, spurred by:</w:t>
      </w:r>
    </w:p>
    <w:p>
      <w:pPr>
        <w:spacing w:after="0" w:line="225" w:lineRule="exact"/>
        <w:rPr>
          <w:sz w:val="20"/>
          <w:szCs w:val="20"/>
          <w:color w:val="auto"/>
        </w:rPr>
      </w:pPr>
    </w:p>
    <w:p>
      <w:pPr>
        <w:ind w:left="880" w:right="20" w:hanging="494"/>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terms of depth of impact, BCP Bolivia, where loans refinanced throughout 2020 experienced an accounting devaluation that significantly impacted net interest income. The aforementioned represents 2.0% of total impact on the efficiency ratio.</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And to a lesser extent, by the evolution of the Microfinance business, which experienced an increase in expenses reported in the Mibanco account after the merger of Bancompatir y Encumbra.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YTD, efficiency deteriorated 270bps; this impact was primarily attributable to a decrease in net interest income after zero-interest-rate loan impairments in April and May at BCP Stand-alone and Mibanco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683250" cy="1577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8325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(1) Others includes: Credicorp Capital, Prima AFP, BCP Bolivia, ASB, Grupo Credito, among other subsidiaries and the eliminations for consolidation purposes.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8. Regulatory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Regulatory Capital – BAP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 Change</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 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 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 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Treasury Stocks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(207,839)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(209,305)</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(208,433)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Surplus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226,037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157,767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192,625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22.1%</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57"/>
        </w:trPr>
        <w:tc>
          <w:tcPr>
            <w:tcW w:w="51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19,437,645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21,405,740</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21,429,635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393,019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421,250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443,402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57"/>
        </w:trPr>
        <w:tc>
          <w:tcPr>
            <w:tcW w:w="51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1,690,510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1,818,720</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1,838,145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Subordinated Debt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4,409,840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5,241,953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5,491,480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equity and subordinated debt of financial and insurance</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companies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(700,859)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(699,066)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(715,614)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(834,881)</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(790,335)</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(820,899)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year Net Loss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(306,510)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5160" w:type="dxa"/>
            <w:vAlign w:val="bottom"/>
            <w:gridSpan w:val="2"/>
          </w:tcPr>
          <w:p>
            <w:pPr>
              <w:spacing w:after="0" w:line="206" w:lineRule="exact"/>
              <w:rPr>
                <w:sz w:val="20"/>
                <w:szCs w:val="20"/>
                <w:color w:val="auto"/>
              </w:rPr>
            </w:pPr>
            <w:r>
              <w:rPr>
                <w:rFonts w:ascii="Arial" w:cs="Arial" w:eastAsia="Arial" w:hAnsi="Arial"/>
                <w:sz w:val="18"/>
                <w:szCs w:val="18"/>
                <w:color w:val="auto"/>
              </w:rPr>
              <w:t>Deduction for subordinated debt limit (50% of Tier I excluding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160" w:type="dxa"/>
            <w:vAlign w:val="bottom"/>
            <w:gridSpan w:val="2"/>
          </w:tcPr>
          <w:p>
            <w:pPr>
              <w:spacing w:after="0" w:line="267"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29"/>
                <w:szCs w:val="29"/>
                <w:color w:val="auto"/>
                <w:vertAlign w:val="superscript"/>
              </w:rPr>
              <w:t>(4)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29"/>
                <w:szCs w:val="29"/>
                <w:color w:val="auto"/>
                <w:vertAlign w:val="superscript"/>
              </w:rPr>
              <w:t>(4)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Total Regulatory Capital (A)</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25,732,464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28,359,206</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28,969,333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14,010,215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14,987,233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15,312,787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57"/>
        </w:trPr>
        <w:tc>
          <w:tcPr>
            <w:tcW w:w="51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 Tier 3 </w:t>
            </w:r>
            <w:r>
              <w:rPr>
                <w:rFonts w:ascii="Arial" w:cs="Arial" w:eastAsia="Arial" w:hAnsi="Arial"/>
                <w:sz w:val="29"/>
                <w:szCs w:val="29"/>
                <w:color w:val="auto"/>
                <w:vertAlign w:val="superscript"/>
              </w:rPr>
              <w:t>(7)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11,722,249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13,371,972</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13,656,546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5"/>
        </w:trPr>
        <w:tc>
          <w:tcPr>
            <w:tcW w:w="5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Financial Consolidated Group (FCG) Regulatory Capital</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16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 xml:space="preserve">Requirements </w:t>
            </w:r>
            <w:r>
              <w:rPr>
                <w:rFonts w:ascii="Arial" w:cs="Arial" w:eastAsia="Arial" w:hAnsi="Arial"/>
                <w:sz w:val="29"/>
                <w:szCs w:val="29"/>
                <w:color w:val="auto"/>
                <w:vertAlign w:val="superscript"/>
              </w:rPr>
              <w:t>(8)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20,750,935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18,607,279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20,158,508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w:t>
            </w:r>
          </w:p>
        </w:tc>
        <w:tc>
          <w:tcPr>
            <w:tcW w:w="3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7"/>
        </w:trPr>
        <w:tc>
          <w:tcPr>
            <w:tcW w:w="51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Consolidated Group (ICG) Capital Requirements </w:t>
            </w:r>
            <w:r>
              <w:rPr>
                <w:rFonts w:ascii="Arial" w:cs="Arial" w:eastAsia="Arial" w:hAnsi="Arial"/>
                <w:sz w:val="29"/>
                <w:szCs w:val="29"/>
                <w:color w:val="auto"/>
                <w:vertAlign w:val="superscript"/>
              </w:rPr>
              <w:t>(9)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1,199,850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1,241,465</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1,304,266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FCG Capital Requirements related to operations with ICG</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(329,262)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(477,400)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(467,303)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ICG Capital Requirements related to operations with FCG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 Requirements (B)</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21,621,522</w:t>
            </w:r>
          </w:p>
        </w:tc>
        <w:tc>
          <w:tcPr>
            <w:tcW w:w="22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19,371,344</w:t>
            </w:r>
          </w:p>
        </w:tc>
        <w:tc>
          <w:tcPr>
            <w:tcW w:w="22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20,995,472</w:t>
            </w:r>
          </w:p>
        </w:tc>
        <w:tc>
          <w:tcPr>
            <w:tcW w:w="20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8.4%</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Ratio (A) / (B)</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Required Regulatory Capital Ratio </w:t>
            </w:r>
            <w:r>
              <w:rPr>
                <w:rFonts w:ascii="Arial" w:cs="Arial" w:eastAsia="Arial" w:hAnsi="Arial"/>
                <w:sz w:val="29"/>
                <w:szCs w:val="29"/>
                <w:color w:val="auto"/>
                <w:vertAlign w:val="superscript"/>
              </w:rPr>
              <w:t>(10)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1.00</w:t>
            </w: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Legal and other capital reserves include restricted capital reserves (PEN 14,745 million) and optional capital reserves (PEN 6,661 million).</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Minority interest includes Tier I (PEN 421 million)</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Up to 1.25% of total risk-weighted assets of Banco de Credito del Peru, Solucion Empresa Administradora Hipotecaria, Mibanco and Atlantic Security Bank.</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Tier II + Tier III cannot be more than 50% of total regulatory capital.</w:t>
      </w:r>
    </w:p>
    <w:p>
      <w:pPr>
        <w:ind w:right="20" w:firstLine="8"/>
        <w:spacing w:after="0" w:line="221" w:lineRule="auto"/>
        <w:tabs>
          <w:tab w:leader="none" w:pos="222" w:val="left"/>
        </w:tabs>
        <w:numPr>
          <w:ilvl w:val="0"/>
          <w:numId w:val="73"/>
        </w:numPr>
        <w:rPr>
          <w:rFonts w:ascii="Arial" w:cs="Arial" w:eastAsia="Arial" w:hAnsi="Arial"/>
          <w:sz w:val="14"/>
          <w:szCs w:val="14"/>
          <w:color w:val="auto"/>
        </w:rPr>
      </w:pPr>
      <w:r>
        <w:rPr>
          <w:rFonts w:ascii="Arial" w:cs="Arial" w:eastAsia="Arial" w:hAnsi="Arial"/>
          <w:sz w:val="14"/>
          <w:szCs w:val="14"/>
          <w:color w:val="auto"/>
        </w:rPr>
        <w:t>Tier I = capital + restricted capital reserves + Tier I minority interest - goodwill - (0.5 x investment in equity and subordinated debt of financial and insurance companies) + perpetual subordinated debt.</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Tier II = subordinated debt + TierII minority interest tier + loan loss reserves - (0.5 x investment in equity and subordinated debt of financial and insurance companies).</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Tier III = Subordinated debt covering market risk only.</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regulatory capital requirements of the financial consolidated group.</w:t>
      </w:r>
    </w:p>
    <w:p>
      <w:pPr>
        <w:ind w:left="220" w:hanging="212"/>
        <w:spacing w:after="0" w:line="221" w:lineRule="auto"/>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regulatory capital requirements of the insurance consolidated group.</w:t>
      </w:r>
    </w:p>
    <w:p>
      <w:pPr>
        <w:ind w:left="280" w:hanging="272"/>
        <w:spacing w:after="0"/>
        <w:tabs>
          <w:tab w:leader="none" w:pos="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Regulatory Capital / Total Regulatory Capital Requirements (legal minimum = 1.00).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Total regulatory capital in Credicorp increased de 2.2% QoQ and 12.6% YoY, which was attributable to:</w:t>
      </w:r>
    </w:p>
    <w:p>
      <w:pPr>
        <w:spacing w:after="0" w:line="225" w:lineRule="exact"/>
        <w:rPr>
          <w:sz w:val="20"/>
          <w:szCs w:val="20"/>
          <w:color w:val="auto"/>
        </w:rPr>
      </w:pPr>
    </w:p>
    <w:p>
      <w:pPr>
        <w:ind w:left="880" w:hanging="494"/>
        <w:spacing w:after="0"/>
        <w:tabs>
          <w:tab w:leader="none" w:pos="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increase in subordinated debt in FC after an issuance at BCP Stand-alone in July for $850 million, under its debt restructuring strategy.</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Growth in facultative and restricted reserves after expectations for economic growth in Peru were revised due to COVID-19 pandemic.</w:t>
      </w:r>
    </w:p>
    <w:p>
      <w:pPr>
        <w:spacing w:after="0" w:line="23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Credicorp’s regulatory capital requirement growth 8.4% QoQ, which was attributable to the fact that regulatory capital requirements for financial companies increase (+8.3% QoQ). In a AaA basis, regulatory capital requirement decreased -2.9% due to lower capital requirements for financial companies (-2.9% YoY). This given a release of capital by the regulatory entity in March due to the pandemic context.</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regulatory capital ratio remained at a comfortable level at the end of de 4Q20 and represented 1.38 times the capital required by the regulator in Peru.</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w w:val="97"/>
              </w:rPr>
              <w:t>8.2. Regulatory Capital – BCP Stand-alone based on Peru GAAP</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Ratios - SBS</w:t>
            </w: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19</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 20</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20</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10,217,387</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11,067,387</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11,067,387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4,695,118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6,164,175</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6,166,670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Accumulated earnings with capitalization</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w:t>
            </w:r>
          </w:p>
        </w:tc>
        <w:tc>
          <w:tcPr>
            <w:tcW w:w="1500" w:type="dxa"/>
            <w:vAlign w:val="bottom"/>
            <w:gridSpan w:val="2"/>
            <w:vMerge w:val="continue"/>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8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1,367,259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1,565,704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1,595,916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3,980,904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4,787,489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4,817,188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and net income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(1,580,583)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(1,934,790)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(2,314,790)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60"/>
              <w:spacing w:after="0"/>
              <w:rPr>
                <w:sz w:val="20"/>
                <w:szCs w:val="20"/>
                <w:color w:val="auto"/>
              </w:rPr>
            </w:pPr>
            <w:r>
              <w:rPr>
                <w:rFonts w:ascii="Arial" w:cs="Arial" w:eastAsia="Arial" w:hAnsi="Arial"/>
                <w:sz w:val="18"/>
                <w:szCs w:val="18"/>
                <w:color w:val="auto"/>
              </w:rPr>
              <w:t>Investment in subsidiaries and others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(1,965,037)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(2,018,037)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(2,297,879)</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Unrealized profit and net income in subsidiaries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384,454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83,247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(122,083)</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(122,083)</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(122,083)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 SBS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19,408,002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21,527,881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21,210,287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Off-balance sheet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86,273,789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85,815,159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90,720,705</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Regulatory Tier 1 Capital </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14,850,131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14,971,384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14,783,879</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6"/>
        </w:trPr>
        <w:tc>
          <w:tcPr>
            <w:tcW w:w="38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Regulatory Tier 2 Capital </w:t>
            </w:r>
            <w:r>
              <w:rPr>
                <w:rFonts w:ascii="Arial" w:cs="Arial" w:eastAsia="Arial" w:hAnsi="Arial"/>
                <w:sz w:val="29"/>
                <w:szCs w:val="29"/>
                <w:color w:val="auto"/>
                <w:vertAlign w:val="superscript"/>
              </w:rPr>
              <w:t>(3)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4,557,871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6,556,497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6,426,408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Total risk-weighted assets - SBS </w:t>
            </w:r>
            <w:r>
              <w:rPr>
                <w:rFonts w:ascii="Arial" w:cs="Arial" w:eastAsia="Arial" w:hAnsi="Arial"/>
                <w:sz w:val="29"/>
                <w:szCs w:val="29"/>
                <w:b w:val="1"/>
                <w:bCs w:val="1"/>
                <w:color w:val="auto"/>
                <w:vertAlign w:val="superscript"/>
              </w:rPr>
              <w:t>(4)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134,128,850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139,910,769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142,042,877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122,233,929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125,256,288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125,874,294</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2,263,835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4,701,577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4,859,241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9,631,086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9,952,904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11,309,343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 -SBS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16,982,136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15,355,747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16,359,370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12,223,393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12,525,629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12,587,429</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risk capital requirement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226,384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470,158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485,924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963,109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995,290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1,130,934</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3,569,251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1,364,670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2,155,082</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56"/>
        </w:trPr>
        <w:tc>
          <w:tcPr>
            <w:tcW w:w="386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Common Equity Tier 1 - Basel </w:t>
            </w:r>
            <w:r>
              <w:rPr>
                <w:rFonts w:ascii="Arial" w:cs="Arial" w:eastAsia="Arial" w:hAnsi="Arial"/>
                <w:sz w:val="29"/>
                <w:szCs w:val="29"/>
                <w:b w:val="1"/>
                <w:bCs w:val="1"/>
                <w:color w:val="auto"/>
                <w:vertAlign w:val="superscript"/>
              </w:rPr>
              <w:t>(6)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15,842,022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15,256,858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15,292,575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and reserves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14,912,505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17,231,562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17,234,057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3,622,886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785,734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832,931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298,112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326,616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691,094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(1,026,444)</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(1,069,018)</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(1,167,628)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(1,965,037)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(2,018,037)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(2,297,879)</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6"/>
        </w:trPr>
        <w:tc>
          <w:tcPr>
            <w:tcW w:w="386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Adjusted Risk-Weighted Assets - Basel </w:t>
            </w:r>
            <w:r>
              <w:rPr>
                <w:rFonts w:ascii="Arial" w:cs="Arial" w:eastAsia="Arial" w:hAnsi="Arial"/>
                <w:sz w:val="29"/>
                <w:szCs w:val="29"/>
                <w:b w:val="1"/>
                <w:bCs w:val="1"/>
                <w:color w:val="auto"/>
                <w:vertAlign w:val="superscript"/>
              </w:rPr>
              <w:t>(7)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128,238,694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133,285,120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134,192,100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c>
          <w:tcPr>
            <w:tcW w:w="3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134,128,850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139,910,769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142,042,877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 RWA Intangible assets, excluding goodwill.</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6,330,168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7,924,480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9,264,963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 RWA Deferred tax assets generated as a result</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of temporary differences in income tax, in excess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of 10% of CET1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440,012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1,298,830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1,414,185</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02"/>
        </w:trPr>
        <w:tc>
          <w:tcPr>
            <w:tcW w:w="38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1"/>
              </w:rPr>
              <w:t>(+) RWA Deferred tax assets generated as a result</w:t>
            </w: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of past losses</w:t>
            </w:r>
          </w:p>
        </w:tc>
        <w:tc>
          <w:tcPr>
            <w:tcW w:w="15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Regulatory Tier 1 ratio </w:t>
            </w:r>
            <w:r>
              <w:rPr>
                <w:rFonts w:ascii="Arial" w:cs="Arial" w:eastAsia="Arial" w:hAnsi="Arial"/>
                <w:sz w:val="29"/>
                <w:szCs w:val="29"/>
                <w:color w:val="auto"/>
                <w:vertAlign w:val="superscript"/>
              </w:rPr>
              <w:t>(8)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-29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 bps</w:t>
            </w:r>
          </w:p>
        </w:tc>
        <w:tc>
          <w:tcPr>
            <w:tcW w:w="0" w:type="dxa"/>
            <w:vAlign w:val="bottom"/>
          </w:tcPr>
          <w:p>
            <w:pPr>
              <w:spacing w:after="0"/>
              <w:rPr>
                <w:sz w:val="1"/>
                <w:szCs w:val="1"/>
                <w:color w:val="auto"/>
              </w:rPr>
            </w:pPr>
          </w:p>
        </w:tc>
      </w:tr>
      <w:tr>
        <w:trPr>
          <w:trHeight w:val="257"/>
        </w:trPr>
        <w:tc>
          <w:tcPr>
            <w:tcW w:w="38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12.35%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-5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-95 bps</w:t>
            </w:r>
          </w:p>
        </w:tc>
        <w:tc>
          <w:tcPr>
            <w:tcW w:w="0" w:type="dxa"/>
            <w:vAlign w:val="bottom"/>
          </w:tcPr>
          <w:p>
            <w:pPr>
              <w:spacing w:after="0"/>
              <w:rPr>
                <w:sz w:val="1"/>
                <w:szCs w:val="1"/>
                <w:color w:val="auto"/>
              </w:rPr>
            </w:pPr>
          </w:p>
        </w:tc>
      </w:tr>
      <w:tr>
        <w:trPr>
          <w:trHeight w:val="256"/>
        </w:trPr>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 bps</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Risk-weighted assets / Regulatory capital</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6.91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6.70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81" w:lineRule="auto"/>
        <w:tabs>
          <w:tab w:leader="none" w:pos="2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firstLine="8"/>
        <w:spacing w:after="0" w:line="250" w:lineRule="auto"/>
        <w:tabs>
          <w:tab w:leader="none" w:pos="2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8"/>
        <w:spacing w:after="0" w:line="250" w:lineRule="auto"/>
        <w:tabs>
          <w:tab w:leader="none" w:pos="2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right="20" w:firstLine="8"/>
        <w:spacing w:after="0" w:line="250" w:lineRule="auto"/>
        <w:tabs>
          <w:tab w:leader="none" w:pos="2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8"/>
        <w:spacing w:after="0" w:line="265" w:lineRule="auto"/>
        <w:tabs>
          <w:tab w:leader="none" w:pos="258" w:val="left"/>
        </w:tabs>
        <w:numPr>
          <w:ilvl w:val="0"/>
          <w:numId w:val="75"/>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 Risk-Weighted Assets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81" w:orient="portrait"/>
          <w:cols w:equalWidth="0" w:num="1">
            <w:col w:w="11240"/>
          </w:cols>
          <w:pgMar w:left="320" w:top="1120" w:right="339" w:bottom="0" w:gutter="0" w:footer="0" w:header="0"/>
        </w:sectPr>
      </w:pPr>
    </w:p>
    <w:bookmarkStart w:id="53" w:name="page54"/>
    <w:bookmarkEnd w:id="5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both"/>
        <w:spacing w:after="0" w:line="342" w:lineRule="auto"/>
        <w:rPr>
          <w:sz w:val="20"/>
          <w:szCs w:val="20"/>
          <w:color w:val="auto"/>
        </w:rPr>
      </w:pPr>
      <w:r>
        <w:rPr>
          <w:rFonts w:ascii="Arial" w:cs="Arial" w:eastAsia="Arial" w:hAnsi="Arial"/>
          <w:sz w:val="16"/>
          <w:szCs w:val="16"/>
          <w:color w:val="auto"/>
        </w:rPr>
        <w:t>At the end of 4Q20, the BIS and Tier 1 ratios at BCP Stand-alone fell QoQ 14.93% and 10.41% respectively. This was attributable to a +1.5% increase in total RWAs after the regulatory entity set new equity requirements for operating risk and additional capital requirements in a context of low real GDP.</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total regulatory capital was mainly attributable to a 13.9% increase in investments at subsidiaries and to unrealized gains and losses at these business units.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YoY evolution shows inverse variations: the BIS Ratio increased while the Tier 1 Ratio fell in 4Q20 after the reserve level rose (+31.3%) when profit-sharing was eliminated to protect funds to cover future obligations. In the case of Tier 1 Ratio, the decline as attributable to growth in RWAs (+5.9%). This increase was attributable to growth in retail loans in 2020, which entail higher credit and operating risk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YoY evolution of total RWAs was driven mainly by the +3.0% increase in credit RWAs and, although to a lesser extent, by growth in market risk and operational risk RWAs. It is also important to note that additional capital requirements fell -39.6% after the regulatory entity made adjustments to policies in March to reflect a scenario in which real GDP was believed to be higher than potential GDP.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280"/>
        <w:spacing w:after="0"/>
        <w:tabs>
          <w:tab w:leader="none" w:pos="7820" w:val="left"/>
        </w:tabs>
        <w:rPr>
          <w:sz w:val="20"/>
          <w:szCs w:val="20"/>
          <w:color w:val="auto"/>
        </w:rPr>
      </w:pPr>
      <w:r>
        <w:rPr>
          <w:rFonts w:ascii="Arial" w:cs="Arial" w:eastAsia="Arial" w:hAnsi="Arial"/>
          <w:sz w:val="18"/>
          <w:szCs w:val="18"/>
          <w:b w:val="1"/>
          <w:bCs w:val="1"/>
          <w:color w:val="auto"/>
        </w:rPr>
        <w:t>September 2020</w:t>
      </w:r>
      <w:r>
        <w:rPr>
          <w:sz w:val="20"/>
          <w:szCs w:val="20"/>
          <w:color w:val="auto"/>
        </w:rPr>
        <w:tab/>
      </w:r>
      <w:r>
        <w:rPr>
          <w:rFonts w:ascii="Arial" w:cs="Arial" w:eastAsia="Arial" w:hAnsi="Arial"/>
          <w:sz w:val="16"/>
          <w:szCs w:val="16"/>
          <w:b w:val="1"/>
          <w:bCs w:val="1"/>
          <w:color w:val="auto"/>
        </w:rPr>
        <w:t>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660515" cy="131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6051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Figures at Sep20, Mibanco, Goodwill and investments differ from previously reported, please consider the data presented on this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Finally, the Tier 1 Common Equity Ratio (CET 1), which is considered the most rigorous indicator of capitalization levels, reported a decline of -5bps QoQ, situating at 11.40% at the end of 4Q20. This drop was driven by a -2.0% QoQ reduction in adjusted RWAs, which reflected a contraction in structural loans and growth in state-backed loans.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YoY analysis, the CET1 ratio fell -50bps due to +5.8% growth in adjusted RWAs. This variation was attributable to growth in the loan portfolio in the months prior to the pandemic. The increase of +1.4% in Tier 1 Common Equity was insufficient to offset the aforementioned decline.</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8.3. Regulatory Capital at Mibanco based on Peru GAAP</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w w:val="94"/>
              </w:rPr>
              <w:t>Regulatory Capital and Capital Adequacy Ratios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 SBS</w:t>
            </w: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19</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 20</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 20</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1,331,484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1,714,369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2,114,500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207,129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246,305</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246,305</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Accumulated earnings with capitalization</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137,997</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127,730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133,221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130,000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130,000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130,000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and net income</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60"/>
              <w:spacing w:after="0"/>
              <w:rPr>
                <w:sz w:val="20"/>
                <w:szCs w:val="20"/>
                <w:color w:val="auto"/>
              </w:rPr>
            </w:pPr>
            <w:r>
              <w:rPr>
                <w:rFonts w:ascii="Arial" w:cs="Arial" w:eastAsia="Arial" w:hAnsi="Arial"/>
                <w:sz w:val="18"/>
                <w:szCs w:val="18"/>
                <w:color w:val="auto"/>
              </w:rPr>
              <w:t>Investment in subsidiaries and others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Unrealized profit and net income in subsidiaries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(139,180)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 SBS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1,667,430</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2,079,224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2,484,845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Regulatory Tier 1 Capital </w:t>
            </w:r>
            <w:r>
              <w:rPr>
                <w:rFonts w:ascii="Arial" w:cs="Arial" w:eastAsia="Arial" w:hAnsi="Arial"/>
                <w:sz w:val="29"/>
                <w:szCs w:val="29"/>
                <w:color w:val="auto"/>
                <w:vertAlign w:val="superscript"/>
              </w:rPr>
              <w:t>(2)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1,396,696</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1,818,754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2,183,682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Regulatory Tier 2 Capital </w:t>
            </w:r>
            <w:r>
              <w:rPr>
                <w:rFonts w:ascii="Arial" w:cs="Arial" w:eastAsia="Arial" w:hAnsi="Arial"/>
                <w:sz w:val="29"/>
                <w:szCs w:val="29"/>
                <w:color w:val="auto"/>
                <w:vertAlign w:val="superscript"/>
              </w:rPr>
              <w:t>(3)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270,733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260,469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265,960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Total risk-weighted assets - SBS </w:t>
            </w:r>
            <w:r>
              <w:rPr>
                <w:rFonts w:ascii="Arial" w:cs="Arial" w:eastAsia="Arial" w:hAnsi="Arial"/>
                <w:sz w:val="29"/>
                <w:szCs w:val="29"/>
                <w:b w:val="1"/>
                <w:bCs w:val="1"/>
                <w:color w:val="auto"/>
                <w:vertAlign w:val="superscript"/>
              </w:rPr>
              <w:t>(4)</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11,535,998</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11,755,497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12,356,336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w:t>
            </w:r>
          </w:p>
        </w:tc>
        <w:tc>
          <w:tcPr>
            <w:tcW w:w="3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10,759,343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9,736,476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10,314,642</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78,799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114,638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134,862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697,856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1,904,383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1,906,832</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1,550,779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1,305,369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1,373,162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1,075,934</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973,648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1,031,464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Market risk-weighted assets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7,880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11,464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13,486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69,786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190,438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190,683</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397,179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129,819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137,528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Common Equity Tier 1 - Basel </w:t>
            </w:r>
            <w:r>
              <w:rPr>
                <w:rFonts w:ascii="Arial" w:cs="Arial" w:eastAsia="Arial" w:hAnsi="Arial"/>
                <w:sz w:val="29"/>
                <w:szCs w:val="29"/>
                <w:b w:val="1"/>
                <w:bCs w:val="1"/>
                <w:color w:val="auto"/>
                <w:vertAlign w:val="superscript"/>
              </w:rPr>
              <w:t>(6)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1,748,169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1,813,368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2,097,427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Capital and reserves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1,538,613</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1,960,674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2,360,805</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422,061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73,928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(35,204)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Unrealized gains (losses)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4,209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8,214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7,691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-193.6%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intangibles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(216,489)</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(229,217)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(235,627)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Investments in subsidiaries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Adjusted Risk-Weighted Assets - Basel </w:t>
            </w:r>
            <w:r>
              <w:rPr>
                <w:rFonts w:ascii="Arial" w:cs="Arial" w:eastAsia="Arial" w:hAnsi="Arial"/>
                <w:sz w:val="29"/>
                <w:szCs w:val="29"/>
                <w:b w:val="1"/>
                <w:bCs w:val="1"/>
                <w:color w:val="auto"/>
                <w:vertAlign w:val="superscript"/>
              </w:rPr>
              <w:t>(7)</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11,134,451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11,042,007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11,609,883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Total risk-weighted assets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11,535,998</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11,755,497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12,356,336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RWA Intangible assets, excluding goodwill.</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401,546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713,490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746,454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2"/>
        </w:trPr>
        <w:tc>
          <w:tcPr>
            <w:tcW w:w="39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 RWA Deferred tax assets generated as a result</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Arial" w:cs="Arial" w:eastAsia="Arial" w:hAnsi="Arial"/>
                <w:sz w:val="18"/>
                <w:szCs w:val="18"/>
                <w:color w:val="auto"/>
                <w:w w:val="95"/>
              </w:rPr>
              <w:t>of temporary differences in income tax, in excess</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of 10% of CET1</w:t>
            </w:r>
          </w:p>
        </w:tc>
        <w:tc>
          <w:tcPr>
            <w:tcW w:w="148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 RWA adjustment for state coverage, originated</w:t>
            </w:r>
          </w:p>
        </w:tc>
        <w:tc>
          <w:tcPr>
            <w:tcW w:w="1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by temporary difference</w:t>
            </w:r>
          </w:p>
        </w:tc>
        <w:tc>
          <w:tcPr>
            <w:tcW w:w="1480" w:type="dxa"/>
            <w:vAlign w:val="bottom"/>
            <w:gridSpan w:val="2"/>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 RWA Deferred tax assets generated as a result</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of past losses</w:t>
            </w:r>
          </w:p>
        </w:tc>
        <w:tc>
          <w:tcPr>
            <w:tcW w:w="148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Regulatory Tier 1 ratio </w:t>
            </w:r>
            <w:r>
              <w:rPr>
                <w:rFonts w:ascii="Arial" w:cs="Arial" w:eastAsia="Arial" w:hAnsi="Arial"/>
                <w:sz w:val="29"/>
                <w:szCs w:val="29"/>
                <w:color w:val="auto"/>
                <w:vertAlign w:val="superscript"/>
              </w:rPr>
              <w:t>(8)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220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 bps</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16.42%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18.07%</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165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237 bps</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242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 bps</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Risk-weighted assets / Regulatory capital</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6.92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5.65</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4.97</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81" w:lineRule="auto"/>
        <w:tabs>
          <w:tab w:leader="none" w:pos="2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firstLine="8"/>
        <w:spacing w:after="0" w:line="250" w:lineRule="auto"/>
        <w:tabs>
          <w:tab w:leader="none" w:pos="2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8"/>
        <w:spacing w:after="0" w:line="250" w:lineRule="auto"/>
        <w:tabs>
          <w:tab w:leader="none" w:pos="2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right="20" w:firstLine="8"/>
        <w:spacing w:after="0" w:line="250" w:lineRule="auto"/>
        <w:tabs>
          <w:tab w:leader="none" w:pos="2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8"/>
        <w:spacing w:after="0" w:line="265" w:lineRule="auto"/>
        <w:tabs>
          <w:tab w:leader="none" w:pos="258"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Assetsd Risk-Weighted Assets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At the end of 4Q20, the BIS and Tier 1 ratios at Mibanco registered QoQ growth of +242bps and +220bps, situating at 20.11% and 17.67%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attributable to 23.3% growth in capital due to a contribution of S/ 400 Million.</w:t>
      </w:r>
    </w:p>
    <w:p>
      <w:pPr>
        <w:sectPr>
          <w:pgSz w:w="11900" w:h="16896" w:orient="portrait"/>
          <w:cols w:equalWidth="0" w:num="1">
            <w:col w:w="11240"/>
          </w:cols>
          <w:pgMar w:left="320" w:top="904" w:right="339" w:bottom="0" w:gutter="0" w:footer="0" w:header="0"/>
        </w:sectPr>
      </w:pPr>
    </w:p>
    <w:bookmarkStart w:id="56" w:name="page57"/>
    <w:bookmarkEnd w:id="56"/>
    <w:p>
      <w:pPr>
        <w:ind w:left="99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The YoY evolution registered an increase of 566 bps 556 bps for the BIS Ratio and Tier 1 Ratio respectively. Growth in the BIS ratio was driven by an increase in total regulatory capital (+49.0%) while the improvement in the Tier 1 ratio was attributable to the positive evolution of Tier 1 (+56.3%) in a context marked by a capitalization of earnings in the second quarter of the year. RWAs grew +7.1%, hand-in-hand with portfolio growth in the last quarter of 2019 and in the months prior to the onset of the pandemic in March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the Tier 1 Common Equity Ratio (CET 1), which is considered the most rigorous indicator of capitalization levels, reported growth of +165 bps QoQ, situating at 18.07% at the end of 4Q20. This expansion was driven by a 15.7% increase in CET1. In the YoY analysis, the CET 1 ratio increased +237 bps, driven by a 20.0% increase in CET1. The aforementioned was buffered by a 4.3% increase in adjusted RWAs.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Credicorp’s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Distribution model at BCP Stand-alone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Throughout the years, Credicorp has been working on a strategy to digitalize its clients that covers both transactionality and sales of products through digital channels. At the end of 2020, 54.86% of our clients were digitalized. The creation of our Yapecard boosted digital transactions levels by +91.5% YoY given that transactions through Yape grew +499.7% over the period. In this context, digital transactions went from representing 77.7% of total transactions in 4Q20 to accounting for 62.1% in 4Q19. Total sales in retail banking, measured in units rose +50.1% QoQ but fell -1.7% and -16.6% YoY and YTD respectively due to the economic crisis.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9.1.1. Digital Clients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Client digitalization levels have presented on-going growth over the past few years. Digital clients represented 31.7% of the total client portfolio in 1Q19 and 54.86% in 4Q20. The figure below shows the evolution of digital clients over the last 2 years. In 2020 an uptick is evident in client digitalization, which was largely driven by the limits imposed by the government to restrict mobility and ensure social distancing in the context of the pandemic.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Digital Clients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97790</wp:posOffset>
            </wp:positionV>
            <wp:extent cx="5254625" cy="1920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546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8"/>
        <w:spacing w:after="0" w:line="277"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Consumer banking customers who conducts 50% of their monetary transactions online; or conducts 50% of their non-monetary transactions online; or buys products online in the last 12 months</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acceleration of digitalization allowed us to close 5 branches in the last quarter of the year and 20 over the course of the year. By year-end we had reduced our branch number to 386 without compromising the quality of the service we offer to our clients. BCP Agentes increased by 6 QoQ but fell by 184 in 2020. In this context, we closed the year with 7,003 agentes in Peru.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9.1.1.1. Evolution of digital clients by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Group</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4Q19</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3Q20</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4Q20</w:t>
            </w:r>
          </w:p>
        </w:tc>
        <w:tc>
          <w:tcPr>
            <w:tcW w:w="160" w:type="dxa"/>
            <w:vAlign w:val="bottom"/>
            <w:tcBorders>
              <w:bottom w:val="single" w:sz="8" w:color="CCEEFF"/>
            </w:tcBorders>
          </w:tcPr>
          <w:p>
            <w:pPr>
              <w:spacing w:after="0"/>
              <w:rPr>
                <w:sz w:val="21"/>
                <w:szCs w:val="21"/>
                <w:color w:val="auto"/>
              </w:rPr>
            </w:pPr>
          </w:p>
        </w:tc>
      </w:tr>
      <w:tr>
        <w:trPr>
          <w:trHeight w:val="209"/>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Enalta</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86.18%</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Affluent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65.28%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79.38%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80.14%</w:t>
            </w: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53.62%</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conduct an analysis by segment in Retail banking, we see that growth in digitalization was driven by the Consumer segment, which has the largest number of clients. This segment has gone from 39.74% of digitalization in 4Q19 to 53.62% in 4Q20. Once again, this acceleration in digitalization was driven by the measures imposed by the government to stem the spread of the COVID-19 pandemic in 2020.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4Q19, the Enalta and Afluente segments have registered digitalization levels in excess of 65%. These segments adapt to digital change with greater ease given that they have higher financial education and are more confident in their use of digital channels. BCP Stand-alone is placing great emphasis on banking more individuals and providing financial education through digital educator at the branch and BCP Agentes level.</w:t>
      </w:r>
    </w:p>
    <w:p>
      <w:pPr>
        <w:spacing w:after="0" w:line="38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9.1.2. Transactions by channel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88"/>
              </w:rPr>
              <w:t>Monthly average in each</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rPr>
              <w:t>Monthly average in each quarter</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5"/>
          </w:tcPr>
          <w:p>
            <w:pPr>
              <w:ind w:left="220"/>
              <w:spacing w:after="0"/>
              <w:rPr>
                <w:sz w:val="20"/>
                <w:szCs w:val="20"/>
                <w:color w:val="auto"/>
              </w:rPr>
            </w:pPr>
            <w:r>
              <w:rPr>
                <w:rFonts w:ascii="Arial" w:cs="Arial" w:eastAsia="Arial" w:hAnsi="Arial"/>
                <w:sz w:val="13"/>
                <w:szCs w:val="13"/>
                <w:b w:val="1"/>
                <w:bCs w:val="1"/>
                <w:color w:val="auto"/>
              </w:rPr>
              <w:t>% change</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year</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N° of Transactions per channel </w:t>
            </w:r>
            <w:r>
              <w:rPr>
                <w:rFonts w:ascii="Arial" w:cs="Arial" w:eastAsia="Arial" w:hAnsi="Arial"/>
                <w:sz w:val="20"/>
                <w:szCs w:val="20"/>
                <w:b w:val="1"/>
                <w:bCs w:val="1"/>
                <w:color w:val="auto"/>
                <w:vertAlign w:val="superscript"/>
              </w:rPr>
              <w:t>(1)</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gridSpan w:val="2"/>
          </w:tcPr>
          <w:p>
            <w:pPr>
              <w:jc w:val="right"/>
              <w:spacing w:after="0" w:line="110" w:lineRule="exact"/>
              <w:rPr>
                <w:sz w:val="20"/>
                <w:szCs w:val="20"/>
                <w:color w:val="auto"/>
              </w:rPr>
            </w:pPr>
            <w:r>
              <w:rPr>
                <w:rFonts w:ascii="Arial" w:cs="Arial" w:eastAsia="Arial" w:hAnsi="Arial"/>
                <w:sz w:val="12"/>
                <w:szCs w:val="12"/>
                <w:b w:val="1"/>
                <w:bCs w:val="1"/>
                <w:color w:val="auto"/>
              </w:rPr>
              <w:t>2020 /</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4Q19</w:t>
            </w:r>
          </w:p>
        </w:tc>
        <w:tc>
          <w:tcPr>
            <w:tcW w:w="2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3Q20</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4Q20</w:t>
            </w:r>
          </w:p>
        </w:tc>
        <w:tc>
          <w:tcPr>
            <w:tcW w:w="1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YoY</w:t>
            </w:r>
          </w:p>
        </w:tc>
        <w:tc>
          <w:tcPr>
            <w:tcW w:w="220" w:type="dxa"/>
            <w:vAlign w:val="bottom"/>
            <w:tcBorders>
              <w:bottom w:val="single" w:sz="8" w:color="CCEEFF"/>
            </w:tcBorders>
            <w:gridSpan w:val="2"/>
          </w:tcPr>
          <w:p>
            <w:pPr>
              <w:spacing w:after="0"/>
              <w:rPr>
                <w:sz w:val="13"/>
                <w:szCs w:val="13"/>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2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b w:val="1"/>
                <w:bCs w:val="1"/>
                <w:color w:val="auto"/>
                <w:w w:val="92"/>
              </w:rPr>
              <w:t>Physical and</w:t>
            </w:r>
          </w:p>
        </w:tc>
        <w:tc>
          <w:tcPr>
            <w:tcW w:w="100" w:type="dxa"/>
            <w:vAlign w:val="bottom"/>
            <w:shd w:val="clear" w:color="auto" w:fill="CCEEFF"/>
          </w:tcPr>
          <w:p>
            <w:pPr>
              <w:spacing w:after="0"/>
              <w:rPr>
                <w:sz w:val="9"/>
                <w:szCs w:val="9"/>
                <w:color w:val="auto"/>
              </w:rPr>
            </w:pPr>
          </w:p>
        </w:tc>
        <w:tc>
          <w:tcPr>
            <w:tcW w:w="24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Teller</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7,715,870</w:t>
            </w:r>
          </w:p>
        </w:tc>
        <w:tc>
          <w:tcPr>
            <w:tcW w:w="2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40"/>
              <w:spacing w:after="0" w:line="110" w:lineRule="exact"/>
              <w:rPr>
                <w:sz w:val="20"/>
                <w:szCs w:val="20"/>
                <w:color w:val="auto"/>
              </w:rPr>
            </w:pPr>
            <w:r>
              <w:rPr>
                <w:rFonts w:ascii="Arial" w:cs="Arial" w:eastAsia="Arial" w:hAnsi="Arial"/>
                <w:sz w:val="12"/>
                <w:szCs w:val="12"/>
                <w:color w:val="auto"/>
              </w:rPr>
              <w:t>2.9%</w:t>
            </w:r>
          </w:p>
        </w:tc>
        <w:tc>
          <w:tcPr>
            <w:tcW w:w="7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4,087,916</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2"/>
                <w:szCs w:val="12"/>
                <w:color w:val="auto"/>
              </w:rPr>
              <w:t>1.1%</w:t>
            </w: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5,134,057</w:t>
            </w: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40"/>
              <w:spacing w:after="0" w:line="110" w:lineRule="exact"/>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2"/>
                <w:szCs w:val="12"/>
                <w:color w:val="auto"/>
              </w:rPr>
              <w:t>25.6%</w:t>
            </w:r>
          </w:p>
        </w:tc>
        <w:tc>
          <w:tcPr>
            <w:tcW w:w="560" w:type="dxa"/>
            <w:vAlign w:val="bottom"/>
            <w:gridSpan w:val="2"/>
            <w:shd w:val="clear" w:color="auto" w:fill="CCEEFF"/>
          </w:tcPr>
          <w:p>
            <w:pPr>
              <w:jc w:val="right"/>
              <w:ind w:right="40"/>
              <w:spacing w:after="0" w:line="110" w:lineRule="exact"/>
              <w:rPr>
                <w:sz w:val="20"/>
                <w:szCs w:val="20"/>
                <w:color w:val="auto"/>
              </w:rPr>
            </w:pPr>
            <w:r>
              <w:rPr>
                <w:rFonts w:ascii="Arial" w:cs="Arial" w:eastAsia="Arial" w:hAnsi="Arial"/>
                <w:sz w:val="12"/>
                <w:szCs w:val="12"/>
                <w:color w:val="auto"/>
              </w:rPr>
              <w:t>-33.5%</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7,751,772</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4,740,002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10" w:lineRule="exact"/>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2"/>
              </w:rPr>
              <w:t>Telephone</w:t>
            </w:r>
          </w:p>
        </w:tc>
        <w:tc>
          <w:tcPr>
            <w:tcW w:w="1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Agentes BCP</w:t>
            </w:r>
          </w:p>
        </w:tc>
        <w:tc>
          <w:tcPr>
            <w:tcW w:w="9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32,534,245</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12.3%</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31,527,275</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8.6%</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34,934,383</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28,460,292</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29,304,487</w:t>
            </w:r>
          </w:p>
        </w:tc>
        <w:tc>
          <w:tcPr>
            <w:tcW w:w="6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9"/>
        </w:trPr>
        <w:tc>
          <w:tcPr>
            <w:tcW w:w="72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b w:val="1"/>
                <w:bCs w:val="1"/>
                <w:color w:val="auto"/>
                <w:w w:val="81"/>
              </w:rPr>
              <w:t>channels</w:t>
            </w: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Points of sale P.O.S.</w:t>
            </w:r>
          </w:p>
        </w:tc>
        <w:tc>
          <w:tcPr>
            <w:tcW w:w="920" w:type="dxa"/>
            <w:vAlign w:val="bottom"/>
            <w:gridSpan w:val="3"/>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27,280,145</w:t>
            </w:r>
          </w:p>
        </w:tc>
        <w:tc>
          <w:tcPr>
            <w:tcW w:w="5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10.3%</w:t>
            </w:r>
          </w:p>
        </w:tc>
        <w:tc>
          <w:tcPr>
            <w:tcW w:w="8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23,601,741</w:t>
            </w:r>
          </w:p>
        </w:tc>
        <w:tc>
          <w:tcPr>
            <w:tcW w:w="7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6.5%</w:t>
            </w:r>
          </w:p>
        </w:tc>
        <w:tc>
          <w:tcPr>
            <w:tcW w:w="8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w w:val="95"/>
              </w:rPr>
              <w:t>30,429,843</w:t>
            </w:r>
          </w:p>
        </w:tc>
        <w:tc>
          <w:tcPr>
            <w:tcW w:w="5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28.9%</w:t>
            </w:r>
          </w:p>
        </w:tc>
        <w:tc>
          <w:tcPr>
            <w:tcW w:w="5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w w:val="95"/>
              </w:rPr>
              <w:t>17,800,747</w:t>
            </w: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w w:val="95"/>
              </w:rPr>
              <w:t>23,097,619</w:t>
            </w:r>
          </w:p>
        </w:tc>
        <w:tc>
          <w:tcPr>
            <w:tcW w:w="660" w:type="dxa"/>
            <w:vAlign w:val="bottom"/>
            <w:gridSpan w:val="3"/>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63"/>
        </w:trPr>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Telephone banking</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5,056,869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4,314,246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4,816,104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4,874,324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4,625,688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0</wp:posOffset>
            </wp:positionV>
            <wp:extent cx="4946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30"/>
        </w:trPr>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Self-served</w:t>
            </w:r>
          </w:p>
        </w:tc>
        <w:tc>
          <w:tcPr>
            <w:tcW w:w="100" w:type="dxa"/>
            <w:vAlign w:val="bottom"/>
          </w:tcPr>
          <w:p>
            <w:pPr>
              <w:spacing w:after="0"/>
              <w:rPr>
                <w:sz w:val="11"/>
                <w:szCs w:val="11"/>
                <w:color w:val="auto"/>
              </w:rPr>
            </w:pPr>
          </w:p>
        </w:tc>
        <w:tc>
          <w:tcPr>
            <w:tcW w:w="1300" w:type="dxa"/>
            <w:vAlign w:val="bottom"/>
          </w:tcPr>
          <w:p>
            <w:pPr>
              <w:spacing w:after="0" w:line="131" w:lineRule="exact"/>
              <w:rPr>
                <w:sz w:val="20"/>
                <w:szCs w:val="20"/>
                <w:color w:val="auto"/>
              </w:rPr>
            </w:pPr>
            <w:r>
              <w:rPr>
                <w:rFonts w:ascii="Arial" w:cs="Arial" w:eastAsia="Arial" w:hAnsi="Arial"/>
                <w:sz w:val="13"/>
                <w:szCs w:val="13"/>
                <w:color w:val="auto"/>
              </w:rPr>
              <w:t>Kioskos BCP</w:t>
            </w:r>
          </w:p>
        </w:tc>
      </w:tr>
      <w:tr>
        <w:trPr>
          <w:trHeight w:val="164"/>
        </w:trPr>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1"/>
              </w:rPr>
              <w:t>channels</w:t>
            </w:r>
          </w:p>
        </w:tc>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ATMs</w:t>
            </w:r>
          </w:p>
        </w:tc>
      </w:tr>
      <w:tr>
        <w:trPr>
          <w:trHeight w:val="137"/>
        </w:trPr>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line="137" w:lineRule="exact"/>
              <w:rPr>
                <w:sz w:val="20"/>
                <w:szCs w:val="20"/>
                <w:color w:val="auto"/>
              </w:rPr>
            </w:pPr>
            <w:r>
              <w:rPr>
                <w:rFonts w:ascii="Arial" w:cs="Arial" w:eastAsia="Arial" w:hAnsi="Arial"/>
                <w:sz w:val="13"/>
                <w:szCs w:val="13"/>
                <w:color w:val="auto"/>
              </w:rPr>
              <w:t>Mobile banking</w:t>
            </w:r>
          </w:p>
        </w:tc>
      </w:tr>
      <w:tr>
        <w:trPr>
          <w:trHeight w:val="131"/>
        </w:trPr>
        <w:tc>
          <w:tcPr>
            <w:tcW w:w="72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b w:val="1"/>
                <w:bCs w:val="1"/>
                <w:color w:val="auto"/>
                <w:w w:val="90"/>
              </w:rPr>
              <w:t>Digital</w:t>
            </w:r>
          </w:p>
        </w:tc>
        <w:tc>
          <w:tcPr>
            <w:tcW w:w="100" w:type="dxa"/>
            <w:vAlign w:val="bottom"/>
          </w:tcPr>
          <w:p>
            <w:pPr>
              <w:spacing w:after="0"/>
              <w:rPr>
                <w:sz w:val="11"/>
                <w:szCs w:val="11"/>
                <w:color w:val="auto"/>
              </w:rPr>
            </w:pPr>
          </w:p>
        </w:tc>
        <w:tc>
          <w:tcPr>
            <w:tcW w:w="1300" w:type="dxa"/>
            <w:vAlign w:val="bottom"/>
          </w:tcPr>
          <w:p>
            <w:pPr>
              <w:spacing w:after="0" w:line="131" w:lineRule="exact"/>
              <w:rPr>
                <w:sz w:val="20"/>
                <w:szCs w:val="20"/>
                <w:color w:val="auto"/>
              </w:rPr>
            </w:pPr>
            <w:r>
              <w:rPr>
                <w:rFonts w:ascii="Arial" w:cs="Arial" w:eastAsia="Arial" w:hAnsi="Arial"/>
                <w:sz w:val="13"/>
                <w:szCs w:val="13"/>
                <w:color w:val="auto"/>
                <w:w w:val="87"/>
              </w:rPr>
              <w:t>Internet banking Via BCP</w:t>
            </w:r>
          </w:p>
        </w:tc>
      </w:tr>
      <w:tr>
        <w:trPr>
          <w:trHeight w:val="139"/>
        </w:trPr>
        <w:tc>
          <w:tcPr>
            <w:tcW w:w="72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b w:val="1"/>
                <w:bCs w:val="1"/>
                <w:color w:val="auto"/>
                <w:w w:val="81"/>
              </w:rPr>
              <w:t>channels</w:t>
            </w:r>
          </w:p>
        </w:tc>
        <w:tc>
          <w:tcPr>
            <w:tcW w:w="100" w:type="dxa"/>
            <w:vAlign w:val="bottom"/>
            <w:shd w:val="clear" w:color="auto" w:fill="CCEEFF"/>
          </w:tcPr>
          <w:p>
            <w:pPr>
              <w:spacing w:after="0"/>
              <w:rPr>
                <w:sz w:val="12"/>
                <w:szCs w:val="12"/>
                <w:color w:val="auto"/>
              </w:rPr>
            </w:pPr>
          </w:p>
        </w:tc>
        <w:tc>
          <w:tcPr>
            <w:tcW w:w="1300" w:type="dxa"/>
            <w:vAlign w:val="bottom"/>
          </w:tcPr>
          <w:p>
            <w:pPr>
              <w:spacing w:after="0" w:line="139" w:lineRule="exact"/>
              <w:rPr>
                <w:sz w:val="20"/>
                <w:szCs w:val="20"/>
                <w:color w:val="auto"/>
              </w:rPr>
            </w:pPr>
            <w:r>
              <w:rPr>
                <w:rFonts w:ascii="Arial" w:cs="Arial" w:eastAsia="Arial" w:hAnsi="Arial"/>
                <w:sz w:val="13"/>
                <w:szCs w:val="13"/>
                <w:color w:val="auto"/>
              </w:rPr>
              <w:t>Yape</w:t>
            </w:r>
          </w:p>
        </w:tc>
      </w:tr>
      <w:tr>
        <w:trPr>
          <w:trHeight w:val="163"/>
        </w:trPr>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Telecredito</w:t>
            </w:r>
          </w:p>
        </w:tc>
      </w:tr>
      <w:tr>
        <w:trPr>
          <w:trHeight w:val="171"/>
        </w:trPr>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Others</w:t>
            </w:r>
          </w:p>
        </w:tc>
        <w:tc>
          <w:tcPr>
            <w:tcW w:w="100" w:type="dxa"/>
            <w:vAlign w:val="bottom"/>
          </w:tcPr>
          <w:p>
            <w:pPr>
              <w:spacing w:after="0"/>
              <w:rPr>
                <w:sz w:val="14"/>
                <w:szCs w:val="14"/>
                <w:color w:val="auto"/>
              </w:rPr>
            </w:pPr>
          </w:p>
        </w:tc>
        <w:tc>
          <w:tcPr>
            <w:tcW w:w="1300" w:type="dxa"/>
            <w:vAlign w:val="bottom"/>
          </w:tcPr>
          <w:p>
            <w:pPr>
              <w:spacing w:after="0" w:line="171" w:lineRule="exact"/>
              <w:rPr>
                <w:sz w:val="20"/>
                <w:szCs w:val="20"/>
                <w:color w:val="auto"/>
              </w:rPr>
            </w:pPr>
            <w:r>
              <w:rPr>
                <w:rFonts w:ascii="Arial" w:cs="Arial" w:eastAsia="Arial" w:hAnsi="Arial"/>
                <w:sz w:val="12"/>
                <w:szCs w:val="12"/>
                <w:color w:val="auto"/>
              </w:rPr>
              <w:t xml:space="preserve">Others </w:t>
            </w:r>
            <w:r>
              <w:rPr>
                <w:rFonts w:ascii="Arial" w:cs="Arial" w:eastAsia="Arial" w:hAnsi="Arial"/>
                <w:sz w:val="19"/>
                <w:szCs w:val="19"/>
                <w:color w:val="auto"/>
                <w:vertAlign w:val="superscript"/>
              </w:rPr>
              <w:t>(2)</w:t>
            </w:r>
          </w:p>
        </w:tc>
      </w:tr>
      <w:tr>
        <w:trPr>
          <w:trHeight w:val="164"/>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3"/>
                <w:szCs w:val="13"/>
                <w:b w:val="1"/>
                <w:bCs w:val="1"/>
                <w:color w:val="auto"/>
              </w:rPr>
              <w:t>Total transactions</w:t>
            </w:r>
          </w:p>
        </w:tc>
      </w:tr>
    </w:tbl>
    <w:p>
      <w:pPr>
        <w:spacing w:after="0" w:line="218"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0"/>
          <w:szCs w:val="10"/>
          <w:color w:val="auto"/>
        </w:rPr>
      </w:pPr>
      <w:r>
        <w:rPr>
          <w:rFonts w:ascii="Arial" w:cs="Arial" w:eastAsia="Arial" w:hAnsi="Arial"/>
          <w:sz w:val="10"/>
          <w:szCs w:val="10"/>
          <w:color w:val="auto"/>
        </w:rPr>
        <w:t>Figures include monetary and non-monetary transactions.</w:t>
      </w:r>
    </w:p>
    <w:p>
      <w:pPr>
        <w:spacing w:after="0" w:line="30" w:lineRule="exact"/>
        <w:rPr>
          <w:rFonts w:ascii="Arial" w:cs="Arial" w:eastAsia="Arial" w:hAnsi="Arial"/>
          <w:sz w:val="10"/>
          <w:szCs w:val="10"/>
          <w:color w:val="auto"/>
        </w:rPr>
      </w:pPr>
    </w:p>
    <w:p>
      <w:pPr>
        <w:ind w:left="180" w:hanging="172"/>
        <w:spacing w:after="0"/>
        <w:tabs>
          <w:tab w:leader="none" w:pos="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Includes Direct Debit and Other ATMs Network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82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1,238,521</w:t>
            </w:r>
          </w:p>
        </w:tc>
        <w:tc>
          <w:tcPr>
            <w:tcW w:w="640" w:type="dxa"/>
            <w:vAlign w:val="bottom"/>
            <w:gridSpan w:val="2"/>
          </w:tcPr>
          <w:p>
            <w:pPr>
              <w:jc w:val="right"/>
              <w:ind w:right="57"/>
              <w:spacing w:after="0" w:line="134" w:lineRule="exact"/>
              <w:rPr>
                <w:sz w:val="20"/>
                <w:szCs w:val="20"/>
                <w:color w:val="auto"/>
              </w:rPr>
            </w:pPr>
            <w:r>
              <w:rPr>
                <w:rFonts w:ascii="Arial" w:cs="Arial" w:eastAsia="Arial" w:hAnsi="Arial"/>
                <w:sz w:val="13"/>
                <w:szCs w:val="13"/>
                <w:color w:val="auto"/>
              </w:rPr>
              <w:t>0.5%</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623,598</w:t>
            </w:r>
          </w:p>
        </w:tc>
        <w:tc>
          <w:tcPr>
            <w:tcW w:w="640" w:type="dxa"/>
            <w:vAlign w:val="bottom"/>
            <w:gridSpan w:val="2"/>
          </w:tcPr>
          <w:p>
            <w:pPr>
              <w:jc w:val="right"/>
              <w:ind w:right="57"/>
              <w:spacing w:after="0" w:line="134" w:lineRule="exact"/>
              <w:rPr>
                <w:sz w:val="20"/>
                <w:szCs w:val="20"/>
                <w:color w:val="auto"/>
              </w:rPr>
            </w:pPr>
            <w:r>
              <w:rPr>
                <w:rFonts w:ascii="Arial" w:cs="Arial" w:eastAsia="Arial" w:hAnsi="Arial"/>
                <w:sz w:val="13"/>
                <w:szCs w:val="13"/>
                <w:color w:val="auto"/>
              </w:rPr>
              <w:t>0.2%</w:t>
            </w:r>
          </w:p>
        </w:tc>
        <w:tc>
          <w:tcPr>
            <w:tcW w:w="82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553,608</w:t>
            </w:r>
          </w:p>
        </w:tc>
        <w:tc>
          <w:tcPr>
            <w:tcW w:w="640" w:type="dxa"/>
            <w:vAlign w:val="bottom"/>
            <w:gridSpan w:val="2"/>
          </w:tcPr>
          <w:p>
            <w:pPr>
              <w:jc w:val="right"/>
              <w:ind w:right="57"/>
              <w:spacing w:after="0" w:line="134" w:lineRule="exact"/>
              <w:rPr>
                <w:sz w:val="20"/>
                <w:szCs w:val="20"/>
                <w:color w:val="auto"/>
              </w:rPr>
            </w:pPr>
            <w:r>
              <w:rPr>
                <w:rFonts w:ascii="Arial" w:cs="Arial" w:eastAsia="Arial" w:hAnsi="Arial"/>
                <w:sz w:val="13"/>
                <w:szCs w:val="13"/>
                <w:color w:val="auto"/>
              </w:rPr>
              <w:t>0.1%</w:t>
            </w:r>
          </w:p>
        </w:tc>
        <w:tc>
          <w:tcPr>
            <w:tcW w:w="660" w:type="dxa"/>
            <w:vAlign w:val="bottom"/>
            <w:gridSpan w:val="2"/>
          </w:tcPr>
          <w:p>
            <w:pPr>
              <w:jc w:val="right"/>
              <w:ind w:right="57"/>
              <w:spacing w:after="0" w:line="134" w:lineRule="exact"/>
              <w:rPr>
                <w:sz w:val="20"/>
                <w:szCs w:val="20"/>
                <w:color w:val="auto"/>
              </w:rPr>
            </w:pPr>
            <w:r>
              <w:rPr>
                <w:rFonts w:ascii="Arial" w:cs="Arial" w:eastAsia="Arial" w:hAnsi="Arial"/>
                <w:sz w:val="13"/>
                <w:szCs w:val="13"/>
                <w:color w:val="auto"/>
              </w:rPr>
              <w:t>-11.2%</w:t>
            </w:r>
          </w:p>
        </w:tc>
        <w:tc>
          <w:tcPr>
            <w:tcW w:w="640" w:type="dxa"/>
            <w:vAlign w:val="bottom"/>
            <w:gridSpan w:val="2"/>
          </w:tcPr>
          <w:p>
            <w:pPr>
              <w:jc w:val="right"/>
              <w:ind w:right="57"/>
              <w:spacing w:after="0" w:line="134" w:lineRule="exact"/>
              <w:rPr>
                <w:sz w:val="20"/>
                <w:szCs w:val="20"/>
                <w:color w:val="auto"/>
              </w:rPr>
            </w:pPr>
            <w:r>
              <w:rPr>
                <w:rFonts w:ascii="Arial" w:cs="Arial" w:eastAsia="Arial" w:hAnsi="Arial"/>
                <w:sz w:val="13"/>
                <w:szCs w:val="13"/>
                <w:color w:val="auto"/>
              </w:rPr>
              <w:t>-55.3%</w:t>
            </w:r>
          </w:p>
        </w:tc>
        <w:tc>
          <w:tcPr>
            <w:tcW w:w="82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1,275,788</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670,480</w:t>
            </w:r>
          </w:p>
        </w:tc>
        <w:tc>
          <w:tcPr>
            <w:tcW w:w="5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63"/>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25,678,078</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9.7%</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14,006,791</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3.8%</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16,999,608</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4.0%</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21.4%</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-33.8%</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24,930,696</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15,556,599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20" w:type="dxa"/>
            <w:vAlign w:val="bottom"/>
          </w:tcPr>
          <w:p>
            <w:pPr>
              <w:jc w:val="right"/>
              <w:spacing w:after="0" w:line="114" w:lineRule="exact"/>
              <w:rPr>
                <w:sz w:val="20"/>
                <w:szCs w:val="20"/>
                <w:color w:val="auto"/>
              </w:rPr>
            </w:pPr>
            <w:r>
              <w:rPr>
                <w:rFonts w:ascii="Arial" w:cs="Arial" w:eastAsia="Arial" w:hAnsi="Arial"/>
                <w:sz w:val="13"/>
                <w:szCs w:val="13"/>
                <w:color w:val="auto"/>
                <w:w w:val="82"/>
              </w:rPr>
              <w:t>120,275,484</w:t>
            </w:r>
          </w:p>
        </w:tc>
        <w:tc>
          <w:tcPr>
            <w:tcW w:w="200" w:type="dxa"/>
            <w:vAlign w:val="bottom"/>
            <w:vMerge w:val="continue"/>
          </w:tcPr>
          <w:p>
            <w:pPr>
              <w:spacing w:after="0"/>
              <w:rPr>
                <w:sz w:val="9"/>
                <w:szCs w:val="9"/>
                <w:color w:val="auto"/>
              </w:rPr>
            </w:pPr>
          </w:p>
        </w:tc>
        <w:tc>
          <w:tcPr>
            <w:tcW w:w="640" w:type="dxa"/>
            <w:vAlign w:val="bottom"/>
            <w:gridSpan w:val="2"/>
          </w:tcPr>
          <w:p>
            <w:pPr>
              <w:jc w:val="right"/>
              <w:ind w:right="57"/>
              <w:spacing w:after="0" w:line="114" w:lineRule="exact"/>
              <w:rPr>
                <w:sz w:val="20"/>
                <w:szCs w:val="20"/>
                <w:color w:val="auto"/>
              </w:rPr>
            </w:pPr>
            <w:r>
              <w:rPr>
                <w:rFonts w:ascii="Arial" w:cs="Arial" w:eastAsia="Arial" w:hAnsi="Arial"/>
                <w:sz w:val="13"/>
                <w:szCs w:val="13"/>
                <w:color w:val="auto"/>
              </w:rPr>
              <w:t>45.3%</w:t>
            </w:r>
          </w:p>
        </w:tc>
        <w:tc>
          <w:tcPr>
            <w:tcW w:w="640" w:type="dxa"/>
            <w:vAlign w:val="bottom"/>
          </w:tcPr>
          <w:p>
            <w:pPr>
              <w:jc w:val="right"/>
              <w:spacing w:after="0" w:line="114" w:lineRule="exact"/>
              <w:rPr>
                <w:sz w:val="20"/>
                <w:szCs w:val="20"/>
                <w:color w:val="auto"/>
              </w:rPr>
            </w:pPr>
            <w:r>
              <w:rPr>
                <w:rFonts w:ascii="Arial" w:cs="Arial" w:eastAsia="Arial" w:hAnsi="Arial"/>
                <w:sz w:val="13"/>
                <w:szCs w:val="13"/>
                <w:color w:val="auto"/>
                <w:w w:val="85"/>
              </w:rPr>
              <w:t>197,821,818</w:t>
            </w:r>
          </w:p>
        </w:tc>
        <w:tc>
          <w:tcPr>
            <w:tcW w:w="200" w:type="dxa"/>
            <w:vAlign w:val="bottom"/>
            <w:vMerge w:val="continue"/>
          </w:tcPr>
          <w:p>
            <w:pPr>
              <w:spacing w:after="0"/>
              <w:rPr>
                <w:sz w:val="9"/>
                <w:szCs w:val="9"/>
                <w:color w:val="auto"/>
              </w:rPr>
            </w:pPr>
          </w:p>
        </w:tc>
        <w:tc>
          <w:tcPr>
            <w:tcW w:w="640" w:type="dxa"/>
            <w:vAlign w:val="bottom"/>
            <w:gridSpan w:val="2"/>
          </w:tcPr>
          <w:p>
            <w:pPr>
              <w:jc w:val="right"/>
              <w:ind w:right="57"/>
              <w:spacing w:after="0" w:line="114" w:lineRule="exact"/>
              <w:rPr>
                <w:sz w:val="20"/>
                <w:szCs w:val="20"/>
                <w:color w:val="auto"/>
              </w:rPr>
            </w:pPr>
            <w:r>
              <w:rPr>
                <w:rFonts w:ascii="Arial" w:cs="Arial" w:eastAsia="Arial" w:hAnsi="Arial"/>
                <w:sz w:val="13"/>
                <w:szCs w:val="13"/>
                <w:color w:val="auto"/>
              </w:rPr>
              <w:t>54.1%</w:t>
            </w:r>
          </w:p>
        </w:tc>
        <w:tc>
          <w:tcPr>
            <w:tcW w:w="640" w:type="dxa"/>
            <w:vAlign w:val="bottom"/>
          </w:tcPr>
          <w:p>
            <w:pPr>
              <w:jc w:val="right"/>
              <w:spacing w:after="0" w:line="114" w:lineRule="exact"/>
              <w:rPr>
                <w:sz w:val="20"/>
                <w:szCs w:val="20"/>
                <w:color w:val="auto"/>
              </w:rPr>
            </w:pPr>
            <w:r>
              <w:rPr>
                <w:rFonts w:ascii="Arial" w:cs="Arial" w:eastAsia="Arial" w:hAnsi="Arial"/>
                <w:sz w:val="13"/>
                <w:szCs w:val="13"/>
                <w:color w:val="auto"/>
                <w:w w:val="85"/>
              </w:rPr>
              <w:t>210,352,878</w:t>
            </w:r>
          </w:p>
        </w:tc>
        <w:tc>
          <w:tcPr>
            <w:tcW w:w="180" w:type="dxa"/>
            <w:vAlign w:val="bottom"/>
            <w:vMerge w:val="continue"/>
          </w:tcPr>
          <w:p>
            <w:pPr>
              <w:spacing w:after="0"/>
              <w:rPr>
                <w:sz w:val="9"/>
                <w:szCs w:val="9"/>
                <w:color w:val="auto"/>
              </w:rPr>
            </w:pPr>
          </w:p>
        </w:tc>
        <w:tc>
          <w:tcPr>
            <w:tcW w:w="640" w:type="dxa"/>
            <w:vAlign w:val="bottom"/>
            <w:gridSpan w:val="2"/>
          </w:tcPr>
          <w:p>
            <w:pPr>
              <w:jc w:val="right"/>
              <w:ind w:right="57"/>
              <w:spacing w:after="0" w:line="114" w:lineRule="exact"/>
              <w:rPr>
                <w:sz w:val="20"/>
                <w:szCs w:val="20"/>
                <w:color w:val="auto"/>
              </w:rPr>
            </w:pPr>
            <w:r>
              <w:rPr>
                <w:rFonts w:ascii="Arial" w:cs="Arial" w:eastAsia="Arial" w:hAnsi="Arial"/>
                <w:sz w:val="13"/>
                <w:szCs w:val="13"/>
                <w:color w:val="auto"/>
              </w:rPr>
              <w:t>49.9%</w:t>
            </w:r>
          </w:p>
        </w:tc>
        <w:tc>
          <w:tcPr>
            <w:tcW w:w="660" w:type="dxa"/>
            <w:vAlign w:val="bottom"/>
            <w:gridSpan w:val="2"/>
          </w:tcPr>
          <w:p>
            <w:pPr>
              <w:jc w:val="right"/>
              <w:ind w:right="57"/>
              <w:spacing w:after="0" w:line="114" w:lineRule="exact"/>
              <w:rPr>
                <w:sz w:val="20"/>
                <w:szCs w:val="20"/>
                <w:color w:val="auto"/>
              </w:rPr>
            </w:pPr>
            <w:r>
              <w:rPr>
                <w:rFonts w:ascii="Arial" w:cs="Arial" w:eastAsia="Arial" w:hAnsi="Arial"/>
                <w:sz w:val="13"/>
                <w:szCs w:val="13"/>
                <w:color w:val="auto"/>
              </w:rPr>
              <w:t>6.3%</w:t>
            </w:r>
          </w:p>
        </w:tc>
        <w:tc>
          <w:tcPr>
            <w:tcW w:w="640" w:type="dxa"/>
            <w:vAlign w:val="bottom"/>
            <w:gridSpan w:val="2"/>
          </w:tcPr>
          <w:p>
            <w:pPr>
              <w:jc w:val="right"/>
              <w:ind w:right="57"/>
              <w:spacing w:after="0" w:line="114" w:lineRule="exact"/>
              <w:rPr>
                <w:sz w:val="20"/>
                <w:szCs w:val="20"/>
                <w:color w:val="auto"/>
              </w:rPr>
            </w:pPr>
            <w:r>
              <w:rPr>
                <w:rFonts w:ascii="Arial" w:cs="Arial" w:eastAsia="Arial" w:hAnsi="Arial"/>
                <w:sz w:val="13"/>
                <w:szCs w:val="13"/>
                <w:color w:val="auto"/>
              </w:rPr>
              <w:t>74.9%</w:t>
            </w:r>
          </w:p>
        </w:tc>
        <w:tc>
          <w:tcPr>
            <w:tcW w:w="640" w:type="dxa"/>
            <w:vAlign w:val="bottom"/>
          </w:tcPr>
          <w:p>
            <w:pPr>
              <w:jc w:val="right"/>
              <w:spacing w:after="0" w:line="114" w:lineRule="exact"/>
              <w:rPr>
                <w:sz w:val="20"/>
                <w:szCs w:val="20"/>
                <w:color w:val="auto"/>
              </w:rPr>
            </w:pPr>
            <w:r>
              <w:rPr>
                <w:rFonts w:ascii="Arial" w:cs="Arial" w:eastAsia="Arial" w:hAnsi="Arial"/>
                <w:sz w:val="13"/>
                <w:szCs w:val="13"/>
                <w:color w:val="auto"/>
                <w:w w:val="95"/>
              </w:rPr>
              <w:t>91,300,784</w:t>
            </w:r>
          </w:p>
        </w:tc>
        <w:tc>
          <w:tcPr>
            <w:tcW w:w="180" w:type="dxa"/>
            <w:vAlign w:val="bottom"/>
            <w:vMerge w:val="continue"/>
          </w:tcPr>
          <w:p>
            <w:pPr>
              <w:spacing w:after="0"/>
              <w:rPr>
                <w:sz w:val="9"/>
                <w:szCs w:val="9"/>
                <w:color w:val="auto"/>
              </w:rPr>
            </w:pPr>
          </w:p>
        </w:tc>
        <w:tc>
          <w:tcPr>
            <w:tcW w:w="640" w:type="dxa"/>
            <w:vAlign w:val="bottom"/>
          </w:tcPr>
          <w:p>
            <w:pPr>
              <w:jc w:val="right"/>
              <w:spacing w:after="0" w:line="114" w:lineRule="exact"/>
              <w:rPr>
                <w:sz w:val="20"/>
                <w:szCs w:val="20"/>
                <w:color w:val="auto"/>
              </w:rPr>
            </w:pPr>
            <w:r>
              <w:rPr>
                <w:rFonts w:ascii="Arial" w:cs="Arial" w:eastAsia="Arial" w:hAnsi="Arial"/>
                <w:sz w:val="13"/>
                <w:szCs w:val="13"/>
                <w:color w:val="auto"/>
                <w:w w:val="85"/>
              </w:rPr>
              <w:t>169,697,947</w:t>
            </w:r>
          </w:p>
        </w:tc>
        <w:tc>
          <w:tcPr>
            <w:tcW w:w="200" w:type="dxa"/>
            <w:vAlign w:val="bottom"/>
            <w:vMerge w:val="continue"/>
          </w:tcPr>
          <w:p>
            <w:pPr>
              <w:spacing w:after="0"/>
              <w:rPr>
                <w:sz w:val="9"/>
                <w:szCs w:val="9"/>
                <w:color w:val="auto"/>
              </w:rPr>
            </w:pPr>
          </w:p>
        </w:tc>
        <w:tc>
          <w:tcPr>
            <w:tcW w:w="56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35"/>
        </w:trPr>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19,552,525</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7.4%</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25,753,187</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23,771,674</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5.6%</w:t>
            </w:r>
          </w:p>
        </w:tc>
        <w:tc>
          <w:tcPr>
            <w:tcW w:w="6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-7.7%</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21.6%</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18,116,446</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23,454,136</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11,659,712</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4.4%</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51,469,991</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14.1%</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80,489,047</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19.1%</w:t>
            </w:r>
          </w:p>
        </w:tc>
        <w:tc>
          <w:tcPr>
            <w:tcW w:w="6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56.4%</w:t>
            </w: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590.3%</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6,960,198</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5"/>
              </w:rPr>
              <w:t>41,740,331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499.7%</w:t>
            </w:r>
          </w:p>
        </w:tc>
        <w:tc>
          <w:tcPr>
            <w:tcW w:w="0" w:type="dxa"/>
            <w:vAlign w:val="bottom"/>
          </w:tcPr>
          <w:p>
            <w:pPr>
              <w:spacing w:after="0"/>
              <w:rPr>
                <w:sz w:val="1"/>
                <w:szCs w:val="1"/>
                <w:color w:val="auto"/>
              </w:rPr>
            </w:pPr>
          </w:p>
        </w:tc>
      </w:tr>
      <w:tr>
        <w:trPr>
          <w:trHeight w:val="163"/>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13,208,492</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5.0%</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11,597,227</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3.2%</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13,208,641</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3.1%</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13.9%</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12,212,317</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11,404,616</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1,210,839</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0.5%</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1,011,284</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0.3%</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1,007,281</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0.2%</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-0.4%</w:t>
            </w: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-16.8%</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1,044,348</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1,111,973</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5"/>
        </w:trPr>
        <w:tc>
          <w:tcPr>
            <w:tcW w:w="6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82"/>
              </w:rPr>
              <w:t>265,410,779</w:t>
            </w:r>
          </w:p>
        </w:tc>
        <w:tc>
          <w:tcPr>
            <w:tcW w:w="200" w:type="dxa"/>
            <w:vAlign w:val="bottom"/>
          </w:tcPr>
          <w:p>
            <w:pPr>
              <w:spacing w:after="0"/>
              <w:rPr>
                <w:sz w:val="11"/>
                <w:szCs w:val="11"/>
                <w:color w:val="auto"/>
              </w:rPr>
            </w:pPr>
          </w:p>
        </w:tc>
        <w:tc>
          <w:tcPr>
            <w:tcW w:w="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100.0</w:t>
            </w:r>
          </w:p>
        </w:tc>
        <w:tc>
          <w:tcPr>
            <w:tcW w:w="22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w w:val="86"/>
              </w:rPr>
              <w:t>%</w:t>
            </w: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85"/>
              </w:rPr>
              <w:t>365,815,074</w:t>
            </w:r>
          </w:p>
        </w:tc>
        <w:tc>
          <w:tcPr>
            <w:tcW w:w="200" w:type="dxa"/>
            <w:vAlign w:val="bottom"/>
          </w:tcPr>
          <w:p>
            <w:pPr>
              <w:spacing w:after="0"/>
              <w:rPr>
                <w:sz w:val="11"/>
                <w:szCs w:val="11"/>
                <w:color w:val="auto"/>
              </w:rPr>
            </w:pPr>
          </w:p>
        </w:tc>
        <w:tc>
          <w:tcPr>
            <w:tcW w:w="4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100.0</w:t>
            </w:r>
          </w:p>
        </w:tc>
        <w:tc>
          <w:tcPr>
            <w:tcW w:w="24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85"/>
              </w:rPr>
              <w:t>421,697,124</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100.0</w:t>
            </w:r>
          </w:p>
        </w:tc>
        <w:tc>
          <w:tcPr>
            <w:tcW w:w="22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w w:val="86"/>
              </w:rPr>
              <w:t>%</w:t>
            </w:r>
          </w:p>
        </w:tc>
        <w:tc>
          <w:tcPr>
            <w:tcW w:w="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15.3</w:t>
            </w:r>
          </w:p>
        </w:tc>
        <w:tc>
          <w:tcPr>
            <w:tcW w:w="24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rPr>
              <w:t>%</w:t>
            </w:r>
          </w:p>
        </w:tc>
        <w:tc>
          <w:tcPr>
            <w:tcW w:w="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58.9</w:t>
            </w:r>
          </w:p>
        </w:tc>
        <w:tc>
          <w:tcPr>
            <w:tcW w:w="220" w:type="dxa"/>
            <w:vAlign w:val="bottom"/>
          </w:tcPr>
          <w:p>
            <w:pPr>
              <w:jc w:val="right"/>
              <w:ind w:right="37"/>
              <w:spacing w:after="0" w:line="133" w:lineRule="exact"/>
              <w:rPr>
                <w:sz w:val="20"/>
                <w:szCs w:val="20"/>
                <w:color w:val="auto"/>
              </w:rPr>
            </w:pPr>
            <w:r>
              <w:rPr>
                <w:rFonts w:ascii="Arial" w:cs="Arial" w:eastAsia="Arial" w:hAnsi="Arial"/>
                <w:sz w:val="13"/>
                <w:szCs w:val="13"/>
                <w:b w:val="1"/>
                <w:bCs w:val="1"/>
                <w:color w:val="auto"/>
                <w:w w:val="86"/>
              </w:rPr>
              <w:t>%</w:t>
            </w: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85"/>
              </w:rPr>
              <w:t>214,727,711</w:t>
            </w:r>
          </w:p>
        </w:tc>
        <w:tc>
          <w:tcPr>
            <w:tcW w:w="180" w:type="dxa"/>
            <w:vAlign w:val="bottom"/>
          </w:tcPr>
          <w:p>
            <w:pPr>
              <w:spacing w:after="0"/>
              <w:rPr>
                <w:sz w:val="11"/>
                <w:szCs w:val="11"/>
                <w:color w:val="auto"/>
              </w:rPr>
            </w:pP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85"/>
              </w:rPr>
              <w:t>325,403,876</w:t>
            </w:r>
          </w:p>
        </w:tc>
        <w:tc>
          <w:tcPr>
            <w:tcW w:w="200" w:type="dxa"/>
            <w:vAlign w:val="bottom"/>
          </w:tcPr>
          <w:p>
            <w:pPr>
              <w:spacing w:after="0"/>
              <w:rPr>
                <w:sz w:val="11"/>
                <w:szCs w:val="11"/>
                <w:color w:val="auto"/>
              </w:rPr>
            </w:pPr>
          </w:p>
        </w:tc>
        <w:tc>
          <w:tcPr>
            <w:tcW w:w="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51.5</w:t>
            </w:r>
          </w:p>
        </w:tc>
        <w:tc>
          <w:tcPr>
            <w:tcW w:w="1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-487680</wp:posOffset>
            </wp:positionV>
            <wp:extent cx="7132320" cy="265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3080" w:space="240"/>
            <w:col w:w="7920"/>
          </w:cols>
          <w:pgMar w:left="320" w:top="904" w:right="3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In the current context of COVID-19, after strict restrictions on movement and activities were relaxed in 4Q20, and the seasonal effects of year-end activities kicked in, the number of transactions increased 15.3% QoQ. In YoY terms, transactions were up 58.9%. The expansion was attributable to the creation of the Yapecard, which is associated with the Yape app and can used by individuals who have no accounts with BCP Stand-alone. This new initiative was launched in May through BCP Stand-alone’s plan to bank more individuals.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 monthly average of transactions grew 15.3% due to:</w:t>
      </w:r>
    </w:p>
    <w:p>
      <w:pPr>
        <w:spacing w:after="0" w:line="229" w:lineRule="exact"/>
        <w:rPr>
          <w:sz w:val="20"/>
          <w:szCs w:val="20"/>
          <w:color w:val="auto"/>
        </w:rPr>
      </w:pPr>
    </w:p>
    <w:p>
      <w:pPr>
        <w:jc w:val="both"/>
        <w:ind w:left="880" w:right="20" w:hanging="494"/>
        <w:spacing w:after="0" w:line="311" w:lineRule="auto"/>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Digital channels expansion of 14.4%. Within this set of channels, Yape was the star performer with 56.4% growth in 4Q20, which reflects the public’s embrace of Yapecard. This product hit the 1.1 million user mark in 4Q20 in a context of stringent restrictions on movement and social distancing to stem the pandemic, which led both individuals and businesses to migrate to the Yape channel for immediate transactions.</w:t>
      </w:r>
    </w:p>
    <w:p>
      <w:pPr>
        <w:spacing w:after="0" w:line="148" w:lineRule="exact"/>
        <w:rPr>
          <w:rFonts w:ascii="Arial" w:cs="Arial" w:eastAsia="Arial" w:hAnsi="Arial"/>
          <w:sz w:val="16"/>
          <w:szCs w:val="16"/>
          <w:color w:val="auto"/>
        </w:rPr>
      </w:pPr>
    </w:p>
    <w:p>
      <w:pPr>
        <w:jc w:val="both"/>
        <w:ind w:left="880" w:hanging="494"/>
        <w:spacing w:after="0" w:line="259"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Growth of +20% in transactions through self-service channels, which was attributable to a 21.4% increase in the use of ATMS and +18.5% in transactions via physical and telephone channels. This growth was attributable to the economic activation registered in the last quarter of the year and to the fact that the mobility and social distancing measures mandated in 4Q20 to stem the pandemic were significantly less stringent than those in place in previous quarters.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we see a +58.9% increase in average monthly transactions. This was generated by an uptick in transactions through digital channels, which registered a significant increase in the transactions volume of +99%: Mobile banking (+74.9% YoY) and Internet Banking Vía BCP (+21.6% YoY) and Yape (+590.3% YoY). Yape hit the 1.1 million user mark in 4Q20 (280 thousand through Yapecard and 858 thousand through BCP accounts), compared to growth of 164 thousand users in 4Q19. Digital channels have increased the number of functions offered and on-going efforts are in place to implement digital platforms so that clients can ask questions, conduct contractions, pay services and/or make transfers without the need to use physical or telephone channels.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If we analyze the </w:t>
      </w:r>
      <w:r>
        <w:rPr>
          <w:rFonts w:ascii="Arial" w:cs="Arial" w:eastAsia="Arial" w:hAnsi="Arial"/>
          <w:sz w:val="18"/>
          <w:szCs w:val="18"/>
          <w:b w:val="1"/>
          <w:bCs w:val="1"/>
          <w:color w:val="auto"/>
        </w:rPr>
        <w:t>monthly average for the year,</w:t>
      </w:r>
      <w:r>
        <w:rPr>
          <w:rFonts w:ascii="Arial" w:cs="Arial" w:eastAsia="Arial" w:hAnsi="Arial"/>
          <w:sz w:val="18"/>
          <w:szCs w:val="18"/>
          <w:color w:val="auto"/>
        </w:rPr>
        <w:t xml:space="preserve"> we see a +51.5% increase in total transactions that was attributable to growth of +91.5% in transactions through digital channels in the context of COVID-19. The largest increase in share of transactions was registered by Yape, which came to represent 12.8% of total transactions in 2020 versus 3.2% in 2019. This growth represented an advance of +499.7% for the year, which was driven by inflows of new clients through BCP accounts (+2.2 million) and Yapecard (1.1 million).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Growth in transactions in the region is expected to be channeled primarily through digital channels. This trend will accentuate in the current context, where social distancing and public health measures will continue to important, leading to a subsequent increase in the demand for services through non-physical channels. Accordingly, we have seen an uptick in the volume of transactions through Internet Banking Vía BCP, Internet Banking and Yape, which is in line with our objective to develop a more efficient, profitable and client-centered network of service channels. It is important to note that the interbank payment application through Yape hit the 5 million user mark at the end of 2020 and has become a useful tool for both individuals and businesses seeking to conduct efficient transactions without incurring costs.</w:t>
      </w:r>
    </w:p>
    <w:p>
      <w:pPr>
        <w:spacing w:after="0" w:line="200" w:lineRule="exact"/>
        <w:rPr>
          <w:sz w:val="20"/>
          <w:szCs w:val="20"/>
          <w:color w:val="auto"/>
        </w:rPr>
      </w:pPr>
    </w:p>
    <w:p>
      <w:pPr>
        <w:spacing w:after="0" w:line="20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w w:val="92"/>
              </w:rPr>
              <w:t>9.1.3. Sales in Retail Banking</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Unit sold per Quarter</w:t>
            </w:r>
          </w:p>
        </w:tc>
        <w:tc>
          <w:tcPr>
            <w:tcW w:w="1460" w:type="dxa"/>
            <w:vAlign w:val="bottom"/>
            <w:gridSpan w:val="3"/>
          </w:tcPr>
          <w:p>
            <w:pPr>
              <w:ind w:left="620"/>
              <w:spacing w:after="0"/>
              <w:rPr>
                <w:sz w:val="20"/>
                <w:szCs w:val="20"/>
                <w:color w:val="auto"/>
              </w:rPr>
            </w:pPr>
            <w:r>
              <w:rPr>
                <w:rFonts w:ascii="Arial" w:cs="Arial" w:eastAsia="Arial" w:hAnsi="Arial"/>
                <w:sz w:val="18"/>
                <w:szCs w:val="18"/>
                <w:b w:val="1"/>
                <w:bCs w:val="1"/>
                <w:color w:val="auto"/>
                <w:w w:val="94"/>
              </w:rPr>
              <w:t>% Change</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Unit sold per Year</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4Q19</w:t>
            </w:r>
          </w:p>
        </w:tc>
        <w:tc>
          <w:tcPr>
            <w:tcW w:w="2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3Q20</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4Q20</w:t>
            </w:r>
          </w:p>
        </w:tc>
        <w:tc>
          <w:tcPr>
            <w:tcW w:w="2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TaT</w:t>
            </w:r>
          </w:p>
        </w:tc>
        <w:tc>
          <w:tcPr>
            <w:tcW w:w="3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AaA</w:t>
            </w:r>
          </w:p>
        </w:tc>
        <w:tc>
          <w:tcPr>
            <w:tcW w:w="3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2020 /2019</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Traditionals Sales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1,568,551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1,517,113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5,755,757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4,468,066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Selfserved Sales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452,347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159,462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258,734</w:t>
            </w: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2,093,813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1,031,029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Digital Sales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415,850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462,048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620,133</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1,185,505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2,038,468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256" w:lineRule="exact"/>
              <w:rPr>
                <w:sz w:val="20"/>
                <w:szCs w:val="20"/>
                <w:color w:val="auto"/>
              </w:rPr>
            </w:pPr>
            <w:r>
              <w:rPr>
                <w:rFonts w:ascii="Arial" w:cs="Arial" w:eastAsia="Arial" w:hAnsi="Arial"/>
                <w:sz w:val="18"/>
                <w:szCs w:val="18"/>
                <w:b w:val="1"/>
                <w:bCs w:val="1"/>
                <w:color w:val="auto"/>
              </w:rPr>
              <w:t>Total Sales</w:t>
            </w:r>
            <w:r>
              <w:rPr>
                <w:rFonts w:ascii="Arial" w:cs="Arial" w:eastAsia="Arial" w:hAnsi="Arial"/>
                <w:sz w:val="29"/>
                <w:szCs w:val="29"/>
                <w:b w:val="1"/>
                <w:bCs w:val="1"/>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2,436,748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1,595,849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2,395,980</w:t>
            </w:r>
          </w:p>
        </w:tc>
        <w:tc>
          <w:tcPr>
            <w:tcW w:w="1180" w:type="dxa"/>
            <w:vAlign w:val="bottom"/>
            <w:gridSpan w:val="2"/>
          </w:tcPr>
          <w:p>
            <w:pPr>
              <w:ind w:left="560"/>
              <w:spacing w:after="0"/>
              <w:rPr>
                <w:sz w:val="20"/>
                <w:szCs w:val="20"/>
                <w:color w:val="auto"/>
              </w:rPr>
            </w:pPr>
            <w:r>
              <w:rPr>
                <w:rFonts w:ascii="Arial" w:cs="Arial" w:eastAsia="Arial" w:hAnsi="Arial"/>
                <w:sz w:val="18"/>
                <w:szCs w:val="18"/>
                <w:b w:val="1"/>
                <w:bCs w:val="1"/>
                <w:color w:val="auto"/>
              </w:rPr>
              <w:t>50.1%</w:t>
            </w: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9,035,075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7,537,563</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economic crisis brought on by strict lockdown measures, which were in place from March to September, led to a sharp decrease in sales of retail banking products, which fell -1.7% and -16.6%, YoY and YTD respectively. Sales began to recover in 4Q20, reporting growth of 50.1% in a context of economic reactivation and due to seasonal factors associated with the holidays at year-end. At the end of 2020, digital channels represented 27.04% of total Retail Banking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QoQ analysis:</w:t>
      </w:r>
    </w:p>
    <w:p>
      <w:pPr>
        <w:spacing w:after="0" w:line="225" w:lineRule="exact"/>
        <w:rPr>
          <w:sz w:val="20"/>
          <w:szCs w:val="20"/>
          <w:color w:val="auto"/>
        </w:rPr>
      </w:pPr>
    </w:p>
    <w:p>
      <w:pPr>
        <w:ind w:left="880" w:hanging="49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Traditional retail banking sales grew +55.7%, led by expansion in advances on wages (+135%), personal loans (+137%) and preferential cash (+99%). This was in line with economic reactivation and the fact that restrictions on movement were relaxed.</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Self-service sales also accelerated during the last quarter, led by savings accounts (+151%) and advances on wage (+46%), which can be acquired in kiosks and ATMs respectively.</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terms of digital channels, growth of 34.2% was led by advances in wage and personal loans, which registered increases of 117% and 147% respectively. This growth was attributable to economic reactivation and to seasonal factors in play every 4Q.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and YTD analysis</w:t>
      </w:r>
      <w:r>
        <w:rPr>
          <w:rFonts w:ascii="Arial" w:cs="Arial" w:eastAsia="Arial" w:hAnsi="Arial"/>
          <w:sz w:val="18"/>
          <w:szCs w:val="18"/>
          <w:color w:val="auto"/>
        </w:rPr>
        <w:t xml:space="preserve"> registered a significant reduction due to:</w:t>
      </w:r>
    </w:p>
    <w:p>
      <w:pPr>
        <w:spacing w:after="0" w:line="229" w:lineRule="exact"/>
        <w:rPr>
          <w:sz w:val="20"/>
          <w:szCs w:val="20"/>
          <w:color w:val="auto"/>
        </w:rPr>
      </w:pPr>
    </w:p>
    <w:p>
      <w:pPr>
        <w:jc w:val="both"/>
        <w:ind w:left="880" w:right="20" w:hanging="494"/>
        <w:spacing w:after="0" w:line="259"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Traditional sales fell -3.3% and -22.4% YoY and YTD due to the lockdown and social distancing measures enacted by the government. This led to slow economic recovery in the second half of the year and consequently, sales for 2020 fell below those registered in 2019. The products that were the hardest hit were advances on wages, Efectivo preferente (-70.0% YoY and YTD), Credit Cards (-40% YoY and -51% YTD) and Time Deposits (-47% YoY and -50% YTD).</w:t>
      </w:r>
    </w:p>
    <w:p>
      <w:pPr>
        <w:spacing w:after="0" w:line="186" w:lineRule="exact"/>
        <w:rPr>
          <w:rFonts w:ascii="Arial" w:cs="Arial" w:eastAsia="Arial" w:hAnsi="Arial"/>
          <w:sz w:val="18"/>
          <w:szCs w:val="18"/>
          <w:color w:val="auto"/>
        </w:rPr>
      </w:pPr>
    </w:p>
    <w:p>
      <w:pPr>
        <w:jc w:val="both"/>
        <w:ind w:left="880" w:hanging="494"/>
        <w:spacing w:after="0" w:line="259"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contrast to traditional sales, digital sales registered growth of +49% and +72% YoY and YTD respectively. This was attributable to the fact that clients migrated to these channels in a context of strict mobility and social distancing measures. The products that posted the most favorable evolution were Savings Accounts (+198% YoY and +436% YTD), Insurance (+383% YoY and +548% YTD) and SME-Pyme working capital (+403% YoY and + 995% YTD).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Other Credicorp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9.2.1. Physical points of contact Mibanco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4"/>
          </w:tcPr>
          <w:p>
            <w:pPr>
              <w:ind w:left="380"/>
              <w:spacing w:after="0"/>
              <w:rPr>
                <w:sz w:val="20"/>
                <w:szCs w:val="20"/>
                <w:color w:val="auto"/>
              </w:rPr>
            </w:pPr>
            <w:r>
              <w:rPr>
                <w:rFonts w:ascii="Arial" w:cs="Arial" w:eastAsia="Arial" w:hAnsi="Arial"/>
                <w:sz w:val="18"/>
                <w:szCs w:val="18"/>
                <w:b w:val="1"/>
                <w:bCs w:val="1"/>
                <w:color w:val="auto"/>
              </w:rPr>
              <w:t>change (units)</w:t>
            </w:r>
          </w:p>
        </w:tc>
      </w:tr>
      <w:tr>
        <w:trPr>
          <w:trHeight w:val="223"/>
        </w:trPr>
        <w:tc>
          <w:tcPr>
            <w:tcW w:w="28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Dec 19</w:t>
            </w: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 20</w:t>
            </w: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20</w:t>
            </w:r>
          </w:p>
        </w:tc>
        <w:tc>
          <w:tcPr>
            <w:tcW w:w="16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12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60" w:type="dxa"/>
            <w:vAlign w:val="bottom"/>
            <w:tcBorders>
              <w:bottom w:val="single" w:sz="8" w:color="CCEEFF"/>
            </w:tcBorders>
          </w:tcPr>
          <w:p>
            <w:pPr>
              <w:spacing w:after="0"/>
              <w:rPr>
                <w:sz w:val="19"/>
                <w:szCs w:val="19"/>
                <w:color w:val="auto"/>
              </w:rPr>
            </w:pPr>
          </w:p>
        </w:tc>
      </w:tr>
      <w:tr>
        <w:trPr>
          <w:trHeight w:val="236"/>
        </w:trPr>
        <w:tc>
          <w:tcPr>
            <w:tcW w:w="2840" w:type="dxa"/>
            <w:vAlign w:val="bottom"/>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7"/>
                <w:szCs w:val="27"/>
                <w:b w:val="1"/>
                <w:bCs w:val="1"/>
                <w:color w:val="auto"/>
                <w:vertAlign w:val="superscript"/>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right="240" w:firstLine="8"/>
        <w:spacing w:after="0" w:line="277"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Mibanco does not have Agents or ATMs because it uses the BCP network. Mibanco branches include Banco de la Nacion branches, which in Sep 19, Jun 20 and Sep 20 were 35, 35 and 35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branches at Mibanco registered no variation. It is important to note that Mibanco has an agreement with the Banco de la Nación to use the latter’s branches throughout the country to reduce operating costs. At the end of 4Q20, these branches represented 11% (34 branches) of Mibanco’s 323 branches.</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9.2.2. Physical points of contact BCP Bolivia</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change (units)</w:t>
            </w:r>
          </w:p>
        </w:tc>
      </w:tr>
      <w:tr>
        <w:trPr>
          <w:trHeight w:val="223"/>
        </w:trPr>
        <w:tc>
          <w:tcPr>
            <w:tcW w:w="284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Dec 19</w:t>
            </w: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Sep 20</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20</w:t>
            </w:r>
          </w:p>
        </w:tc>
        <w:tc>
          <w:tcPr>
            <w:tcW w:w="160" w:type="dxa"/>
            <w:vAlign w:val="bottom"/>
          </w:tcPr>
          <w:p>
            <w:pPr>
              <w:spacing w:after="0"/>
              <w:rPr>
                <w:sz w:val="19"/>
                <w:szCs w:val="19"/>
                <w:color w:val="auto"/>
              </w:rPr>
            </w:pPr>
          </w:p>
        </w:tc>
        <w:tc>
          <w:tcPr>
            <w:tcW w:w="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QoQ</w:t>
            </w:r>
          </w:p>
        </w:tc>
        <w:tc>
          <w:tcPr>
            <w:tcW w:w="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60" w:type="dxa"/>
            <w:vAlign w:val="bottom"/>
            <w:gridSpan w:val="2"/>
          </w:tcPr>
          <w:p>
            <w:pPr>
              <w:spacing w:after="0"/>
              <w:rPr>
                <w:sz w:val="19"/>
                <w:szCs w:val="19"/>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ATMs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CEEFF"/>
          </w:tcPr>
          <w:p>
            <w:pPr>
              <w:spacing w:after="0"/>
              <w:rPr>
                <w:sz w:val="18"/>
                <w:szCs w:val="18"/>
                <w:color w:val="auto"/>
              </w:rPr>
            </w:pPr>
          </w:p>
        </w:tc>
      </w:tr>
      <w:tr>
        <w:trPr>
          <w:trHeight w:val="210"/>
        </w:trPr>
        <w:tc>
          <w:tcPr>
            <w:tcW w:w="2840" w:type="dxa"/>
            <w:vAlign w:val="bottom"/>
          </w:tcPr>
          <w:p>
            <w:pPr>
              <w:spacing w:after="0"/>
              <w:rPr>
                <w:sz w:val="20"/>
                <w:szCs w:val="20"/>
                <w:color w:val="auto"/>
              </w:rPr>
            </w:pPr>
            <w:r>
              <w:rPr>
                <w:rFonts w:ascii="Arial" w:cs="Arial" w:eastAsia="Arial" w:hAnsi="Arial"/>
                <w:sz w:val="18"/>
                <w:szCs w:val="18"/>
                <w:b w:val="1"/>
                <w:bCs w:val="1"/>
                <w:color w:val="auto"/>
              </w:rPr>
              <w:t>Total Bolivia’s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BCP Bolivia, points of contact increased QoQ (+187), which was attributable to growth in Agentes BCP (+187), which was in line with our strategy to expand through cost-efficient strategies.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YoY evolution, the total number of points of contact at BCP Bolivia increased +414. This was primarily driven by growth in the number of Agentes BCP (+405) and, to a lesser extent, to expansion in ATMs. This was attributable, once again, to the strategy to bet on cost-efficient strategies to reach more clients.</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Economic Perspectives</w:t>
      </w:r>
    </w:p>
    <w:p>
      <w:pPr>
        <w:spacing w:after="0" w:line="157" w:lineRule="exact"/>
        <w:rPr>
          <w:rFonts w:ascii="Arial" w:cs="Arial" w:eastAsia="Arial" w:hAnsi="Arial"/>
          <w:sz w:val="18"/>
          <w:szCs w:val="18"/>
          <w:b w:val="1"/>
          <w:bCs w:val="1"/>
          <w:color w:val="auto"/>
        </w:rPr>
      </w:pPr>
    </w:p>
    <w:p>
      <w:pPr>
        <w:ind w:left="420" w:hanging="412"/>
        <w:spacing w:after="0"/>
        <w:tabs>
          <w:tab w:leader="none" w:pos="4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Peru Economic Forecasts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640" w:type="dxa"/>
            <w:vAlign w:val="bottom"/>
            <w:gridSpan w:val="3"/>
          </w:tcPr>
          <w:p>
            <w:pPr>
              <w:spacing w:after="0"/>
              <w:rPr>
                <w:sz w:val="20"/>
                <w:szCs w:val="20"/>
                <w:color w:val="auto"/>
              </w:rPr>
            </w:pPr>
            <w:r>
              <w:rPr>
                <w:rFonts w:ascii="Arial" w:cs="Arial" w:eastAsia="Arial" w:hAnsi="Arial"/>
                <w:sz w:val="16"/>
                <w:szCs w:val="16"/>
                <w:b w:val="1"/>
                <w:bCs w:val="1"/>
                <w:color w:val="auto"/>
              </w:rPr>
              <w:t>Peru</w:t>
            </w: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26"/>
                <w:szCs w:val="26"/>
                <w:b w:val="1"/>
                <w:bCs w:val="1"/>
                <w:color w:val="auto"/>
                <w:vertAlign w:val="superscript"/>
              </w:rPr>
              <w:t>(3)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26"/>
                <w:szCs w:val="26"/>
                <w:b w:val="1"/>
                <w:bCs w:val="1"/>
                <w:color w:val="auto"/>
                <w:vertAlign w:val="superscript"/>
              </w:rPr>
              <w:t>(3)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6"/>
                <w:szCs w:val="26"/>
                <w:b w:val="1"/>
                <w:bCs w:val="1"/>
                <w:color w:val="auto"/>
                <w:vertAlign w:val="superscript"/>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GDP (US$ Millions)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194,660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214,352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225,308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230,842</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199,003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219,491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Real GDP (% change)</w:t>
            </w: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8.0 - 10.0</w:t>
            </w:r>
          </w:p>
        </w:tc>
        <w:tc>
          <w:tcPr>
            <w:tcW w:w="0" w:type="dxa"/>
            <w:vAlign w:val="bottom"/>
          </w:tcPr>
          <w:p>
            <w:pPr>
              <w:spacing w:after="0"/>
              <w:rPr>
                <w:sz w:val="1"/>
                <w:szCs w:val="1"/>
                <w:color w:val="auto"/>
              </w:rPr>
            </w:pPr>
          </w:p>
        </w:tc>
      </w:tr>
      <w:tr>
        <w:trPr>
          <w:trHeight w:val="203"/>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GDP per capita (US$)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6,741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7,103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6,594</w:t>
            </w: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Domestic demand (% change)</w:t>
            </w: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Gross fixed investment (as % GDP)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Public Debt (as % GDP)</w:t>
            </w: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57"/>
        </w:trPr>
        <w:tc>
          <w:tcPr>
            <w:tcW w:w="2640" w:type="dxa"/>
            <w:vAlign w:val="bottom"/>
            <w:gridSpan w:val="3"/>
            <w:shd w:val="clear" w:color="auto" w:fill="CCEEFF"/>
          </w:tcPr>
          <w:p>
            <w:pPr>
              <w:spacing w:after="0" w:line="256" w:lineRule="exact"/>
              <w:rPr>
                <w:sz w:val="20"/>
                <w:szCs w:val="20"/>
                <w:color w:val="auto"/>
              </w:rPr>
            </w:pPr>
            <w:r>
              <w:rPr>
                <w:rFonts w:ascii="Arial" w:cs="Arial" w:eastAsia="Arial" w:hAnsi="Arial"/>
                <w:sz w:val="16"/>
                <w:szCs w:val="16"/>
                <w:color w:val="auto"/>
              </w:rPr>
              <w:t>System loan growth (% change)</w:t>
            </w:r>
            <w:r>
              <w:rPr>
                <w:rFonts w:ascii="Arial" w:cs="Arial" w:eastAsia="Arial" w:hAnsi="Arial"/>
                <w:sz w:val="26"/>
                <w:szCs w:val="26"/>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line="256" w:lineRule="exact"/>
              <w:rPr>
                <w:sz w:val="20"/>
                <w:szCs w:val="20"/>
                <w:color w:val="auto"/>
              </w:rPr>
            </w:pPr>
            <w:r>
              <w:rPr>
                <w:rFonts w:ascii="Arial" w:cs="Arial" w:eastAsia="Arial" w:hAnsi="Arial"/>
                <w:sz w:val="16"/>
                <w:szCs w:val="16"/>
                <w:color w:val="auto"/>
              </w:rPr>
              <w:t>Inflation</w:t>
            </w:r>
            <w:r>
              <w:rPr>
                <w:rFonts w:ascii="Arial" w:cs="Arial" w:eastAsia="Arial" w:hAnsi="Arial"/>
                <w:sz w:val="26"/>
                <w:szCs w:val="26"/>
                <w:color w:val="auto"/>
                <w:vertAlign w:val="superscript"/>
              </w:rPr>
              <w:t>(2)</w:t>
            </w: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40" w:type="dxa"/>
            <w:vAlign w:val="bottom"/>
            <w:gridSpan w:val="3"/>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Reference Rate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gridSpan w:val="3"/>
          </w:tcPr>
          <w:p>
            <w:pPr>
              <w:spacing w:after="0"/>
              <w:rPr>
                <w:sz w:val="20"/>
                <w:szCs w:val="20"/>
                <w:color w:val="auto"/>
              </w:rPr>
            </w:pPr>
            <w:r>
              <w:rPr>
                <w:rFonts w:ascii="Arial" w:cs="Arial" w:eastAsia="Arial" w:hAnsi="Arial"/>
                <w:sz w:val="16"/>
                <w:szCs w:val="16"/>
                <w:color w:val="auto"/>
              </w:rPr>
              <w:t>Exchange rate, end of period</w:t>
            </w:r>
          </w:p>
        </w:tc>
        <w:tc>
          <w:tcPr>
            <w:tcW w:w="1100" w:type="dxa"/>
            <w:vAlign w:val="bottom"/>
          </w:tcPr>
          <w:p>
            <w:pPr>
              <w:jc w:val="right"/>
              <w:spacing w:after="0"/>
              <w:rPr>
                <w:sz w:val="20"/>
                <w:szCs w:val="20"/>
                <w:color w:val="auto"/>
              </w:rPr>
            </w:pPr>
            <w:r>
              <w:rPr>
                <w:rFonts w:ascii="Arial" w:cs="Arial" w:eastAsia="Arial" w:hAnsi="Arial"/>
                <w:sz w:val="16"/>
                <w:szCs w:val="16"/>
                <w:color w:val="auto"/>
              </w:rPr>
              <w:t>3.36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3.45 - 3.50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Exchange rate, (% change)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Fiscal balance (% GDP)</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 balance (US$ Millions)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(As % GDP)</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3"/>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Exports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45,422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47,688</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53,000</w:t>
            </w: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Imports</w:t>
            </w:r>
          </w:p>
        </w:tc>
        <w:tc>
          <w:tcPr>
            <w:tcW w:w="1100" w:type="dxa"/>
            <w:vAlign w:val="bottom"/>
          </w:tcPr>
          <w:p>
            <w:pPr>
              <w:jc w:val="right"/>
              <w:spacing w:after="0"/>
              <w:rPr>
                <w:sz w:val="20"/>
                <w:szCs w:val="20"/>
                <w:color w:val="auto"/>
              </w:rPr>
            </w:pPr>
            <w:r>
              <w:rPr>
                <w:rFonts w:ascii="Arial" w:cs="Arial" w:eastAsia="Arial" w:hAnsi="Arial"/>
                <w:sz w:val="16"/>
                <w:szCs w:val="16"/>
                <w:color w:val="auto"/>
              </w:rPr>
              <w:t>35,128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38,722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41,870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41,074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40,500</w:t>
            </w:r>
          </w:p>
        </w:tc>
        <w:tc>
          <w:tcPr>
            <w:tcW w:w="0" w:type="dxa"/>
            <w:vAlign w:val="bottom"/>
          </w:tcPr>
          <w:p>
            <w:pPr>
              <w:spacing w:after="0"/>
              <w:rPr>
                <w:sz w:val="1"/>
                <w:szCs w:val="1"/>
                <w:color w:val="auto"/>
              </w:rPr>
            </w:pPr>
          </w:p>
        </w:tc>
      </w:tr>
      <w:tr>
        <w:trPr>
          <w:trHeight w:val="193"/>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account balance (US$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Millions)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-5,064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-3,821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-3,531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(As % GDP)</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3"/>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international reserves (US$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Millions)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63,621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68,316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74,500</w:t>
            </w: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rPr>
                <w:sz w:val="20"/>
                <w:szCs w:val="20"/>
                <w:color w:val="auto"/>
              </w:rPr>
            </w:pPr>
            <w:r>
              <w:rPr>
                <w:rFonts w:ascii="Arial" w:cs="Arial" w:eastAsia="Arial" w:hAnsi="Arial"/>
                <w:sz w:val="16"/>
                <w:szCs w:val="16"/>
                <w:color w:val="auto"/>
              </w:rPr>
              <w:t>(As % GDP)</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 months of imports)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INEI, BCRP y SBS.</w:t>
      </w:r>
    </w:p>
    <w:p>
      <w:pPr>
        <w:spacing w:after="0" w:line="22" w:lineRule="exact"/>
        <w:rPr>
          <w:sz w:val="20"/>
          <w:szCs w:val="20"/>
          <w:color w:val="auto"/>
        </w:rPr>
      </w:pP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Financial System, Current Exchange Rate</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Inflation target: 1% - 3%</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Estimates by BCP Economic Research as of January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111760</wp:posOffset>
            </wp:positionV>
            <wp:extent cx="3651885" cy="1722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5188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Economic recovery continued at a better-than-initially-expected pace in the fourth quarter of 2020. After falling 9.4% YoY in the third quarter, our estimates suggest GDP declined 2.6% YoY in the last quarter of 2020. The fact that this economic contraction was less significant than initially estimated reflects a favorable external environment (the average price of copper increased from USD/lb. 2.96 in 3Q20 to USD/lb. 3.26 in 4Q20) and an uptick in several economic indicators for the local economy in an environment of recovery. In November 2020, monthly economic activity fell 2.8% YoY. During this month, the construction sector registered a notable advance of 17% YoY to reach an 88-month peak. Available indicators for December 2020 show that public investment by the general government increased 19% YoY (the second-best print in 10 months) while the number of transfers in the Real-Time Gross Settlement System advanced 4% YoY, a 10-year peak. During the same period, electricity demand fell only 0.1% YoY (Nov-20: -0.4%).</w:t>
      </w:r>
    </w:p>
    <w:p>
      <w:pPr>
        <w:spacing w:after="0" w:line="31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spacing w:after="0" w:line="279" w:lineRule="auto"/>
        <w:rPr>
          <w:sz w:val="20"/>
          <w:szCs w:val="20"/>
          <w:color w:val="auto"/>
        </w:rPr>
      </w:pPr>
      <w:r>
        <w:rPr>
          <w:rFonts w:ascii="Arial" w:cs="Arial" w:eastAsia="Arial" w:hAnsi="Arial"/>
          <w:sz w:val="17"/>
          <w:szCs w:val="17"/>
          <w:color w:val="auto"/>
        </w:rPr>
        <w:t>Using this information, our estimates suggest that GDP contracted 11.3% in 2020 due to the COVID-19 global pandemic. Throughout the majority of 2020, economic activity was limited by measures to limit COVID-19 contagion. The most drastic of these measures was the general lockdown imposed from March 16th to June 30th. The second half of 2020 was characterized by a gradual reopening of the economy in a context of improvement in the sanitary situation. For the end of 2020, estimates suggest that GDP stands only 3% below its pre-pandemic levels.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154305</wp:posOffset>
            </wp:positionV>
            <wp:extent cx="3583305" cy="17316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8330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headline inflation rate closed the fourth quarter of 2020 at 2.0% YoY (3Q20: 1.8%) and stood at the Central Bank’s target range mid-point (1% - 3%).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parallel, core inflation (excluding food and energy) remained at 1.8% YoY (3Q20: 1.8%) and registered 10 consecutive months below 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reference rate has remained at 0.25% since April, after being cut 100pbs at extraordinary monetary policy meetings in March and April respectively. In the last monetary policy meeting in January 2021, the Central Bank stressed for the ninth consecutive month that “the Board considers it appropriate to maintain a strong monetary stimulus for a prolonged period or for as long as the negative effects on inflation and its determinants persist. The Central Bank remains vigilant to increase monetary stimulus through several mechanisms”.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Regarding the Reactiva Peru program, by the end of 2020, liquidations of repo operations with state guarantees stood at PEN 50,726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Result and Current Account Balance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154305</wp:posOffset>
            </wp:positionV>
            <wp:extent cx="3454400" cy="1757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5440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BCRP</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*BCP estimates</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spacing w:after="0" w:line="279" w:lineRule="auto"/>
        <w:rPr>
          <w:sz w:val="20"/>
          <w:szCs w:val="20"/>
          <w:color w:val="auto"/>
        </w:rPr>
      </w:pPr>
      <w:r>
        <w:rPr>
          <w:rFonts w:ascii="Arial" w:cs="Arial" w:eastAsia="Arial" w:hAnsi="Arial"/>
          <w:sz w:val="17"/>
          <w:szCs w:val="17"/>
          <w:color w:val="auto"/>
        </w:rPr>
        <w:t>The fiscal deficit represented 8.9% of GDP in 2020 (2019: 1.6%). In the fourth quarter of 2020 fiscal revenues fell 6% YoY in real terms (3Q20: -18%). The drop is explained by a 1% YoY decrease in VAT revenues and 13% in Income Tax revenues. In the fourth quarter of 2020, non-financial government spending increased 34% YoY in real terms (3Q20: +7%). Current spending rose 41% YoY (3Q20: +13%), driven by an increase in monetary transfers in 127% YoY (3Q20: +41%), while public investment by the general government advanced 16% YoY in real terms (3Q20: -24%).</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November, the government issued US$ 4 billion in three tranches: (i) US$ 1 billion with a 12-year tenor, coupon rate of 1.862% and 100bps spread over Treasury, (ii) US$ 2 billion with a 40-year tenor, coupon rate of 2.780% and 125bps spread over Treasury, and (iii) US$ 1 billion with 101-year tenor, coupon rate of 3.230% and 170bps spread over Treasury.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January to November 2020, the trade balance posted a surplus of USD 6,303 million, which was 17% above the figure registered for the same period in 2019. Exports fell 14% YoY during the same period due to a 16% drop in traditional exports and an 8% YoY decline in non-traditional exports. Imports also fell, registering a decrease of 18% YoY where the most affected sectors were raw materials (-22% YoY) and capital goods (-18% YoY). Lastly, in November terms of trade grew 18% YoY, which represented a 10-year peak. In January-November, terms of trade increased 7.1% YoY.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154305</wp:posOffset>
            </wp:positionV>
            <wp:extent cx="3291840" cy="2040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918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560"/>
        <w:spacing w:after="0"/>
        <w:rPr>
          <w:sz w:val="20"/>
          <w:szCs w:val="20"/>
          <w:color w:val="auto"/>
        </w:rPr>
      </w:pPr>
      <w:r>
        <w:rPr>
          <w:rFonts w:ascii="Arial" w:cs="Arial" w:eastAsia="Arial" w:hAnsi="Arial"/>
          <w:sz w:val="18"/>
          <w:szCs w:val="18"/>
          <w:i w:val="1"/>
          <w:iCs w:val="1"/>
          <w:color w:val="auto"/>
        </w:rPr>
        <w:t>Source: SBS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exchange rate closed 2020 at USDPEN 3.621. Consequently, the Peruvian Sol depreciated 0.7% compared to 3Q20’s closing rate (USDPEN 3.597) and 9.3% compared to the closing rate of 2019 (USDPEN 3.314). In 4Q20, the exchange rate reached a new historical peak of USDPEN 3.67 on November 16th in a context of heightened political uncertainty on the local scene.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Peruvian Sol’s depreciation 2020 was accompanied by declines in the Brazilian Real (-29%), Mexican Peso (-5%) and Colombian Peso (-4%). In contrast, the Chilean Peso appreciated 6% in 2020 after depreciating 8.5% in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the Central Bank executed net sales in the spot FX market for US$ 159 million in a context marked by a depreciation in the Peruvian Sol. The institution also intervened to mitigate this depreciation through a gross issuance of FX Swaps (sales) for US$ 7,529 million and issuances of BCRP Readjustable Certificate Deposits for US$ 4,175 million. Lastly, Net International Reserves closed 2020 at US$ 74,707 million (a new annual historical peak) compared to US$ 68,316 million in 2019.</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line="62"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8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2019</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2020</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 2020</w:t>
            </w:r>
          </w:p>
        </w:tc>
        <w:tc>
          <w:tcPr>
            <w:tcW w:w="220" w:type="dxa"/>
            <w:vAlign w:val="bottom"/>
          </w:tcPr>
          <w:p>
            <w:pPr>
              <w:spacing w:after="0"/>
              <w:rPr>
                <w:sz w:val="19"/>
                <w:szCs w:val="19"/>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8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Cash and due from banks </w:t>
            </w:r>
            <w:r>
              <w:rPr>
                <w:rFonts w:ascii="Arial" w:cs="Arial" w:eastAsia="Arial" w:hAnsi="Arial"/>
                <w:sz w:val="29"/>
                <w:szCs w:val="29"/>
                <w:b w:val="1"/>
                <w:bCs w:val="1"/>
                <w:color w:val="auto"/>
                <w:vertAlign w:val="superscript"/>
              </w:rPr>
              <w:t>(1)</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bearing</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6,177,356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6,916,416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8,176,612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19,809,406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28,221,543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28,576,382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cash and due from banks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25,986,762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35,137,959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36,752,994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05"/>
        </w:trPr>
        <w:tc>
          <w:tcPr>
            <w:tcW w:w="3980" w:type="dxa"/>
            <w:vAlign w:val="bottom"/>
          </w:tcPr>
          <w:p>
            <w:pPr>
              <w:spacing w:after="0" w:line="206" w:lineRule="exact"/>
              <w:rPr>
                <w:sz w:val="20"/>
                <w:szCs w:val="20"/>
                <w:color w:val="auto"/>
              </w:rPr>
            </w:pPr>
            <w:r>
              <w:rPr>
                <w:rFonts w:ascii="Arial" w:cs="Arial" w:eastAsia="Arial" w:hAnsi="Arial"/>
                <w:sz w:val="18"/>
                <w:szCs w:val="18"/>
                <w:color w:val="auto"/>
                <w:w w:val="94"/>
              </w:rPr>
              <w:t>Cash collateral, reverse repurchase agreements and</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80" w:type="dxa"/>
            <w:vAlign w:val="bottom"/>
          </w:tcPr>
          <w:p>
            <w:pPr>
              <w:ind w:left="180"/>
              <w:spacing w:after="0" w:line="267" w:lineRule="exact"/>
              <w:rPr>
                <w:sz w:val="20"/>
                <w:szCs w:val="20"/>
                <w:color w:val="auto"/>
              </w:rPr>
            </w:pPr>
            <w:r>
              <w:rPr>
                <w:rFonts w:ascii="Arial" w:cs="Arial" w:eastAsia="Arial" w:hAnsi="Arial"/>
                <w:sz w:val="18"/>
                <w:szCs w:val="18"/>
                <w:color w:val="auto"/>
              </w:rPr>
              <w:t xml:space="preserve">securities borrowing </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4,288,524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2,821,116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2,394,302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Fair value through profit or loss investments </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3,850,762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6,658,680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6,467,471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5"/>
        </w:trPr>
        <w:tc>
          <w:tcPr>
            <w:tcW w:w="3980" w:type="dxa"/>
            <w:vAlign w:val="bottom"/>
          </w:tcPr>
          <w:p>
            <w:pPr>
              <w:spacing w:after="0" w:line="206" w:lineRule="exact"/>
              <w:rPr>
                <w:sz w:val="20"/>
                <w:szCs w:val="20"/>
                <w:color w:val="auto"/>
              </w:rPr>
            </w:pPr>
            <w:r>
              <w:rPr>
                <w:rFonts w:ascii="Arial" w:cs="Arial" w:eastAsia="Arial" w:hAnsi="Arial"/>
                <w:sz w:val="18"/>
                <w:szCs w:val="18"/>
                <w:color w:val="auto"/>
              </w:rPr>
              <w:t>Fair value through other comprehensive income</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80" w:type="dxa"/>
            <w:vAlign w:val="bottom"/>
          </w:tcPr>
          <w:p>
            <w:pPr>
              <w:ind w:left="180"/>
              <w:spacing w:after="0" w:line="26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9"/>
                <w:szCs w:val="29"/>
                <w:color w:val="auto"/>
                <w:vertAlign w:val="superscript"/>
              </w:rPr>
              <w:t>(2)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26,202,723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40,712,831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43,743,889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3,477,046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4,277,475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4,962,382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115,609,679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136,148,711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137,659,885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112,311,888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132,005,867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132,984,154</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 overdue loans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3,297,791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4,142,844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4,675,731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56"/>
        </w:trPr>
        <w:tc>
          <w:tcPr>
            <w:tcW w:w="398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Less - allowance for loan losses </w:t>
            </w:r>
            <w:r>
              <w:rPr>
                <w:rFonts w:ascii="Arial" w:cs="Arial" w:eastAsia="Arial" w:hAnsi="Arial"/>
                <w:sz w:val="29"/>
                <w:szCs w:val="29"/>
                <w:color w:val="auto"/>
                <w:vertAlign w:val="superscript"/>
              </w:rPr>
              <w:t>(2)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(5,123,962)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(9,656,383)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(9,898,760)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110,485,717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126,492,328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127,761,125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5"/>
        </w:trPr>
        <w:tc>
          <w:tcPr>
            <w:tcW w:w="3980" w:type="dxa"/>
            <w:vAlign w:val="bottom"/>
          </w:tcPr>
          <w:p>
            <w:pPr>
              <w:spacing w:after="0" w:line="206" w:lineRule="exact"/>
              <w:rPr>
                <w:sz w:val="20"/>
                <w:szCs w:val="20"/>
                <w:color w:val="auto"/>
              </w:rPr>
            </w:pPr>
            <w:r>
              <w:rPr>
                <w:rFonts w:ascii="Arial" w:cs="Arial" w:eastAsia="Arial" w:hAnsi="Arial"/>
                <w:sz w:val="18"/>
                <w:szCs w:val="18"/>
                <w:color w:val="auto"/>
              </w:rPr>
              <w:t>Financial assets designated at fair value through</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80" w:type="dxa"/>
            <w:vAlign w:val="bottom"/>
          </w:tcPr>
          <w:p>
            <w:pPr>
              <w:ind w:left="180"/>
              <w:spacing w:after="0" w:line="267" w:lineRule="exact"/>
              <w:rPr>
                <w:sz w:val="20"/>
                <w:szCs w:val="20"/>
                <w:color w:val="auto"/>
              </w:rPr>
            </w:pPr>
            <w:r>
              <w:rPr>
                <w:rFonts w:ascii="Arial" w:cs="Arial" w:eastAsia="Arial" w:hAnsi="Arial"/>
                <w:sz w:val="18"/>
                <w:szCs w:val="18"/>
                <w:color w:val="auto"/>
              </w:rPr>
              <w:t xml:space="preserve">profit or loss </w:t>
            </w:r>
            <w:r>
              <w:rPr>
                <w:rFonts w:ascii="Arial" w:cs="Arial" w:eastAsia="Arial" w:hAnsi="Arial"/>
                <w:sz w:val="29"/>
                <w:szCs w:val="29"/>
                <w:color w:val="auto"/>
                <w:vertAlign w:val="superscript"/>
              </w:rPr>
              <w:t>(2)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620,544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729,059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823,270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6"/>
              </w:rPr>
              <w:t>Accounts receivable from reinsurers and coinsurers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791,704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833,039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919,419</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Premiums and other policyholder receivables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838,731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801,480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937,223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9"/>
                <w:szCs w:val="29"/>
                <w:color w:val="auto"/>
                <w:vertAlign w:val="superscript"/>
              </w:rPr>
              <w:t>(2)(4)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2,250,013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2,090,092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2,077,803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535,222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256,238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455,343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Investments in associates </w:t>
            </w:r>
            <w:r>
              <w:rPr>
                <w:rFonts w:ascii="Arial" w:cs="Arial" w:eastAsia="Arial" w:hAnsi="Arial"/>
                <w:sz w:val="29"/>
                <w:szCs w:val="29"/>
                <w:color w:val="auto"/>
                <w:vertAlign w:val="superscript"/>
              </w:rPr>
              <w:t>(5)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628,822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627,786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645,886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6"/>
        </w:trPr>
        <w:tc>
          <w:tcPr>
            <w:tcW w:w="3980" w:type="dxa"/>
            <w:vAlign w:val="bottom"/>
          </w:tcPr>
          <w:p>
            <w:pPr>
              <w:spacing w:after="0" w:line="256" w:lineRule="exact"/>
              <w:rPr>
                <w:sz w:val="20"/>
                <w:szCs w:val="20"/>
                <w:color w:val="auto"/>
              </w:rPr>
            </w:pPr>
            <w:r>
              <w:rPr>
                <w:rFonts w:ascii="Arial" w:cs="Arial" w:eastAsia="Arial" w:hAnsi="Arial"/>
                <w:sz w:val="18"/>
                <w:szCs w:val="18"/>
                <w:color w:val="auto"/>
              </w:rPr>
              <w:t xml:space="preserve">Intangible assets and goodwill, net </w:t>
            </w:r>
            <w:r>
              <w:rPr>
                <w:rFonts w:ascii="Arial" w:cs="Arial" w:eastAsia="Arial" w:hAnsi="Arial"/>
                <w:sz w:val="29"/>
                <w:szCs w:val="29"/>
                <w:color w:val="auto"/>
                <w:vertAlign w:val="superscript"/>
              </w:rPr>
              <w:t>(2)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2,552,274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2,474,665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2,639,297</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(2)(6)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5,350,496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7,773,402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6,858,104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3980" w:type="dxa"/>
            <w:vAlign w:val="bottom"/>
          </w:tcPr>
          <w:p>
            <w:pPr>
              <w:ind w:left="1640"/>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187,859,340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231,686,150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237,438,508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bearing</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28,316,170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45,680,396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47,623,119</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83,689,215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91,522,278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94,742,383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deposits and obligations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112,005,385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137,202,674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142,365,502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Payables from repurchase agreements and securities</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lending</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7,678,016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27,778,922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27,923,617</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BCRP instruments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4,381,011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25,344,724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25,734,963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agreements with third parties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1,820,911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1,204,487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1,072,920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Repurchase agreements with customers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1,476,094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1,229,711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1,115,734</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8,841,732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6,601,722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5,978,257</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Bonds and notes issued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14,946,363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16,425,832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16,319,407</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535,222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256,238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455,343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Reserves for property and casualty claims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1,576,228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1,982,653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2,050,474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8,374,005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9,111,195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9,624,602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to reinsurers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216,734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222,194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338,446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5"/>
        </w:trPr>
        <w:tc>
          <w:tcPr>
            <w:tcW w:w="3980" w:type="dxa"/>
            <w:vAlign w:val="bottom"/>
          </w:tcPr>
          <w:p>
            <w:pPr>
              <w:spacing w:after="0" w:line="206" w:lineRule="exact"/>
              <w:rPr>
                <w:sz w:val="20"/>
                <w:szCs w:val="20"/>
                <w:color w:val="auto"/>
              </w:rPr>
            </w:pPr>
            <w:r>
              <w:rPr>
                <w:rFonts w:ascii="Arial" w:cs="Arial" w:eastAsia="Arial" w:hAnsi="Arial"/>
                <w:sz w:val="18"/>
                <w:szCs w:val="18"/>
                <w:color w:val="auto"/>
                <w:w w:val="96"/>
              </w:rPr>
              <w:t>Financial liabilities at fair value through profit or loss</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493,700</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352,889</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561,602</w:t>
            </w:r>
          </w:p>
        </w:tc>
        <w:tc>
          <w:tcPr>
            <w:tcW w:w="1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17"/>
                <w:szCs w:val="17"/>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Arial" w:cs="Arial" w:eastAsia="Arial" w:hAnsi="Arial"/>
                <w:sz w:val="15"/>
                <w:szCs w:val="15"/>
                <w:color w:val="auto"/>
              </w:rPr>
              <w:t>(2)(7)</w:t>
            </w: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6,445,645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7,685,061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6,375,611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161,113,030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207,619,380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211,992,861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26,237,960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23,594,683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24,945,870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1,318,993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(207,839)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(209,305)</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(208,433)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 surplus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226,037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157,767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192,625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19,437,645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21,405,740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21,429,635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1,088,189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1,224,135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1,865,898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4,374,935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347,152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508,350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472,087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499,777</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20" w:right="3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1300"/>
              <w:spacing w:after="0"/>
              <w:rPr>
                <w:sz w:val="20"/>
                <w:szCs w:val="20"/>
                <w:color w:val="auto"/>
              </w:rPr>
            </w:pPr>
            <w:r>
              <w:rPr>
                <w:rFonts w:ascii="Arial" w:cs="Arial" w:eastAsia="Arial" w:hAnsi="Arial"/>
                <w:sz w:val="18"/>
                <w:szCs w:val="18"/>
                <w:b w:val="1"/>
                <w:bCs w:val="1"/>
                <w:color w:val="auto"/>
              </w:rPr>
              <w:t>Total Net Equity</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26,746,310</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24,066,770</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25,445,647</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5.7%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3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187,859,340</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231,686,150</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237,438,508</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2.5%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26.4%</w:t>
            </w:r>
          </w:p>
        </w:tc>
      </w:tr>
      <w:tr>
        <w:trPr>
          <w:trHeight w:val="216"/>
        </w:trPr>
        <w:tc>
          <w:tcPr>
            <w:tcW w:w="3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Off-balance sheet</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125,344,301</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131,512,273</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133,568,004</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21,081,035</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18,519,960</w:t>
            </w:r>
          </w:p>
        </w:tc>
        <w:tc>
          <w:tcPr>
            <w:tcW w:w="1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20,973,810</w:t>
            </w:r>
          </w:p>
        </w:tc>
        <w:tc>
          <w:tcPr>
            <w:tcW w:w="16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Undrawn credit lines, advised but not committed</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75,613,805</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81,926,284</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86,074,859</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5.1%</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28,649,461</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31,066,029</w:t>
            </w:r>
          </w:p>
        </w:tc>
        <w:tc>
          <w:tcPr>
            <w:tcW w:w="1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26,519,335</w:t>
            </w:r>
          </w:p>
        </w:tc>
        <w:tc>
          <w:tcPr>
            <w:tcW w:w="16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ind w:firstLine="8"/>
        <w:spacing w:after="0" w:line="291" w:lineRule="auto"/>
        <w:tabs>
          <w:tab w:leader="none" w:pos="2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in 2019 period, due to the reclassification to the item "Cash collateral, reverse repurchase agreements and securities borrowing" mainly for the cash collateral in dollars delivered to the BCRP, previously presented in the item "Cash and due from banks".</w:t>
      </w: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2019 period, due to the reclassifications.</w:t>
      </w:r>
    </w:p>
    <w:p>
      <w:pPr>
        <w:spacing w:after="0" w:line="9" w:lineRule="exact"/>
        <w:rPr>
          <w:rFonts w:ascii="Arial" w:cs="Arial" w:eastAsia="Arial" w:hAnsi="Arial"/>
          <w:sz w:val="18"/>
          <w:szCs w:val="18"/>
          <w:color w:val="auto"/>
        </w:rPr>
      </w:pPr>
    </w:p>
    <w:p>
      <w:pPr>
        <w:ind w:right="20" w:firstLine="8"/>
        <w:spacing w:after="0" w:line="250" w:lineRule="auto"/>
        <w:tabs>
          <w:tab w:leader="none" w:pos="2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under the item "Investments at fair value through profit or loss".</w:t>
      </w:r>
    </w:p>
    <w:p>
      <w:pPr>
        <w:jc w:val="both"/>
        <w:ind w:firstLine="8"/>
        <w:spacing w:after="0" w:line="250" w:lineRule="auto"/>
        <w:tabs>
          <w:tab w:leader="none" w:pos="27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2018 period, due to the reclassification of the expenses on improvements in building for rent, previously presented in the item “Other assets”. Likewise, in the period 2019, the asset for the right to use the lease contracts was incorporated, in application of IFRS 16.</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investments in associates, mainly Banmedica and Visanet, among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mainly accounts receivables from brokerage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in the item "Other liabilities".</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20"/>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4Q19</w:t>
            </w: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3Q20</w:t>
            </w:r>
          </w:p>
        </w:tc>
        <w:tc>
          <w:tcPr>
            <w:tcW w:w="7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4Q20</w:t>
            </w:r>
          </w:p>
        </w:tc>
        <w:tc>
          <w:tcPr>
            <w:tcW w:w="220" w:type="dxa"/>
            <w:vAlign w:val="bottom"/>
          </w:tcPr>
          <w:p>
            <w:pPr>
              <w:spacing w:after="0"/>
              <w:rPr>
                <w:sz w:val="13"/>
                <w:szCs w:val="13"/>
                <w:color w:val="auto"/>
              </w:rPr>
            </w:pPr>
          </w:p>
        </w:tc>
        <w:tc>
          <w:tcPr>
            <w:tcW w:w="110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QoQ</w:t>
            </w:r>
          </w:p>
        </w:tc>
        <w:tc>
          <w:tcPr>
            <w:tcW w:w="44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 / 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3,172,695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2,953,570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2,703,100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12,381,664</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11,547,648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(807,645)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(791,875)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(633,880)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(3,289,913)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(2,976,306)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36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2,365,050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2,161,695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2,069,220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9,091,751</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8,571,342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Gross provision for credit losses on loan portfolio</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(568,727)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(1,348,726)</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(785,194)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-41.8%</w:t>
            </w: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(2,100,091)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(6,080,289)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57,068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42,821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52,529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254,155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159,781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26"/>
        </w:trPr>
        <w:tc>
          <w:tcPr>
            <w:tcW w:w="3680" w:type="dxa"/>
            <w:vAlign w:val="bottom"/>
          </w:tcPr>
          <w:p>
            <w:pPr>
              <w:spacing w:after="0" w:line="126" w:lineRule="exact"/>
              <w:rPr>
                <w:sz w:val="20"/>
                <w:szCs w:val="20"/>
                <w:color w:val="auto"/>
              </w:rPr>
            </w:pPr>
            <w:r>
              <w:rPr>
                <w:rFonts w:ascii="Arial" w:cs="Arial" w:eastAsia="Arial" w:hAnsi="Arial"/>
                <w:sz w:val="14"/>
                <w:szCs w:val="14"/>
                <w:b w:val="1"/>
                <w:bCs w:val="1"/>
                <w:color w:val="auto"/>
              </w:rPr>
              <w:t>Provision for credit losses on loan portfolio, net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(511,659)</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(1,305,905)</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(732,665)</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-43.9%</w:t>
            </w:r>
          </w:p>
        </w:tc>
        <w:tc>
          <w:tcPr>
            <w:tcW w:w="2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43.2%</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(1,845,936)</w:t>
            </w:r>
          </w:p>
        </w:tc>
        <w:tc>
          <w:tcPr>
            <w:tcW w:w="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(5,920,508)</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220.7%</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recoveries</w:t>
            </w: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1,853,391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855,790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1,336,555</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n.a.</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7,245,815</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2,650,834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-63.4%</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847,206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775,805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873,155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3,232,781</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2,912,778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193,528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155,028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151,464</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748,382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622,783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Net gain on sales of securities </w:t>
            </w:r>
            <w:r>
              <w:rPr>
                <w:rFonts w:ascii="Arial" w:cs="Arial" w:eastAsia="Arial" w:hAnsi="Arial"/>
                <w:sz w:val="21"/>
                <w:szCs w:val="21"/>
                <w:color w:val="auto"/>
                <w:vertAlign w:val="superscript"/>
              </w:rPr>
              <w:t>(3)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102,011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135,957</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162,523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19.5%</w:t>
            </w:r>
          </w:p>
        </w:tc>
        <w:tc>
          <w:tcPr>
            <w:tcW w:w="2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59.3%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466,970</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458,410</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(3)(4)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22,738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11,245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19,297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71.6%</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79,844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64,672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8"/>
        </w:trPr>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Net gain on derivatives held for trading</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(21,297)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18,298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-185.9%</w:t>
            </w:r>
          </w:p>
        </w:tc>
        <w:tc>
          <w:tcPr>
            <w:tcW w:w="2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6,043</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40,789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Net gain from exchange differences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17,745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11,152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75.3%</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19,520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Other non-financial income </w:t>
            </w:r>
            <w:r>
              <w:rPr>
                <w:rFonts w:ascii="Arial" w:cs="Arial" w:eastAsia="Arial" w:hAnsi="Arial"/>
                <w:sz w:val="21"/>
                <w:szCs w:val="21"/>
                <w:color w:val="auto"/>
                <w:vertAlign w:val="superscript"/>
              </w:rPr>
              <w:t>(1)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75,274</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39,498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94,517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139.3%</w:t>
            </w:r>
          </w:p>
        </w:tc>
        <w:tc>
          <w:tcPr>
            <w:tcW w:w="2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25.6%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344,229</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286,981</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non-financial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1,265,545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1,102,597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1,330,406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20.7%</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4,897,769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4,406,217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Net earned premiums </w:t>
            </w:r>
            <w:r>
              <w:rPr>
                <w:rFonts w:ascii="Arial" w:cs="Arial" w:eastAsia="Arial" w:hAnsi="Arial"/>
                <w:sz w:val="21"/>
                <w:szCs w:val="21"/>
                <w:color w:val="auto"/>
                <w:vertAlign w:val="superscript"/>
              </w:rPr>
              <w:t>(1)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620,578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595,394</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652,669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9.6%</w:t>
            </w:r>
          </w:p>
        </w:tc>
        <w:tc>
          <w:tcPr>
            <w:tcW w:w="2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2,394,243</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2,428,060</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Net claims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(387,426)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(513,091)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(492,738)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(1,531,418)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(1,708,113)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(88,662)</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(86,643)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(75,065)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-15.3%</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(365,848)</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(361,814)</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144,490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(4,340)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84,866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-2055.4%</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-41.3%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496,977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358,133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Salaries and employee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(885,526)</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(803,438)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(792,335)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(3,411,023)</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(3,312,954)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Administrative, general and tax expenses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(693,458)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(588,994)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(749,393)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(2,361,117)</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(2,386,108)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(1)(6)</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(175,168)</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(168,234)</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(158,494)</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-9.5%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(624,439)</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(669,915)</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Impairment loss on goodwill</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(63,978)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(63,978)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6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Association in participation </w:t>
            </w:r>
            <w:r>
              <w:rPr>
                <w:rFonts w:ascii="Arial" w:cs="Arial" w:eastAsia="Arial" w:hAnsi="Arial"/>
                <w:sz w:val="21"/>
                <w:szCs w:val="21"/>
                <w:color w:val="auto"/>
                <w:vertAlign w:val="superscript"/>
              </w:rPr>
              <w:t>(7)</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(9,806)</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(10,566)</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(17,079)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61.6%</w:t>
            </w:r>
          </w:p>
        </w:tc>
        <w:tc>
          <w:tcPr>
            <w:tcW w:w="2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74.2%</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(22,636)</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(52,019)</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Other expenses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(123,261)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(166,710)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(265,255)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59.1%</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(245,833)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(706,049)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187.2%</w:t>
            </w:r>
          </w:p>
        </w:tc>
        <w:tc>
          <w:tcPr>
            <w:tcW w:w="0" w:type="dxa"/>
            <w:vAlign w:val="bottom"/>
          </w:tcPr>
          <w:p>
            <w:pPr>
              <w:spacing w:after="0"/>
              <w:rPr>
                <w:sz w:val="1"/>
                <w:szCs w:val="1"/>
                <w:color w:val="auto"/>
              </w:rPr>
            </w:pPr>
          </w:p>
        </w:tc>
      </w:tr>
      <w:tr>
        <w:trPr>
          <w:trHeight w:val="148"/>
        </w:trPr>
        <w:tc>
          <w:tcPr>
            <w:tcW w:w="36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(1,887,219)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(1,801,920)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(1,982,556)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(6,665,048)</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(7,191,023)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1,376,207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152,127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769,271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405.7%</w:t>
            </w:r>
          </w:p>
        </w:tc>
        <w:tc>
          <w:tcPr>
            <w:tcW w:w="2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-44.1%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5,975,513</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224,161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-96.2%</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40"/>
              <w:spacing w:after="0" w:line="149" w:lineRule="exact"/>
              <w:rPr>
                <w:sz w:val="20"/>
                <w:szCs w:val="20"/>
                <w:color w:val="auto"/>
              </w:rPr>
            </w:pPr>
            <w:r>
              <w:rPr>
                <w:rFonts w:ascii="Arial" w:cs="Arial" w:eastAsia="Arial" w:hAnsi="Arial"/>
                <w:sz w:val="14"/>
                <w:szCs w:val="14"/>
                <w:color w:val="auto"/>
              </w:rPr>
              <w:t>Income tax</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(383,250)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(55,539)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(103,460)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86.3%</w:t>
            </w: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(1,623,182)</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109,977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992,957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96,588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665,811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589.3%</w:t>
            </w:r>
          </w:p>
        </w:tc>
        <w:tc>
          <w:tcPr>
            <w:tcW w:w="2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-32.9%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4,352,331</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334,138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-92.3%</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20,127</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(8,018)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12,407</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87,027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(12,756)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Arial" w:cs="Arial" w:eastAsia="Arial" w:hAnsi="Arial"/>
                <w:sz w:val="14"/>
                <w:szCs w:val="14"/>
                <w:b w:val="1"/>
                <w:bCs w:val="1"/>
                <w:color w:val="auto"/>
              </w:rPr>
              <w:t>Net profit attributable to Credicorp</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972,830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104,606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653,404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524.6%</w:t>
            </w:r>
          </w:p>
        </w:tc>
        <w:tc>
          <w:tcPr>
            <w:tcW w:w="2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4,265,304</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346,894</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-91.9</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 w:hanging="212"/>
        <w:spacing w:after="0"/>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differ from those previously reported in 2018 period.</w:t>
      </w:r>
    </w:p>
    <w:p>
      <w:pPr>
        <w:ind w:left="220" w:hanging="212"/>
        <w:spacing w:after="0" w:line="221"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 of 2019, financing expenses related to lease agreements is included according to the application of IFRS 16.</w:t>
      </w:r>
    </w:p>
    <w:p>
      <w:pPr>
        <w:ind w:right="20" w:firstLine="8"/>
        <w:spacing w:after="0" w:line="221" w:lineRule="auto"/>
        <w:tabs>
          <w:tab w:leader="none" w:pos="221" w:val="left"/>
        </w:tabs>
        <w:numPr>
          <w:ilvl w:val="0"/>
          <w:numId w:val="90"/>
        </w:numPr>
        <w:rPr>
          <w:rFonts w:ascii="Arial" w:cs="Arial" w:eastAsia="Arial" w:hAnsi="Arial"/>
          <w:sz w:val="14"/>
          <w:szCs w:val="14"/>
          <w:color w:val="auto"/>
        </w:rPr>
      </w:pPr>
      <w:r>
        <w:rPr>
          <w:rFonts w:ascii="Arial" w:cs="Arial" w:eastAsia="Arial" w:hAnsi="Arial"/>
          <w:sz w:val="14"/>
          <w:szCs w:val="14"/>
          <w:color w:val="auto"/>
        </w:rPr>
        <w:t>Starting in 2019 the gain from other investments in related companies has been included in the item "Net gain in associates"; which previously was presented in the item "Net gain on securities".</w:t>
      </w:r>
    </w:p>
    <w:p>
      <w:pPr>
        <w:ind w:left="220" w:hanging="212"/>
        <w:spacing w:after="0" w:line="221"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w:t>
      </w:r>
    </w:p>
    <w:p>
      <w:pPr>
        <w:ind w:left="220" w:hanging="212"/>
        <w:spacing w:after="0" w:line="221"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acquisition cost of Pacifico includes net fees and underwriting expenses.</w:t>
      </w:r>
    </w:p>
    <w:p>
      <w:pPr>
        <w:ind w:firstLine="8"/>
        <w:spacing w:after="0" w:line="221" w:lineRule="auto"/>
        <w:tabs>
          <w:tab w:leader="none" w:pos="213" w:val="left"/>
        </w:tabs>
        <w:numPr>
          <w:ilvl w:val="0"/>
          <w:numId w:val="90"/>
        </w:numPr>
        <w:rPr>
          <w:rFonts w:ascii="Arial" w:cs="Arial" w:eastAsia="Arial" w:hAnsi="Arial"/>
          <w:sz w:val="14"/>
          <w:szCs w:val="14"/>
          <w:color w:val="auto"/>
        </w:rPr>
      </w:pPr>
      <w:r>
        <w:rPr>
          <w:rFonts w:ascii="Arial" w:cs="Arial" w:eastAsia="Arial" w:hAnsi="Arial"/>
          <w:sz w:val="14"/>
          <w:szCs w:val="14"/>
          <w:color w:val="auto"/>
        </w:rPr>
        <w:t>From 1Q19,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20" w:hanging="212"/>
        <w:spacing w:after="0"/>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item “Association in participation” was incorporated, which previously was presented in the item “Net gain on securities”</w:t>
      </w: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Separate Statement of Financal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11.2. Credicorp Stand-alone</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7"/>
              </w:rPr>
              <w:t>As of</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Sep-20</w:t>
            </w:r>
          </w:p>
        </w:tc>
        <w:tc>
          <w:tcPr>
            <w:tcW w:w="10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Dec-20</w:t>
            </w:r>
          </w:p>
        </w:tc>
        <w:tc>
          <w:tcPr>
            <w:tcW w:w="100" w:type="dxa"/>
            <w:vAlign w:val="bottom"/>
          </w:tcPr>
          <w:p>
            <w:pPr>
              <w:spacing w:after="0"/>
              <w:rPr>
                <w:sz w:val="19"/>
                <w:szCs w:val="19"/>
                <w:color w:val="auto"/>
              </w:rPr>
            </w:pP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777,709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1,114,167</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fair value through profit or loss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234,851</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459,217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463,286</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subsidiaries and associates investments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27,361,569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29,118,425</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1,064,712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3700"/>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29,663,507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30,930,920</w:t>
            </w:r>
          </w:p>
        </w:tc>
      </w:t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1,795,528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1,794,879</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99,861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110,827</w:t>
            </w:r>
          </w:p>
        </w:tc>
      </w:t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3560"/>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1,895,389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1,905,706</w:t>
            </w:r>
          </w:p>
        </w:tc>
      </w:t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1,318,993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1,318,993</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384,542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384,542</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Reserve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21,070,409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21,070,409</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results</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1,020,916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1,666,372</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3,973,258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4,584,898</w:t>
            </w:r>
          </w:p>
        </w:tc>
      </w:tr>
      <w:tr>
        <w:trPr>
          <w:trHeight w:val="216"/>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3560"/>
              <w:spacing w:after="0"/>
              <w:rPr>
                <w:sz w:val="20"/>
                <w:szCs w:val="20"/>
                <w:color w:val="auto"/>
              </w:rPr>
            </w:pPr>
            <w:r>
              <w:rPr>
                <w:rFonts w:ascii="Arial" w:cs="Arial" w:eastAsia="Arial" w:hAnsi="Arial"/>
                <w:sz w:val="18"/>
                <w:szCs w:val="18"/>
                <w:b w:val="1"/>
                <w:bCs w:val="1"/>
                <w:color w:val="auto"/>
              </w:rPr>
              <w:t>Total net equity</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27,768,118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29,025,214</w:t>
            </w:r>
          </w:p>
        </w:tc>
      </w:tr>
      <w:tr>
        <w:trPr>
          <w:trHeight w:val="216"/>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29,663,507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30,930,920</w:t>
            </w:r>
          </w:p>
        </w:tc>
      </w:tr>
      <w:tr>
        <w:trPr>
          <w:trHeight w:val="427"/>
        </w:trPr>
        <w:tc>
          <w:tcPr>
            <w:tcW w:w="8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Quarter</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3Q20</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4Q20</w:t>
            </w:r>
          </w:p>
        </w:tc>
        <w:tc>
          <w:tcPr>
            <w:tcW w:w="180" w:type="dxa"/>
            <w:vAlign w:val="bottom"/>
            <w:gridSpan w:val="2"/>
          </w:tcPr>
          <w:p>
            <w:pPr>
              <w:spacing w:after="0"/>
              <w:rPr>
                <w:sz w:val="19"/>
                <w:szCs w:val="19"/>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Net share of the income from investments in subsidiaries and associates</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238,049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865,516</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income</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income</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246,427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876,775</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Interest and similar expense</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(28,424)</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general expenses</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(31,268)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(47,564)</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215,159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829,211</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net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210,414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825,622</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(33,224)</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177,428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792,398</w:t>
            </w:r>
          </w:p>
        </w:tc>
        <w:tc>
          <w:tcPr>
            <w:tcW w:w="100" w:type="dxa"/>
            <w:vAlign w:val="bottom"/>
          </w:tcPr>
          <w:p>
            <w:pPr>
              <w:spacing w:after="0"/>
              <w:rPr>
                <w:sz w:val="19"/>
                <w:szCs w:val="19"/>
                <w:color w:val="auto"/>
              </w:rPr>
            </w:pPr>
          </w:p>
        </w:tc>
      </w:tr>
      <w:tr>
        <w:trPr>
          <w:trHeight w:val="25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Double Leverage Ratio</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98.54</w:t>
            </w:r>
          </w:p>
        </w:tc>
        <w:tc>
          <w:tcPr>
            <w:tcW w:w="3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100.30</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628"/>
        </w:trPr>
        <w:tc>
          <w:tcPr>
            <w:tcW w:w="8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11.3.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ind w:left="80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19</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Sep 20</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20</w:t>
            </w:r>
          </w:p>
        </w:tc>
        <w:tc>
          <w:tcPr>
            <w:tcW w:w="1560" w:type="dxa"/>
            <w:vAlign w:val="bottom"/>
            <w:gridSpan w:val="3"/>
          </w:tcPr>
          <w:p>
            <w:pPr>
              <w:ind w:left="340"/>
              <w:spacing w:after="0"/>
              <w:rPr>
                <w:sz w:val="20"/>
                <w:szCs w:val="20"/>
                <w:color w:val="auto"/>
              </w:rPr>
            </w:pPr>
            <w:r>
              <w:rPr>
                <w:rFonts w:ascii="Arial" w:cs="Arial" w:eastAsia="Arial" w:hAnsi="Arial"/>
                <w:sz w:val="16"/>
                <w:szCs w:val="16"/>
                <w:b w:val="1"/>
                <w:bCs w:val="1"/>
                <w:color w:val="auto"/>
              </w:rPr>
              <w:t>QoQ</w:t>
            </w:r>
          </w:p>
        </w:tc>
        <w:tc>
          <w:tcPr>
            <w:tcW w:w="90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4,608,148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5,097,856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5,814,295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19,148,673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26,887,477</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27,257,699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23,756,821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31,985,333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33,071,994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Cash collateral, reverse repurchase agreements and securities borrowing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3,045,261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1,767,692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1,345,981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-23.9%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1,874,577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2,168,500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14,263,353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27,515,047</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29,604,474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7.6%</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3,455,877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4,251,291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4,933,333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104,886,920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124,515,950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125,716,877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101,730,830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120,522,261</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121,179,978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3,156,090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3,993,689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4,536,899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Less - allowance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(4,761,111)</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(9,078,981)</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(9,266,046)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100,125,809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115,436,969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116,450,831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line="243" w:lineRule="exact"/>
              <w:rPr>
                <w:sz w:val="20"/>
                <w:szCs w:val="20"/>
                <w:color w:val="auto"/>
              </w:rPr>
            </w:pPr>
            <w:r>
              <w:rPr>
                <w:rFonts w:ascii="Arial" w:cs="Arial" w:eastAsia="Arial" w:hAnsi="Arial"/>
                <w:sz w:val="16"/>
                <w:szCs w:val="16"/>
                <w:b w:val="1"/>
                <w:bCs w:val="1"/>
                <w:color w:val="auto"/>
              </w:rPr>
              <w:t xml:space="preserve">Property, furniture and equipment, net </w:t>
            </w:r>
            <w:r>
              <w:rPr>
                <w:rFonts w:ascii="Arial" w:cs="Arial" w:eastAsia="Arial" w:hAnsi="Arial"/>
                <w:sz w:val="26"/>
                <w:szCs w:val="26"/>
                <w:b w:val="1"/>
                <w:bCs w:val="1"/>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1,996,773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1,819,367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1,789,869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535,222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256,238</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77.7%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line="243" w:lineRule="exact"/>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6"/>
                <w:szCs w:val="26"/>
                <w:b w:val="1"/>
                <w:bCs w:val="1"/>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4,992,105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6,515,998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5,882,200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-9.7%</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Total Assets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152,171,463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191,422,512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195,702,525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Deposits and obligations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line="243" w:lineRule="exact"/>
              <w:rPr>
                <w:sz w:val="20"/>
                <w:szCs w:val="20"/>
                <w:color w:val="auto"/>
              </w:rPr>
            </w:pPr>
            <w:r>
              <w:rPr>
                <w:rFonts w:ascii="Arial" w:cs="Arial" w:eastAsia="Arial" w:hAnsi="Arial"/>
                <w:sz w:val="16"/>
                <w:szCs w:val="16"/>
                <w:color w:val="auto"/>
              </w:rPr>
              <w:t xml:space="preserve">Non-interest bearing </w:t>
            </w:r>
            <w:r>
              <w:rPr>
                <w:rFonts w:ascii="Arial" w:cs="Arial" w:eastAsia="Arial" w:hAnsi="Arial"/>
                <w:sz w:val="26"/>
                <w:szCs w:val="26"/>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26,372,428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49,111,613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43,740,097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line="243" w:lineRule="exact"/>
              <w:rPr>
                <w:sz w:val="20"/>
                <w:szCs w:val="20"/>
                <w:color w:val="auto"/>
              </w:rPr>
            </w:pPr>
            <w:r>
              <w:rPr>
                <w:rFonts w:ascii="Arial" w:cs="Arial" w:eastAsia="Arial" w:hAnsi="Arial"/>
                <w:sz w:val="16"/>
                <w:szCs w:val="16"/>
                <w:color w:val="auto"/>
              </w:rPr>
              <w:t xml:space="preserve">Interest bearing </w:t>
            </w:r>
            <w:r>
              <w:rPr>
                <w:rFonts w:ascii="Arial" w:cs="Arial" w:eastAsia="Arial" w:hAnsi="Arial"/>
                <w:sz w:val="26"/>
                <w:szCs w:val="26"/>
                <w:color w:val="auto"/>
                <w:vertAlign w:val="superscript"/>
              </w:rPr>
              <w:t>(1)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73,060,735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73,488,701</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83,231,861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13.3%</w:t>
            </w: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99,433,163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122,600,314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126,971,958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5,803,336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25,869,675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26,602,334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BCRP instruments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4,381,011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25,344,725</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26,069,711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1,422,325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524,950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532,623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8,865,310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6,410,499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5,508,929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-14.1%</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Bonds and notes issued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14,312,926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14,081,882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13,811,673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Banker’s acceptances outstanding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535,222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256,238</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77.7%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116,523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205,898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76.7%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Arial" w:cs="Arial" w:eastAsia="Arial" w:hAnsi="Arial"/>
                <w:sz w:val="16"/>
                <w:szCs w:val="16"/>
                <w:b w:val="1"/>
                <w:bCs w:val="1"/>
                <w:color w:val="auto"/>
              </w:rPr>
              <w:t xml:space="preserve">Other liabilities </w:t>
            </w:r>
            <w:r>
              <w:rPr>
                <w:rFonts w:ascii="Arial" w:cs="Arial" w:eastAsia="Arial" w:hAnsi="Arial"/>
                <w:sz w:val="26"/>
                <w:szCs w:val="26"/>
                <w:b w:val="1"/>
                <w:bCs w:val="1"/>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4,251,420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4,753,222</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3,811,752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-19.8%</w:t>
            </w:r>
          </w:p>
        </w:tc>
        <w:tc>
          <w:tcPr>
            <w:tcW w:w="2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Total Liabilities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133,201,377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174,088,353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177,367,887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18,853,621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17,238,491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18,217,739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Capital stock</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9,924,006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10,774,006</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10,774,006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Reserves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4,476,256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5,945,313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5,947,808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Unrealized gains and losses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296,456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330,977</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697,475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110.7%</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4,156,903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188,195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798,450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116,465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95,668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116,899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Total Net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18,970,086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17,334,159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18,334,638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152,171,463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191,422,512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195,702,525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Off-balance sheet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114,045,218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114,983,316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114,520,519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Total performance bonds, stand-by and L/Cs.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18,886,474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16,977,684</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19,477,129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Undrawn credit lines, advised but not committed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67,865,642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68,867,418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70,391,997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27,293,102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29,138,214</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24,651,393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-15.4%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8"/>
        <w:spacing w:after="0" w:line="291"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6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ind w:left="720"/>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 change</w:t>
            </w:r>
          </w:p>
        </w:tc>
      </w:tr>
      <w:tr>
        <w:trPr>
          <w:trHeight w:val="171"/>
        </w:trPr>
        <w:tc>
          <w:tcPr>
            <w:tcW w:w="37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4Q19</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3Q19</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4Q20</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2020 / 2019</w:t>
            </w:r>
          </w:p>
        </w:tc>
        <w:tc>
          <w:tcPr>
            <w:tcW w:w="140" w:type="dxa"/>
            <w:vAlign w:val="bottom"/>
          </w:tcPr>
          <w:p>
            <w:pPr>
              <w:spacing w:after="0"/>
              <w:rPr>
                <w:sz w:val="14"/>
                <w:szCs w:val="14"/>
                <w:color w:val="auto"/>
              </w:rPr>
            </w:pPr>
          </w:p>
        </w:tc>
      </w:tr>
      <w:tr>
        <w:trPr>
          <w:trHeight w:val="142"/>
        </w:trPr>
        <w:tc>
          <w:tcPr>
            <w:tcW w:w="3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3780" w:type="dxa"/>
            <w:vAlign w:val="bottom"/>
          </w:tcPr>
          <w:p>
            <w:pPr>
              <w:ind w:left="140"/>
              <w:spacing w:after="0" w:line="149" w:lineRule="exact"/>
              <w:rPr>
                <w:sz w:val="20"/>
                <w:szCs w:val="20"/>
                <w:color w:val="auto"/>
              </w:rPr>
            </w:pPr>
            <w:r>
              <w:rPr>
                <w:rFonts w:ascii="Arial" w:cs="Arial" w:eastAsia="Arial" w:hAnsi="Arial"/>
                <w:sz w:val="14"/>
                <w:szCs w:val="14"/>
                <w:color w:val="auto"/>
              </w:rPr>
              <w:t>Interest and dividend income</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2,808,740</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2,553,354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2,456,757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10,972,575</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10,099,154</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w:t>
            </w:r>
          </w:p>
        </w:tc>
      </w:tr>
      <w:tr>
        <w:trPr>
          <w:trHeight w:val="189"/>
        </w:trPr>
        <w:tc>
          <w:tcPr>
            <w:tcW w:w="37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Interest expense</w:t>
            </w:r>
            <w:r>
              <w:rPr>
                <w:rFonts w:ascii="Arial" w:cs="Arial" w:eastAsia="Arial" w:hAnsi="Arial"/>
                <w:sz w:val="21"/>
                <w:szCs w:val="21"/>
                <w:color w:val="auto"/>
                <w:vertAlign w:val="superscript"/>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(694,009)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(655,594)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(497,594)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(2,860,965)</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(2,450,702)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w:t>
            </w:r>
          </w:p>
        </w:tc>
      </w:tr>
      <w:tr>
        <w:trPr>
          <w:trHeight w:val="149"/>
        </w:trPr>
        <w:tc>
          <w:tcPr>
            <w:tcW w:w="37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Net interest income</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2,114,731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1,897,760</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1,959,163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8,111,610</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7,648,452</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w:t>
            </w:r>
          </w:p>
        </w:tc>
      </w:tr>
      <w:tr>
        <w:trPr>
          <w:trHeight w:val="148"/>
        </w:trPr>
        <w:tc>
          <w:tcPr>
            <w:tcW w:w="3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color w:val="auto"/>
              </w:rPr>
              <w:t>Provision for credit losses on loan portfolio</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(541,714)</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(1,250,211)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(735,523)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-41.2%</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(2,030,835)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(5,752,462)</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183.3%</w:t>
            </w: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58.614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40,126</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47,591</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254,039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147,854</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-418%</w:t>
            </w: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Provision for credit losses on loan portfolio, net of recoveries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(483,100)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(1,210,085)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(687,932)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43.2%</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42.4%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(1,776,796)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(5,604,608)</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215.4%</w:t>
            </w:r>
          </w:p>
        </w:tc>
      </w:tr>
      <w:tr>
        <w:trPr>
          <w:trHeight w:val="149"/>
        </w:trPr>
        <w:tc>
          <w:tcPr>
            <w:tcW w:w="3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1,631,631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687,675</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1,271,231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84.9%</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-22.1%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6,334,814</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2,043,844</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-67.7%</w:t>
            </w:r>
          </w:p>
        </w:tc>
      </w:tr>
      <w:tr>
        <w:trPr>
          <w:trHeight w:val="148"/>
        </w:trPr>
        <w:tc>
          <w:tcPr>
            <w:tcW w:w="3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680,506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572,044</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694,348</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2,609,684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2,248,910</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w:t>
            </w:r>
          </w:p>
        </w:tc>
      </w:tr>
      <w:tr>
        <w:trPr>
          <w:trHeight w:val="148"/>
        </w:trPr>
        <w:tc>
          <w:tcPr>
            <w:tcW w:w="3780" w:type="dxa"/>
            <w:vAlign w:val="bottom"/>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197,954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152,862</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180,363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736,487</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654,537</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w:t>
            </w:r>
          </w:p>
        </w:tc>
      </w:tr>
      <w:tr>
        <w:trPr>
          <w:trHeight w:val="149"/>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securities</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22,004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73,630</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11,194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133,812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125,383</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w:t>
            </w:r>
          </w:p>
        </w:tc>
      </w:tr>
      <w:tr>
        <w:trPr>
          <w:trHeight w:val="148"/>
        </w:trPr>
        <w:tc>
          <w:tcPr>
            <w:tcW w:w="3780" w:type="dxa"/>
            <w:vAlign w:val="bottom"/>
          </w:tcPr>
          <w:p>
            <w:pPr>
              <w:ind w:left="140"/>
              <w:spacing w:after="0" w:line="149" w:lineRule="exact"/>
              <w:rPr>
                <w:sz w:val="20"/>
                <w:szCs w:val="20"/>
                <w:color w:val="auto"/>
              </w:rPr>
            </w:pPr>
            <w:r>
              <w:rPr>
                <w:rFonts w:ascii="Arial" w:cs="Arial" w:eastAsia="Arial" w:hAnsi="Arial"/>
                <w:sz w:val="14"/>
                <w:szCs w:val="14"/>
                <w:color w:val="auto"/>
              </w:rPr>
              <w:t>Net gain on derivatives held for trading</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(3,866)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12,502</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5,538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24,484</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52,451</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114.2%</w:t>
            </w:r>
          </w:p>
        </w:tc>
      </w:tr>
      <w:tr>
        <w:trPr>
          <w:trHeight w:val="148"/>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from exchange differences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15,997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1,151</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4.870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323.1%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17,151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(5,031)</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r>
      <w:tr>
        <w:trPr>
          <w:trHeight w:val="148"/>
        </w:trPr>
        <w:tc>
          <w:tcPr>
            <w:tcW w:w="3780" w:type="dxa"/>
            <w:vAlign w:val="bottom"/>
          </w:tcPr>
          <w:p>
            <w:pPr>
              <w:ind w:left="140"/>
              <w:spacing w:after="0" w:line="149" w:lineRule="exact"/>
              <w:rPr>
                <w:sz w:val="20"/>
                <w:szCs w:val="20"/>
                <w:color w:val="auto"/>
              </w:rPr>
            </w:pPr>
            <w:r>
              <w:rPr>
                <w:rFonts w:ascii="Arial" w:cs="Arial" w:eastAsia="Arial" w:hAnsi="Arial"/>
                <w:sz w:val="14"/>
                <w:szCs w:val="14"/>
                <w:color w:val="auto"/>
              </w:rPr>
              <w:t>Others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35,914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36,309</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29,187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209,581</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179,816</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r>
      <w:tr>
        <w:trPr>
          <w:trHeight w:val="148"/>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Total other income</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948,509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848,498</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925,500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3,731,199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3,256,066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w:t>
            </w:r>
          </w:p>
        </w:tc>
      </w:tr>
      <w:tr>
        <w:trPr>
          <w:trHeight w:val="149"/>
        </w:trPr>
        <w:tc>
          <w:tcPr>
            <w:tcW w:w="3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780" w:type="dxa"/>
            <w:vAlign w:val="bottom"/>
          </w:tcPr>
          <w:p>
            <w:pPr>
              <w:ind w:left="140"/>
              <w:spacing w:after="0" w:line="149" w:lineRule="exact"/>
              <w:rPr>
                <w:sz w:val="20"/>
                <w:szCs w:val="20"/>
                <w:color w:val="auto"/>
              </w:rPr>
            </w:pPr>
            <w:r>
              <w:rPr>
                <w:rFonts w:ascii="Arial" w:cs="Arial" w:eastAsia="Arial" w:hAnsi="Arial"/>
                <w:sz w:val="14"/>
                <w:szCs w:val="14"/>
                <w:color w:val="auto"/>
              </w:rPr>
              <w:t>Salaries and employee benefits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(665,450)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(568,595)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(534,217)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(2,569,839)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(2,350,479)</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w:t>
            </w:r>
          </w:p>
        </w:tc>
      </w:tr>
      <w:tr>
        <w:trPr>
          <w:trHeight w:val="148"/>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Administrative expenses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(553,842)</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(450,406)</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(585,547)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(1,858,370)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(1,819,557)</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r>
      <w:tr>
        <w:trPr>
          <w:trHeight w:val="189"/>
        </w:trPr>
        <w:tc>
          <w:tcPr>
            <w:tcW w:w="37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(2)</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(143,026)</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(129,157)</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(120,927)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155%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(508,880)</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(518.149)</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r>
      <w:tr>
        <w:trPr>
          <w:trHeight w:val="148"/>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expenses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(56,693)</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(86,663)</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(135,309)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(155,234)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(450,721)</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190.3%</w:t>
            </w:r>
          </w:p>
        </w:tc>
      </w:tr>
      <w:tr>
        <w:trPr>
          <w:trHeight w:val="148"/>
        </w:trPr>
        <w:tc>
          <w:tcPr>
            <w:tcW w:w="37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expenses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(1,419,011)</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(1,234,821)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(1,376,000)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11.4%</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(5,092,323)</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(5,138,906)</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w:t>
            </w:r>
          </w:p>
        </w:tc>
      </w:tr>
      <w:tr>
        <w:trPr>
          <w:trHeight w:val="148"/>
        </w:trPr>
        <w:tc>
          <w:tcPr>
            <w:tcW w:w="3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1,161,129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301,352</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820,731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172.3%</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4,973,690</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161,004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-96.8%</w:t>
            </w:r>
          </w:p>
        </w:tc>
      </w:tr>
      <w:tr>
        <w:trPr>
          <w:trHeight w:val="148"/>
        </w:trPr>
        <w:tc>
          <w:tcPr>
            <w:tcW w:w="3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tax</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(315,972)</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(31,731)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(209,498)</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560.2%</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(1,331,756)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83,298</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845,157</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269,621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611,233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126.7%</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-27.7%</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3,641,934</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244,302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-93.3%</w:t>
            </w: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(4,991)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8,220</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(978)</w:t>
            </w:r>
          </w:p>
        </w:tc>
        <w:tc>
          <w:tcPr>
            <w:tcW w:w="11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n.a.</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(19,495)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19,974</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r>
      <w:tr>
        <w:trPr>
          <w:trHeight w:val="186"/>
        </w:trPr>
        <w:tc>
          <w:tcPr>
            <w:tcW w:w="3780" w:type="dxa"/>
            <w:vAlign w:val="bottom"/>
          </w:tcPr>
          <w:p>
            <w:pPr>
              <w:spacing w:after="0"/>
              <w:rPr>
                <w:sz w:val="20"/>
                <w:szCs w:val="20"/>
                <w:color w:val="auto"/>
              </w:rPr>
            </w:pPr>
            <w:r>
              <w:rPr>
                <w:rFonts w:ascii="Arial" w:cs="Arial" w:eastAsia="Arial" w:hAnsi="Arial"/>
                <w:sz w:val="14"/>
                <w:szCs w:val="14"/>
                <w:b w:val="1"/>
                <w:bCs w:val="1"/>
                <w:color w:val="auto"/>
              </w:rPr>
              <w:t>Net profit attributable to BCP Consolidated</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840,166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277,841</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610,255</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119.6%</w:t>
            </w:r>
          </w:p>
        </w:tc>
        <w:tc>
          <w:tcPr>
            <w:tcW w:w="2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3,622,439</w:t>
            </w: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264,276</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-92.7%</w:t>
            </w:r>
          </w:p>
        </w:tc>
      </w:tr>
    </w:tbl>
    <w:p>
      <w:pPr>
        <w:spacing w:after="0" w:line="164"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23" w:lineRule="exact"/>
        <w:rPr>
          <w:rFonts w:ascii="Arial" w:cs="Arial" w:eastAsia="Arial" w:hAnsi="Arial"/>
          <w:sz w:val="18"/>
          <w:szCs w:val="18"/>
          <w:color w:val="auto"/>
        </w:rPr>
      </w:pPr>
    </w:p>
    <w:p>
      <w:pPr>
        <w:ind w:right="180" w:firstLine="8"/>
        <w:spacing w:after="0" w:line="323" w:lineRule="auto"/>
        <w:tabs>
          <w:tab w:leader="none" w:pos="255" w:val="left"/>
        </w:tabs>
        <w:numPr>
          <w:ilvl w:val="0"/>
          <w:numId w:val="92"/>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5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Quarter</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960"/>
              <w:spacing w:after="0"/>
              <w:rPr>
                <w:sz w:val="20"/>
                <w:szCs w:val="20"/>
                <w:color w:val="auto"/>
              </w:rPr>
            </w:pPr>
            <w:r>
              <w:rPr>
                <w:rFonts w:ascii="Arial" w:cs="Arial" w:eastAsia="Arial" w:hAnsi="Arial"/>
                <w:sz w:val="16"/>
                <w:szCs w:val="16"/>
                <w:b w:val="1"/>
                <w:bCs w:val="1"/>
                <w:color w:val="auto"/>
              </w:rPr>
              <w:t>Year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4Q19</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3Q20</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4Q20</w:t>
            </w: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r>
      <w:tr>
        <w:trPr>
          <w:trHeight w:val="19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Profitability</w:t>
            </w: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Earnings per share </w:t>
            </w:r>
            <w:r>
              <w:rPr>
                <w:rFonts w:ascii="Arial" w:cs="Arial" w:eastAsia="Arial" w:hAnsi="Arial"/>
                <w:sz w:val="26"/>
                <w:szCs w:val="26"/>
                <w:color w:val="auto"/>
                <w:vertAlign w:val="superscript"/>
              </w:rPr>
              <w:t>(1)</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0.076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0.025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0.055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0.327</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0.024</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28"/>
                <w:szCs w:val="28"/>
                <w:color w:val="auto"/>
                <w:vertAlign w:val="subscript"/>
              </w:rPr>
              <w:t>ROAA</w:t>
            </w:r>
            <w:r>
              <w:rPr>
                <w:rFonts w:ascii="Arial" w:cs="Arial" w:eastAsia="Arial" w:hAnsi="Arial"/>
                <w:sz w:val="12"/>
                <w:szCs w:val="12"/>
                <w:color w:val="auto"/>
              </w:rPr>
              <w:t xml:space="preserve"> (2)(3)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8"/>
                <w:szCs w:val="28"/>
                <w:color w:val="auto"/>
                <w:vertAlign w:val="subscript"/>
              </w:rPr>
              <w:t>ROAE</w:t>
            </w:r>
            <w:r>
              <w:rPr>
                <w:rFonts w:ascii="Arial" w:cs="Arial" w:eastAsia="Arial" w:hAnsi="Arial"/>
                <w:sz w:val="12"/>
                <w:szCs w:val="12"/>
                <w:color w:val="auto"/>
              </w:rPr>
              <w:t xml:space="preserve"> (2)(3)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20.2%</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6"/>
                <w:szCs w:val="26"/>
                <w:color w:val="auto"/>
                <w:vertAlign w:val="superscript"/>
              </w:rPr>
              <w:t>(2)(3)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5.84%</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Risk adjusted NIM </w:t>
            </w:r>
            <w:r>
              <w:rPr>
                <w:rFonts w:ascii="Arial" w:cs="Arial" w:eastAsia="Arial" w:hAnsi="Arial"/>
                <w:sz w:val="26"/>
                <w:szCs w:val="26"/>
                <w:color w:val="auto"/>
                <w:vertAlign w:val="superscript"/>
              </w:rPr>
              <w:t>(2)(3)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4.54%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4.56%</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Funding Cost </w:t>
            </w:r>
            <w:r>
              <w:rPr>
                <w:rFonts w:ascii="Arial" w:cs="Arial" w:eastAsia="Arial" w:hAnsi="Arial"/>
                <w:sz w:val="26"/>
                <w:szCs w:val="26"/>
                <w:color w:val="auto"/>
                <w:vertAlign w:val="superscript"/>
              </w:rPr>
              <w:t>(2)(3)(4)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3"/>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Quality of loan portfolio</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IOL ratio</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3.61%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3.01%</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3.61%</w:t>
            </w: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NPL ratio</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Coverage of IOLs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150.9%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227.3%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204.2%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150.9%</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204.2%</w:t>
            </w: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Coverage of NPLs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110.3%</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150.5%</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Cost of risk </w:t>
            </w:r>
            <w:r>
              <w:rPr>
                <w:rFonts w:ascii="Arial" w:cs="Arial" w:eastAsia="Arial" w:hAnsi="Arial"/>
                <w:sz w:val="26"/>
                <w:szCs w:val="26"/>
                <w:color w:val="auto"/>
                <w:vertAlign w:val="superscript"/>
              </w:rPr>
              <w:t>(5)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1.84%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3.89%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4.46%</w:t>
            </w:r>
          </w:p>
        </w:tc>
      </w:tr>
      <w:tr>
        <w:trPr>
          <w:trHeight w:val="203"/>
        </w:trPr>
        <w:tc>
          <w:tcPr>
            <w:tcW w:w="5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b w:val="1"/>
                <w:bCs w:val="1"/>
                <w:color w:val="auto"/>
              </w:rPr>
              <w:t>Operating efficiency</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Oper. expenses as a percent. of total income - reported </w:t>
            </w:r>
            <w:r>
              <w:rPr>
                <w:rFonts w:ascii="Arial" w:cs="Arial" w:eastAsia="Arial" w:hAnsi="Arial"/>
                <w:sz w:val="26"/>
                <w:szCs w:val="26"/>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Oper. expenses as a percent. of total income - including all other items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46.3%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45.0%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47.7%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43.0%</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47.1%</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Oper. expenses as a percent. of av. tot. assets </w:t>
            </w:r>
            <w:r>
              <w:rPr>
                <w:rFonts w:ascii="Arial" w:cs="Arial" w:eastAsia="Arial" w:hAnsi="Arial"/>
                <w:sz w:val="26"/>
                <w:szCs w:val="26"/>
                <w:color w:val="auto"/>
                <w:vertAlign w:val="superscript"/>
              </w:rPr>
              <w:t>(2)(3)(6)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03"/>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b w:val="1"/>
                <w:bCs w:val="1"/>
                <w:color w:val="auto"/>
              </w:rPr>
              <w:t xml:space="preserve">Capital adequacy </w:t>
            </w:r>
            <w:r>
              <w:rPr>
                <w:rFonts w:ascii="Arial" w:cs="Arial" w:eastAsia="Arial" w:hAnsi="Arial"/>
                <w:sz w:val="26"/>
                <w:szCs w:val="26"/>
                <w:b w:val="1"/>
                <w:bCs w:val="1"/>
                <w:color w:val="auto"/>
                <w:vertAlign w:val="superscript"/>
              </w:rPr>
              <w:t>(7)</w:t>
            </w: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02"/>
        </w:trPr>
        <w:tc>
          <w:tcPr>
            <w:tcW w:w="5140" w:type="dxa"/>
            <w:vAlign w:val="bottom"/>
          </w:tcPr>
          <w:p>
            <w:pPr>
              <w:spacing w:after="0"/>
              <w:rPr>
                <w:sz w:val="20"/>
                <w:szCs w:val="20"/>
                <w:color w:val="auto"/>
              </w:rPr>
            </w:pPr>
            <w:r>
              <w:rPr>
                <w:rFonts w:ascii="Arial" w:cs="Arial" w:eastAsia="Arial" w:hAnsi="Arial"/>
                <w:sz w:val="16"/>
                <w:szCs w:val="16"/>
                <w:color w:val="auto"/>
              </w:rPr>
              <w:t>Total regulatory capital (S/ Million)</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19,408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21,528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21,210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19,408</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21,210</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Tier 1 capital (S/ Million) </w:t>
            </w:r>
            <w:r>
              <w:rPr>
                <w:rFonts w:ascii="Arial" w:cs="Arial" w:eastAsia="Arial" w:hAnsi="Arial"/>
                <w:sz w:val="26"/>
                <w:szCs w:val="26"/>
                <w:color w:val="auto"/>
                <w:vertAlign w:val="superscript"/>
              </w:rPr>
              <w:t>(8)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14,850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14,971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14,784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14,850</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14,784</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Common equity tier 1 ratio </w:t>
            </w:r>
            <w:r>
              <w:rPr>
                <w:rFonts w:ascii="Arial" w:cs="Arial" w:eastAsia="Arial" w:hAnsi="Arial"/>
                <w:sz w:val="26"/>
                <w:szCs w:val="26"/>
                <w:color w:val="auto"/>
                <w:vertAlign w:val="superscript"/>
              </w:rPr>
              <w:t>(9)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12.35%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11.45%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11.40%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12.35%</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11.40%</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6"/>
                <w:szCs w:val="26"/>
                <w:color w:val="auto"/>
                <w:vertAlign w:val="superscript"/>
              </w:rPr>
              <w:t>(10)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03"/>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 Information</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140" w:type="dxa"/>
            <w:vAlign w:val="bottom"/>
          </w:tcPr>
          <w:p>
            <w:pPr>
              <w:spacing w:after="0"/>
              <w:rPr>
                <w:sz w:val="20"/>
                <w:szCs w:val="20"/>
                <w:color w:val="auto"/>
              </w:rPr>
            </w:pPr>
            <w:r>
              <w:rPr>
                <w:rFonts w:ascii="Arial" w:cs="Arial" w:eastAsia="Arial" w:hAnsi="Arial"/>
                <w:sz w:val="16"/>
                <w:szCs w:val="16"/>
                <w:color w:val="auto"/>
              </w:rPr>
              <w:t>N° of outstanding shares (Million)</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11,067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11,067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11,067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11,067</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11,067</w:t>
            </w:r>
          </w:p>
        </w:tc>
      </w:tr>
    </w:tbl>
    <w:p>
      <w:pPr>
        <w:spacing w:after="0" w:line="198"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20" w:firstLine="8"/>
        <w:spacing w:after="0" w:line="281" w:lineRule="auto"/>
        <w:tabs>
          <w:tab w:leader="none" w:pos="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firstLine="8"/>
        <w:spacing w:after="0" w:line="265" w:lineRule="auto"/>
        <w:tabs>
          <w:tab w:leader="none" w:pos="2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jc w:val="both"/>
        <w:ind w:firstLine="8"/>
        <w:spacing w:after="0" w:line="265" w:lineRule="auto"/>
        <w:tabs>
          <w:tab w:leader="none" w:pos="282" w:val="left"/>
        </w:tabs>
        <w:numPr>
          <w:ilvl w:val="0"/>
          <w:numId w:val="93"/>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0" w:firstLine="8"/>
        <w:spacing w:after="0" w:line="250" w:lineRule="auto"/>
        <w:tabs>
          <w:tab w:leader="none" w:pos="2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11.4. BCP Stand-alone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ind w:left="80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19</w:t>
            </w: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 20</w:t>
            </w: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20</w:t>
            </w:r>
          </w:p>
        </w:tc>
        <w:tc>
          <w:tcPr>
            <w:tcW w:w="1560" w:type="dxa"/>
            <w:vAlign w:val="bottom"/>
            <w:tcBorders>
              <w:top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QoQ</w:t>
            </w:r>
          </w:p>
        </w:tc>
        <w:tc>
          <w:tcPr>
            <w:tcW w:w="7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YoY</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4,091,155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4,571,558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5,322,420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18,538,123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25,949,154</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25,948,221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22,629,278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30,520,712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31,270,641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Cash collateral, reverse repurchase agreements and securities borrowing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3,045,261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1,767,692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1,345,981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-23.9%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1,874,577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2,168,500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12,996,039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26,341,443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28,452,224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8.0%</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3,169,697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3,958,403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4,636,804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17.1%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95,548,693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113,384,719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113,464,992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92,974,533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110,133,503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109,850,172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2,574,160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3,251,216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3,614,820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Less - allowance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(3,811,601)</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(7,255,183)</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(7,434,988)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91,737,092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106,129,536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106,030,004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furniture and equipment,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1,547,298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1,447,497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1,429,864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535,222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256,238</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77.7%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Investments in associates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2,110,564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1,691,592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2,098,825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6"/>
                <w:szCs w:val="26"/>
                <w:b w:val="1"/>
                <w:bCs w:val="1"/>
                <w:color w:val="auto"/>
                <w:vertAlign w:val="superscript"/>
              </w:rPr>
              <w:t>(1)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4,107,523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5,610,989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4,964,018</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-11.5%</w:t>
            </w:r>
          </w:p>
        </w:tc>
        <w:tc>
          <w:tcPr>
            <w:tcW w:w="2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300"/>
              <w:spacing w:after="0"/>
              <w:rPr>
                <w:sz w:val="20"/>
                <w:szCs w:val="20"/>
                <w:color w:val="auto"/>
              </w:rPr>
            </w:pPr>
            <w:r>
              <w:rPr>
                <w:rFonts w:ascii="Arial" w:cs="Arial" w:eastAsia="Arial" w:hAnsi="Arial"/>
                <w:sz w:val="16"/>
                <w:szCs w:val="16"/>
                <w:b w:val="1"/>
                <w:bCs w:val="1"/>
                <w:color w:val="auto"/>
              </w:rPr>
              <w:t>Total Assets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141,878,216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179,598,679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182,852,204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Deposits and obligations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31,885,834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49,107,276</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43,733,838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59,035,217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65,263,615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74,612,197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90,921,051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114,370,891</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118,346,035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3.5%</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5,744,528</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24,169,302</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23,736,011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BCRP instruments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4,322,203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23,644,352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23,203,388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1,422,325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524,950</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532,623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8,186,521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5,349,981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4,910,261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Bonds and notes issued</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14,180,646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13,946,887</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13,678,986</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Banker’s acceptances outstanding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535,222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256,238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77.7%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116,523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205,898</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line="243" w:lineRule="exact"/>
              <w:rPr>
                <w:sz w:val="20"/>
                <w:szCs w:val="20"/>
                <w:color w:val="auto"/>
              </w:rPr>
            </w:pPr>
            <w:r>
              <w:rPr>
                <w:rFonts w:ascii="Arial" w:cs="Arial" w:eastAsia="Arial" w:hAnsi="Arial"/>
                <w:sz w:val="16"/>
                <w:szCs w:val="16"/>
                <w:b w:val="1"/>
                <w:bCs w:val="1"/>
                <w:color w:val="auto"/>
              </w:rPr>
              <w:t xml:space="preserve">Other liabilities </w:t>
            </w:r>
            <w:r>
              <w:rPr>
                <w:rFonts w:ascii="Arial" w:cs="Arial" w:eastAsia="Arial" w:hAnsi="Arial"/>
                <w:sz w:val="26"/>
                <w:szCs w:val="26"/>
                <w:b w:val="1"/>
                <w:bCs w:val="1"/>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3,456,215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4,148,198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3,299,330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-20.5%</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300"/>
              <w:spacing w:after="0"/>
              <w:rPr>
                <w:sz w:val="20"/>
                <w:szCs w:val="20"/>
                <w:color w:val="auto"/>
              </w:rPr>
            </w:pPr>
            <w:r>
              <w:rPr>
                <w:rFonts w:ascii="Arial" w:cs="Arial" w:eastAsia="Arial" w:hAnsi="Arial"/>
                <w:sz w:val="16"/>
                <w:szCs w:val="16"/>
                <w:b w:val="1"/>
                <w:bCs w:val="1"/>
                <w:color w:val="auto"/>
              </w:rPr>
              <w:t>Total Liabilities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123,024,183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162,358,020</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164,631,864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18,854,033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17,240,659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18,220,340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9,924,006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10,774,006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10,774,006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Reserves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4,476,256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5,945,313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5,947,808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and losses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296,456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330,977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697,475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4,157,315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190,363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801,051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320.8%</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300"/>
              <w:spacing w:after="0"/>
              <w:rPr>
                <w:sz w:val="20"/>
                <w:szCs w:val="20"/>
                <w:color w:val="auto"/>
              </w:rPr>
            </w:pPr>
            <w:r>
              <w:rPr>
                <w:rFonts w:ascii="Arial" w:cs="Arial" w:eastAsia="Arial" w:hAnsi="Arial"/>
                <w:sz w:val="16"/>
                <w:szCs w:val="16"/>
                <w:b w:val="1"/>
                <w:bCs w:val="1"/>
                <w:color w:val="auto"/>
              </w:rPr>
              <w:t>Total Net Equity</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18,854,033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17,240,659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18,220,340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141,878,216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179,598,679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182,852,204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Off-balance sheet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112,104,535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112,924,725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112,868,480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Total performance bonds, stand-by and L/Cs.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18,886,836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16,978,003</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19,477,403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Undrawn credit lines, advised but not committed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66,842,575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68,568,756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70,775,980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26,375,124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27,377,966</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22,615,097</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-17.4%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091"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BANCO DE CREDITO DEL PERU</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4Q19</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4Q20</w:t>
            </w: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ind w:left="74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3Q20</w:t>
            </w: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4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QoQ</w:t>
            </w:r>
          </w:p>
        </w:tc>
        <w:tc>
          <w:tcPr>
            <w:tcW w:w="56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76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2020 /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Interest and dividend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2,222,330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2,055,845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1,994,352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8,658,769</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8,197,914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(575,223)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(572,948)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(423,518)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-26.1%</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(2,415,275)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(2,106,029)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Net interest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1,647,107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1,482,897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1,570,834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6,243,494</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6,091,885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Provision for credit losses on loan portfolio</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(429,442)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(853,111)</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(614,866)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43.2%</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(1,558,639)</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(4,636,694)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43,673</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33,342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38,392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190,984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120,245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Arial" w:cs="Arial" w:eastAsia="Arial" w:hAnsi="Arial"/>
                <w:sz w:val="14"/>
                <w:szCs w:val="14"/>
                <w:b w:val="1"/>
                <w:bCs w:val="1"/>
                <w:color w:val="auto"/>
                <w:w w:val="96"/>
              </w:rPr>
              <w:t>Provision for credit losses on loan portfolio, net of</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(385,769)</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(819,769)</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(576,474)</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-29.7%</w:t>
            </w:r>
          </w:p>
        </w:tc>
        <w:tc>
          <w:tcPr>
            <w:tcW w:w="2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49.4%</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color w:val="auto"/>
              </w:rPr>
              <w:t>recoveries</w:t>
            </w:r>
          </w:p>
        </w:tc>
        <w:tc>
          <w:tcPr>
            <w:tcW w:w="10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(1,367,655)</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(4,516,449)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1,261,338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663,128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994,360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49.9%</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4,875,839</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1,575,436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Fee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640,298</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568,394</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636,331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2,459,545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2,162,357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195,254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151,694</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179,165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728,156</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647,856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securities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21,921</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174,600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11,196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130,639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125,410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Net gai n from associates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97,515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(254,578)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27,656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-110.9%</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385,026</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(352,658)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derivatives held for trading</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(5,436)</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11,496</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4,410</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19,390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49,034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Net gain from exchange differences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2,637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5,840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121.5%</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3,093</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6,227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27,640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36,864</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31,447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194,896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160,377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other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978,831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691,107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896,045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29.7%</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3,920,745</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2,798,603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Salaries and employee benefits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(458,095)</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(386,520)</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(366,503)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(1,787,131)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(1,601,800)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Administrative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(558,600)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(411,350)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(527,586)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(1,852,952)</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(1,638,967)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(60,225)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(105,744)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(99,495)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(226,087)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(424,265)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(52,211)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(73,863)</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(105,980)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(138,775)</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(385,499)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Total expenses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(1,129,131)</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(977,477)</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(1,099,564)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-2.6%</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(4,004,945)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(4,050,531)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1,111,038</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376,758</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790,841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4,791,639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323,508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(270,739)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(98,485)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(180,154)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82.9%</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(1,167,527)</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(57,043)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840,299</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278,273</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610,687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3,624,112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266,465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 attributable to BCP Stand-alone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840,299</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278,273</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610,687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3,624,112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266,465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23" w:lineRule="exact"/>
        <w:rPr>
          <w:rFonts w:ascii="Arial" w:cs="Arial" w:eastAsia="Arial" w:hAnsi="Arial"/>
          <w:sz w:val="18"/>
          <w:szCs w:val="18"/>
          <w:color w:val="auto"/>
        </w:rPr>
      </w:pPr>
    </w:p>
    <w:p>
      <w:pPr>
        <w:ind w:right="180" w:firstLine="8"/>
        <w:spacing w:after="0" w:line="323" w:lineRule="auto"/>
        <w:tabs>
          <w:tab w:leader="none" w:pos="2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5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BANCO DE CREDITO DEL PERU</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Quarter</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960"/>
              <w:spacing w:after="0"/>
              <w:rPr>
                <w:sz w:val="20"/>
                <w:szCs w:val="20"/>
                <w:color w:val="auto"/>
              </w:rPr>
            </w:pPr>
            <w:r>
              <w:rPr>
                <w:rFonts w:ascii="Arial" w:cs="Arial" w:eastAsia="Arial" w:hAnsi="Arial"/>
                <w:sz w:val="16"/>
                <w:szCs w:val="16"/>
                <w:b w:val="1"/>
                <w:bCs w:val="1"/>
                <w:color w:val="auto"/>
              </w:rPr>
              <w:t>Year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4Q19</w:t>
            </w:r>
          </w:p>
        </w:tc>
        <w:tc>
          <w:tcPr>
            <w:tcW w:w="10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3Q20</w:t>
            </w:r>
          </w:p>
        </w:tc>
        <w:tc>
          <w:tcPr>
            <w:tcW w:w="2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4Q20</w:t>
            </w:r>
          </w:p>
        </w:tc>
        <w:tc>
          <w:tcPr>
            <w:tcW w:w="10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r>
      <w:tr>
        <w:trPr>
          <w:trHeight w:val="19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Profitability</w:t>
            </w: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8"/>
                <w:szCs w:val="28"/>
                <w:color w:val="auto"/>
                <w:vertAlign w:val="subscript"/>
              </w:rPr>
              <w:t>ROAA</w:t>
            </w:r>
            <w:r>
              <w:rPr>
                <w:rFonts w:ascii="Arial" w:cs="Arial" w:eastAsia="Arial" w:hAnsi="Arial"/>
                <w:sz w:val="12"/>
                <w:szCs w:val="12"/>
                <w:color w:val="auto"/>
              </w:rPr>
              <w:t xml:space="preserve"> (2)(3)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0.6%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28"/>
                <w:szCs w:val="28"/>
                <w:color w:val="auto"/>
                <w:vertAlign w:val="subscript"/>
              </w:rPr>
              <w:t>ROAE</w:t>
            </w:r>
            <w:r>
              <w:rPr>
                <w:rFonts w:ascii="Arial" w:cs="Arial" w:eastAsia="Arial" w:hAnsi="Arial"/>
                <w:sz w:val="12"/>
                <w:szCs w:val="12"/>
                <w:color w:val="auto"/>
              </w:rPr>
              <w:t xml:space="preserve"> (2)(3)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6"/>
                <w:szCs w:val="26"/>
                <w:color w:val="auto"/>
                <w:vertAlign w:val="superscript"/>
              </w:rPr>
              <w:t>(1)(2)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4.98%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3.60%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4.83%</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3.94%</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Risk adjusted NIM </w:t>
            </w:r>
            <w:r>
              <w:rPr>
                <w:rFonts w:ascii="Arial" w:cs="Arial" w:eastAsia="Arial" w:hAnsi="Arial"/>
                <w:sz w:val="26"/>
                <w:szCs w:val="26"/>
                <w:color w:val="auto"/>
                <w:vertAlign w:val="superscript"/>
              </w:rPr>
              <w:t>(1)(2)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Funding Cost </w:t>
            </w:r>
            <w:r>
              <w:rPr>
                <w:rFonts w:ascii="Arial" w:cs="Arial" w:eastAsia="Arial" w:hAnsi="Arial"/>
                <w:sz w:val="26"/>
                <w:szCs w:val="26"/>
                <w:color w:val="auto"/>
                <w:vertAlign w:val="superscript"/>
              </w:rPr>
              <w:t>(1)(2)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2.29%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3.25%</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2.23%</w:t>
            </w:r>
          </w:p>
        </w:tc>
      </w:tr>
      <w:tr>
        <w:trPr>
          <w:trHeight w:val="203"/>
        </w:trPr>
        <w:tc>
          <w:tcPr>
            <w:tcW w:w="5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b w:val="1"/>
                <w:bCs w:val="1"/>
                <w:color w:val="auto"/>
              </w:rPr>
              <w:t>Quality of loan portfolio</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IOL ratio</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NPL ratio</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3.80%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4.51%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3.80%</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4.51%</w:t>
            </w: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Coverage of IOLs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205.7%</w:t>
            </w: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Coverage of NPLs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104.9%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157.0%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145.1%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104.9%</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145.1%</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Cost of risk </w:t>
            </w:r>
            <w:r>
              <w:rPr>
                <w:rFonts w:ascii="Arial" w:cs="Arial" w:eastAsia="Arial" w:hAnsi="Arial"/>
                <w:sz w:val="26"/>
                <w:szCs w:val="26"/>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03"/>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efficiency</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Oper. expenses as a percent. of total income - reported </w:t>
            </w:r>
            <w:r>
              <w:rPr>
                <w:rFonts w:ascii="Arial" w:cs="Arial" w:eastAsia="Arial" w:hAnsi="Arial"/>
                <w:sz w:val="26"/>
                <w:szCs w:val="26"/>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43.4%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41.5%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40.9%</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40.9%</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Oper. expenses as a percent. of av. tot. assets </w:t>
            </w:r>
            <w:r>
              <w:rPr>
                <w:rFonts w:ascii="Arial" w:cs="Arial" w:eastAsia="Arial" w:hAnsi="Arial"/>
                <w:sz w:val="26"/>
                <w:szCs w:val="26"/>
                <w:color w:val="auto"/>
                <w:vertAlign w:val="superscript"/>
              </w:rPr>
              <w:t>(1)(2)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3"/>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Capital adequacy</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Total regulatory capital (S/ Million)</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19,408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21,528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21,210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19,408</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21,210</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Tier 1 capital (S/ Million) </w:t>
            </w:r>
            <w:r>
              <w:rPr>
                <w:rFonts w:ascii="Arial" w:cs="Arial" w:eastAsia="Arial" w:hAnsi="Arial"/>
                <w:sz w:val="26"/>
                <w:szCs w:val="26"/>
                <w:color w:val="auto"/>
                <w:vertAlign w:val="superscript"/>
              </w:rPr>
              <w:t>(5)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14,850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14,971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14,784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14,850</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14,784</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16"/>
                <w:szCs w:val="16"/>
                <w:color w:val="auto"/>
              </w:rPr>
              <w:t xml:space="preserve">Common equity tier 1 ratio </w:t>
            </w:r>
            <w:r>
              <w:rPr>
                <w:rFonts w:ascii="Arial" w:cs="Arial" w:eastAsia="Arial" w:hAnsi="Arial"/>
                <w:sz w:val="26"/>
                <w:szCs w:val="26"/>
                <w:color w:val="auto"/>
                <w:vertAlign w:val="superscript"/>
              </w:rPr>
              <w:t>(6)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12.35%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11.45%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11.40%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12.35%</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11.40%</w:t>
            </w:r>
          </w:p>
        </w:tc>
      </w:tr>
      <w:tr>
        <w:trPr>
          <w:trHeight w:val="243"/>
        </w:trPr>
        <w:tc>
          <w:tcPr>
            <w:tcW w:w="514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6"/>
                <w:szCs w:val="26"/>
                <w:color w:val="auto"/>
                <w:vertAlign w:val="superscript"/>
              </w:rPr>
              <w:t>(7)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14.93%</w:t>
            </w:r>
          </w:p>
        </w:tc>
      </w:tr>
    </w:tbl>
    <w:p>
      <w:pPr>
        <w:spacing w:after="0" w:line="202"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660" w:firstLine="8"/>
        <w:spacing w:after="0" w:line="281"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 w:lineRule="exact"/>
        <w:rPr>
          <w:rFonts w:ascii="Arial" w:cs="Arial" w:eastAsia="Arial" w:hAnsi="Arial"/>
          <w:sz w:val="16"/>
          <w:szCs w:val="16"/>
          <w:color w:val="auto"/>
        </w:rPr>
      </w:pPr>
    </w:p>
    <w:p>
      <w:pPr>
        <w:ind w:right="220" w:firstLine="8"/>
        <w:spacing w:after="0" w:line="265"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180" w:firstLine="8"/>
        <w:spacing w:after="0" w:line="250"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11.5. Mibanco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6"/>
                <w:szCs w:val="16"/>
                <w:b w:val="1"/>
                <w:bCs w:val="1"/>
                <w:color w:val="auto"/>
              </w:rPr>
              <w:t>As of</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 change</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w w:val="85"/>
              </w:rPr>
              <w:t>Dec 19</w:t>
            </w:r>
          </w:p>
        </w:tc>
        <w:tc>
          <w:tcPr>
            <w:tcW w:w="142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 20</w:t>
            </w:r>
          </w:p>
        </w:tc>
        <w:tc>
          <w:tcPr>
            <w:tcW w:w="11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Dec 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6"/>
                <w:szCs w:val="16"/>
                <w:b w:val="1"/>
                <w:bCs w:val="1"/>
                <w:color w:val="auto"/>
              </w:rPr>
              <w:t>QoQ</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1,146,596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1,532,886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1,861,011</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1,521,121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1,453,377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1,435,436</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Total loans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10,728,372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12,146,975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12,928,787</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10,055,027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11,271,599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11,904,708</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ind w:left="180"/>
              <w:spacing w:after="0"/>
              <w:rPr>
                <w:sz w:val="20"/>
                <w:szCs w:val="20"/>
                <w:color w:val="auto"/>
              </w:rPr>
            </w:pPr>
            <w:r>
              <w:rPr>
                <w:rFonts w:ascii="Arial" w:cs="Arial" w:eastAsia="Arial" w:hAnsi="Arial"/>
                <w:sz w:val="16"/>
                <w:szCs w:val="16"/>
                <w:color w:val="auto"/>
              </w:rPr>
              <w:t>Internal overdue loans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572,043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732,964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913,273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Refinanced</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101,302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142,412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110,806</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-937,075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-1,807,822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-1,821,546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94.4%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loans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9,791,296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10,339,153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11,107,241</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176,460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158,793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165,559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1,106,183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1,073,139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1,080,247</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ind w:left="1560"/>
              <w:spacing w:after="0"/>
              <w:rPr>
                <w:sz w:val="20"/>
                <w:szCs w:val="20"/>
                <w:color w:val="auto"/>
              </w:rPr>
            </w:pPr>
            <w:r>
              <w:rPr>
                <w:rFonts w:ascii="Arial" w:cs="Arial" w:eastAsia="Arial" w:hAnsi="Arial"/>
                <w:sz w:val="16"/>
                <w:szCs w:val="16"/>
                <w:b w:val="1"/>
                <w:bCs w:val="1"/>
                <w:color w:val="auto"/>
              </w:rPr>
              <w:t>Total assets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13,741,657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14,557,348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15,649,493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Arial" w:cs="Arial" w:eastAsia="Arial" w:hAnsi="Arial"/>
                <w:sz w:val="16"/>
                <w:szCs w:val="16"/>
                <w:color w:val="auto"/>
              </w:rPr>
              <w:t>Deposits and obligations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8,558,303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8,289,196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8,661,124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2,124,954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2,138,329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1,362,275</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Arial" w:cs="Arial" w:eastAsia="Arial" w:hAnsi="Arial"/>
                <w:sz w:val="16"/>
                <w:szCs w:val="16"/>
                <w:color w:val="auto"/>
              </w:rPr>
              <w:t>Bonds and subordinated debt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132,280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134,995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132,687</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839,842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2,307,485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3,383,480</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ind w:left="1440"/>
              <w:spacing w:after="0"/>
              <w:rPr>
                <w:sz w:val="20"/>
                <w:szCs w:val="20"/>
                <w:color w:val="auto"/>
              </w:rPr>
            </w:pPr>
            <w:r>
              <w:rPr>
                <w:rFonts w:ascii="Arial" w:cs="Arial" w:eastAsia="Arial" w:hAnsi="Arial"/>
                <w:sz w:val="16"/>
                <w:szCs w:val="16"/>
                <w:b w:val="1"/>
                <w:bCs w:val="1"/>
                <w:color w:val="auto"/>
                <w:w w:val="97"/>
              </w:rPr>
              <w:t>Total liabilities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11,655,379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12,870,004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13,539,566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Net equity</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2,086,278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1,687,344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2,109,927</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gridSpan w:val="7"/>
          </w:tcPr>
          <w:p>
            <w:pPr>
              <w:spacing w:after="0"/>
              <w:rPr>
                <w:sz w:val="20"/>
                <w:szCs w:val="20"/>
                <w:color w:val="auto"/>
              </w:rPr>
            </w:pPr>
            <w:r>
              <w:rPr>
                <w:rFonts w:ascii="Arial" w:cs="Arial" w:eastAsia="Arial" w:hAnsi="Arial"/>
                <w:sz w:val="16"/>
                <w:szCs w:val="16"/>
                <w:b w:val="1"/>
                <w:bCs w:val="1"/>
                <w:color w:val="auto"/>
              </w:rPr>
              <w:t>TOTAL LIABILITIES AND NET SHAREHOLDERS’</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40" w:type="dxa"/>
            <w:vAlign w:val="bottom"/>
            <w:gridSpan w:val="2"/>
          </w:tcPr>
          <w:p>
            <w:pPr>
              <w:ind w:left="180"/>
              <w:spacing w:after="0"/>
              <w:rPr>
                <w:sz w:val="20"/>
                <w:szCs w:val="20"/>
                <w:color w:val="auto"/>
              </w:rPr>
            </w:pPr>
            <w:r>
              <w:rPr>
                <w:rFonts w:ascii="Arial" w:cs="Arial" w:eastAsia="Arial" w:hAnsi="Arial"/>
                <w:sz w:val="16"/>
                <w:szCs w:val="16"/>
                <w:b w:val="1"/>
                <w:bCs w:val="1"/>
                <w:color w:val="auto"/>
              </w:rPr>
              <w:t>EQUITY</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13,741,657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14,557,348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15,649,493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13.9%</w:t>
            </w:r>
          </w:p>
        </w:tc>
        <w:tc>
          <w:tcPr>
            <w:tcW w:w="0" w:type="dxa"/>
            <w:vAlign w:val="bottom"/>
          </w:tcPr>
          <w:p>
            <w:pPr>
              <w:spacing w:after="0"/>
              <w:rPr>
                <w:sz w:val="1"/>
                <w:szCs w:val="1"/>
                <w:color w:val="auto"/>
              </w:rPr>
            </w:pPr>
          </w:p>
        </w:tc>
      </w:tr>
      <w:tr>
        <w:trPr>
          <w:trHeight w:val="384"/>
        </w:trPr>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5"/>
          </w:tcPr>
          <w:p>
            <w:pPr>
              <w:ind w:left="74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tcPr>
          <w:p>
            <w:pPr>
              <w:ind w:left="460"/>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4"/>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2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4Q19</w:t>
            </w:r>
          </w:p>
        </w:tc>
        <w:tc>
          <w:tcPr>
            <w:tcW w:w="22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3Q20</w:t>
            </w:r>
          </w:p>
        </w:tc>
        <w:tc>
          <w:tcPr>
            <w:tcW w:w="1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4Q20</w:t>
            </w:r>
          </w:p>
        </w:tc>
        <w:tc>
          <w:tcPr>
            <w:tcW w:w="240" w:type="dxa"/>
            <w:vAlign w:val="bottom"/>
            <w:tcBorders>
              <w:bottom w:val="single" w:sz="8" w:color="CCEEFF"/>
            </w:tcBorders>
            <w:gridSpan w:val="2"/>
          </w:tcPr>
          <w:p>
            <w:pPr>
              <w:spacing w:after="0"/>
              <w:rPr>
                <w:sz w:val="13"/>
                <w:szCs w:val="13"/>
                <w:color w:val="auto"/>
              </w:rPr>
            </w:pPr>
          </w:p>
        </w:tc>
        <w:tc>
          <w:tcPr>
            <w:tcW w:w="880" w:type="dxa"/>
            <w:vAlign w:val="bottom"/>
            <w:tcBorders>
              <w:top w:val="single" w:sz="8" w:color="auto"/>
              <w:bottom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QoQ</w:t>
            </w:r>
          </w:p>
        </w:tc>
        <w:tc>
          <w:tcPr>
            <w:tcW w:w="320" w:type="dxa"/>
            <w:vAlign w:val="bottom"/>
            <w:tcBorders>
              <w:top w:val="single" w:sz="8" w:color="auto"/>
              <w:bottom w:val="single" w:sz="8" w:color="CCEEFF"/>
            </w:tcBorders>
            <w:gridSpan w:val="2"/>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rPr>
                <w:sz w:val="13"/>
                <w:szCs w:val="13"/>
                <w:color w:val="auto"/>
              </w:rPr>
            </w:pPr>
          </w:p>
        </w:tc>
        <w:tc>
          <w:tcPr>
            <w:tcW w:w="6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8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4"/>
              </w:rPr>
              <w:t>2020 / 2019</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478,516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413,164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386,545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1,898,535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1,550,046</w:t>
            </w: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Provision for loan losses, net of</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spacing w:after="0"/>
              <w:rPr>
                <w:sz w:val="20"/>
                <w:szCs w:val="20"/>
                <w:color w:val="auto"/>
              </w:rPr>
            </w:pPr>
            <w:r>
              <w:rPr>
                <w:rFonts w:ascii="Arial" w:cs="Arial" w:eastAsia="Arial" w:hAnsi="Arial"/>
                <w:sz w:val="14"/>
                <w:szCs w:val="14"/>
                <w:color w:val="auto"/>
              </w:rPr>
              <w:t>recoveries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-96,592</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-385,892</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rPr>
              <w:t>-117,946</w:t>
            </w:r>
          </w:p>
        </w:tc>
        <w:tc>
          <w:tcPr>
            <w:tcW w:w="1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22.1%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-408,092</w:t>
            </w:r>
          </w:p>
        </w:tc>
        <w:tc>
          <w:tcPr>
            <w:tcW w:w="100" w:type="dxa"/>
            <w:vAlign w:val="bottom"/>
          </w:tcPr>
          <w:p>
            <w:pPr>
              <w:spacing w:after="0"/>
              <w:rPr>
                <w:sz w:val="14"/>
                <w:szCs w:val="14"/>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4"/>
                <w:szCs w:val="14"/>
                <w:color w:val="auto"/>
              </w:rPr>
              <w:t>-1,090,281</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167.2%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interest income after</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381,925</w:t>
            </w: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27,272</w:t>
            </w:r>
          </w:p>
        </w:tc>
        <w:tc>
          <w:tcPr>
            <w:tcW w:w="10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268,599</w:t>
            </w:r>
          </w:p>
        </w:tc>
        <w:tc>
          <w:tcPr>
            <w:tcW w:w="160" w:type="dxa"/>
            <w:vAlign w:val="bottom"/>
            <w:shd w:val="clear" w:color="auto" w:fill="CCEEFF"/>
          </w:tcPr>
          <w:p>
            <w:pPr>
              <w:spacing w:after="0"/>
              <w:rPr>
                <w:sz w:val="10"/>
                <w:szCs w:val="10"/>
                <w:color w:val="auto"/>
              </w:rPr>
            </w:pPr>
          </w:p>
        </w:tc>
        <w:tc>
          <w:tcPr>
            <w:tcW w:w="1420" w:type="dxa"/>
            <w:vAlign w:val="bottom"/>
            <w:gridSpan w:val="5"/>
            <w:vMerge w:val="restart"/>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N/A</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-29.7%</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1,490,444</w:t>
            </w:r>
          </w:p>
        </w:tc>
        <w:tc>
          <w:tcPr>
            <w:tcW w:w="100" w:type="dxa"/>
            <w:vAlign w:val="bottom"/>
            <w:shd w:val="clear" w:color="auto" w:fill="CCEEFF"/>
          </w:tcPr>
          <w:p>
            <w:pPr>
              <w:spacing w:after="0"/>
              <w:rPr>
                <w:sz w:val="10"/>
                <w:szCs w:val="10"/>
                <w:color w:val="auto"/>
              </w:rPr>
            </w:pPr>
          </w:p>
        </w:tc>
        <w:tc>
          <w:tcPr>
            <w:tcW w:w="102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459,765</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provisions</w:t>
            </w:r>
          </w:p>
        </w:tc>
        <w:tc>
          <w:tcPr>
            <w:tcW w:w="820" w:type="dxa"/>
            <w:vAlign w:val="bottom"/>
            <w:gridSpan w:val="2"/>
            <w:vMerge w:val="continue"/>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1060" w:type="dxa"/>
            <w:vAlign w:val="bottom"/>
            <w:gridSpan w:val="4"/>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5"/>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4"/>
            <w:vMerge w:val="continue"/>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line="189" w:lineRule="exact"/>
              <w:rPr>
                <w:sz w:val="20"/>
                <w:szCs w:val="20"/>
                <w:color w:val="auto"/>
              </w:rPr>
            </w:pPr>
            <w:r>
              <w:rPr>
                <w:rFonts w:ascii="Arial" w:cs="Arial" w:eastAsia="Arial" w:hAnsi="Arial"/>
                <w:sz w:val="13"/>
                <w:szCs w:val="13"/>
                <w:color w:val="auto"/>
              </w:rPr>
              <w:t>Non-financial income</w:t>
            </w:r>
            <w:r>
              <w:rPr>
                <w:rFonts w:ascii="Arial" w:cs="Arial" w:eastAsia="Arial" w:hAnsi="Arial"/>
                <w:sz w:val="21"/>
                <w:szCs w:val="21"/>
                <w:color w:val="auto"/>
                <w:vertAlign w:val="superscript"/>
              </w:rPr>
              <w:t>(1)</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53,246</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5,548</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rPr>
              <w:t>59,491</w:t>
            </w:r>
          </w:p>
        </w:tc>
        <w:tc>
          <w:tcPr>
            <w:tcW w:w="160" w:type="dxa"/>
            <w:vAlign w:val="bottom"/>
          </w:tcPr>
          <w:p>
            <w:pPr>
              <w:spacing w:after="0"/>
              <w:rPr>
                <w:sz w:val="16"/>
                <w:szCs w:val="16"/>
                <w:color w:val="auto"/>
              </w:rPr>
            </w:pPr>
          </w:p>
        </w:tc>
        <w:tc>
          <w:tcPr>
            <w:tcW w:w="1420" w:type="dxa"/>
            <w:vAlign w:val="bottom"/>
            <w:gridSpan w:val="5"/>
          </w:tcPr>
          <w:p>
            <w:pPr>
              <w:jc w:val="right"/>
              <w:ind w:right="54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186,037</w:t>
            </w:r>
          </w:p>
        </w:tc>
        <w:tc>
          <w:tcPr>
            <w:tcW w:w="100" w:type="dxa"/>
            <w:vAlign w:val="bottom"/>
          </w:tcPr>
          <w:p>
            <w:pPr>
              <w:spacing w:after="0"/>
              <w:rPr>
                <w:sz w:val="16"/>
                <w:szCs w:val="16"/>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4"/>
                <w:szCs w:val="14"/>
                <w:color w:val="auto"/>
              </w:rPr>
              <w:t>107,847</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-42.0%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Total expenses</w:t>
            </w:r>
            <w:r>
              <w:rPr>
                <w:rFonts w:ascii="Arial" w:cs="Arial" w:eastAsia="Arial" w:hAnsi="Arial"/>
                <w:sz w:val="21"/>
                <w:szCs w:val="21"/>
                <w:color w:val="auto"/>
                <w:vertAlign w:val="superscript"/>
              </w:rPr>
              <w:t>(1)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-283,888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-257,773</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-277,169</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w w:val="98"/>
              </w:rPr>
              <w:t>-1,107,471</w:t>
            </w:r>
          </w:p>
        </w:tc>
        <w:tc>
          <w:tcPr>
            <w:tcW w:w="10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-1,088,344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-48,940</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66,568</w:t>
            </w:r>
          </w:p>
        </w:tc>
        <w:tc>
          <w:tcPr>
            <w:tcW w:w="10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-27,942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-168,284</w:t>
            </w: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141,718</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102,343</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-158,385</w:t>
            </w: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22,979</w:t>
            </w:r>
          </w:p>
        </w:tc>
        <w:tc>
          <w:tcPr>
            <w:tcW w:w="1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-114.5%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-77.5%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400,727</w:t>
            </w:r>
          </w:p>
        </w:tc>
        <w:tc>
          <w:tcPr>
            <w:tcW w:w="10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-379,014</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58.7%</w:t>
            </w:r>
          </w:p>
        </w:tc>
        <w:tc>
          <w:tcPr>
            <w:tcW w:w="12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1420" w:type="dxa"/>
            <w:vAlign w:val="bottom"/>
            <w:gridSpan w:val="5"/>
            <w:shd w:val="clear" w:color="auto" w:fill="CCEEFF"/>
          </w:tcPr>
          <w:p>
            <w:pPr>
              <w:ind w:left="620"/>
              <w:spacing w:after="0" w:line="149" w:lineRule="exact"/>
              <w:rPr>
                <w:sz w:val="20"/>
                <w:szCs w:val="20"/>
                <w:color w:val="auto"/>
              </w:rPr>
            </w:pPr>
            <w:r>
              <w:rPr>
                <w:rFonts w:ascii="Arial" w:cs="Arial" w:eastAsia="Arial" w:hAnsi="Arial"/>
                <w:sz w:val="14"/>
                <w:szCs w:val="14"/>
                <w:color w:val="auto"/>
              </w:rPr>
              <w:t>-300bps</w:t>
            </w:r>
          </w:p>
        </w:tc>
        <w:tc>
          <w:tcPr>
            <w:tcW w:w="114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170 bps</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63.1%</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 bps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line="189" w:lineRule="exact"/>
              <w:rPr>
                <w:sz w:val="20"/>
                <w:szCs w:val="20"/>
                <w:color w:val="auto"/>
              </w:rPr>
            </w:pPr>
            <w:r>
              <w:rPr>
                <w:rFonts w:ascii="Arial" w:cs="Arial" w:eastAsia="Arial" w:hAnsi="Arial"/>
                <w:sz w:val="13"/>
                <w:szCs w:val="13"/>
                <w:color w:val="auto"/>
              </w:rPr>
              <w:t>ROAE</w:t>
            </w:r>
            <w:r>
              <w:rPr>
                <w:rFonts w:ascii="Arial" w:cs="Arial" w:eastAsia="Arial" w:hAnsi="Arial"/>
                <w:sz w:val="21"/>
                <w:szCs w:val="21"/>
                <w:color w:val="auto"/>
                <w:vertAlign w:val="superscript"/>
              </w:rPr>
              <w:t>(1)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-35.8%</w:t>
            </w:r>
          </w:p>
        </w:tc>
        <w:tc>
          <w:tcPr>
            <w:tcW w:w="1220" w:type="dxa"/>
            <w:vAlign w:val="bottom"/>
            <w:gridSpan w:val="5"/>
          </w:tcPr>
          <w:p>
            <w:pPr>
              <w:jc w:val="right"/>
              <w:ind w:right="120"/>
              <w:spacing w:after="0"/>
              <w:rPr>
                <w:sz w:val="20"/>
                <w:szCs w:val="20"/>
                <w:color w:val="auto"/>
              </w:rPr>
            </w:pPr>
            <w:r>
              <w:rPr>
                <w:rFonts w:ascii="Arial" w:cs="Arial" w:eastAsia="Arial" w:hAnsi="Arial"/>
                <w:sz w:val="14"/>
                <w:szCs w:val="14"/>
                <w:color w:val="auto"/>
              </w:rPr>
              <w:t>4.8%</w:t>
            </w:r>
          </w:p>
        </w:tc>
        <w:tc>
          <w:tcPr>
            <w:tcW w:w="1420" w:type="dxa"/>
            <w:vAlign w:val="bottom"/>
            <w:gridSpan w:val="5"/>
          </w:tcPr>
          <w:p>
            <w:pPr>
              <w:jc w:val="right"/>
              <w:ind w:right="540"/>
              <w:spacing w:after="0"/>
              <w:rPr>
                <w:sz w:val="20"/>
                <w:szCs w:val="20"/>
                <w:color w:val="auto"/>
              </w:rPr>
            </w:pPr>
            <w:r>
              <w:rPr>
                <w:rFonts w:ascii="Arial" w:cs="Arial" w:eastAsia="Arial" w:hAnsi="Arial"/>
                <w:sz w:val="14"/>
                <w:szCs w:val="14"/>
                <w:color w:val="auto"/>
              </w:rPr>
              <w:t>4060 bps</w:t>
            </w:r>
          </w:p>
        </w:tc>
        <w:tc>
          <w:tcPr>
            <w:tcW w:w="1140" w:type="dxa"/>
            <w:vAlign w:val="bottom"/>
            <w:gridSpan w:val="4"/>
          </w:tcPr>
          <w:p>
            <w:pPr>
              <w:jc w:val="right"/>
              <w:ind w:right="480"/>
              <w:spacing w:after="0"/>
              <w:rPr>
                <w:sz w:val="20"/>
                <w:szCs w:val="20"/>
                <w:color w:val="auto"/>
              </w:rPr>
            </w:pPr>
            <w:r>
              <w:rPr>
                <w:rFonts w:ascii="Arial" w:cs="Arial" w:eastAsia="Arial" w:hAnsi="Arial"/>
                <w:sz w:val="14"/>
                <w:szCs w:val="14"/>
                <w:color w:val="auto"/>
              </w:rPr>
              <w:t>-1610 bps</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4"/>
                <w:szCs w:val="14"/>
                <w:color w:val="auto"/>
              </w:rPr>
              <w:t>-18.1%</w:t>
            </w:r>
          </w:p>
        </w:tc>
        <w:tc>
          <w:tcPr>
            <w:tcW w:w="1060" w:type="dxa"/>
            <w:vAlign w:val="bottom"/>
            <w:gridSpan w:val="4"/>
          </w:tcPr>
          <w:p>
            <w:pPr>
              <w:jc w:val="right"/>
              <w:ind w:right="160"/>
              <w:spacing w:after="0"/>
              <w:rPr>
                <w:sz w:val="20"/>
                <w:szCs w:val="20"/>
                <w:color w:val="auto"/>
              </w:rPr>
            </w:pPr>
            <w:r>
              <w:rPr>
                <w:rFonts w:ascii="Arial" w:cs="Arial" w:eastAsia="Arial" w:hAnsi="Arial"/>
                <w:sz w:val="14"/>
                <w:szCs w:val="14"/>
                <w:color w:val="auto"/>
              </w:rPr>
              <w:t>-3860 bps</w:t>
            </w: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ROAE incl. Goowdill</w:t>
            </w:r>
            <w:r>
              <w:rPr>
                <w:rFonts w:ascii="Arial" w:cs="Arial" w:eastAsia="Arial" w:hAnsi="Arial"/>
                <w:sz w:val="21"/>
                <w:szCs w:val="21"/>
                <w:color w:val="auto"/>
                <w:vertAlign w:val="superscript"/>
              </w:rPr>
              <w:t>(1)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-33.2%</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4.5%</w:t>
            </w:r>
          </w:p>
        </w:tc>
        <w:tc>
          <w:tcPr>
            <w:tcW w:w="1420" w:type="dxa"/>
            <w:vAlign w:val="bottom"/>
            <w:gridSpan w:val="5"/>
            <w:shd w:val="clear" w:color="auto" w:fill="CCEEFF"/>
          </w:tcPr>
          <w:p>
            <w:pPr>
              <w:jc w:val="right"/>
              <w:ind w:right="540"/>
              <w:spacing w:after="0"/>
              <w:rPr>
                <w:sz w:val="20"/>
                <w:szCs w:val="20"/>
                <w:color w:val="auto"/>
              </w:rPr>
            </w:pPr>
            <w:r>
              <w:rPr>
                <w:rFonts w:ascii="Arial" w:cs="Arial" w:eastAsia="Arial" w:hAnsi="Arial"/>
                <w:sz w:val="14"/>
                <w:szCs w:val="14"/>
                <w:color w:val="auto"/>
              </w:rPr>
              <w:t>3770 bps</w:t>
            </w:r>
          </w:p>
        </w:tc>
        <w:tc>
          <w:tcPr>
            <w:tcW w:w="1140" w:type="dxa"/>
            <w:vAlign w:val="bottom"/>
            <w:gridSpan w:val="4"/>
            <w:shd w:val="clear" w:color="auto" w:fill="CCEEFF"/>
          </w:tcPr>
          <w:p>
            <w:pPr>
              <w:jc w:val="right"/>
              <w:ind w:right="480"/>
              <w:spacing w:after="0"/>
              <w:rPr>
                <w:sz w:val="20"/>
                <w:szCs w:val="20"/>
                <w:color w:val="auto"/>
              </w:rPr>
            </w:pPr>
            <w:r>
              <w:rPr>
                <w:rFonts w:ascii="Arial" w:cs="Arial" w:eastAsia="Arial" w:hAnsi="Arial"/>
                <w:sz w:val="14"/>
                <w:szCs w:val="14"/>
                <w:color w:val="auto"/>
              </w:rPr>
              <w:t>-1510 bps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-3600 bps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L/D ratio</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125.4%</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146.5%</w:t>
            </w:r>
          </w:p>
        </w:tc>
        <w:tc>
          <w:tcPr>
            <w:tcW w:w="122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149.3%</w:t>
            </w:r>
          </w:p>
        </w:tc>
        <w:tc>
          <w:tcPr>
            <w:tcW w:w="1420" w:type="dxa"/>
            <w:vAlign w:val="bottom"/>
            <w:gridSpan w:val="5"/>
          </w:tcPr>
          <w:p>
            <w:pPr>
              <w:jc w:val="right"/>
              <w:ind w:right="540"/>
              <w:spacing w:after="0" w:line="149" w:lineRule="exact"/>
              <w:rPr>
                <w:sz w:val="20"/>
                <w:szCs w:val="20"/>
                <w:color w:val="auto"/>
              </w:rPr>
            </w:pPr>
            <w:r>
              <w:rPr>
                <w:rFonts w:ascii="Arial" w:cs="Arial" w:eastAsia="Arial" w:hAnsi="Arial"/>
                <w:sz w:val="14"/>
                <w:szCs w:val="14"/>
                <w:color w:val="auto"/>
              </w:rPr>
              <w:t>280 bps</w:t>
            </w:r>
          </w:p>
        </w:tc>
        <w:tc>
          <w:tcPr>
            <w:tcW w:w="1140" w:type="dxa"/>
            <w:vAlign w:val="bottom"/>
            <w:gridSpan w:val="4"/>
          </w:tcPr>
          <w:p>
            <w:pPr>
              <w:jc w:val="right"/>
              <w:ind w:right="480"/>
              <w:spacing w:after="0" w:line="149" w:lineRule="exact"/>
              <w:rPr>
                <w:sz w:val="20"/>
                <w:szCs w:val="20"/>
                <w:color w:val="auto"/>
              </w:rPr>
            </w:pPr>
            <w:r>
              <w:rPr>
                <w:rFonts w:ascii="Arial" w:cs="Arial" w:eastAsia="Arial" w:hAnsi="Arial"/>
                <w:sz w:val="14"/>
                <w:szCs w:val="14"/>
                <w:color w:val="auto"/>
              </w:rPr>
              <w:t>2390 bps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IOL ratio</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12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420" w:type="dxa"/>
            <w:vAlign w:val="bottom"/>
            <w:gridSpan w:val="5"/>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 bps</w:t>
            </w:r>
          </w:p>
        </w:tc>
        <w:tc>
          <w:tcPr>
            <w:tcW w:w="114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180 bps</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122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1420" w:type="dxa"/>
            <w:vAlign w:val="bottom"/>
            <w:gridSpan w:val="5"/>
          </w:tcPr>
          <w:p>
            <w:pPr>
              <w:jc w:val="right"/>
              <w:ind w:right="540"/>
              <w:spacing w:after="0" w:line="149" w:lineRule="exact"/>
              <w:rPr>
                <w:sz w:val="20"/>
                <w:szCs w:val="20"/>
                <w:color w:val="auto"/>
              </w:rPr>
            </w:pPr>
            <w:r>
              <w:rPr>
                <w:rFonts w:ascii="Arial" w:cs="Arial" w:eastAsia="Arial" w:hAnsi="Arial"/>
                <w:sz w:val="14"/>
                <w:szCs w:val="14"/>
                <w:color w:val="auto"/>
              </w:rPr>
              <w:t>70 bps</w:t>
            </w:r>
          </w:p>
        </w:tc>
        <w:tc>
          <w:tcPr>
            <w:tcW w:w="1140" w:type="dxa"/>
            <w:vAlign w:val="bottom"/>
            <w:gridSpan w:val="4"/>
          </w:tcPr>
          <w:p>
            <w:pPr>
              <w:jc w:val="right"/>
              <w:ind w:right="480"/>
              <w:spacing w:after="0" w:line="149" w:lineRule="exact"/>
              <w:rPr>
                <w:sz w:val="20"/>
                <w:szCs w:val="20"/>
                <w:color w:val="auto"/>
              </w:rPr>
            </w:pPr>
            <w:r>
              <w:rPr>
                <w:rFonts w:ascii="Arial" w:cs="Arial" w:eastAsia="Arial" w:hAnsi="Arial"/>
                <w:sz w:val="14"/>
                <w:szCs w:val="14"/>
                <w:color w:val="auto"/>
              </w:rPr>
              <w:t>160 bps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Coverage of IOLs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246.6%</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199.5%</w:t>
            </w:r>
          </w:p>
        </w:tc>
        <w:tc>
          <w:tcPr>
            <w:tcW w:w="142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4710 bps</w:t>
            </w:r>
          </w:p>
        </w:tc>
        <w:tc>
          <w:tcPr>
            <w:tcW w:w="1140" w:type="dxa"/>
            <w:vAlign w:val="bottom"/>
            <w:gridSpan w:val="4"/>
            <w:shd w:val="clear" w:color="auto" w:fill="CCEEFF"/>
          </w:tcPr>
          <w:p>
            <w:pPr>
              <w:jc w:val="right"/>
              <w:ind w:right="480"/>
              <w:spacing w:after="0"/>
              <w:rPr>
                <w:sz w:val="20"/>
                <w:szCs w:val="20"/>
                <w:color w:val="auto"/>
              </w:rPr>
            </w:pPr>
            <w:r>
              <w:rPr>
                <w:rFonts w:ascii="Arial" w:cs="Arial" w:eastAsia="Arial" w:hAnsi="Arial"/>
                <w:sz w:val="14"/>
                <w:szCs w:val="14"/>
                <w:color w:val="auto"/>
              </w:rPr>
              <w:t>3570 bps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4"/>
                <w:szCs w:val="14"/>
                <w:color w:val="auto"/>
              </w:rPr>
              <w:t>Coverage of NPLs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139.2%</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206.5%</w:t>
            </w:r>
          </w:p>
        </w:tc>
        <w:tc>
          <w:tcPr>
            <w:tcW w:w="1220" w:type="dxa"/>
            <w:vAlign w:val="bottom"/>
            <w:gridSpan w:val="5"/>
          </w:tcPr>
          <w:p>
            <w:pPr>
              <w:jc w:val="right"/>
              <w:ind w:right="120"/>
              <w:spacing w:after="0"/>
              <w:rPr>
                <w:sz w:val="20"/>
                <w:szCs w:val="20"/>
                <w:color w:val="auto"/>
              </w:rPr>
            </w:pPr>
            <w:r>
              <w:rPr>
                <w:rFonts w:ascii="Arial" w:cs="Arial" w:eastAsia="Arial" w:hAnsi="Arial"/>
                <w:sz w:val="14"/>
                <w:szCs w:val="14"/>
                <w:color w:val="auto"/>
              </w:rPr>
              <w:t>177.9%</w:t>
            </w:r>
          </w:p>
        </w:tc>
        <w:tc>
          <w:tcPr>
            <w:tcW w:w="1420" w:type="dxa"/>
            <w:vAlign w:val="bottom"/>
            <w:gridSpan w:val="5"/>
          </w:tcPr>
          <w:p>
            <w:pPr>
              <w:jc w:val="right"/>
              <w:ind w:right="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2860 bps</w:t>
            </w:r>
          </w:p>
        </w:tc>
        <w:tc>
          <w:tcPr>
            <w:tcW w:w="1140" w:type="dxa"/>
            <w:vAlign w:val="bottom"/>
            <w:gridSpan w:val="4"/>
          </w:tcPr>
          <w:p>
            <w:pPr>
              <w:jc w:val="right"/>
              <w:ind w:right="480"/>
              <w:spacing w:after="0"/>
              <w:rPr>
                <w:sz w:val="20"/>
                <w:szCs w:val="20"/>
                <w:color w:val="auto"/>
              </w:rPr>
            </w:pPr>
            <w:r>
              <w:rPr>
                <w:rFonts w:ascii="Arial" w:cs="Arial" w:eastAsia="Arial" w:hAnsi="Arial"/>
                <w:sz w:val="14"/>
                <w:szCs w:val="14"/>
                <w:color w:val="auto"/>
              </w:rPr>
              <w:t>3870 bps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323</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323</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11,553</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11,133</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rPr>
              <w:t>10,781</w:t>
            </w: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-772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Figures differ than previously reported, consider the data presented in this report.</w:t>
      </w:r>
    </w:p>
    <w:p>
      <w:pPr>
        <w:ind w:left="220" w:hanging="212"/>
        <w:spacing w:after="0"/>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Banco de la Nacion branches, which in December-19 and in September-20 were 35 and in December-20 were 34.</w:t>
      </w: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11.6. BCP Bolivia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6"/>
                <w:szCs w:val="16"/>
                <w:b w:val="1"/>
                <w:bCs w:val="1"/>
                <w:color w:val="auto"/>
                <w:w w:val="89"/>
              </w:rPr>
              <w:t>As of</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 change</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Dec 19</w:t>
            </w:r>
          </w:p>
        </w:tc>
        <w:tc>
          <w:tcPr>
            <w:tcW w:w="138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89"/>
              </w:rPr>
              <w:t>Sep 20</w:t>
            </w:r>
          </w:p>
        </w:tc>
        <w:tc>
          <w:tcPr>
            <w:tcW w:w="11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Dec 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6"/>
                <w:szCs w:val="16"/>
                <w:b w:val="1"/>
                <w:bCs w:val="1"/>
                <w:color w:val="auto"/>
              </w:rPr>
              <w:t>QoQ</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1,641,784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2,184,964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2,325,205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1,267,785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1,282,579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1,483,229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Total loans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7,619,923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8,449,617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8,838,281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7,464,400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8,321,906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8,703,786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180"/>
              <w:spacing w:after="0"/>
              <w:rPr>
                <w:sz w:val="20"/>
                <w:szCs w:val="20"/>
                <w:color w:val="auto"/>
              </w:rPr>
            </w:pPr>
            <w:r>
              <w:rPr>
                <w:rFonts w:ascii="Arial" w:cs="Arial" w:eastAsia="Arial" w:hAnsi="Arial"/>
                <w:sz w:val="16"/>
                <w:szCs w:val="16"/>
                <w:color w:val="auto"/>
              </w:rPr>
              <w:t>Internal overdue loans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133,219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100,875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89,481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Refinanced</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22,303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45,014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(231,885)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(434,471)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6"/>
                <w:szCs w:val="16"/>
                <w:color w:val="auto"/>
              </w:rPr>
              <w:t>(614,337)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164.9%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loans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7,388,038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8,015,146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8,223,944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49,297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50,678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54,898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134,024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192,489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385,144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100.1%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1560"/>
              <w:spacing w:after="0"/>
              <w:rPr>
                <w:sz w:val="20"/>
                <w:szCs w:val="20"/>
                <w:color w:val="auto"/>
              </w:rPr>
            </w:pPr>
            <w:r>
              <w:rPr>
                <w:rFonts w:ascii="Arial" w:cs="Arial" w:eastAsia="Arial" w:hAnsi="Arial"/>
                <w:sz w:val="16"/>
                <w:szCs w:val="16"/>
                <w:b w:val="1"/>
                <w:bCs w:val="1"/>
                <w:color w:val="auto"/>
              </w:rPr>
              <w:t>Total assets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2"/>
              </w:rPr>
              <w:t>10,480,928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11,725,856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12,472,420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7"/>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Deposits and obligations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8,965,776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10,023,973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10,722,703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color w:val="auto"/>
              </w:rPr>
              <w:t>Due to banks and correspondents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42,435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83,660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78,187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84.3%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Bonds and subordinated debt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103,916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110,625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168,936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632,328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6"/>
                <w:szCs w:val="16"/>
                <w:color w:val="auto"/>
              </w:rPr>
              <w:t>824,117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811,553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1440"/>
              <w:spacing w:after="0"/>
              <w:rPr>
                <w:sz w:val="20"/>
                <w:szCs w:val="20"/>
                <w:color w:val="auto"/>
              </w:rPr>
            </w:pPr>
            <w:r>
              <w:rPr>
                <w:rFonts w:ascii="Arial" w:cs="Arial" w:eastAsia="Arial" w:hAnsi="Arial"/>
                <w:sz w:val="16"/>
                <w:szCs w:val="16"/>
                <w:b w:val="1"/>
                <w:bCs w:val="1"/>
                <w:color w:val="auto"/>
                <w:w w:val="98"/>
              </w:rPr>
              <w:t>Total liabilities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9,744,455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11,042,375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11,781,380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736,473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683,481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691,040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TOTAL LIABILITIES AND NET SHAREHOLDERS’</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2"/>
              </w:rPr>
              <w:t>10,480,928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11,725,856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12,472,420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5"/>
          </w:tcPr>
          <w:p>
            <w:pPr>
              <w:ind w:left="720"/>
              <w:spacing w:after="0"/>
              <w:rPr>
                <w:sz w:val="20"/>
                <w:szCs w:val="20"/>
                <w:color w:val="auto"/>
              </w:rPr>
            </w:pPr>
            <w:r>
              <w:rPr>
                <w:rFonts w:ascii="Arial" w:cs="Arial" w:eastAsia="Arial" w:hAnsi="Arial"/>
                <w:sz w:val="14"/>
                <w:szCs w:val="14"/>
                <w:b w:val="1"/>
                <w:bCs w:val="1"/>
                <w:color w:val="auto"/>
                <w:w w:val="97"/>
              </w:rPr>
              <w:t>% change</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460"/>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4"/>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3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4Q19</w:t>
            </w:r>
          </w:p>
        </w:tc>
        <w:tc>
          <w:tcPr>
            <w:tcW w:w="22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3Q20</w:t>
            </w:r>
          </w:p>
        </w:tc>
        <w:tc>
          <w:tcPr>
            <w:tcW w:w="16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4Q20</w:t>
            </w:r>
          </w:p>
        </w:tc>
        <w:tc>
          <w:tcPr>
            <w:tcW w:w="220" w:type="dxa"/>
            <w:vAlign w:val="bottom"/>
            <w:tcBorders>
              <w:bottom w:val="single" w:sz="8" w:color="CCEEFF"/>
            </w:tcBorders>
            <w:gridSpan w:val="2"/>
          </w:tcPr>
          <w:p>
            <w:pPr>
              <w:spacing w:after="0"/>
              <w:rPr>
                <w:sz w:val="13"/>
                <w:szCs w:val="13"/>
                <w:color w:val="auto"/>
              </w:rPr>
            </w:pPr>
          </w:p>
        </w:tc>
        <w:tc>
          <w:tcPr>
            <w:tcW w:w="90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QoQ</w:t>
            </w:r>
          </w:p>
        </w:tc>
        <w:tc>
          <w:tcPr>
            <w:tcW w:w="260" w:type="dxa"/>
            <w:vAlign w:val="bottom"/>
            <w:tcBorders>
              <w:top w:val="single" w:sz="8" w:color="auto"/>
              <w:bottom w:val="single" w:sz="8" w:color="CCEEFF"/>
            </w:tcBorders>
            <w:gridSpan w:val="2"/>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rPr>
                <w:sz w:val="13"/>
                <w:szCs w:val="13"/>
                <w:color w:val="auto"/>
              </w:rPr>
            </w:pPr>
          </w:p>
        </w:tc>
        <w:tc>
          <w:tcPr>
            <w:tcW w:w="6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gridSpan w:val="2"/>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18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4"/>
              </w:rPr>
              <w:t>2020 / 2019</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85,970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91,255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-79,373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-192.3%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329,033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181,692</w:t>
            </w: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Provision for loan losses, net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gridSpan w:val="2"/>
          </w:tcPr>
          <w:p>
            <w:pPr>
              <w:spacing w:after="0"/>
              <w:rPr>
                <w:sz w:val="20"/>
                <w:szCs w:val="20"/>
                <w:color w:val="auto"/>
              </w:rPr>
            </w:pPr>
            <w:r>
              <w:rPr>
                <w:rFonts w:ascii="Arial" w:cs="Arial" w:eastAsia="Arial" w:hAnsi="Arial"/>
                <w:sz w:val="14"/>
                <w:szCs w:val="14"/>
                <w:color w:val="auto"/>
              </w:rPr>
              <w:t>recoveries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(23,777)</w:t>
            </w:r>
          </w:p>
        </w:tc>
        <w:tc>
          <w:tcPr>
            <w:tcW w:w="1060" w:type="dxa"/>
            <w:vAlign w:val="bottom"/>
            <w:gridSpan w:val="3"/>
          </w:tcPr>
          <w:p>
            <w:pPr>
              <w:jc w:val="right"/>
              <w:ind w:right="39"/>
              <w:spacing w:after="0"/>
              <w:rPr>
                <w:sz w:val="20"/>
                <w:szCs w:val="20"/>
                <w:color w:val="auto"/>
              </w:rPr>
            </w:pPr>
            <w:r>
              <w:rPr>
                <w:rFonts w:ascii="Arial" w:cs="Arial" w:eastAsia="Arial" w:hAnsi="Arial"/>
                <w:sz w:val="14"/>
                <w:szCs w:val="14"/>
                <w:color w:val="auto"/>
              </w:rPr>
              <w:t>(71,996)</w:t>
            </w:r>
          </w:p>
        </w:tc>
        <w:tc>
          <w:tcPr>
            <w:tcW w:w="1180" w:type="dxa"/>
            <w:vAlign w:val="bottom"/>
            <w:gridSpan w:val="5"/>
          </w:tcPr>
          <w:p>
            <w:pPr>
              <w:jc w:val="right"/>
              <w:ind w:right="180"/>
              <w:spacing w:after="0"/>
              <w:rPr>
                <w:sz w:val="20"/>
                <w:szCs w:val="20"/>
                <w:color w:val="auto"/>
              </w:rPr>
            </w:pPr>
            <w:r>
              <w:rPr>
                <w:rFonts w:ascii="Arial" w:cs="Arial" w:eastAsia="Arial" w:hAnsi="Arial"/>
                <w:sz w:val="14"/>
                <w:szCs w:val="14"/>
                <w:color w:val="auto"/>
              </w:rPr>
              <w:t>(36,599)</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53.9%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(60,661)</w:t>
            </w:r>
          </w:p>
        </w:tc>
        <w:tc>
          <w:tcPr>
            <w:tcW w:w="100" w:type="dxa"/>
            <w:vAlign w:val="bottom"/>
          </w:tcPr>
          <w:p>
            <w:pPr>
              <w:spacing w:after="0"/>
              <w:rPr>
                <w:sz w:val="14"/>
                <w:szCs w:val="14"/>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4"/>
                <w:szCs w:val="14"/>
                <w:color w:val="auto"/>
              </w:rPr>
              <w:t>(245,311)</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304.4%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62,193</w:t>
            </w:r>
          </w:p>
        </w:tc>
        <w:tc>
          <w:tcPr>
            <w:tcW w:w="106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b w:val="1"/>
                <w:bCs w:val="1"/>
                <w:color w:val="auto"/>
              </w:rPr>
              <w:t>19,260</w:t>
            </w: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-115,972</w:t>
            </w: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-702.2%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268,371</w:t>
            </w: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-63,619</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28,622</w:t>
            </w:r>
          </w:p>
        </w:tc>
        <w:tc>
          <w:tcPr>
            <w:tcW w:w="106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27,561</w:t>
            </w: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31,187</w:t>
            </w:r>
          </w:p>
        </w:tc>
        <w:tc>
          <w:tcPr>
            <w:tcW w:w="2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121,902</w:t>
            </w:r>
          </w:p>
        </w:tc>
        <w:tc>
          <w:tcPr>
            <w:tcW w:w="10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110,151</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(69,055)</w:t>
            </w:r>
          </w:p>
        </w:tc>
        <w:tc>
          <w:tcPr>
            <w:tcW w:w="106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(61,480)</w:t>
            </w:r>
          </w:p>
        </w:tc>
        <w:tc>
          <w:tcPr>
            <w:tcW w:w="1180" w:type="dxa"/>
            <w:vAlign w:val="bottom"/>
            <w:gridSpan w:val="5"/>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(79,517)</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(268,723)</w:t>
            </w: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(260,356)</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106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(93)</w:t>
            </w: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200" w:type="dxa"/>
            <w:vAlign w:val="bottom"/>
          </w:tcPr>
          <w:p>
            <w:pPr>
              <w:spacing w:after="0"/>
              <w:rPr>
                <w:sz w:val="12"/>
                <w:szCs w:val="12"/>
                <w:color w:val="auto"/>
              </w:rPr>
            </w:pPr>
          </w:p>
        </w:tc>
        <w:tc>
          <w:tcPr>
            <w:tcW w:w="1380" w:type="dxa"/>
            <w:vAlign w:val="bottom"/>
            <w:gridSpan w:val="5"/>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134</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(8,309)</w:t>
            </w:r>
          </w:p>
        </w:tc>
        <w:tc>
          <w:tcPr>
            <w:tcW w:w="106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(6,165)</w:t>
            </w: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143,500</w:t>
            </w:r>
          </w:p>
        </w:tc>
        <w:tc>
          <w:tcPr>
            <w:tcW w:w="200" w:type="dxa"/>
            <w:vAlign w:val="bottom"/>
            <w:shd w:val="clear" w:color="auto" w:fill="CCEEFF"/>
          </w:tcPr>
          <w:p>
            <w:pPr>
              <w:spacing w:after="0"/>
              <w:rPr>
                <w:sz w:val="12"/>
                <w:szCs w:val="12"/>
                <w:color w:val="auto"/>
              </w:rPr>
            </w:pPr>
          </w:p>
        </w:tc>
        <w:tc>
          <w:tcPr>
            <w:tcW w:w="1380" w:type="dxa"/>
            <w:vAlign w:val="bottom"/>
            <w:gridSpan w:val="5"/>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4"/>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(43,063)</w:t>
            </w: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139,434</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13,487</w:t>
            </w:r>
          </w:p>
        </w:tc>
        <w:tc>
          <w:tcPr>
            <w:tcW w:w="1060" w:type="dxa"/>
            <w:vAlign w:val="bottom"/>
            <w:gridSpan w:val="3"/>
          </w:tcPr>
          <w:p>
            <w:pPr>
              <w:jc w:val="right"/>
              <w:ind w:right="39"/>
              <w:spacing w:after="0" w:line="149" w:lineRule="exact"/>
              <w:rPr>
                <w:sz w:val="20"/>
                <w:szCs w:val="20"/>
                <w:color w:val="auto"/>
              </w:rPr>
            </w:pPr>
            <w:r>
              <w:rPr>
                <w:rFonts w:ascii="Arial" w:cs="Arial" w:eastAsia="Arial" w:hAnsi="Arial"/>
                <w:sz w:val="14"/>
                <w:szCs w:val="14"/>
                <w:b w:val="1"/>
                <w:bCs w:val="1"/>
                <w:color w:val="auto"/>
              </w:rPr>
              <w:t>(20,916)</w:t>
            </w:r>
          </w:p>
        </w:tc>
        <w:tc>
          <w:tcPr>
            <w:tcW w:w="118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rPr>
              <w:t>(20,586)</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-252.6%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78,508</w:t>
            </w:r>
          </w:p>
        </w:tc>
        <w:tc>
          <w:tcPr>
            <w:tcW w:w="100" w:type="dxa"/>
            <w:vAlign w:val="bottom"/>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(74,257)</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6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380" w:type="dxa"/>
            <w:vAlign w:val="bottom"/>
            <w:gridSpan w:val="5"/>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220" w:type="dxa"/>
            <w:vAlign w:val="bottom"/>
            <w:gridSpan w:val="4"/>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87.8%</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2780 pbs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-12.1%</w:t>
            </w:r>
          </w:p>
        </w:tc>
        <w:tc>
          <w:tcPr>
            <w:tcW w:w="11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1380" w:type="dxa"/>
            <w:vAlign w:val="bottom"/>
            <w:gridSpan w:val="5"/>
          </w:tcPr>
          <w:p>
            <w:pPr>
              <w:jc w:val="right"/>
              <w:ind w:right="480"/>
              <w:spacing w:after="0" w:line="149" w:lineRule="exact"/>
              <w:rPr>
                <w:sz w:val="20"/>
                <w:szCs w:val="20"/>
                <w:color w:val="auto"/>
              </w:rPr>
            </w:pPr>
            <w:r>
              <w:rPr>
                <w:rFonts w:ascii="Arial" w:cs="Arial" w:eastAsia="Arial" w:hAnsi="Arial"/>
                <w:sz w:val="14"/>
                <w:szCs w:val="14"/>
                <w:color w:val="auto"/>
              </w:rPr>
              <w:t>20 pbs</w:t>
            </w:r>
          </w:p>
        </w:tc>
        <w:tc>
          <w:tcPr>
            <w:tcW w:w="122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-1942 pbs</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10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-2140 pbs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L/D ratio</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11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82.4%</w:t>
            </w:r>
          </w:p>
        </w:tc>
        <w:tc>
          <w:tcPr>
            <w:tcW w:w="1380" w:type="dxa"/>
            <w:vAlign w:val="bottom"/>
            <w:gridSpan w:val="5"/>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-190 pbs</w:t>
            </w:r>
          </w:p>
        </w:tc>
        <w:tc>
          <w:tcPr>
            <w:tcW w:w="1220" w:type="dxa"/>
            <w:vAlign w:val="bottom"/>
            <w:gridSpan w:val="4"/>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-256 pbs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IOL ratio</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1.19%</w:t>
            </w:r>
          </w:p>
        </w:tc>
        <w:tc>
          <w:tcPr>
            <w:tcW w:w="11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1380" w:type="dxa"/>
            <w:vAlign w:val="bottom"/>
            <w:gridSpan w:val="5"/>
          </w:tcPr>
          <w:p>
            <w:pPr>
              <w:jc w:val="right"/>
              <w:ind w:right="480"/>
              <w:spacing w:after="0" w:line="149" w:lineRule="exact"/>
              <w:rPr>
                <w:sz w:val="20"/>
                <w:szCs w:val="20"/>
                <w:color w:val="auto"/>
              </w:rPr>
            </w:pPr>
            <w:r>
              <w:rPr>
                <w:rFonts w:ascii="Arial" w:cs="Arial" w:eastAsia="Arial" w:hAnsi="Arial"/>
                <w:sz w:val="14"/>
                <w:szCs w:val="14"/>
                <w:color w:val="auto"/>
              </w:rPr>
              <w:t>-20 pbs</w:t>
            </w:r>
          </w:p>
        </w:tc>
        <w:tc>
          <w:tcPr>
            <w:tcW w:w="122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-74 pbs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NPL ratio</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1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380" w:type="dxa"/>
            <w:vAlign w:val="bottom"/>
            <w:gridSpan w:val="5"/>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 pbs</w:t>
            </w:r>
          </w:p>
        </w:tc>
        <w:tc>
          <w:tcPr>
            <w:tcW w:w="1220" w:type="dxa"/>
            <w:vAlign w:val="bottom"/>
            <w:gridSpan w:val="4"/>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-52 pbs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Coverage of IOLs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174.1%</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430.7%</w:t>
            </w:r>
          </w:p>
        </w:tc>
        <w:tc>
          <w:tcPr>
            <w:tcW w:w="11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686.6%</w:t>
            </w:r>
          </w:p>
        </w:tc>
        <w:tc>
          <w:tcPr>
            <w:tcW w:w="1380" w:type="dxa"/>
            <w:vAlign w:val="bottom"/>
            <w:gridSpan w:val="5"/>
          </w:tcPr>
          <w:p>
            <w:pPr>
              <w:jc w:val="right"/>
              <w:ind w:right="480"/>
              <w:spacing w:after="0" w:line="149" w:lineRule="exact"/>
              <w:rPr>
                <w:sz w:val="20"/>
                <w:szCs w:val="20"/>
                <w:color w:val="auto"/>
              </w:rPr>
            </w:pPr>
            <w:r>
              <w:rPr>
                <w:rFonts w:ascii="Arial" w:cs="Arial" w:eastAsia="Arial" w:hAnsi="Arial"/>
                <w:sz w:val="14"/>
                <w:szCs w:val="14"/>
                <w:color w:val="auto"/>
              </w:rPr>
              <w:t>25590 pbs</w:t>
            </w:r>
          </w:p>
        </w:tc>
        <w:tc>
          <w:tcPr>
            <w:tcW w:w="122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w w:val="97"/>
              </w:rPr>
              <w:t>51249 pbs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149.1%</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340.2%</w:t>
            </w:r>
          </w:p>
        </w:tc>
        <w:tc>
          <w:tcPr>
            <w:tcW w:w="11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456.8%</w:t>
            </w:r>
          </w:p>
        </w:tc>
        <w:tc>
          <w:tcPr>
            <w:tcW w:w="1380" w:type="dxa"/>
            <w:vAlign w:val="bottom"/>
            <w:gridSpan w:val="5"/>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11660 pbs</w:t>
            </w:r>
          </w:p>
        </w:tc>
        <w:tc>
          <w:tcPr>
            <w:tcW w:w="1220" w:type="dxa"/>
            <w:vAlign w:val="bottom"/>
            <w:gridSpan w:val="4"/>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7"/>
              </w:rPr>
              <w:t>30767 pbs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Branches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106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54</w:t>
            </w: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Agentes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446</w:t>
            </w:r>
          </w:p>
        </w:tc>
        <w:tc>
          <w:tcPr>
            <w:tcW w:w="106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664</w:t>
            </w: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851</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301</w:t>
            </w:r>
          </w:p>
        </w:tc>
        <w:tc>
          <w:tcPr>
            <w:tcW w:w="106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310</w:t>
            </w: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310</w:t>
            </w:r>
          </w:p>
        </w:tc>
        <w:tc>
          <w:tcPr>
            <w:tcW w:w="20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1,745</w:t>
            </w:r>
          </w:p>
        </w:tc>
        <w:tc>
          <w:tcPr>
            <w:tcW w:w="106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1,659</w:t>
            </w: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2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11.7. Credicorp Capital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Credicorp Capital</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Quarter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4Q19</w:t>
            </w:r>
          </w:p>
        </w:tc>
        <w:tc>
          <w:tcPr>
            <w:tcW w:w="3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3Q20</w:t>
            </w:r>
          </w:p>
        </w:tc>
        <w:tc>
          <w:tcPr>
            <w:tcW w:w="34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Dic 20 / Dic 19</w:t>
            </w:r>
          </w:p>
        </w:tc>
        <w:tc>
          <w:tcPr>
            <w:tcW w:w="160" w:type="dxa"/>
            <w:vAlign w:val="bottom"/>
            <w:tcBorders>
              <w:bottom w:val="single" w:sz="8" w:color="CCEEFF"/>
            </w:tcBorders>
          </w:tcPr>
          <w:p>
            <w:pPr>
              <w:spacing w:after="0"/>
              <w:rPr>
                <w:sz w:val="18"/>
                <w:szCs w:val="18"/>
                <w:color w:val="auto"/>
              </w:rPr>
            </w:pPr>
          </w:p>
        </w:tc>
      </w:tr>
      <w:tr>
        <w:trPr>
          <w:trHeight w:val="19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-39,490</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r>
      <w:tr>
        <w:trPr>
          <w:trHeight w:val="203"/>
        </w:trPr>
        <w:tc>
          <w:tcPr>
            <w:tcW w:w="4000" w:type="dxa"/>
            <w:vAlign w:val="bottom"/>
            <w:gridSpan w:val="3"/>
          </w:tcPr>
          <w:p>
            <w:pPr>
              <w:spacing w:after="0"/>
              <w:rPr>
                <w:sz w:val="20"/>
                <w:szCs w:val="20"/>
                <w:color w:val="auto"/>
              </w:rPr>
            </w:pPr>
            <w:r>
              <w:rPr>
                <w:rFonts w:ascii="Arial" w:cs="Arial" w:eastAsia="Arial" w:hAnsi="Arial"/>
                <w:sz w:val="16"/>
                <w:szCs w:val="16"/>
                <w:color w:val="auto"/>
              </w:rPr>
              <w:t>Non-financial income</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162,573</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185,903</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200,660</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595,210</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682,948</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14.7%</w:t>
            </w:r>
          </w:p>
        </w:tc>
      </w:tr>
      <w:tr>
        <w:trPr>
          <w:trHeight w:val="203"/>
        </w:trPr>
        <w:tc>
          <w:tcPr>
            <w:tcW w:w="40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Fee income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113,292</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133,469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150,734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395,172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475,284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20.3%</w:t>
            </w:r>
          </w:p>
        </w:tc>
      </w:tr>
      <w:tr>
        <w:trPr>
          <w:trHeight w:val="203"/>
        </w:trPr>
        <w:tc>
          <w:tcPr>
            <w:tcW w:w="4000" w:type="dxa"/>
            <w:vAlign w:val="bottom"/>
            <w:gridSpan w:val="3"/>
          </w:tcPr>
          <w:p>
            <w:pPr>
              <w:ind w:left="180"/>
              <w:spacing w:after="0"/>
              <w:rPr>
                <w:sz w:val="20"/>
                <w:szCs w:val="20"/>
                <w:color w:val="auto"/>
              </w:rPr>
            </w:pPr>
            <w:r>
              <w:rPr>
                <w:rFonts w:ascii="Arial" w:cs="Arial" w:eastAsia="Arial" w:hAnsi="Arial"/>
                <w:sz w:val="16"/>
                <w:szCs w:val="16"/>
                <w:color w:val="auto"/>
              </w:rPr>
              <w:t>Net gain on foreign exchange transactions</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2,746</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9,121</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-9,028</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33,381</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5,242</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-84.3%</w:t>
            </w:r>
          </w:p>
        </w:tc>
      </w:tr>
      <w:tr>
        <w:trPr>
          <w:trHeight w:val="203"/>
        </w:trPr>
        <w:tc>
          <w:tcPr>
            <w:tcW w:w="40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Net gain on sales of securities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28,974</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61,578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51,504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159,366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162,725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03"/>
        </w:trPr>
        <w:tc>
          <w:tcPr>
            <w:tcW w:w="4000" w:type="dxa"/>
            <w:vAlign w:val="bottom"/>
            <w:gridSpan w:val="3"/>
          </w:tcPr>
          <w:p>
            <w:pPr>
              <w:ind w:left="180"/>
              <w:spacing w:after="0"/>
              <w:rPr>
                <w:sz w:val="20"/>
                <w:szCs w:val="20"/>
                <w:color w:val="auto"/>
              </w:rPr>
            </w:pPr>
            <w:r>
              <w:rPr>
                <w:rFonts w:ascii="Arial" w:cs="Arial" w:eastAsia="Arial" w:hAnsi="Arial"/>
                <w:sz w:val="16"/>
                <w:szCs w:val="16"/>
                <w:color w:val="auto"/>
              </w:rPr>
              <w:t>Derivative Result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11,086</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-26,956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-3,188</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-18,067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-6,581</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-63.6%</w:t>
            </w:r>
          </w:p>
        </w:tc>
      </w:tr>
      <w:tr>
        <w:trPr>
          <w:trHeight w:val="203"/>
        </w:trPr>
        <w:tc>
          <w:tcPr>
            <w:tcW w:w="40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Result from exposure to the exchange rate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4,947</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5,306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5,671</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5,949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26,748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349.6%</w:t>
            </w:r>
          </w:p>
        </w:tc>
      </w:tr>
      <w:tr>
        <w:trPr>
          <w:trHeight w:val="203"/>
        </w:trPr>
        <w:tc>
          <w:tcPr>
            <w:tcW w:w="4000" w:type="dxa"/>
            <w:vAlign w:val="bottom"/>
            <w:gridSpan w:val="3"/>
          </w:tcPr>
          <w:p>
            <w:pPr>
              <w:ind w:left="180"/>
              <w:spacing w:after="0"/>
              <w:rPr>
                <w:sz w:val="20"/>
                <w:szCs w:val="20"/>
                <w:color w:val="auto"/>
              </w:rPr>
            </w:pPr>
            <w:r>
              <w:rPr>
                <w:rFonts w:ascii="Arial" w:cs="Arial" w:eastAsia="Arial" w:hAnsi="Arial"/>
                <w:sz w:val="16"/>
                <w:szCs w:val="16"/>
                <w:color w:val="auto"/>
              </w:rPr>
              <w:t>Other income</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1,528</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3,385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4,967</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19,409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19,530</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r>
      <w:tr>
        <w:trPr>
          <w:trHeight w:val="243"/>
        </w:trPr>
        <w:tc>
          <w:tcPr>
            <w:tcW w:w="4000" w:type="dxa"/>
            <w:vAlign w:val="bottom"/>
            <w:gridSpan w:val="3"/>
            <w:shd w:val="clear" w:color="auto" w:fill="CCEEFF"/>
          </w:tcPr>
          <w:p>
            <w:pPr>
              <w:spacing w:after="0" w:line="243" w:lineRule="exact"/>
              <w:rPr>
                <w:sz w:val="20"/>
                <w:szCs w:val="20"/>
                <w:color w:val="auto"/>
              </w:rPr>
            </w:pPr>
            <w:r>
              <w:rPr>
                <w:rFonts w:ascii="Arial" w:cs="Arial" w:eastAsia="Arial" w:hAnsi="Arial"/>
                <w:sz w:val="16"/>
                <w:szCs w:val="16"/>
                <w:color w:val="auto"/>
              </w:rPr>
              <w:t xml:space="preserve">Operating expenses </w:t>
            </w:r>
            <w:r>
              <w:rPr>
                <w:rFonts w:ascii="Arial" w:cs="Arial" w:eastAsia="Arial" w:hAnsi="Arial"/>
                <w:sz w:val="26"/>
                <w:szCs w:val="26"/>
                <w:color w:val="auto"/>
                <w:vertAlign w:val="superscript"/>
              </w:rPr>
              <w:t>(1)</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-139,549</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-139,487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-169,254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-494,191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-561,236</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03"/>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Operating income</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8,102</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41,399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26,188</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61,529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93,249</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51.6%</w:t>
            </w:r>
          </w:p>
        </w:tc>
      </w:tr>
      <w:tr>
        <w:trPr>
          <w:trHeight w:val="203"/>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taxes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-3,396</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-14,397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-12,596</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-17,099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-36,536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113.7%</w:t>
            </w:r>
          </w:p>
        </w:tc>
      </w:tr>
      <w:tr>
        <w:trPr>
          <w:trHeight w:val="202"/>
        </w:trPr>
        <w:tc>
          <w:tcPr>
            <w:tcW w:w="4000" w:type="dxa"/>
            <w:vAlign w:val="bottom"/>
            <w:gridSpan w:val="3"/>
          </w:tcPr>
          <w:p>
            <w:pPr>
              <w:spacing w:after="0"/>
              <w:rPr>
                <w:sz w:val="20"/>
                <w:szCs w:val="20"/>
                <w:color w:val="auto"/>
              </w:rPr>
            </w:pPr>
            <w:r>
              <w:rPr>
                <w:rFonts w:ascii="Arial" w:cs="Arial" w:eastAsia="Arial" w:hAnsi="Arial"/>
                <w:sz w:val="16"/>
                <w:szCs w:val="16"/>
                <w:color w:val="auto"/>
              </w:rPr>
              <w:t>Non-controlling interest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74</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219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547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49.2%</w:t>
            </w:r>
          </w:p>
        </w:tc>
      </w:tr>
      <w:tr>
        <w:trPr>
          <w:trHeight w:val="203"/>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4,632</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26,783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13,139</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43,883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55,897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right="120" w:firstLine="8"/>
        <w:spacing w:after="0" w:line="260"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11.8. Atlantic Security Bank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ASB</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90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747.2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862.6</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949.2</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1,694.1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2,149.1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2,111.9</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Total deposits</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1,320.2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1,543.0</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1,628.8</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195.9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252.3</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12.8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-17.0</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-214.5%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51.9%</w:t>
            </w:r>
          </w:p>
        </w:tc>
      </w:tr>
      <w:tr>
        <w:trPr>
          <w:trHeight w:val="577"/>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Interest earning assets </w:t>
            </w:r>
            <w:r>
              <w:rPr>
                <w:rFonts w:ascii="Arial" w:cs="Arial" w:eastAsia="Arial" w:hAnsi="Arial"/>
                <w:sz w:val="29"/>
                <w:szCs w:val="29"/>
                <w:b w:val="1"/>
                <w:bCs w:val="1"/>
                <w:color w:val="auto"/>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3"/>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90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42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Total loans</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724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728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737</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Total interest earning assets</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1,500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1,805</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1,861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w:t>
            </w:r>
          </w:p>
        </w:tc>
      </w:tr>
      <w:tr>
        <w:trPr>
          <w:trHeight w:val="441"/>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w w:val="93"/>
              </w:rPr>
              <w:t>* Excludes investments in equities and mutual funds.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90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42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Borrowed Funds</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34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1,498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1,926</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1,860</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w:t>
            </w:r>
          </w:p>
        </w:tc>
      </w:tr>
      <w:tr>
        <w:trPr>
          <w:trHeight w:val="846"/>
        </w:trPr>
        <w:tc>
          <w:tcPr>
            <w:tcW w:w="3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240"/>
          </w:cols>
          <w:pgMar w:left="320" w:top="1120" w:right="339" w:bottom="1440" w:gutter="0" w:footer="0" w:header="0"/>
        </w:sectPr>
      </w:pPr>
    </w:p>
    <w:bookmarkStart w:id="80" w:name="page81"/>
    <w:bookmarkEnd w:id="80"/>
    <w:p>
      <w:pPr>
        <w:jc w:val="center"/>
        <w:ind w:right="1060"/>
        <w:spacing w:after="0"/>
        <w:rPr>
          <w:sz w:val="20"/>
          <w:szCs w:val="20"/>
          <w:color w:val="auto"/>
        </w:rPr>
      </w:pPr>
      <w:r>
        <w:rPr>
          <w:rFonts w:ascii="Arial" w:cs="Arial" w:eastAsia="Arial" w:hAnsi="Arial"/>
          <w:sz w:val="16"/>
          <w:szCs w:val="16"/>
          <w:b w:val="1"/>
          <w:bCs w:val="1"/>
          <w:color w:val="auto"/>
        </w:rPr>
        <w:t>Assets under management and Deposits</w:t>
      </w:r>
    </w:p>
    <w:p>
      <w:pPr>
        <w:spacing w:after="0" w:line="5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5715</wp:posOffset>
            </wp:positionV>
            <wp:extent cx="3566160" cy="2220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6616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Portfolio distribution as of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154305</wp:posOffset>
            </wp:positionV>
            <wp:extent cx="1954530" cy="1705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5453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1120"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11.9. Grupo Pacifico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As of</w:t>
            </w: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 change</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Dic 19</w:t>
            </w:r>
          </w:p>
        </w:tc>
        <w:tc>
          <w:tcPr>
            <w:tcW w:w="220" w:type="dxa"/>
            <w:vAlign w:val="bottom"/>
            <w:tcBorders>
              <w:bottom w:val="single" w:sz="8" w:color="CCEEFF"/>
            </w:tcBorders>
            <w:gridSpan w:val="2"/>
          </w:tcPr>
          <w:p>
            <w:pPr>
              <w:spacing w:after="0"/>
              <w:rPr>
                <w:sz w:val="19"/>
                <w:szCs w:val="19"/>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Sep 20</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Dic 20</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209"/>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13,838,009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15,115,751</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16,021,597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r>
      <w:tr>
        <w:trPr>
          <w:trHeight w:val="257"/>
        </w:trPr>
        <w:tc>
          <w:tcPr>
            <w:tcW w:w="2160" w:type="dxa"/>
            <w:vAlign w:val="bottom"/>
          </w:tcPr>
          <w:p>
            <w:pPr>
              <w:spacing w:after="0" w:line="256" w:lineRule="exact"/>
              <w:rPr>
                <w:sz w:val="20"/>
                <w:szCs w:val="20"/>
                <w:color w:val="auto"/>
              </w:rPr>
            </w:pPr>
            <w:r>
              <w:rPr>
                <w:rFonts w:ascii="Arial" w:cs="Arial" w:eastAsia="Arial" w:hAnsi="Arial"/>
                <w:sz w:val="18"/>
                <w:szCs w:val="18"/>
                <w:color w:val="auto"/>
                <w:w w:val="98"/>
              </w:rPr>
              <w:t xml:space="preserve">Invesment on securities </w:t>
            </w:r>
            <w:r>
              <w:rPr>
                <w:rFonts w:ascii="Arial" w:cs="Arial" w:eastAsia="Arial" w:hAnsi="Arial"/>
                <w:sz w:val="29"/>
                <w:szCs w:val="29"/>
                <w:color w:val="auto"/>
                <w:w w:val="98"/>
                <w:vertAlign w:val="superscript"/>
              </w:rPr>
              <w:t>(1)</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10,758,564</w:t>
            </w:r>
          </w:p>
        </w:tc>
        <w:tc>
          <w:tcPr>
            <w:tcW w:w="20" w:type="dxa"/>
            <w:vAlign w:val="bottom"/>
          </w:tcPr>
          <w:p>
            <w:pPr>
              <w:spacing w:after="0"/>
              <w:rPr>
                <w:sz w:val="22"/>
                <w:szCs w:val="22"/>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11,625,405</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12,348,185</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Technical reserves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9,953,455</w:t>
            </w:r>
          </w:p>
        </w:tc>
        <w:tc>
          <w:tcPr>
            <w:tcW w:w="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11,098,905</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11,694,653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Net equity</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2,801,556</w:t>
            </w:r>
          </w:p>
        </w:tc>
        <w:tc>
          <w:tcPr>
            <w:tcW w:w="20" w:type="dxa"/>
            <w:vAlign w:val="bottom"/>
          </w:tcPr>
          <w:p>
            <w:pPr>
              <w:spacing w:after="0"/>
              <w:rPr>
                <w:sz w:val="20"/>
                <w:szCs w:val="20"/>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2,829,498</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2,971,337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364"/>
        </w:trPr>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7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change</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change</w:t>
            </w:r>
          </w:p>
        </w:tc>
      </w:tr>
      <w:tr>
        <w:trPr>
          <w:trHeight w:val="155"/>
        </w:trPr>
        <w:tc>
          <w:tcPr>
            <w:tcW w:w="216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4Q19</w:t>
            </w:r>
          </w:p>
        </w:tc>
        <w:tc>
          <w:tcPr>
            <w:tcW w:w="220" w:type="dxa"/>
            <w:vAlign w:val="bottom"/>
            <w:tcBorders>
              <w:top w:val="single" w:sz="8" w:color="auto"/>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3Q20</w:t>
            </w:r>
          </w:p>
        </w:tc>
        <w:tc>
          <w:tcPr>
            <w:tcW w:w="240" w:type="dxa"/>
            <w:vAlign w:val="bottom"/>
            <w:tcBorders>
              <w:top w:val="single" w:sz="8" w:color="auto"/>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5"/>
              <w:spacing w:after="0" w:line="155" w:lineRule="exact"/>
              <w:rPr>
                <w:sz w:val="20"/>
                <w:szCs w:val="20"/>
                <w:color w:val="auto"/>
              </w:rPr>
            </w:pPr>
            <w:r>
              <w:rPr>
                <w:rFonts w:ascii="Arial" w:cs="Arial" w:eastAsia="Arial" w:hAnsi="Arial"/>
                <w:sz w:val="14"/>
                <w:szCs w:val="14"/>
                <w:b w:val="1"/>
                <w:bCs w:val="1"/>
                <w:color w:val="auto"/>
              </w:rPr>
              <w:t>4Q20</w:t>
            </w:r>
          </w:p>
        </w:tc>
        <w:tc>
          <w:tcPr>
            <w:tcW w:w="220" w:type="dxa"/>
            <w:vAlign w:val="bottom"/>
            <w:tcBorders>
              <w:bottom w:val="single" w:sz="8" w:color="CCEEFF"/>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QoQ</w:t>
            </w:r>
          </w:p>
        </w:tc>
        <w:tc>
          <w:tcPr>
            <w:tcW w:w="3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gridSpan w:val="2"/>
          </w:tcPr>
          <w:p>
            <w:pPr>
              <w:spacing w:after="0"/>
              <w:rPr>
                <w:sz w:val="13"/>
                <w:szCs w:val="13"/>
                <w:color w:val="auto"/>
              </w:rPr>
            </w:pPr>
          </w:p>
        </w:tc>
        <w:tc>
          <w:tcPr>
            <w:tcW w:w="6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YoY</w:t>
            </w:r>
          </w:p>
        </w:tc>
        <w:tc>
          <w:tcPr>
            <w:tcW w:w="34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7"/>
              </w:rPr>
              <w:t>2020 / 2019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r>
        <w:trPr>
          <w:trHeight w:val="142"/>
        </w:trPr>
        <w:tc>
          <w:tcPr>
            <w:tcW w:w="2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630,804</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602,361</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657,373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4.2%</w:t>
            </w:r>
          </w:p>
        </w:tc>
        <w:tc>
          <w:tcPr>
            <w:tcW w:w="9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2,427,437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2,461,195</w:t>
            </w:r>
          </w:p>
        </w:tc>
        <w:tc>
          <w:tcPr>
            <w:tcW w:w="2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Net claims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(395,718)</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(517,735)</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(495,532)</w:t>
            </w:r>
          </w:p>
        </w:tc>
        <w:tc>
          <w:tcPr>
            <w:tcW w:w="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w:t>
            </w:r>
          </w:p>
        </w:tc>
        <w:tc>
          <w:tcPr>
            <w:tcW w:w="1120" w:type="dxa"/>
            <w:vAlign w:val="bottom"/>
            <w:gridSpan w:val="4"/>
          </w:tcPr>
          <w:p>
            <w:pPr>
              <w:jc w:val="right"/>
              <w:ind w:right="90"/>
              <w:spacing w:after="0" w:line="149" w:lineRule="exact"/>
              <w:rPr>
                <w:sz w:val="20"/>
                <w:szCs w:val="20"/>
                <w:color w:val="auto"/>
              </w:rPr>
            </w:pPr>
            <w:r>
              <w:rPr>
                <w:rFonts w:ascii="Arial" w:cs="Arial" w:eastAsia="Arial" w:hAnsi="Arial"/>
                <w:sz w:val="14"/>
                <w:szCs w:val="14"/>
                <w:color w:val="auto"/>
              </w:rPr>
              <w:t>(1,554,477)</w:t>
            </w:r>
          </w:p>
        </w:tc>
        <w:tc>
          <w:tcPr>
            <w:tcW w:w="22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w w:val="97"/>
              </w:rPr>
              <w:t>(1,731,944)</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11.4%</w:t>
            </w: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fees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(152,229)</w:t>
            </w:r>
          </w:p>
        </w:tc>
        <w:tc>
          <w:tcPr>
            <w:tcW w:w="11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(123,463)</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(173,855)</w:t>
            </w: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1120" w:type="dxa"/>
            <w:vAlign w:val="bottom"/>
            <w:gridSpan w:val="4"/>
            <w:shd w:val="clear" w:color="auto" w:fill="CCEEFF"/>
          </w:tcPr>
          <w:p>
            <w:pPr>
              <w:jc w:val="right"/>
              <w:ind w:right="90"/>
              <w:spacing w:after="0" w:line="149" w:lineRule="exact"/>
              <w:rPr>
                <w:sz w:val="20"/>
                <w:szCs w:val="20"/>
                <w:color w:val="auto"/>
              </w:rPr>
            </w:pPr>
            <w:r>
              <w:rPr>
                <w:rFonts w:ascii="Arial" w:cs="Arial" w:eastAsia="Arial" w:hAnsi="Arial"/>
                <w:sz w:val="14"/>
                <w:szCs w:val="14"/>
                <w:color w:val="auto"/>
              </w:rPr>
              <w:t>(572,914)</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(572,234)</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Net underwriting expenses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(26,644)</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(26,991)</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(11,234)</w:t>
            </w:r>
          </w:p>
        </w:tc>
        <w:tc>
          <w:tcPr>
            <w:tcW w:w="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w:t>
            </w:r>
          </w:p>
        </w:tc>
        <w:tc>
          <w:tcPr>
            <w:tcW w:w="1120" w:type="dxa"/>
            <w:vAlign w:val="bottom"/>
            <w:gridSpan w:val="4"/>
          </w:tcPr>
          <w:p>
            <w:pPr>
              <w:jc w:val="right"/>
              <w:ind w:right="90"/>
              <w:spacing w:after="0" w:line="149" w:lineRule="exact"/>
              <w:rPr>
                <w:sz w:val="20"/>
                <w:szCs w:val="20"/>
                <w:color w:val="auto"/>
              </w:rPr>
            </w:pPr>
            <w:r>
              <w:rPr>
                <w:rFonts w:ascii="Arial" w:cs="Arial" w:eastAsia="Arial" w:hAnsi="Arial"/>
                <w:sz w:val="14"/>
                <w:szCs w:val="14"/>
                <w:color w:val="auto"/>
              </w:rPr>
              <w:t>(127,710)</w:t>
            </w:r>
          </w:p>
        </w:tc>
        <w:tc>
          <w:tcPr>
            <w:tcW w:w="22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(128,488)</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0.6%</w:t>
            </w: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56,213</w:t>
            </w:r>
          </w:p>
        </w:tc>
        <w:tc>
          <w:tcPr>
            <w:tcW w:w="11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(65,828)</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(23,247)</w:t>
            </w: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-64.7%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-141.4%</w:t>
            </w:r>
          </w:p>
        </w:tc>
        <w:tc>
          <w:tcPr>
            <w:tcW w:w="1120" w:type="dxa"/>
            <w:vAlign w:val="bottom"/>
            <w:gridSpan w:val="4"/>
            <w:shd w:val="clear" w:color="auto" w:fill="CCEEFF"/>
          </w:tcPr>
          <w:p>
            <w:pPr>
              <w:jc w:val="right"/>
              <w:ind w:right="130"/>
              <w:spacing w:after="0" w:line="149" w:lineRule="exact"/>
              <w:rPr>
                <w:sz w:val="20"/>
                <w:szCs w:val="20"/>
                <w:color w:val="auto"/>
              </w:rPr>
            </w:pPr>
            <w:r>
              <w:rPr>
                <w:rFonts w:ascii="Arial" w:cs="Arial" w:eastAsia="Arial" w:hAnsi="Arial"/>
                <w:sz w:val="14"/>
                <w:szCs w:val="14"/>
                <w:b w:val="1"/>
                <w:bCs w:val="1"/>
                <w:color w:val="auto"/>
              </w:rPr>
              <w:t>172,336</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28,529</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-83.4%</w:t>
            </w:r>
          </w:p>
        </w:tc>
      </w:tr>
      <w:tr>
        <w:trPr>
          <w:trHeight w:val="149"/>
        </w:trPr>
        <w:tc>
          <w:tcPr>
            <w:tcW w:w="2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158,259</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149,354</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137,684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-13.0%</w:t>
            </w:r>
          </w:p>
        </w:tc>
        <w:tc>
          <w:tcPr>
            <w:tcW w:w="1120" w:type="dxa"/>
            <w:vAlign w:val="bottom"/>
            <w:gridSpan w:val="4"/>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578,090</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559,784</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r>
      <w:tr>
        <w:trPr>
          <w:trHeight w:val="148"/>
        </w:trPr>
        <w:tc>
          <w:tcPr>
            <w:tcW w:w="2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(118,004)</w:t>
            </w:r>
          </w:p>
        </w:tc>
        <w:tc>
          <w:tcPr>
            <w:tcW w:w="11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(105,640)</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(119,900)</w:t>
            </w: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120" w:type="dxa"/>
            <w:vAlign w:val="bottom"/>
            <w:gridSpan w:val="4"/>
            <w:shd w:val="clear" w:color="auto" w:fill="CCEEFF"/>
          </w:tcPr>
          <w:p>
            <w:pPr>
              <w:jc w:val="right"/>
              <w:ind w:right="90"/>
              <w:spacing w:after="0" w:line="149" w:lineRule="exact"/>
              <w:rPr>
                <w:sz w:val="20"/>
                <w:szCs w:val="20"/>
                <w:color w:val="auto"/>
              </w:rPr>
            </w:pPr>
            <w:r>
              <w:rPr>
                <w:rFonts w:ascii="Arial" w:cs="Arial" w:eastAsia="Arial" w:hAnsi="Arial"/>
                <w:sz w:val="14"/>
                <w:szCs w:val="14"/>
                <w:color w:val="auto"/>
              </w:rPr>
              <w:t>(437,490)</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(443,626)</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r>
      <w:tr>
        <w:trPr>
          <w:trHeight w:val="148"/>
        </w:trPr>
        <w:tc>
          <w:tcPr>
            <w:tcW w:w="2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13,776</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9,972</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16,424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1120" w:type="dxa"/>
            <w:vAlign w:val="bottom"/>
            <w:gridSpan w:val="4"/>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43,855</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46,170</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Traslations results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(925)</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(2,276)</w:t>
            </w:r>
          </w:p>
        </w:tc>
        <w:tc>
          <w:tcPr>
            <w:tcW w:w="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146.0%</w:t>
            </w:r>
          </w:p>
        </w:tc>
        <w:tc>
          <w:tcPr>
            <w:tcW w:w="1120" w:type="dxa"/>
            <w:vAlign w:val="bottom"/>
            <w:gridSpan w:val="4"/>
          </w:tcPr>
          <w:p>
            <w:pPr>
              <w:jc w:val="right"/>
              <w:ind w:right="90"/>
              <w:spacing w:after="0" w:line="149" w:lineRule="exact"/>
              <w:rPr>
                <w:sz w:val="20"/>
                <w:szCs w:val="20"/>
                <w:color w:val="auto"/>
              </w:rPr>
            </w:pPr>
            <w:r>
              <w:rPr>
                <w:rFonts w:ascii="Arial" w:cs="Arial" w:eastAsia="Arial" w:hAnsi="Arial"/>
                <w:sz w:val="14"/>
                <w:szCs w:val="14"/>
                <w:color w:val="auto"/>
              </w:rPr>
              <w:t>(283)</w:t>
            </w:r>
          </w:p>
        </w:tc>
        <w:tc>
          <w:tcPr>
            <w:tcW w:w="22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(2,036)</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619.9%</w:t>
            </w: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EPS business insurance deduction</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17,263</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9,417</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16,625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120" w:type="dxa"/>
            <w:vAlign w:val="bottom"/>
            <w:gridSpan w:val="4"/>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53,641</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60,034</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w:t>
            </w:r>
          </w:p>
        </w:tc>
      </w:tr>
      <w:tr>
        <w:trPr>
          <w:trHeight w:val="130"/>
        </w:trPr>
        <w:tc>
          <w:tcPr>
            <w:tcW w:w="2160" w:type="dxa"/>
            <w:vAlign w:val="bottom"/>
          </w:tcPr>
          <w:p>
            <w:pPr>
              <w:spacing w:after="0" w:line="130" w:lineRule="exact"/>
              <w:rPr>
                <w:sz w:val="20"/>
                <w:szCs w:val="20"/>
                <w:color w:val="auto"/>
              </w:rPr>
            </w:pPr>
            <w:r>
              <w:rPr>
                <w:rFonts w:ascii="Arial" w:cs="Arial" w:eastAsia="Arial" w:hAnsi="Arial"/>
                <w:sz w:val="14"/>
                <w:szCs w:val="14"/>
                <w:color w:val="auto"/>
              </w:rPr>
              <w:t>Medical Assistance insurance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7"/>
        </w:trPr>
        <w:tc>
          <w:tcPr>
            <w:tcW w:w="2160" w:type="dxa"/>
            <w:vAlign w:val="bottom"/>
          </w:tcPr>
          <w:p>
            <w:pPr>
              <w:ind w:left="180"/>
              <w:spacing w:after="0"/>
              <w:rPr>
                <w:sz w:val="20"/>
                <w:szCs w:val="20"/>
                <w:color w:val="auto"/>
              </w:rPr>
            </w:pPr>
            <w:r>
              <w:rPr>
                <w:rFonts w:ascii="Arial" w:cs="Arial" w:eastAsia="Arial" w:hAnsi="Arial"/>
                <w:sz w:val="14"/>
                <w:szCs w:val="14"/>
                <w:color w:val="auto"/>
              </w:rPr>
              <w:t>deduction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(9,806)</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(10,566)</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(17,079)</w:t>
            </w:r>
          </w:p>
        </w:tc>
        <w:tc>
          <w:tcPr>
            <w:tcW w:w="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61.6%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74.2%</w:t>
            </w:r>
          </w:p>
        </w:tc>
        <w:tc>
          <w:tcPr>
            <w:tcW w:w="1120" w:type="dxa"/>
            <w:vAlign w:val="bottom"/>
            <w:gridSpan w:val="4"/>
          </w:tcPr>
          <w:p>
            <w:pPr>
              <w:jc w:val="right"/>
              <w:ind w:right="90"/>
              <w:spacing w:after="0"/>
              <w:rPr>
                <w:sz w:val="20"/>
                <w:szCs w:val="20"/>
                <w:color w:val="auto"/>
              </w:rPr>
            </w:pPr>
            <w:r>
              <w:rPr>
                <w:rFonts w:ascii="Arial" w:cs="Arial" w:eastAsia="Arial" w:hAnsi="Arial"/>
                <w:sz w:val="14"/>
                <w:szCs w:val="14"/>
                <w:color w:val="auto"/>
              </w:rPr>
              <w:t>(22,636)</w:t>
            </w:r>
          </w:p>
        </w:tc>
        <w:tc>
          <w:tcPr>
            <w:tcW w:w="220" w:type="dxa"/>
            <w:vAlign w:val="bottom"/>
          </w:tcPr>
          <w:p>
            <w:pPr>
              <w:spacing w:after="0"/>
              <w:rPr>
                <w:sz w:val="14"/>
                <w:szCs w:val="1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color w:val="auto"/>
              </w:rPr>
              <w:t>(52,020)</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129.8%</w:t>
            </w: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(1,654)</w:t>
            </w: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357.1%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-123.7%</w:t>
            </w:r>
          </w:p>
        </w:tc>
        <w:tc>
          <w:tcPr>
            <w:tcW w:w="1120" w:type="dxa"/>
            <w:vAlign w:val="bottom"/>
            <w:gridSpan w:val="4"/>
            <w:shd w:val="clear" w:color="auto" w:fill="CCEEFF"/>
          </w:tcPr>
          <w:p>
            <w:pPr>
              <w:jc w:val="right"/>
              <w:ind w:right="90"/>
              <w:spacing w:after="0" w:line="149" w:lineRule="exact"/>
              <w:rPr>
                <w:sz w:val="20"/>
                <w:szCs w:val="20"/>
                <w:color w:val="auto"/>
              </w:rPr>
            </w:pPr>
            <w:r>
              <w:rPr>
                <w:rFonts w:ascii="Arial" w:cs="Arial" w:eastAsia="Arial" w:hAnsi="Arial"/>
                <w:sz w:val="14"/>
                <w:szCs w:val="14"/>
                <w:color w:val="auto"/>
              </w:rPr>
              <w:t>(6,021)</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(2,197)</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-63.5%</w:t>
            </w:r>
          </w:p>
        </w:tc>
      </w:tr>
      <w:tr>
        <w:trPr>
          <w:trHeight w:val="149"/>
        </w:trPr>
        <w:tc>
          <w:tcPr>
            <w:tcW w:w="2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115,121</w:t>
            </w:r>
          </w:p>
        </w:tc>
        <w:tc>
          <w:tcPr>
            <w:tcW w:w="11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(14,705)</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8,621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-158.6%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-92.5%</w:t>
            </w:r>
          </w:p>
        </w:tc>
        <w:tc>
          <w:tcPr>
            <w:tcW w:w="1120" w:type="dxa"/>
            <w:vAlign w:val="bottom"/>
            <w:gridSpan w:val="4"/>
            <w:shd w:val="clear" w:color="auto" w:fill="CCEEFF"/>
          </w:tcPr>
          <w:p>
            <w:pPr>
              <w:jc w:val="right"/>
              <w:ind w:right="130"/>
              <w:spacing w:after="0" w:line="149" w:lineRule="exact"/>
              <w:rPr>
                <w:sz w:val="20"/>
                <w:szCs w:val="20"/>
                <w:color w:val="auto"/>
              </w:rPr>
            </w:pPr>
            <w:r>
              <w:rPr>
                <w:rFonts w:ascii="Arial" w:cs="Arial" w:eastAsia="Arial" w:hAnsi="Arial"/>
                <w:sz w:val="14"/>
                <w:szCs w:val="14"/>
                <w:b w:val="1"/>
                <w:bCs w:val="1"/>
                <w:color w:val="auto"/>
              </w:rPr>
              <w:t>381,492</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194,639</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-49.0%</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(2,594)</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1,496</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(921)</w:t>
            </w:r>
          </w:p>
        </w:tc>
        <w:tc>
          <w:tcPr>
            <w:tcW w:w="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-64.5%</w:t>
            </w:r>
          </w:p>
        </w:tc>
        <w:tc>
          <w:tcPr>
            <w:tcW w:w="1120" w:type="dxa"/>
            <w:vAlign w:val="bottom"/>
            <w:gridSpan w:val="4"/>
          </w:tcPr>
          <w:p>
            <w:pPr>
              <w:jc w:val="right"/>
              <w:ind w:right="90"/>
              <w:spacing w:after="0" w:line="149" w:lineRule="exact"/>
              <w:rPr>
                <w:sz w:val="20"/>
                <w:szCs w:val="20"/>
                <w:color w:val="auto"/>
              </w:rPr>
            </w:pPr>
            <w:r>
              <w:rPr>
                <w:rFonts w:ascii="Arial" w:cs="Arial" w:eastAsia="Arial" w:hAnsi="Arial"/>
                <w:sz w:val="14"/>
                <w:szCs w:val="14"/>
                <w:color w:val="auto"/>
              </w:rPr>
              <w:t>(10,165)</w:t>
            </w:r>
          </w:p>
        </w:tc>
        <w:tc>
          <w:tcPr>
            <w:tcW w:w="22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(3,796)</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-62.7%</w:t>
            </w:r>
          </w:p>
        </w:tc>
      </w:tr>
      <w:tr>
        <w:trPr>
          <w:trHeight w:val="148"/>
        </w:trPr>
        <w:tc>
          <w:tcPr>
            <w:tcW w:w="2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112,527</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(13,209)</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7,701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-93.2%</w:t>
            </w:r>
          </w:p>
        </w:tc>
        <w:tc>
          <w:tcPr>
            <w:tcW w:w="1120" w:type="dxa"/>
            <w:vAlign w:val="bottom"/>
            <w:gridSpan w:val="4"/>
          </w:tcPr>
          <w:p>
            <w:pPr>
              <w:jc w:val="right"/>
              <w:ind w:right="130"/>
              <w:spacing w:after="0" w:line="149" w:lineRule="exact"/>
              <w:rPr>
                <w:sz w:val="20"/>
                <w:szCs w:val="20"/>
                <w:color w:val="auto"/>
              </w:rPr>
            </w:pPr>
            <w:r>
              <w:rPr>
                <w:rFonts w:ascii="Arial" w:cs="Arial" w:eastAsia="Arial" w:hAnsi="Arial"/>
                <w:sz w:val="14"/>
                <w:szCs w:val="14"/>
                <w:b w:val="1"/>
                <w:bCs w:val="1"/>
                <w:color w:val="auto"/>
              </w:rPr>
              <w:t>371,327</w:t>
            </w:r>
          </w:p>
        </w:tc>
        <w:tc>
          <w:tcPr>
            <w:tcW w:w="220" w:type="dxa"/>
            <w:vAlign w:val="bottom"/>
          </w:tcPr>
          <w:p>
            <w:pPr>
              <w:spacing w:after="0"/>
              <w:rPr>
                <w:sz w:val="12"/>
                <w:szCs w:val="12"/>
                <w:color w:val="auto"/>
              </w:rPr>
            </w:pPr>
          </w:p>
        </w:tc>
        <w:tc>
          <w:tcPr>
            <w:tcW w:w="90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190,843</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-48.6%</w:t>
            </w:r>
          </w:p>
        </w:tc>
      </w:tr>
      <w:tr>
        <w:trPr>
          <w:trHeight w:val="148"/>
        </w:trPr>
        <w:tc>
          <w:tcPr>
            <w:tcW w:w="2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11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w:t>
            </w: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2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820bps</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410bps</w:t>
            </w:r>
          </w:p>
        </w:tc>
        <w:tc>
          <w:tcPr>
            <w:tcW w:w="1120" w:type="dxa"/>
            <w:vAlign w:val="bottom"/>
            <w:gridSpan w:val="4"/>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11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-80bps</w:t>
            </w:r>
          </w:p>
        </w:tc>
      </w:tr>
      <w:tr>
        <w:trPr>
          <w:trHeight w:val="148"/>
        </w:trPr>
        <w:tc>
          <w:tcPr>
            <w:tcW w:w="2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86.0%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75.4%</w:t>
            </w:r>
          </w:p>
        </w:tc>
        <w:tc>
          <w:tcPr>
            <w:tcW w:w="2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-1060bps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1270bps</w:t>
            </w:r>
          </w:p>
        </w:tc>
        <w:tc>
          <w:tcPr>
            <w:tcW w:w="112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color w:val="auto"/>
              </w:rPr>
              <w:t>-64.0%</w:t>
            </w:r>
          </w:p>
        </w:tc>
        <w:tc>
          <w:tcPr>
            <w:tcW w:w="2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-70.4%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-640bps</w:t>
            </w:r>
          </w:p>
        </w:tc>
      </w:tr>
      <w:tr>
        <w:trPr>
          <w:trHeight w:val="130"/>
        </w:trPr>
        <w:tc>
          <w:tcPr>
            <w:tcW w:w="2160" w:type="dxa"/>
            <w:vAlign w:val="bottom"/>
          </w:tcPr>
          <w:p>
            <w:pPr>
              <w:spacing w:after="0" w:line="130" w:lineRule="exact"/>
              <w:rPr>
                <w:sz w:val="20"/>
                <w:szCs w:val="20"/>
                <w:color w:val="auto"/>
              </w:rPr>
            </w:pPr>
            <w:r>
              <w:rPr>
                <w:rFonts w:ascii="Arial" w:cs="Arial" w:eastAsia="Arial" w:hAnsi="Arial"/>
                <w:sz w:val="14"/>
                <w:szCs w:val="14"/>
                <w:color w:val="auto"/>
                <w:w w:val="96"/>
              </w:rPr>
              <w:t>Fees + underwriting expenses, net /</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7"/>
        </w:trPr>
        <w:tc>
          <w:tcPr>
            <w:tcW w:w="2160" w:type="dxa"/>
            <w:vAlign w:val="bottom"/>
          </w:tcPr>
          <w:p>
            <w:pPr>
              <w:ind w:left="180"/>
              <w:spacing w:after="0"/>
              <w:rPr>
                <w:sz w:val="20"/>
                <w:szCs w:val="20"/>
                <w:color w:val="auto"/>
              </w:rPr>
            </w:pPr>
            <w:r>
              <w:rPr>
                <w:rFonts w:ascii="Arial" w:cs="Arial" w:eastAsia="Arial" w:hAnsi="Arial"/>
                <w:sz w:val="14"/>
                <w:szCs w:val="14"/>
                <w:color w:val="auto"/>
              </w:rPr>
              <w:t>net earned premiums</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28.4%</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color w:val="auto"/>
              </w:rPr>
              <w:t>25.0%</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14"/>
                <w:szCs w:val="14"/>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4"/>
                <w:szCs w:val="14"/>
                <w:color w:val="auto"/>
              </w:rPr>
              <w:t>320bps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-20bps</w:t>
            </w:r>
          </w:p>
        </w:tc>
        <w:tc>
          <w:tcPr>
            <w:tcW w:w="1120" w:type="dxa"/>
            <w:vAlign w:val="bottom"/>
            <w:gridSpan w:val="4"/>
          </w:tcPr>
          <w:p>
            <w:pPr>
              <w:jc w:val="right"/>
              <w:ind w:right="10"/>
              <w:spacing w:after="0"/>
              <w:rPr>
                <w:sz w:val="20"/>
                <w:szCs w:val="20"/>
                <w:color w:val="auto"/>
              </w:rPr>
            </w:pPr>
            <w:r>
              <w:rPr>
                <w:rFonts w:ascii="Arial" w:cs="Arial" w:eastAsia="Arial" w:hAnsi="Arial"/>
                <w:sz w:val="14"/>
                <w:szCs w:val="14"/>
                <w:color w:val="auto"/>
              </w:rPr>
              <w:t>-28.9%</w:t>
            </w:r>
          </w:p>
        </w:tc>
        <w:tc>
          <w:tcPr>
            <w:tcW w:w="220" w:type="dxa"/>
            <w:vAlign w:val="bottom"/>
          </w:tcPr>
          <w:p>
            <w:pPr>
              <w:spacing w:after="0"/>
              <w:rPr>
                <w:sz w:val="14"/>
                <w:szCs w:val="14"/>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-28.5%</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40bps</w:t>
            </w:r>
          </w:p>
        </w:tc>
      </w:tr>
      <w:tr>
        <w:trPr>
          <w:trHeight w:val="130"/>
        </w:trPr>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Operating expenses / net earned</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7"/>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premiums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17.5%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4"/>
                <w:szCs w:val="14"/>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70bps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-50bps</w:t>
            </w:r>
          </w:p>
        </w:tc>
        <w:tc>
          <w:tcPr>
            <w:tcW w:w="112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0bps</w:t>
            </w:r>
          </w:p>
        </w:tc>
      </w:tr>
      <w:tr>
        <w:trPr>
          <w:trHeight w:val="189"/>
        </w:trPr>
        <w:tc>
          <w:tcPr>
            <w:tcW w:w="2160" w:type="dxa"/>
            <w:vAlign w:val="bottom"/>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(3)(4)</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14.8%</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color w:val="auto"/>
              </w:rPr>
              <w:t>-2.1%</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4"/>
                <w:szCs w:val="14"/>
                <w:color w:val="auto"/>
              </w:rPr>
              <w:t>330bps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-1360bps</w:t>
            </w:r>
          </w:p>
        </w:tc>
        <w:tc>
          <w:tcPr>
            <w:tcW w:w="1120" w:type="dxa"/>
            <w:vAlign w:val="bottom"/>
            <w:gridSpan w:val="4"/>
          </w:tcPr>
          <w:p>
            <w:pPr>
              <w:jc w:val="right"/>
              <w:ind w:right="10"/>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6"/>
                <w:szCs w:val="16"/>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6.7%</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-740bps</w:t>
            </w: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written premiums</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11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220bps</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-1100bps</w:t>
            </w:r>
          </w:p>
        </w:tc>
        <w:tc>
          <w:tcPr>
            <w:tcW w:w="1120" w:type="dxa"/>
            <w:vAlign w:val="bottom"/>
            <w:gridSpan w:val="4"/>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11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-490bps</w:t>
            </w:r>
          </w:p>
        </w:tc>
      </w:tr>
      <w:tr>
        <w:trPr>
          <w:trHeight w:val="189"/>
        </w:trPr>
        <w:tc>
          <w:tcPr>
            <w:tcW w:w="2160" w:type="dxa"/>
            <w:vAlign w:val="bottom"/>
          </w:tcPr>
          <w:p>
            <w:pPr>
              <w:spacing w:after="0" w:line="189" w:lineRule="exact"/>
              <w:rPr>
                <w:sz w:val="20"/>
                <w:szCs w:val="20"/>
                <w:color w:val="auto"/>
              </w:rPr>
            </w:pPr>
            <w:r>
              <w:rPr>
                <w:rFonts w:ascii="Arial" w:cs="Arial" w:eastAsia="Arial" w:hAnsi="Arial"/>
                <w:sz w:val="13"/>
                <w:szCs w:val="13"/>
                <w:color w:val="auto"/>
              </w:rPr>
              <w:t xml:space="preserve">Combined ratio of Life </w:t>
            </w:r>
            <w:r>
              <w:rPr>
                <w:rFonts w:ascii="Arial" w:cs="Arial" w:eastAsia="Arial" w:hAnsi="Arial"/>
                <w:sz w:val="21"/>
                <w:szCs w:val="21"/>
                <w:color w:val="auto"/>
                <w:vertAlign w:val="superscript"/>
              </w:rPr>
              <w:t>(5)</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115.4%</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color w:val="auto"/>
              </w:rPr>
              <w:t>143.4%</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135.6%</w:t>
            </w:r>
          </w:p>
        </w:tc>
        <w:tc>
          <w:tcPr>
            <w:tcW w:w="20" w:type="dxa"/>
            <w:vAlign w:val="bottom"/>
          </w:tcPr>
          <w:p>
            <w:pPr>
              <w:spacing w:after="0"/>
              <w:rPr>
                <w:sz w:val="16"/>
                <w:szCs w:val="16"/>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4"/>
                <w:szCs w:val="14"/>
                <w:color w:val="auto"/>
              </w:rPr>
              <w:t>-780bps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2020bps</w:t>
            </w:r>
          </w:p>
        </w:tc>
        <w:tc>
          <w:tcPr>
            <w:tcW w:w="1120" w:type="dxa"/>
            <w:vAlign w:val="bottom"/>
            <w:gridSpan w:val="4"/>
          </w:tcPr>
          <w:p>
            <w:pPr>
              <w:jc w:val="right"/>
              <w:ind w:right="10"/>
              <w:spacing w:after="0"/>
              <w:rPr>
                <w:sz w:val="20"/>
                <w:szCs w:val="20"/>
                <w:color w:val="auto"/>
              </w:rPr>
            </w:pPr>
            <w:r>
              <w:rPr>
                <w:rFonts w:ascii="Arial" w:cs="Arial" w:eastAsia="Arial" w:hAnsi="Arial"/>
                <w:sz w:val="14"/>
                <w:szCs w:val="14"/>
                <w:color w:val="auto"/>
              </w:rPr>
              <w:t>115.4%</w:t>
            </w:r>
          </w:p>
        </w:tc>
        <w:tc>
          <w:tcPr>
            <w:tcW w:w="220" w:type="dxa"/>
            <w:vAlign w:val="bottom"/>
          </w:tcPr>
          <w:p>
            <w:pPr>
              <w:spacing w:after="0"/>
              <w:rPr>
                <w:sz w:val="16"/>
                <w:szCs w:val="16"/>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135.6%</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2020bps</w:t>
            </w: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84.8%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81.4%</w:t>
            </w:r>
          </w:p>
        </w:tc>
        <w:tc>
          <w:tcPr>
            <w:tcW w:w="2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-340bps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-1270bps</w:t>
            </w:r>
          </w:p>
        </w:tc>
        <w:tc>
          <w:tcPr>
            <w:tcW w:w="112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color w:val="auto"/>
              </w:rPr>
              <w:t>94.1%</w:t>
            </w:r>
          </w:p>
        </w:tc>
        <w:tc>
          <w:tcPr>
            <w:tcW w:w="2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81.4%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-1270bps</w:t>
            </w:r>
          </w:p>
        </w:tc>
      </w:tr>
      <w:tr>
        <w:trPr>
          <w:trHeight w:val="313"/>
        </w:trPr>
        <w:tc>
          <w:tcPr>
            <w:tcW w:w="2160" w:type="dxa"/>
            <w:vAlign w:val="bottom"/>
          </w:tcPr>
          <w:p>
            <w:pPr>
              <w:spacing w:after="0"/>
              <w:rPr>
                <w:sz w:val="20"/>
                <w:szCs w:val="20"/>
                <w:color w:val="auto"/>
              </w:rPr>
            </w:pPr>
            <w:r>
              <w:rPr>
                <w:rFonts w:ascii="Arial" w:cs="Arial" w:eastAsia="Arial" w:hAnsi="Arial"/>
                <w:sz w:val="14"/>
                <w:szCs w:val="14"/>
                <w:color w:val="auto"/>
              </w:rPr>
              <w:t xml:space="preserve">Equity requirement ratio </w:t>
            </w:r>
            <w:r>
              <w:rPr>
                <w:rFonts w:ascii="Arial" w:cs="Arial" w:eastAsia="Arial" w:hAnsi="Arial"/>
                <w:sz w:val="23"/>
                <w:szCs w:val="23"/>
                <w:color w:val="auto"/>
                <w:vertAlign w:val="superscript"/>
              </w:rPr>
              <w:t>(7)</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1.38</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1.33</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rPr>
              <w:t>0.01x</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-0.04x</w:t>
            </w:r>
          </w:p>
        </w:tc>
        <w:tc>
          <w:tcPr>
            <w:tcW w:w="1120" w:type="dxa"/>
            <w:vAlign w:val="bottom"/>
            <w:gridSpan w:val="4"/>
          </w:tcPr>
          <w:p>
            <w:pPr>
              <w:jc w:val="right"/>
              <w:ind w:right="130"/>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4"/>
                <w:szCs w:val="2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1.34</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-0.04x</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without consolidation adjustments.</w:t>
      </w:r>
    </w:p>
    <w:p>
      <w:pPr>
        <w:ind w:left="220" w:hanging="212"/>
        <w:spacing w:after="0" w:line="22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Excluding investments in real estate.</w:t>
      </w:r>
    </w:p>
    <w:p>
      <w:pPr>
        <w:ind w:left="220" w:hanging="212"/>
        <w:spacing w:after="0" w:line="22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Net claims / Net earned premiums.</w:t>
      </w:r>
    </w:p>
    <w:p>
      <w:pPr>
        <w:ind w:left="220" w:hanging="212"/>
        <w:spacing w:after="0" w:line="22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unrealized gains.</w:t>
      </w:r>
    </w:p>
    <w:p>
      <w:pPr>
        <w:ind w:left="220" w:hanging="212"/>
        <w:spacing w:after="0" w:line="22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Annualized and average are determined as the average of period beginning and period ending.</w:t>
      </w:r>
    </w:p>
    <w:p>
      <w:pPr>
        <w:ind w:firstLine="8"/>
        <w:spacing w:after="0" w:line="221" w:lineRule="auto"/>
        <w:tabs>
          <w:tab w:leader="none" w:pos="218" w:val="left"/>
        </w:tabs>
        <w:numPr>
          <w:ilvl w:val="0"/>
          <w:numId w:val="99"/>
        </w:numPr>
        <w:rPr>
          <w:rFonts w:ascii="Arial" w:cs="Arial" w:eastAsia="Arial" w:hAnsi="Arial"/>
          <w:sz w:val="14"/>
          <w:szCs w:val="14"/>
          <w:color w:val="auto"/>
        </w:rPr>
      </w:pPr>
      <w:r>
        <w:rPr>
          <w:rFonts w:ascii="Arial" w:cs="Arial" w:eastAsia="Arial" w:hAnsi="Arial"/>
          <w:sz w:val="14"/>
          <w:szCs w:val="14"/>
          <w:color w:val="auto"/>
        </w:rPr>
        <w:t>(Net claims / Net earned premiums) + Reserves / Net earned premiums) + [(Acquisition cost + total expenses) / Net earned premiums] - (Net Financial Income without real estate sales, securities sales, impairment loss and fluctuation / Net earned premiums).</w:t>
      </w:r>
    </w:p>
    <w:p>
      <w:pPr>
        <w:ind w:left="220" w:hanging="212"/>
        <w:spacing w:after="0" w:line="22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(Net claims / Net earned premiums) + [(Acquisition cost + total expenses) / Net earned premiums].</w:t>
      </w: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Support to cover credit risk, market risk and operational risk.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right="20" w:hanging="494"/>
        <w:spacing w:after="0" w:line="27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2"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8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3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4Q19</w:t>
            </w:r>
          </w:p>
        </w:tc>
        <w:tc>
          <w:tcPr>
            <w:tcW w:w="11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3Q20</w:t>
            </w:r>
          </w:p>
        </w:tc>
        <w:tc>
          <w:tcPr>
            <w:tcW w:w="90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4Q20</w:t>
            </w:r>
          </w:p>
        </w:tc>
        <w:tc>
          <w:tcPr>
            <w:tcW w:w="220" w:type="dxa"/>
            <w:vAlign w:val="bottom"/>
          </w:tcPr>
          <w:p>
            <w:pPr>
              <w:spacing w:after="0"/>
              <w:rPr>
                <w:sz w:val="13"/>
                <w:szCs w:val="13"/>
                <w:color w:val="auto"/>
              </w:rPr>
            </w:pPr>
          </w:p>
        </w:tc>
        <w:tc>
          <w:tcPr>
            <w:tcW w:w="1420" w:type="dxa"/>
            <w:vAlign w:val="bottom"/>
            <w:tcBorders>
              <w:top w:val="single" w:sz="8" w:color="auto"/>
            </w:tcBorders>
            <w:gridSpan w:val="3"/>
          </w:tcPr>
          <w:p>
            <w:pPr>
              <w:ind w:left="340"/>
              <w:spacing w:after="0" w:line="155" w:lineRule="exact"/>
              <w:rPr>
                <w:sz w:val="20"/>
                <w:szCs w:val="20"/>
                <w:color w:val="auto"/>
              </w:rPr>
            </w:pPr>
            <w:r>
              <w:rPr>
                <w:rFonts w:ascii="Arial" w:cs="Arial" w:eastAsia="Arial" w:hAnsi="Arial"/>
                <w:sz w:val="14"/>
                <w:szCs w:val="14"/>
                <w:b w:val="1"/>
                <w:bCs w:val="1"/>
                <w:color w:val="auto"/>
              </w:rPr>
              <w:t>QoQ</w:t>
            </w:r>
          </w:p>
        </w:tc>
        <w:tc>
          <w:tcPr>
            <w:tcW w:w="6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90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 / 2019</w:t>
            </w:r>
          </w:p>
        </w:tc>
        <w:tc>
          <w:tcPr>
            <w:tcW w:w="140" w:type="dxa"/>
            <w:vAlign w:val="bottom"/>
          </w:tcPr>
          <w:p>
            <w:pPr>
              <w:spacing w:after="0"/>
              <w:rPr>
                <w:sz w:val="13"/>
                <w:szCs w:val="13"/>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w:t>
            </w: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279,050</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285,899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288,742</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1,078,181</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1,119,511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(228,400)</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(243,096)</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(223,322)</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(921,650)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(854,107)</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(12,335)</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(12,185)</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(11,583)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(48,276)</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(47,341)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(1,693)</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(2,646)</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(1,997)</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(9,583)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(10,418)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w:t>
            </w: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36,622</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27,972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51,839</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85.3%</w:t>
            </w:r>
          </w:p>
        </w:tc>
        <w:tc>
          <w:tcPr>
            <w:tcW w:w="2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41.6%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98,673</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207,645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110.4%</w:t>
            </w:r>
          </w:p>
        </w:tc>
      </w:tr>
      <w:tr>
        <w:trPr>
          <w:trHeight w:val="148"/>
        </w:trPr>
        <w:tc>
          <w:tcPr>
            <w:tcW w:w="2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1,573</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1,671</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5,760</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5,851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(20,715)</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(18,340)</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(28,515)</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55.5%</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(74,806)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(86,281)</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w:t>
            </w: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905</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2,280</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344.3%</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2,789</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3,199</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(716)</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776</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-65.1%</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-137.8%</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3,352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(5,804)</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(3,655)</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(9,023)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146.9%</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55.5%</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(10,575)</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(42,202)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299.1%</w:t>
            </w:r>
          </w:p>
        </w:tc>
      </w:tr>
      <w:tr>
        <w:trPr>
          <w:trHeight w:val="148"/>
        </w:trPr>
        <w:tc>
          <w:tcPr>
            <w:tcW w:w="2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b w:val="1"/>
                <w:bCs w:val="1"/>
                <w:color w:val="auto"/>
                <w:w w:val="99"/>
              </w:rPr>
              <w:t>Net income before Medical services</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11,866</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18,523</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107.6%</w:t>
            </w:r>
          </w:p>
        </w:tc>
        <w:tc>
          <w:tcPr>
            <w:tcW w:w="2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21,942</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91,564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317.3%</w:t>
            </w:r>
          </w:p>
        </w:tc>
      </w:tr>
      <w:tr>
        <w:trPr>
          <w:trHeight w:val="149"/>
        </w:trPr>
        <w:tc>
          <w:tcPr>
            <w:tcW w:w="2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of Medical services</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22,577</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9,936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14,647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47.4%</w:t>
            </w:r>
          </w:p>
        </w:tc>
        <w:tc>
          <w:tcPr>
            <w:tcW w:w="2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-35.1%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85,009</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28,180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-66.9%</w:t>
            </w:r>
          </w:p>
        </w:tc>
      </w:tr>
      <w:tr>
        <w:trPr>
          <w:trHeight w:val="148"/>
        </w:trPr>
        <w:tc>
          <w:tcPr>
            <w:tcW w:w="2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86"/>
        </w:trPr>
        <w:tc>
          <w:tcPr>
            <w:tcW w:w="23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34,443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18,860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33,170</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75.9%</w:t>
            </w: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106,951</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119,744</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12.0%</w:t>
            </w:r>
          </w:p>
        </w:tc>
      </w:tr>
    </w:tbl>
    <w:p>
      <w:pPr>
        <w:spacing w:after="0" w:line="38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Prima AFP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5"/>
          </w:tcPr>
          <w:p>
            <w:pPr>
              <w:jc w:val="right"/>
              <w:ind w:right="119"/>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ind w:left="54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3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4Q19</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4"/>
          </w:tcPr>
          <w:p>
            <w:pPr>
              <w:jc w:val="right"/>
              <w:ind w:right="139"/>
              <w:spacing w:after="0" w:line="155" w:lineRule="exact"/>
              <w:rPr>
                <w:sz w:val="20"/>
                <w:szCs w:val="20"/>
                <w:color w:val="auto"/>
              </w:rPr>
            </w:pPr>
            <w:r>
              <w:rPr>
                <w:rFonts w:ascii="Arial" w:cs="Arial" w:eastAsia="Arial" w:hAnsi="Arial"/>
                <w:sz w:val="14"/>
                <w:szCs w:val="14"/>
                <w:b w:val="1"/>
                <w:bCs w:val="1"/>
                <w:color w:val="auto"/>
              </w:rPr>
              <w:t>3Q20</w:t>
            </w:r>
          </w:p>
        </w:tc>
        <w:tc>
          <w:tcPr>
            <w:tcW w:w="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3"/>
          </w:tcPr>
          <w:p>
            <w:pPr>
              <w:jc w:val="right"/>
              <w:ind w:right="139"/>
              <w:spacing w:after="0" w:line="155" w:lineRule="exact"/>
              <w:rPr>
                <w:sz w:val="20"/>
                <w:szCs w:val="20"/>
                <w:color w:val="auto"/>
              </w:rPr>
            </w:pPr>
            <w:r>
              <w:rPr>
                <w:rFonts w:ascii="Arial" w:cs="Arial" w:eastAsia="Arial" w:hAnsi="Arial"/>
                <w:sz w:val="14"/>
                <w:szCs w:val="14"/>
                <w:b w:val="1"/>
                <w:bCs w:val="1"/>
                <w:color w:val="auto"/>
              </w:rPr>
              <w:t>4Q20</w:t>
            </w:r>
          </w:p>
        </w:tc>
        <w:tc>
          <w:tcPr>
            <w:tcW w:w="2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QoQ</w:t>
            </w: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gridSpan w:val="3"/>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2020 / 2019</w:t>
            </w:r>
          </w:p>
        </w:tc>
        <w:tc>
          <w:tcPr>
            <w:tcW w:w="140" w:type="dxa"/>
            <w:vAlign w:val="bottom"/>
            <w:tcBorders>
              <w:bottom w:val="single" w:sz="8" w:color="CCEEFF"/>
            </w:tcBorders>
          </w:tcPr>
          <w:p>
            <w:pPr>
              <w:spacing w:after="0"/>
              <w:rPr>
                <w:sz w:val="13"/>
                <w:szCs w:val="13"/>
                <w:color w:val="auto"/>
              </w:rPr>
            </w:pPr>
          </w:p>
        </w:tc>
      </w:tr>
      <w:tr>
        <w:trPr>
          <w:trHeight w:val="142"/>
        </w:trPr>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commissions</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100,567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color w:val="auto"/>
              </w:rPr>
              <w:t>89,242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87,314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403,289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352,085</w:t>
            </w:r>
          </w:p>
        </w:tc>
        <w:tc>
          <w:tcPr>
            <w:tcW w:w="2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-12.7%</w:t>
            </w:r>
          </w:p>
        </w:tc>
      </w:tr>
      <w:tr>
        <w:trPr>
          <w:trHeight w:val="148"/>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(39,639)</w:t>
            </w:r>
          </w:p>
        </w:tc>
        <w:tc>
          <w:tcPr>
            <w:tcW w:w="92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(36,958)</w:t>
            </w:r>
          </w:p>
        </w:tc>
        <w:tc>
          <w:tcPr>
            <w:tcW w:w="1220" w:type="dxa"/>
            <w:vAlign w:val="bottom"/>
            <w:gridSpan w:val="6"/>
          </w:tcPr>
          <w:p>
            <w:pPr>
              <w:jc w:val="right"/>
              <w:ind w:right="220"/>
              <w:spacing w:after="0" w:line="149" w:lineRule="exact"/>
              <w:rPr>
                <w:sz w:val="20"/>
                <w:szCs w:val="20"/>
                <w:color w:val="auto"/>
              </w:rPr>
            </w:pPr>
            <w:r>
              <w:rPr>
                <w:rFonts w:ascii="Arial" w:cs="Arial" w:eastAsia="Arial" w:hAnsi="Arial"/>
                <w:sz w:val="14"/>
                <w:szCs w:val="14"/>
                <w:color w:val="auto"/>
              </w:rPr>
              <w:t>(33,670)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-8.9%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(148,906)</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(136,563)</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-8.3%</w:t>
            </w:r>
          </w:p>
        </w:tc>
      </w:tr>
      <w:tr>
        <w:trPr>
          <w:trHeight w:val="148"/>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(5,801)</w:t>
            </w:r>
          </w:p>
        </w:tc>
        <w:tc>
          <w:tcPr>
            <w:tcW w:w="92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(23,189)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(24,003)</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55,126</w:t>
            </w:r>
          </w:p>
        </w:tc>
        <w:tc>
          <w:tcPr>
            <w:tcW w:w="92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rPr>
              <w:t>46,302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7"/>
              </w:rPr>
              <w:t>47,849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9"/>
              <w:spacing w:after="0" w:line="149" w:lineRule="exact"/>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231,195</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191,519</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-17.2%</w:t>
            </w:r>
          </w:p>
        </w:tc>
      </w:tr>
      <w:tr>
        <w:trPr>
          <w:trHeight w:val="130"/>
        </w:trPr>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 income and expenses, net (profitability of</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lace) (*)</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8,991</w:t>
            </w:r>
          </w:p>
        </w:tc>
        <w:tc>
          <w:tcPr>
            <w:tcW w:w="920" w:type="dxa"/>
            <w:vAlign w:val="bottom"/>
            <w:gridSpan w:val="7"/>
            <w:shd w:val="clear" w:color="auto" w:fill="CCEEFF"/>
          </w:tcPr>
          <w:p>
            <w:pPr>
              <w:jc w:val="right"/>
              <w:spacing w:after="0"/>
              <w:rPr>
                <w:sz w:val="20"/>
                <w:szCs w:val="20"/>
                <w:color w:val="auto"/>
              </w:rPr>
            </w:pPr>
            <w:r>
              <w:rPr>
                <w:rFonts w:ascii="Arial" w:cs="Arial" w:eastAsia="Arial" w:hAnsi="Arial"/>
                <w:sz w:val="14"/>
                <w:szCs w:val="14"/>
                <w:color w:val="auto"/>
              </w:rPr>
              <w:t>4,855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w w:val="97"/>
              </w:rPr>
              <w:t>36,425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650.3%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305.1%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39,311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20,367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-48.2%</w:t>
            </w:r>
          </w:p>
        </w:tc>
      </w:tr>
      <w:tr>
        <w:trPr>
          <w:trHeight w:val="148"/>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Income tax (*)</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(17,415)</w:t>
            </w:r>
          </w:p>
        </w:tc>
        <w:tc>
          <w:tcPr>
            <w:tcW w:w="92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(12,918)</w:t>
            </w:r>
          </w:p>
        </w:tc>
        <w:tc>
          <w:tcPr>
            <w:tcW w:w="1220" w:type="dxa"/>
            <w:vAlign w:val="bottom"/>
            <w:gridSpan w:val="6"/>
          </w:tcPr>
          <w:p>
            <w:pPr>
              <w:jc w:val="right"/>
              <w:ind w:right="220"/>
              <w:spacing w:after="0" w:line="149" w:lineRule="exact"/>
              <w:rPr>
                <w:sz w:val="20"/>
                <w:szCs w:val="20"/>
                <w:color w:val="auto"/>
              </w:rPr>
            </w:pPr>
            <w:r>
              <w:rPr>
                <w:rFonts w:ascii="Arial" w:cs="Arial" w:eastAsia="Arial" w:hAnsi="Arial"/>
                <w:sz w:val="14"/>
                <w:szCs w:val="14"/>
                <w:color w:val="auto"/>
              </w:rPr>
              <w:t>(21,190)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64.0%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(73,836)</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(63,022)</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-14.6%</w:t>
            </w:r>
          </w:p>
        </w:tc>
      </w:tr>
      <w:tr>
        <w:trPr>
          <w:trHeight w:val="148"/>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46,703</w:t>
            </w:r>
          </w:p>
        </w:tc>
        <w:tc>
          <w:tcPr>
            <w:tcW w:w="92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63,084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rPr>
              <w:t>65.0%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196,670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148,863</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7"/>
              </w:rPr>
              <w:t>(202)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-33.8%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-206.8%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793.9%</w:t>
            </w:r>
          </w:p>
        </w:tc>
      </w:tr>
      <w:tr>
        <w:trPr>
          <w:trHeight w:val="148"/>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46,828</w:t>
            </w:r>
          </w:p>
        </w:tc>
        <w:tc>
          <w:tcPr>
            <w:tcW w:w="92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38,037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62,950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b w:val="1"/>
                <w:bCs w:val="1"/>
                <w:color w:val="auto"/>
              </w:rPr>
              <w:t>65.5%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196,589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148,141</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-24.6%</w:t>
            </w:r>
          </w:p>
        </w:tc>
      </w:tr>
      <w:tr>
        <w:trPr>
          <w:trHeight w:val="203"/>
        </w:trPr>
        <w:tc>
          <w:tcPr>
            <w:tcW w:w="324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ROAE </w:t>
            </w:r>
            <w:r>
              <w:rPr>
                <w:rFonts w:ascii="Arial" w:cs="Arial" w:eastAsia="Arial" w:hAnsi="Arial"/>
                <w:sz w:val="23"/>
                <w:szCs w:val="23"/>
                <w:b w:val="1"/>
                <w:bCs w:val="1"/>
                <w:color w:val="auto"/>
                <w:vertAlign w:val="superscript"/>
              </w:rPr>
              <w:t>(1)</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1304 pbs</w:t>
            </w:r>
          </w:p>
        </w:tc>
        <w:tc>
          <w:tcPr>
            <w:tcW w:w="1000" w:type="dxa"/>
            <w:vAlign w:val="bottom"/>
            <w:gridSpan w:val="7"/>
          </w:tcPr>
          <w:p>
            <w:pPr>
              <w:spacing w:after="0"/>
              <w:rPr>
                <w:sz w:val="20"/>
                <w:szCs w:val="20"/>
                <w:color w:val="auto"/>
              </w:rPr>
            </w:pPr>
            <w:r>
              <w:rPr>
                <w:rFonts w:ascii="Arial" w:cs="Arial" w:eastAsia="Arial" w:hAnsi="Arial"/>
                <w:sz w:val="14"/>
                <w:szCs w:val="14"/>
                <w:b w:val="1"/>
                <w:bCs w:val="1"/>
                <w:color w:val="auto"/>
              </w:rPr>
              <w:t>1034 pbs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29.5%</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21.2%</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-834 pbs</w:t>
            </w:r>
          </w:p>
        </w:tc>
      </w:tr>
      <w:tr>
        <w:trPr>
          <w:trHeight w:val="142"/>
        </w:trPr>
        <w:tc>
          <w:tcPr>
            <w:tcW w:w="3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429"/>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4"/>
          </w:tcPr>
          <w:p>
            <w:pPr>
              <w:jc w:val="right"/>
              <w:ind w:right="108"/>
              <w:spacing w:after="0"/>
              <w:rPr>
                <w:sz w:val="20"/>
                <w:szCs w:val="20"/>
                <w:color w:val="auto"/>
              </w:rPr>
            </w:pPr>
            <w:r>
              <w:rPr>
                <w:rFonts w:ascii="Arial" w:cs="Arial" w:eastAsia="Arial" w:hAnsi="Arial"/>
                <w:sz w:val="16"/>
                <w:szCs w:val="16"/>
                <w:b w:val="1"/>
                <w:bCs w:val="1"/>
                <w:color w:val="auto"/>
                <w:w w:val="94"/>
              </w:rPr>
              <w:t>As of</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11"/>
          </w:tcPr>
          <w:p>
            <w:pPr>
              <w:ind w:left="120"/>
              <w:spacing w:after="0"/>
              <w:rPr>
                <w:sz w:val="20"/>
                <w:szCs w:val="20"/>
                <w:color w:val="auto"/>
              </w:rPr>
            </w:pPr>
            <w:r>
              <w:rPr>
                <w:rFonts w:ascii="Arial" w:cs="Arial" w:eastAsia="Arial" w:hAnsi="Arial"/>
                <w:sz w:val="16"/>
                <w:szCs w:val="16"/>
                <w:b w:val="1"/>
                <w:bCs w:val="1"/>
                <w:color w:val="auto"/>
              </w:rPr>
              <w:t>% change</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3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540" w:type="dxa"/>
            <w:vAlign w:val="bottom"/>
            <w:tcBorders>
              <w:top w:val="single" w:sz="8" w:color="CCEEFF"/>
              <w:bottom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4Q19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3"/>
            <w:shd w:val="clear" w:color="auto" w:fill="CCEEFF"/>
          </w:tcPr>
          <w:p>
            <w:pPr>
              <w:jc w:val="right"/>
              <w:ind w:right="68"/>
              <w:spacing w:after="0"/>
              <w:rPr>
                <w:sz w:val="20"/>
                <w:szCs w:val="20"/>
                <w:color w:val="auto"/>
              </w:rPr>
            </w:pPr>
            <w:r>
              <w:rPr>
                <w:rFonts w:ascii="Arial" w:cs="Arial" w:eastAsia="Arial" w:hAnsi="Arial"/>
                <w:sz w:val="16"/>
                <w:szCs w:val="16"/>
                <w:b w:val="1"/>
                <w:bCs w:val="1"/>
                <w:color w:val="auto"/>
                <w:w w:val="91"/>
              </w:rPr>
              <w:t>3Q20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4Q20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3"/>
            <w:shd w:val="clear" w:color="auto" w:fill="CCEEFF"/>
          </w:tcPr>
          <w:p>
            <w:pPr>
              <w:ind w:left="240"/>
              <w:spacing w:after="0"/>
              <w:rPr>
                <w:sz w:val="20"/>
                <w:szCs w:val="20"/>
                <w:color w:val="auto"/>
              </w:rPr>
            </w:pPr>
            <w:r>
              <w:rPr>
                <w:rFonts w:ascii="Arial" w:cs="Arial" w:eastAsia="Arial" w:hAnsi="Arial"/>
                <w:sz w:val="16"/>
                <w:szCs w:val="16"/>
                <w:b w:val="1"/>
                <w:bCs w:val="1"/>
                <w:color w:val="auto"/>
              </w:rPr>
              <w:t>QoQ</w:t>
            </w:r>
          </w:p>
        </w:tc>
        <w:tc>
          <w:tcPr>
            <w:tcW w:w="14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3"/>
            <w:shd w:val="clear" w:color="auto" w:fill="CCEEFF"/>
          </w:tcPr>
          <w:p>
            <w:pPr>
              <w:ind w:left="26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86"/>
              </w:rPr>
              <w:t>982,591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1,015,828</w:t>
            </w:r>
          </w:p>
        </w:tc>
        <w:tc>
          <w:tcPr>
            <w:tcW w:w="1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1,107,706</w:t>
            </w:r>
          </w:p>
        </w:tc>
        <w:tc>
          <w:tcPr>
            <w:tcW w:w="16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4"/>
          </w:tcPr>
          <w:p>
            <w:pPr>
              <w:ind w:left="20"/>
              <w:spacing w:after="0"/>
              <w:rPr>
                <w:sz w:val="20"/>
                <w:szCs w:val="20"/>
                <w:color w:val="auto"/>
              </w:rPr>
            </w:pPr>
            <w:r>
              <w:rPr>
                <w:rFonts w:ascii="Arial" w:cs="Arial" w:eastAsia="Arial" w:hAnsi="Arial"/>
                <w:sz w:val="16"/>
                <w:szCs w:val="16"/>
                <w:color w:val="auto"/>
                <w:w w:val="89"/>
              </w:rPr>
              <w:t>284,643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86"/>
              </w:rPr>
              <w:t>379,394</w:t>
            </w:r>
          </w:p>
        </w:tc>
        <w:tc>
          <w:tcPr>
            <w:tcW w:w="920" w:type="dxa"/>
            <w:vAlign w:val="bottom"/>
            <w:gridSpan w:val="5"/>
          </w:tcPr>
          <w:p>
            <w:pPr>
              <w:jc w:val="right"/>
              <w:spacing w:after="0"/>
              <w:rPr>
                <w:sz w:val="20"/>
                <w:szCs w:val="20"/>
                <w:color w:val="auto"/>
              </w:rPr>
            </w:pPr>
            <w:r>
              <w:rPr>
                <w:rFonts w:ascii="Arial" w:cs="Arial" w:eastAsia="Arial" w:hAnsi="Arial"/>
                <w:sz w:val="16"/>
                <w:szCs w:val="16"/>
                <w:color w:val="auto"/>
              </w:rPr>
              <w:t>407,536</w:t>
            </w:r>
          </w:p>
        </w:tc>
        <w:tc>
          <w:tcPr>
            <w:tcW w:w="1040" w:type="dxa"/>
            <w:vAlign w:val="bottom"/>
            <w:gridSpan w:val="6"/>
          </w:tcPr>
          <w:p>
            <w:pPr>
              <w:jc w:val="right"/>
              <w:spacing w:after="0"/>
              <w:rPr>
                <w:sz w:val="20"/>
                <w:szCs w:val="20"/>
                <w:color w:val="auto"/>
              </w:rPr>
            </w:pPr>
            <w:r>
              <w:rPr>
                <w:rFonts w:ascii="Arial" w:cs="Arial" w:eastAsia="Arial" w:hAnsi="Arial"/>
                <w:sz w:val="16"/>
                <w:szCs w:val="16"/>
                <w:color w:val="auto"/>
              </w:rPr>
              <w:t>7.4%</w:t>
            </w:r>
          </w:p>
        </w:tc>
        <w:tc>
          <w:tcPr>
            <w:tcW w:w="960" w:type="dxa"/>
            <w:vAlign w:val="bottom"/>
            <w:gridSpan w:val="6"/>
          </w:tcPr>
          <w:p>
            <w:pPr>
              <w:jc w:val="right"/>
              <w:spacing w:after="0"/>
              <w:rPr>
                <w:sz w:val="20"/>
                <w:szCs w:val="20"/>
                <w:color w:val="auto"/>
              </w:rPr>
            </w:pPr>
            <w:r>
              <w:rPr>
                <w:rFonts w:ascii="Arial" w:cs="Arial" w:eastAsia="Arial" w:hAnsi="Arial"/>
                <w:sz w:val="16"/>
                <w:szCs w:val="16"/>
                <w:color w:val="auto"/>
              </w:rPr>
              <w:t>43.2%</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shareholders’ equity</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w w:val="89"/>
              </w:rPr>
              <w:t>697,948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6"/>
              </w:rPr>
              <w:t>636,434</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700,170</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34924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spacing w:after="0" w:line="182"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net profitability of lace and mutual funds is being presented net of taxes, for which the retroactive change was made (it was presented gross before)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Net shareholders' equity includes unrealized gains from Prima's investment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w w:val="91"/>
              </w:rPr>
              <w:t>Funds under management</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Funds under management</w:t>
            </w: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4"/>
              </w:rPr>
              <w:t>Set 20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 share</w:t>
            </w:r>
          </w:p>
        </w:tc>
        <w:tc>
          <w:tcPr>
            <w:tcW w:w="220" w:type="dxa"/>
            <w:vAlign w:val="bottom"/>
            <w:tcBorders>
              <w:bottom w:val="single" w:sz="8" w:color="CCEEFF"/>
            </w:tcBorders>
            <w:gridSpan w:val="3"/>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8"/>
                <w:szCs w:val="18"/>
                <w:b w:val="1"/>
                <w:bCs w:val="1"/>
                <w:color w:val="auto"/>
                <w:w w:val="89"/>
              </w:rPr>
              <w:t>Dec 20</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Fund 1</w:t>
            </w:r>
          </w:p>
        </w:tc>
        <w:tc>
          <w:tcPr>
            <w:tcW w:w="500" w:type="dxa"/>
            <w:vAlign w:val="bottom"/>
          </w:tcPr>
          <w:p>
            <w:pPr>
              <w:spacing w:after="0"/>
              <w:rPr>
                <w:sz w:val="18"/>
                <w:szCs w:val="18"/>
                <w:color w:val="auto"/>
              </w:rPr>
            </w:pPr>
          </w:p>
        </w:tc>
        <w:tc>
          <w:tcPr>
            <w:tcW w:w="2200" w:type="dxa"/>
            <w:vAlign w:val="bottom"/>
            <w:gridSpan w:val="10"/>
          </w:tcPr>
          <w:p>
            <w:pPr>
              <w:jc w:val="right"/>
              <w:ind w:right="120"/>
              <w:spacing w:after="0"/>
              <w:rPr>
                <w:sz w:val="20"/>
                <w:szCs w:val="20"/>
                <w:color w:val="auto"/>
              </w:rPr>
            </w:pPr>
            <w:r>
              <w:rPr>
                <w:rFonts w:ascii="Arial" w:cs="Arial" w:eastAsia="Arial" w:hAnsi="Arial"/>
                <w:sz w:val="18"/>
                <w:szCs w:val="18"/>
                <w:color w:val="auto"/>
              </w:rPr>
              <w:t>7,281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7,817</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15.7%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500" w:type="dxa"/>
            <w:vAlign w:val="bottom"/>
            <w:shd w:val="clear" w:color="auto" w:fill="CCEEFF"/>
          </w:tcPr>
          <w:p>
            <w:pPr>
              <w:spacing w:after="0"/>
              <w:rPr>
                <w:sz w:val="18"/>
                <w:szCs w:val="18"/>
                <w:color w:val="auto"/>
              </w:rPr>
            </w:pPr>
          </w:p>
        </w:tc>
        <w:tc>
          <w:tcPr>
            <w:tcW w:w="2200" w:type="dxa"/>
            <w:vAlign w:val="bottom"/>
            <w:gridSpan w:val="10"/>
            <w:shd w:val="clear" w:color="auto" w:fill="CCEEFF"/>
          </w:tcPr>
          <w:p>
            <w:pPr>
              <w:jc w:val="right"/>
              <w:ind w:right="120"/>
              <w:spacing w:after="0"/>
              <w:rPr>
                <w:sz w:val="20"/>
                <w:szCs w:val="20"/>
                <w:color w:val="auto"/>
              </w:rPr>
            </w:pPr>
            <w:r>
              <w:rPr>
                <w:rFonts w:ascii="Arial" w:cs="Arial" w:eastAsia="Arial" w:hAnsi="Arial"/>
                <w:sz w:val="18"/>
                <w:szCs w:val="18"/>
                <w:color w:val="auto"/>
              </w:rPr>
              <w:t>33,162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35,732</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Fund 3</w:t>
            </w:r>
          </w:p>
        </w:tc>
        <w:tc>
          <w:tcPr>
            <w:tcW w:w="500" w:type="dxa"/>
            <w:vAlign w:val="bottom"/>
          </w:tcPr>
          <w:p>
            <w:pPr>
              <w:spacing w:after="0"/>
              <w:rPr>
                <w:sz w:val="18"/>
                <w:szCs w:val="18"/>
                <w:color w:val="auto"/>
              </w:rPr>
            </w:pPr>
          </w:p>
        </w:tc>
        <w:tc>
          <w:tcPr>
            <w:tcW w:w="2200" w:type="dxa"/>
            <w:vAlign w:val="bottom"/>
            <w:gridSpan w:val="10"/>
          </w:tcPr>
          <w:p>
            <w:pPr>
              <w:jc w:val="right"/>
              <w:ind w:right="120"/>
              <w:spacing w:after="0"/>
              <w:rPr>
                <w:sz w:val="20"/>
                <w:szCs w:val="20"/>
                <w:color w:val="auto"/>
              </w:rPr>
            </w:pPr>
            <w:r>
              <w:rPr>
                <w:rFonts w:ascii="Arial" w:cs="Arial" w:eastAsia="Arial" w:hAnsi="Arial"/>
                <w:sz w:val="18"/>
                <w:szCs w:val="18"/>
                <w:color w:val="auto"/>
              </w:rPr>
              <w:t>4,783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5,157</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500" w:type="dxa"/>
            <w:vAlign w:val="bottom"/>
            <w:shd w:val="clear" w:color="auto" w:fill="CCEEFF"/>
          </w:tcPr>
          <w:p>
            <w:pPr>
              <w:spacing w:after="0"/>
              <w:rPr>
                <w:sz w:val="19"/>
                <w:szCs w:val="19"/>
                <w:color w:val="auto"/>
              </w:rPr>
            </w:pPr>
          </w:p>
        </w:tc>
        <w:tc>
          <w:tcPr>
            <w:tcW w:w="2200" w:type="dxa"/>
            <w:vAlign w:val="bottom"/>
            <w:gridSpan w:val="10"/>
            <w:shd w:val="clear" w:color="auto" w:fill="CCEEFF"/>
          </w:tcPr>
          <w:p>
            <w:pPr>
              <w:jc w:val="right"/>
              <w:ind w:right="120"/>
              <w:spacing w:after="0"/>
              <w:rPr>
                <w:sz w:val="20"/>
                <w:szCs w:val="20"/>
                <w:color w:val="auto"/>
              </w:rPr>
            </w:pPr>
            <w:r>
              <w:rPr>
                <w:rFonts w:ascii="Arial" w:cs="Arial" w:eastAsia="Arial" w:hAnsi="Arial"/>
                <w:sz w:val="18"/>
                <w:szCs w:val="18"/>
                <w:color w:val="auto"/>
              </w:rPr>
              <w:t>46,255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49,790</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i w:val="1"/>
                <w:iCs w:val="1"/>
                <w:color w:val="auto"/>
              </w:rPr>
              <w:t>Source: SBS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gridSpan w:val="10"/>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40" w:type="dxa"/>
            <w:vAlign w:val="bottom"/>
            <w:gridSpan w:val="8"/>
          </w:tcPr>
          <w:p>
            <w:pPr>
              <w:jc w:val="right"/>
              <w:ind w:right="220"/>
              <w:spacing w:after="0"/>
              <w:rPr>
                <w:sz w:val="20"/>
                <w:szCs w:val="20"/>
                <w:color w:val="auto"/>
              </w:rPr>
            </w:pPr>
            <w:r>
              <w:rPr>
                <w:rFonts w:ascii="Arial" w:cs="Arial" w:eastAsia="Arial" w:hAnsi="Arial"/>
                <w:sz w:val="18"/>
                <w:szCs w:val="18"/>
                <w:b w:val="1"/>
                <w:bCs w:val="1"/>
                <w:color w:val="auto"/>
              </w:rPr>
              <w:t>Set 20 / Set 19</w:t>
            </w:r>
          </w:p>
        </w:tc>
        <w:tc>
          <w:tcPr>
            <w:tcW w:w="1480" w:type="dxa"/>
            <w:vAlign w:val="bottom"/>
            <w:gridSpan w:val="11"/>
          </w:tcPr>
          <w:p>
            <w:pPr>
              <w:spacing w:after="0"/>
              <w:rPr>
                <w:sz w:val="20"/>
                <w:szCs w:val="20"/>
                <w:color w:val="auto"/>
              </w:rPr>
            </w:pPr>
            <w:r>
              <w:rPr>
                <w:rFonts w:ascii="Arial" w:cs="Arial" w:eastAsia="Arial" w:hAnsi="Arial"/>
                <w:sz w:val="18"/>
                <w:szCs w:val="18"/>
                <w:b w:val="1"/>
                <w:bCs w:val="1"/>
                <w:color w:val="auto"/>
              </w:rPr>
              <w:t>Dec 20 / Dec 19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500" w:type="dxa"/>
            <w:vAlign w:val="bottom"/>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Fund 1</w:t>
            </w:r>
          </w:p>
        </w:tc>
        <w:tc>
          <w:tcPr>
            <w:tcW w:w="500" w:type="dxa"/>
            <w:vAlign w:val="bottom"/>
          </w:tcPr>
          <w:p>
            <w:pPr>
              <w:spacing w:after="0"/>
              <w:rPr>
                <w:sz w:val="18"/>
                <w:szCs w:val="18"/>
                <w:color w:val="auto"/>
              </w:rPr>
            </w:pPr>
          </w:p>
        </w:tc>
        <w:tc>
          <w:tcPr>
            <w:tcW w:w="1940" w:type="dxa"/>
            <w:vAlign w:val="bottom"/>
            <w:gridSpan w:val="8"/>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500" w:type="dxa"/>
            <w:vAlign w:val="bottom"/>
            <w:shd w:val="clear" w:color="auto" w:fill="CCEEFF"/>
          </w:tcPr>
          <w:p>
            <w:pPr>
              <w:spacing w:after="0"/>
              <w:rPr>
                <w:sz w:val="18"/>
                <w:szCs w:val="18"/>
                <w:color w:val="auto"/>
              </w:rPr>
            </w:pPr>
          </w:p>
        </w:tc>
        <w:tc>
          <w:tcPr>
            <w:tcW w:w="19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Fund 3</w:t>
            </w:r>
          </w:p>
        </w:tc>
        <w:tc>
          <w:tcPr>
            <w:tcW w:w="500" w:type="dxa"/>
            <w:vAlign w:val="bottom"/>
          </w:tcPr>
          <w:p>
            <w:pPr>
              <w:spacing w:after="0"/>
              <w:rPr>
                <w:sz w:val="20"/>
                <w:szCs w:val="20"/>
                <w:color w:val="auto"/>
              </w:rPr>
            </w:pPr>
          </w:p>
        </w:tc>
        <w:tc>
          <w:tcPr>
            <w:tcW w:w="1940" w:type="dxa"/>
            <w:vAlign w:val="bottom"/>
            <w:gridSpan w:val="8"/>
          </w:tcPr>
          <w:p>
            <w:pPr>
              <w:jc w:val="right"/>
              <w:ind w:right="6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8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740" w:type="dxa"/>
            <w:vAlign w:val="bottom"/>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1040" w:type="dxa"/>
            <w:vAlign w:val="bottom"/>
            <w:gridSpan w:val="6"/>
          </w:tcPr>
          <w:p>
            <w:pPr>
              <w:spacing w:after="0"/>
              <w:rPr>
                <w:sz w:val="18"/>
                <w:szCs w:val="18"/>
                <w:color w:val="auto"/>
              </w:rPr>
            </w:pPr>
          </w:p>
        </w:tc>
        <w:tc>
          <w:tcPr>
            <w:tcW w:w="1240" w:type="dxa"/>
            <w:vAlign w:val="bottom"/>
            <w:gridSpan w:val="8"/>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Fee based on flow</w:t>
            </w:r>
          </w:p>
        </w:tc>
        <w:tc>
          <w:tcPr>
            <w:tcW w:w="4660" w:type="dxa"/>
            <w:vAlign w:val="bottom"/>
            <w:gridSpan w:val="24"/>
            <w:shd w:val="clear" w:color="auto" w:fill="CCEEFF"/>
          </w:tcPr>
          <w:p>
            <w:pPr>
              <w:ind w:left="60"/>
              <w:spacing w:after="0"/>
              <w:rPr>
                <w:sz w:val="20"/>
                <w:szCs w:val="20"/>
                <w:color w:val="auto"/>
              </w:rPr>
            </w:pPr>
            <w:r>
              <w:rPr>
                <w:rFonts w:ascii="Arial" w:cs="Arial" w:eastAsia="Arial" w:hAnsi="Arial"/>
                <w:sz w:val="18"/>
                <w:szCs w:val="18"/>
                <w:color w:val="auto"/>
              </w:rPr>
              <w:t>1.60%Applied to the affiliates’ monthly remuneration.</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40" w:type="dxa"/>
            <w:vAlign w:val="bottom"/>
            <w:gridSpan w:val="6"/>
            <w:shd w:val="clear" w:color="auto" w:fill="CCEEFF"/>
          </w:tcPr>
          <w:p>
            <w:pPr>
              <w:spacing w:after="0"/>
              <w:rPr>
                <w:sz w:val="18"/>
                <w:szCs w:val="18"/>
                <w:color w:val="auto"/>
              </w:rPr>
            </w:pPr>
          </w:p>
        </w:tc>
        <w:tc>
          <w:tcPr>
            <w:tcW w:w="1240" w:type="dxa"/>
            <w:vAlign w:val="bottom"/>
            <w:gridSpan w:val="8"/>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Flow</w:t>
            </w:r>
          </w:p>
        </w:tc>
        <w:tc>
          <w:tcPr>
            <w:tcW w:w="7040" w:type="dxa"/>
            <w:vAlign w:val="bottom"/>
            <w:gridSpan w:val="33"/>
          </w:tcPr>
          <w:p>
            <w:pPr>
              <w:ind w:left="60"/>
              <w:spacing w:after="0"/>
              <w:rPr>
                <w:sz w:val="20"/>
                <w:szCs w:val="20"/>
                <w:color w:val="auto"/>
              </w:rPr>
            </w:pPr>
            <w:r>
              <w:rPr>
                <w:rFonts w:ascii="Arial" w:cs="Arial" w:eastAsia="Arial" w:hAnsi="Arial"/>
                <w:sz w:val="18"/>
                <w:szCs w:val="18"/>
                <w:color w:val="auto"/>
                <w:w w:val="91"/>
              </w:rPr>
              <w:t>0.18%Applied to the affiliates’ monthly remuneration since June 2017. Feb 17- may 17 =0.87%.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40" w:type="dxa"/>
            <w:vAlign w:val="bottom"/>
            <w:gridSpan w:val="6"/>
            <w:shd w:val="clear" w:color="auto" w:fill="CCEEFF"/>
          </w:tcPr>
          <w:p>
            <w:pPr>
              <w:spacing w:after="0"/>
              <w:rPr>
                <w:sz w:val="18"/>
                <w:szCs w:val="18"/>
                <w:color w:val="auto"/>
              </w:rPr>
            </w:pPr>
          </w:p>
        </w:tc>
        <w:tc>
          <w:tcPr>
            <w:tcW w:w="1240" w:type="dxa"/>
            <w:vAlign w:val="bottom"/>
            <w:gridSpan w:val="8"/>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9160" w:type="dxa"/>
            <w:vAlign w:val="bottom"/>
            <w:gridSpan w:val="37"/>
          </w:tcPr>
          <w:p>
            <w:pPr>
              <w:ind w:left="60"/>
              <w:spacing w:after="0" w:line="201" w:lineRule="exact"/>
              <w:rPr>
                <w:sz w:val="20"/>
                <w:szCs w:val="20"/>
                <w:color w:val="auto"/>
              </w:rPr>
            </w:pPr>
            <w:r>
              <w:rPr>
                <w:rFonts w:ascii="Arial" w:cs="Arial" w:eastAsia="Arial" w:hAnsi="Arial"/>
                <w:sz w:val="18"/>
                <w:szCs w:val="18"/>
                <w:color w:val="auto"/>
                <w:w w:val="92"/>
              </w:rPr>
              <w:t>1.25%Applies annualy to the new balance since February 2013 for new affiliates to the system and beginning on June 2013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80" w:type="dxa"/>
            <w:vAlign w:val="bottom"/>
            <w:gridSpan w:val="29"/>
          </w:tcPr>
          <w:p>
            <w:pPr>
              <w:jc w:val="right"/>
              <w:ind w:right="980"/>
              <w:spacing w:after="0"/>
              <w:rPr>
                <w:sz w:val="20"/>
                <w:szCs w:val="20"/>
                <w:color w:val="auto"/>
              </w:rPr>
            </w:pPr>
            <w:r>
              <w:rPr>
                <w:rFonts w:ascii="Arial" w:cs="Arial" w:eastAsia="Arial" w:hAnsi="Arial"/>
                <w:sz w:val="18"/>
                <w:szCs w:val="18"/>
                <w:color w:val="auto"/>
                <w:w w:val="90"/>
              </w:rPr>
              <w:t>for old affiliates who have chosen this commission scheme.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7"/>
          </w:tcPr>
          <w:p>
            <w:pPr>
              <w:ind w:left="300"/>
              <w:spacing w:after="0"/>
              <w:rPr>
                <w:sz w:val="20"/>
                <w:szCs w:val="20"/>
                <w:color w:val="auto"/>
              </w:rPr>
            </w:pPr>
            <w:r>
              <w:rPr>
                <w:rFonts w:ascii="Arial" w:cs="Arial" w:eastAsia="Arial" w:hAnsi="Arial"/>
                <w:sz w:val="16"/>
                <w:szCs w:val="16"/>
                <w:b w:val="1"/>
                <w:bCs w:val="1"/>
                <w:color w:val="auto"/>
              </w:rPr>
              <w:t>Prima</w:t>
            </w:r>
          </w:p>
        </w:tc>
        <w:tc>
          <w:tcPr>
            <w:tcW w:w="780" w:type="dxa"/>
            <w:vAlign w:val="bottom"/>
            <w:gridSpan w:val="6"/>
          </w:tcPr>
          <w:p>
            <w:pPr>
              <w:jc w:val="center"/>
              <w:ind w:left="134"/>
              <w:spacing w:after="0"/>
              <w:rPr>
                <w:sz w:val="20"/>
                <w:szCs w:val="20"/>
                <w:color w:val="auto"/>
              </w:rPr>
            </w:pPr>
            <w:r>
              <w:rPr>
                <w:rFonts w:ascii="Arial" w:cs="Arial" w:eastAsia="Arial" w:hAnsi="Arial"/>
                <w:sz w:val="16"/>
                <w:szCs w:val="16"/>
                <w:b w:val="1"/>
                <w:bCs w:val="1"/>
                <w:color w:val="auto"/>
                <w:w w:val="84"/>
              </w:rPr>
              <w:t>System</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8"/>
          </w:tcPr>
          <w:p>
            <w:pPr>
              <w:jc w:val="center"/>
              <w:ind w:right="440"/>
              <w:spacing w:after="0"/>
              <w:rPr>
                <w:sz w:val="20"/>
                <w:szCs w:val="20"/>
                <w:color w:val="auto"/>
              </w:rPr>
            </w:pPr>
            <w:r>
              <w:rPr>
                <w:rFonts w:ascii="Arial" w:cs="Arial" w:eastAsia="Arial" w:hAnsi="Arial"/>
                <w:sz w:val="16"/>
                <w:szCs w:val="16"/>
                <w:b w:val="1"/>
                <w:bCs w:val="1"/>
                <w:color w:val="auto"/>
                <w:w w:val="94"/>
              </w:rPr>
              <w:t>% share</w:t>
            </w: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rPr>
              <w:t>Prima</w:t>
            </w: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System</w:t>
            </w: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 share</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Main indicators and market share</w:t>
            </w: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3Q20</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6"/>
          </w:tcPr>
          <w:p>
            <w:pPr>
              <w:jc w:val="center"/>
              <w:ind w:left="134"/>
              <w:spacing w:after="0"/>
              <w:rPr>
                <w:sz w:val="20"/>
                <w:szCs w:val="20"/>
                <w:color w:val="auto"/>
              </w:rPr>
            </w:pPr>
            <w:r>
              <w:rPr>
                <w:rFonts w:ascii="Arial" w:cs="Arial" w:eastAsia="Arial" w:hAnsi="Arial"/>
                <w:sz w:val="16"/>
                <w:szCs w:val="16"/>
                <w:b w:val="1"/>
                <w:bCs w:val="1"/>
                <w:color w:val="auto"/>
                <w:w w:val="91"/>
              </w:rPr>
              <w:t>3Q20</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6"/>
                <w:szCs w:val="16"/>
                <w:b w:val="1"/>
                <w:bCs w:val="1"/>
                <w:color w:val="auto"/>
                <w:w w:val="96"/>
              </w:rPr>
              <w:t>3Q20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6"/>
              </w:rPr>
              <w:t>4Q20</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4Q20</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Affiliates</w:t>
            </w:r>
          </w:p>
        </w:tc>
        <w:tc>
          <w:tcPr>
            <w:tcW w:w="50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2,362,074</w:t>
            </w:r>
          </w:p>
        </w:tc>
        <w:tc>
          <w:tcPr>
            <w:tcW w:w="240" w:type="dxa"/>
            <w:vAlign w:val="bottom"/>
            <w:shd w:val="clear" w:color="auto" w:fill="CCEEFF"/>
          </w:tcPr>
          <w:p>
            <w:pPr>
              <w:spacing w:after="0"/>
              <w:rPr>
                <w:sz w:val="17"/>
                <w:szCs w:val="17"/>
                <w:color w:val="auto"/>
              </w:rPr>
            </w:pP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7,672,933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30.8%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2,360,161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7,780,721</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line="243" w:lineRule="exact"/>
              <w:rPr>
                <w:sz w:val="20"/>
                <w:szCs w:val="20"/>
                <w:color w:val="auto"/>
              </w:rPr>
            </w:pPr>
            <w:r>
              <w:rPr>
                <w:rFonts w:ascii="Arial" w:cs="Arial" w:eastAsia="Arial" w:hAnsi="Arial"/>
                <w:sz w:val="16"/>
                <w:szCs w:val="16"/>
                <w:color w:val="auto"/>
              </w:rPr>
              <w:t xml:space="preserve">New affiliations </w:t>
            </w:r>
            <w:r>
              <w:rPr>
                <w:rFonts w:ascii="Arial" w:cs="Arial" w:eastAsia="Arial" w:hAnsi="Arial"/>
                <w:sz w:val="26"/>
                <w:szCs w:val="26"/>
                <w:color w:val="auto"/>
                <w:vertAlign w:val="superscript"/>
              </w:rPr>
              <w:t>(1)(2)</w:t>
            </w: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5"/>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8"/>
          </w:tcPr>
          <w:p>
            <w:pPr>
              <w:jc w:val="right"/>
              <w:ind w:right="220"/>
              <w:spacing w:after="0"/>
              <w:rPr>
                <w:sz w:val="20"/>
                <w:szCs w:val="20"/>
                <w:color w:val="auto"/>
              </w:rPr>
            </w:pPr>
            <w:r>
              <w:rPr>
                <w:rFonts w:ascii="Arial" w:cs="Arial" w:eastAsia="Arial" w:hAnsi="Arial"/>
                <w:sz w:val="16"/>
                <w:szCs w:val="16"/>
                <w:color w:val="auto"/>
              </w:rPr>
              <w:t>100,149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113,328</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Funds under management (S/ Millions)</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w w:val="89"/>
              </w:rPr>
              <w:t>46,255</w:t>
            </w:r>
          </w:p>
        </w:tc>
        <w:tc>
          <w:tcPr>
            <w:tcW w:w="1220" w:type="dxa"/>
            <w:vAlign w:val="bottom"/>
            <w:gridSpan w:val="8"/>
            <w:shd w:val="clear" w:color="auto" w:fill="CCEEFF"/>
          </w:tcPr>
          <w:p>
            <w:pPr>
              <w:jc w:val="right"/>
              <w:ind w:right="220"/>
              <w:spacing w:after="0"/>
              <w:rPr>
                <w:sz w:val="20"/>
                <w:szCs w:val="20"/>
                <w:color w:val="auto"/>
              </w:rPr>
            </w:pPr>
            <w:r>
              <w:rPr>
                <w:rFonts w:ascii="Arial" w:cs="Arial" w:eastAsia="Arial" w:hAnsi="Arial"/>
                <w:sz w:val="16"/>
                <w:szCs w:val="16"/>
                <w:color w:val="auto"/>
              </w:rPr>
              <w:t>152,297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30.4%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49,790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164,875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line="243" w:lineRule="exact"/>
              <w:rPr>
                <w:sz w:val="20"/>
                <w:szCs w:val="20"/>
                <w:color w:val="auto"/>
              </w:rPr>
            </w:pPr>
            <w:r>
              <w:rPr>
                <w:rFonts w:ascii="Arial" w:cs="Arial" w:eastAsia="Arial" w:hAnsi="Arial"/>
                <w:sz w:val="16"/>
                <w:szCs w:val="16"/>
                <w:color w:val="auto"/>
              </w:rPr>
              <w:t xml:space="preserve">Collections (S/ Millions) </w:t>
            </w:r>
            <w:r>
              <w:rPr>
                <w:rFonts w:ascii="Arial" w:cs="Arial" w:eastAsia="Arial" w:hAnsi="Arial"/>
                <w:sz w:val="26"/>
                <w:szCs w:val="26"/>
                <w:color w:val="auto"/>
                <w:vertAlign w:val="superscript"/>
              </w:rPr>
              <w:t>(1)</w:t>
            </w: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5"/>
          </w:tcPr>
          <w:p>
            <w:pPr>
              <w:jc w:val="right"/>
              <w:ind w:right="240"/>
              <w:spacing w:after="0"/>
              <w:rPr>
                <w:sz w:val="20"/>
                <w:szCs w:val="20"/>
                <w:color w:val="auto"/>
              </w:rPr>
            </w:pPr>
            <w:r>
              <w:rPr>
                <w:rFonts w:ascii="Arial" w:cs="Arial" w:eastAsia="Arial" w:hAnsi="Arial"/>
                <w:sz w:val="16"/>
                <w:szCs w:val="16"/>
                <w:color w:val="auto"/>
              </w:rPr>
              <w:t>848</w:t>
            </w:r>
          </w:p>
        </w:tc>
        <w:tc>
          <w:tcPr>
            <w:tcW w:w="1220" w:type="dxa"/>
            <w:vAlign w:val="bottom"/>
            <w:gridSpan w:val="8"/>
          </w:tcPr>
          <w:p>
            <w:pPr>
              <w:jc w:val="right"/>
              <w:ind w:right="220"/>
              <w:spacing w:after="0"/>
              <w:rPr>
                <w:sz w:val="20"/>
                <w:szCs w:val="20"/>
                <w:color w:val="auto"/>
              </w:rPr>
            </w:pPr>
            <w:r>
              <w:rPr>
                <w:rFonts w:ascii="Arial" w:cs="Arial" w:eastAsia="Arial" w:hAnsi="Arial"/>
                <w:sz w:val="16"/>
                <w:szCs w:val="16"/>
                <w:color w:val="auto"/>
              </w:rPr>
              <w:t>2,757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635</w:t>
            </w: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2,009</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43"/>
        </w:trPr>
        <w:tc>
          <w:tcPr>
            <w:tcW w:w="4520" w:type="dxa"/>
            <w:vAlign w:val="bottom"/>
            <w:gridSpan w:val="10"/>
            <w:shd w:val="clear" w:color="auto" w:fill="CCEEFF"/>
          </w:tcPr>
          <w:p>
            <w:pPr>
              <w:spacing w:after="0" w:line="243" w:lineRule="exact"/>
              <w:rPr>
                <w:sz w:val="20"/>
                <w:szCs w:val="20"/>
                <w:color w:val="auto"/>
              </w:rPr>
            </w:pPr>
            <w:r>
              <w:rPr>
                <w:rFonts w:ascii="Arial" w:cs="Arial" w:eastAsia="Arial" w:hAnsi="Arial"/>
                <w:sz w:val="16"/>
                <w:szCs w:val="16"/>
                <w:color w:val="auto"/>
              </w:rPr>
              <w:t xml:space="preserve">Voluntary contributions (S/ Millions) </w:t>
            </w:r>
            <w:r>
              <w:rPr>
                <w:rFonts w:ascii="Arial" w:cs="Arial" w:eastAsia="Arial" w:hAnsi="Arial"/>
                <w:sz w:val="26"/>
                <w:szCs w:val="26"/>
                <w:color w:val="auto"/>
                <w:vertAlign w:val="superscript"/>
              </w:rPr>
              <w:t>(3)</w:t>
            </w:r>
          </w:p>
        </w:tc>
        <w:tc>
          <w:tcPr>
            <w:tcW w:w="70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1,116</w:t>
            </w:r>
          </w:p>
        </w:tc>
        <w:tc>
          <w:tcPr>
            <w:tcW w:w="1220" w:type="dxa"/>
            <w:vAlign w:val="bottom"/>
            <w:gridSpan w:val="8"/>
            <w:shd w:val="clear" w:color="auto" w:fill="CCEEFF"/>
          </w:tcPr>
          <w:p>
            <w:pPr>
              <w:jc w:val="right"/>
              <w:ind w:right="220"/>
              <w:spacing w:after="0"/>
              <w:rPr>
                <w:sz w:val="20"/>
                <w:szCs w:val="20"/>
                <w:color w:val="auto"/>
              </w:rPr>
            </w:pPr>
            <w:r>
              <w:rPr>
                <w:rFonts w:ascii="Arial" w:cs="Arial" w:eastAsia="Arial" w:hAnsi="Arial"/>
                <w:sz w:val="16"/>
                <w:szCs w:val="16"/>
                <w:color w:val="auto"/>
              </w:rPr>
              <w:t>2,419</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46.1%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1,111</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2080" w:type="dxa"/>
            <w:vAlign w:val="bottom"/>
          </w:tcPr>
          <w:p>
            <w:pPr>
              <w:spacing w:after="0"/>
              <w:rPr>
                <w:sz w:val="20"/>
                <w:szCs w:val="20"/>
                <w:color w:val="auto"/>
              </w:rPr>
            </w:pPr>
            <w:r>
              <w:rPr>
                <w:rFonts w:ascii="Arial" w:cs="Arial" w:eastAsia="Arial" w:hAnsi="Arial"/>
                <w:sz w:val="16"/>
                <w:szCs w:val="16"/>
                <w:color w:val="auto"/>
              </w:rPr>
              <w:t xml:space="preserve">RAM (S/ Millions) </w:t>
            </w:r>
            <w:r>
              <w:rPr>
                <w:rFonts w:ascii="Arial" w:cs="Arial" w:eastAsia="Arial" w:hAnsi="Arial"/>
                <w:sz w:val="26"/>
                <w:szCs w:val="26"/>
                <w:color w:val="auto"/>
                <w:vertAlign w:val="superscript"/>
              </w:rPr>
              <w:t>(1)(4)</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5"/>
          </w:tcPr>
          <w:p>
            <w:pPr>
              <w:jc w:val="right"/>
              <w:ind w:right="240"/>
              <w:spacing w:after="0"/>
              <w:rPr>
                <w:sz w:val="20"/>
                <w:szCs w:val="20"/>
                <w:color w:val="auto"/>
              </w:rPr>
            </w:pPr>
            <w:r>
              <w:rPr>
                <w:rFonts w:ascii="Arial" w:cs="Arial" w:eastAsia="Arial" w:hAnsi="Arial"/>
                <w:sz w:val="16"/>
                <w:szCs w:val="16"/>
                <w:color w:val="auto"/>
              </w:rPr>
              <w:t>1,244</w:t>
            </w:r>
          </w:p>
        </w:tc>
        <w:tc>
          <w:tcPr>
            <w:tcW w:w="1220" w:type="dxa"/>
            <w:vAlign w:val="bottom"/>
            <w:gridSpan w:val="8"/>
          </w:tcPr>
          <w:p>
            <w:pPr>
              <w:jc w:val="right"/>
              <w:ind w:right="220"/>
              <w:spacing w:after="0"/>
              <w:rPr>
                <w:sz w:val="20"/>
                <w:szCs w:val="20"/>
                <w:color w:val="auto"/>
              </w:rPr>
            </w:pPr>
            <w:r>
              <w:rPr>
                <w:rFonts w:ascii="Arial" w:cs="Arial" w:eastAsia="Arial" w:hAnsi="Arial"/>
                <w:sz w:val="16"/>
                <w:szCs w:val="16"/>
                <w:color w:val="auto"/>
              </w:rPr>
              <w:t>3,955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31.4%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1,277</w:t>
            </w:r>
          </w:p>
        </w:tc>
        <w:tc>
          <w:tcPr>
            <w:tcW w:w="2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4,083</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of June 2019, another AFP has the exclusivity of affiliations.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Information available as of November 2020.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Information available as of October 2020.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Prima AFP estimate: Average of aggregated income for flow during the last 4 months, excluding special collections and voluntary contribution fees.</w:t>
      </w:r>
    </w:p>
    <w:p>
      <w:pPr>
        <w:spacing w:after="0" w:line="200" w:lineRule="exact"/>
        <w:rPr>
          <w:sz w:val="20"/>
          <w:szCs w:val="20"/>
          <w:color w:val="auto"/>
        </w:rPr>
      </w:pPr>
    </w:p>
    <w:p>
      <w:pPr>
        <w:spacing w:after="0" w:line="25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41" w:orient="portrait"/>
          <w:cols w:equalWidth="0" w:num="1">
            <w:col w:w="11240"/>
          </w:cols>
          <w:pgMar w:left="320" w:top="1120" w:right="339" w:bottom="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11.11.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669405" cy="74320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69405" cy="743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jc w:val="both"/>
        <w:ind w:firstLine="8"/>
        <w:spacing w:after="0" w:line="265" w:lineRule="auto"/>
        <w:tabs>
          <w:tab w:leader="none" w:pos="26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819"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11.12. Non-recurring events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Non-Recurring Events (Before Tax)</w:t>
            </w:r>
          </w:p>
        </w:tc>
        <w:tc>
          <w:tcPr>
            <w:tcW w:w="1460" w:type="dxa"/>
            <w:vAlign w:val="bottom"/>
            <w:gridSpan w:val="3"/>
            <w:vMerge w:val="restart"/>
          </w:tcPr>
          <w:p>
            <w:pPr>
              <w:ind w:left="300"/>
              <w:spacing w:after="0"/>
              <w:rPr>
                <w:sz w:val="20"/>
                <w:szCs w:val="20"/>
                <w:color w:val="auto"/>
              </w:rPr>
            </w:pPr>
            <w:r>
              <w:rPr>
                <w:rFonts w:ascii="Arial" w:cs="Arial" w:eastAsia="Arial" w:hAnsi="Arial"/>
                <w:sz w:val="18"/>
                <w:szCs w:val="18"/>
                <w:b w:val="1"/>
                <w:bCs w:val="1"/>
                <w:color w:val="auto"/>
              </w:rPr>
              <w:t>4Q20</w:t>
            </w: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BCP Zero-interest-rate loans Impairment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BCP’s Bonds Exchange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BCB Zero-interest-rate loans Impairment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Mibanco/Bancompartir Zero-interest-rate loans Impairment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Interest Income (1)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(93.2)</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(435.0)</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IB&amp;WM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ASB Propietary Investment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Holdings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Impairment at PE Investment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Non-Financial Income (2)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BCP COVID-19 Donations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Mibanco COVID-19 Donations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Insuranceand Pensions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PGA + Prima COVID-19 Donations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IB&amp;WM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CC COVID-19 Donations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ASB Legal Contingency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Holdings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ASHC Legal Contingency</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Impairment in Bancompartir Goodwill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Expenses(3)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(283.2)</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 (1 +2 + 3)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Total Non-Recurring (BeforeTax)</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(667.7)</w:t>
            </w:r>
          </w:p>
        </w:tc>
        <w:tc>
          <w:tcPr>
            <w:tcW w:w="0" w:type="dxa"/>
            <w:vAlign w:val="bottom"/>
          </w:tcPr>
          <w:p>
            <w:pPr>
              <w:spacing w:after="0"/>
              <w:rPr>
                <w:sz w:val="1"/>
                <w:szCs w:val="1"/>
                <w:color w:val="auto"/>
              </w:rPr>
            </w:pPr>
          </w:p>
        </w:tc>
      </w:tr>
      <w:tr>
        <w:trPr>
          <w:trHeight w:val="230"/>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Non-Recurring (After Tax and Minority Interest)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(539.4)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8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11.13. Glossary of terms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8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w w:val="97"/>
              </w:rPr>
              <w:t>Government Program Loans (“GP or GP loans”)</w:t>
            </w:r>
          </w:p>
        </w:tc>
        <w:tc>
          <w:tcPr>
            <w:tcW w:w="7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Loan Portfolio related to Reactiva Peru and FAE-Mype to respond quickly and effectively</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to liquidity needs and maintain the payment chain.</w:t>
            </w: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Structural Loans</w:t>
            </w:r>
          </w:p>
        </w:tc>
        <w:tc>
          <w:tcPr>
            <w:tcW w:w="7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Loan Portfolio excluding GP Loans</w:t>
            </w:r>
          </w:p>
        </w:tc>
        <w:tc>
          <w:tcPr>
            <w:tcW w:w="0" w:type="dxa"/>
            <w:vAlign w:val="bottom"/>
          </w:tcPr>
          <w:p>
            <w:pPr>
              <w:spacing w:after="0"/>
              <w:rPr>
                <w:sz w:val="1"/>
                <w:szCs w:val="1"/>
                <w:color w:val="auto"/>
              </w:rPr>
            </w:pPr>
          </w:p>
        </w:tc>
      </w:tr>
      <w:tr>
        <w:trPr>
          <w:trHeight w:val="411"/>
        </w:trPr>
        <w:tc>
          <w:tcPr>
            <w:tcW w:w="4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One-off Impairment</w:t>
            </w:r>
          </w:p>
        </w:tc>
        <w:tc>
          <w:tcPr>
            <w:tcW w:w="7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One-off IFRS9 modification loss related to the zero-interest-rate loans to finance frozen</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installments.</w:t>
            </w: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4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Structural Cost of risk</w:t>
            </w:r>
          </w:p>
        </w:tc>
        <w:tc>
          <w:tcPr>
            <w:tcW w:w="7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of Risk related to the Structural Loans. It excludes, in the numerator, provisions for</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credit losses on GP loans, and in the denominator the total amount of GP Loans.</w:t>
            </w: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Structural Internal Overdue Loans (IOL) ratio</w:t>
            </w:r>
          </w:p>
        </w:tc>
        <w:tc>
          <w:tcPr>
            <w:tcW w:w="7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IOL Ratio related to the Structural Loans. It excludes the impact of GP Loans.</w:t>
            </w:r>
          </w:p>
        </w:tc>
        <w:tc>
          <w:tcPr>
            <w:tcW w:w="0" w:type="dxa"/>
            <w:vAlign w:val="bottom"/>
          </w:tcPr>
          <w:p>
            <w:pPr>
              <w:spacing w:after="0"/>
              <w:rPr>
                <w:sz w:val="1"/>
                <w:szCs w:val="1"/>
                <w:color w:val="auto"/>
              </w:rPr>
            </w:pPr>
          </w:p>
        </w:tc>
      </w:tr>
      <w:tr>
        <w:trPr>
          <w:trHeight w:val="411"/>
        </w:trPr>
        <w:tc>
          <w:tcPr>
            <w:tcW w:w="4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Structural Early delinquency (&gt;60 - &lt;150)</w:t>
            </w:r>
          </w:p>
        </w:tc>
        <w:tc>
          <w:tcPr>
            <w:tcW w:w="7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Delinquency Ratio related to the Structural Loans. It excludes the impact of GP</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Loans</w:t>
            </w: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Structural NPL ratio</w:t>
            </w:r>
          </w:p>
        </w:tc>
        <w:tc>
          <w:tcPr>
            <w:tcW w:w="7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NPL Ratio related to the Structural Loans. It excludes the impact of GP Loans.</w:t>
            </w:r>
          </w:p>
        </w:tc>
        <w:tc>
          <w:tcPr>
            <w:tcW w:w="0" w:type="dxa"/>
            <w:vAlign w:val="bottom"/>
          </w:tcPr>
          <w:p>
            <w:pPr>
              <w:spacing w:after="0"/>
              <w:rPr>
                <w:sz w:val="1"/>
                <w:szCs w:val="1"/>
                <w:color w:val="auto"/>
              </w:rPr>
            </w:pPr>
          </w:p>
        </w:tc>
      </w:tr>
      <w:tr>
        <w:trPr>
          <w:trHeight w:val="411"/>
        </w:trPr>
        <w:tc>
          <w:tcPr>
            <w:tcW w:w="4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Structural NIM</w:t>
            </w:r>
          </w:p>
        </w:tc>
        <w:tc>
          <w:tcPr>
            <w:tcW w:w="7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NIM related to structural loans and other interest earning assets. It excludes the impact</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from GP loans and the one-off impairment.</w:t>
            </w: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Structural Funding Cost</w:t>
            </w:r>
          </w:p>
        </w:tc>
        <w:tc>
          <w:tcPr>
            <w:tcW w:w="7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Funding Cost Ratio excluding the impact of Central Bank funding for GP Loans</w:t>
            </w:r>
          </w:p>
        </w:tc>
        <w:tc>
          <w:tcPr>
            <w:tcW w:w="0" w:type="dxa"/>
            <w:vAlign w:val="bottom"/>
          </w:tcPr>
          <w:p>
            <w:pPr>
              <w:spacing w:after="0"/>
              <w:rPr>
                <w:sz w:val="1"/>
                <w:szCs w:val="1"/>
                <w:color w:val="auto"/>
              </w:rPr>
            </w:pPr>
          </w:p>
        </w:tc>
      </w:tr>
      <w:tr>
        <w:trPr>
          <w:trHeight w:val="426"/>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Adjusted Income Growth</w:t>
            </w:r>
          </w:p>
        </w:tc>
        <w:tc>
          <w:tcPr>
            <w:tcW w:w="7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growth excluding the one-off impairment</w:t>
            </w:r>
          </w:p>
        </w:tc>
        <w:tc>
          <w:tcPr>
            <w:tcW w:w="0" w:type="dxa"/>
            <w:vAlign w:val="bottom"/>
          </w:tcPr>
          <w:p>
            <w:pPr>
              <w:spacing w:after="0"/>
              <w:rPr>
                <w:sz w:val="1"/>
                <w:szCs w:val="1"/>
                <w:color w:val="auto"/>
              </w:rPr>
            </w:pPr>
          </w:p>
        </w:tc>
      </w:tr>
      <w:tr>
        <w:trPr>
          <w:trHeight w:val="425"/>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Adjusted Efficiency ratio</w:t>
            </w:r>
          </w:p>
        </w:tc>
        <w:tc>
          <w:tcPr>
            <w:tcW w:w="7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Efficiency ratio excluding the one-off impairment from operating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abstractNum>
  <w:abstractNum w:abstractNumId="1">
    <w:nsid w:val="12E685FB"/>
    <w:multiLevelType w:val="hybridMultilevel"/>
    <w:lvl w:ilvl="0">
      <w:lvlJc w:val="left"/>
      <w:lvlText w:val="(%1)"/>
      <w:numFmt w:val="decimal"/>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lowerRoman"/>
      <w:start w:val="1"/>
    </w:lvl>
  </w:abstractNum>
  <w:abstractNum w:abstractNumId="6">
    <w:nsid w:val="23F9C13C"/>
    <w:multiLevelType w:val="hybridMultilevel"/>
    <w:lvl w:ilvl="0">
      <w:lvlJc w:val="left"/>
      <w:lvlText w:val="(%1)"/>
      <w:numFmt w:val="lowerRoman"/>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lowerRoman"/>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2"/>
    </w:lvl>
  </w:abstractNum>
  <w:abstractNum w:abstractNumId="13">
    <w:nsid w:val="47398C89"/>
    <w:multiLevelType w:val="hybridMultilevel"/>
    <w:lvl w:ilvl="0">
      <w:lvlJc w:val="left"/>
      <w:lvlText w:val="(%1)"/>
      <w:numFmt w:val="lowerRoman"/>
      <w:start w:val="1"/>
    </w:lvl>
  </w:abstractNum>
  <w:abstractNum w:abstractNumId="14">
    <w:nsid w:val="354FE9F9"/>
    <w:multiLevelType w:val="hybridMultilevel"/>
    <w:lvl w:ilvl="0">
      <w:lvlJc w:val="left"/>
      <w:lvlText w:val="(%1)"/>
      <w:numFmt w:val="lowerRoman"/>
      <w:start w:val="2"/>
    </w:lvl>
  </w:abstractNum>
  <w:abstractNum w:abstractNumId="15">
    <w:nsid w:val="15B5AF5C"/>
    <w:multiLevelType w:val="hybridMultilevel"/>
    <w:lvl w:ilvl="0">
      <w:lvlJc w:val="left"/>
      <w:lvlText w:val="(%1)"/>
      <w:numFmt w:val="lowerRoman"/>
      <w:start w:val="1"/>
    </w:lvl>
  </w:abstractNum>
  <w:abstractNum w:abstractNumId="16">
    <w:nsid w:val="741226BB"/>
    <w:multiLevelType w:val="hybridMultilevel"/>
    <w:lvl w:ilvl="0">
      <w:lvlJc w:val="left"/>
      <w:lvlText w:val="%1."/>
      <w:numFmt w:val="decimal"/>
      <w:start w:val="19"/>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1)"/>
      <w:numFmt w:val="lowerRoman"/>
      <w:start w:val="1"/>
    </w:lvl>
  </w:abstractNum>
  <w:abstractNum w:abstractNumId="19">
    <w:nsid w:val="3F6AB60F"/>
    <w:multiLevelType w:val="hybridMultilevel"/>
    <w:lvl w:ilvl="0">
      <w:lvlJc w:val="left"/>
      <w:lvlText w:val="(%1)"/>
      <w:numFmt w:val="lowerRoman"/>
      <w:start w:val="1"/>
    </w:lvl>
  </w:abstractNum>
  <w:abstractNum w:abstractNumId="20">
    <w:nsid w:val="61574095"/>
    <w:multiLevelType w:val="hybridMultilevel"/>
    <w:lvl w:ilvl="0">
      <w:lvlJc w:val="left"/>
      <w:lvlText w:val="(%1)"/>
      <w:numFmt w:val="lowerRoman"/>
      <w:start w:val="1"/>
    </w:lvl>
  </w:abstractNum>
  <w:abstractNum w:abstractNumId="21">
    <w:nsid w:val="7E0C57B1"/>
    <w:multiLevelType w:val="hybridMultilevel"/>
    <w:lvl w:ilvl="0">
      <w:lvlJc w:val="left"/>
      <w:lvlText w:val="%1"/>
      <w:numFmt w:val="lowerRoman"/>
      <w:start w:val="1"/>
    </w:lvl>
    <w:lvl w:ilvl="1">
      <w:lvlJc w:val="left"/>
      <w:lvlText w:val="(%2)"/>
      <w:numFmt w:val="decimal"/>
      <w:start w:val="1"/>
    </w:lvl>
  </w:abstractNum>
  <w:abstractNum w:abstractNumId="22">
    <w:nsid w:val="77AE35EB"/>
    <w:multiLevelType w:val="hybridMultilevel"/>
    <w:lvl w:ilvl="0">
      <w:lvlJc w:val="left"/>
      <w:lvlText w:val="(%1)"/>
      <w:numFmt w:val="lowerRoman"/>
      <w:start w:val="1"/>
    </w:lvl>
    <w:lvl w:ilvl="1">
      <w:lvlJc w:val="left"/>
      <w:lvlText w:val="%2"/>
      <w:numFmt w:val="decimal"/>
      <w:start w:val="1"/>
    </w:lvl>
  </w:abstractNum>
  <w:abstractNum w:abstractNumId="23">
    <w:nsid w:val="579BE4F1"/>
    <w:multiLevelType w:val="hybridMultilevel"/>
    <w:lvl w:ilvl="0">
      <w:lvlJc w:val="left"/>
      <w:lvlText w:val="%1."/>
      <w:numFmt w:val="decimal"/>
      <w:start w:val="3"/>
    </w:lvl>
  </w:abstractNum>
  <w:abstractNum w:abstractNumId="24">
    <w:nsid w:val="310C50B3"/>
    <w:multiLevelType w:val="hybridMultilevel"/>
    <w:lvl w:ilvl="0">
      <w:lvlJc w:val="left"/>
      <w:lvlText w:val="(%1)"/>
      <w:numFmt w:val="lowerRoman"/>
      <w:start w:val="1"/>
    </w:lvl>
  </w:abstractNum>
  <w:abstractNum w:abstractNumId="25">
    <w:nsid w:val="5FF87E05"/>
    <w:multiLevelType w:val="hybridMultilevel"/>
    <w:lvl w:ilvl="0">
      <w:lvlJc w:val="left"/>
      <w:lvlText w:val="(%1)"/>
      <w:numFmt w:val="lowerRoman"/>
      <w:start w:val="3"/>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lowerRoman"/>
      <w:start w:val="1"/>
    </w:lvl>
  </w:abstractNum>
  <w:abstractNum w:abstractNumId="29">
    <w:nsid w:val="4AD084E9"/>
    <w:multiLevelType w:val="hybridMultilevel"/>
    <w:lvl w:ilvl="0">
      <w:lvlJc w:val="left"/>
      <w:lvlText w:val="(%1)"/>
      <w:numFmt w:val="lowerRoman"/>
      <w:start w:val="1"/>
    </w:lvl>
  </w:abstractNum>
  <w:abstractNum w:abstractNumId="30">
    <w:nsid w:val="1F48EAA1"/>
    <w:multiLevelType w:val="hybridMultilevel"/>
    <w:lvl w:ilvl="0">
      <w:lvlJc w:val="left"/>
      <w:lvlText w:val="(%1)"/>
      <w:numFmt w:val="lowerRoman"/>
      <w:start w:val="2"/>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lowerRoman"/>
      <w:start w:val="1"/>
    </w:lvl>
  </w:abstractNum>
  <w:abstractNum w:abstractNumId="33">
    <w:nsid w:val="100F8FCA"/>
    <w:multiLevelType w:val="hybridMultilevel"/>
    <w:lvl w:ilvl="0">
      <w:lvlJc w:val="left"/>
      <w:lvlText w:val="%1."/>
      <w:numFmt w:val="decimal"/>
      <w:start w:val="4"/>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lowerRoman"/>
      <w:start w:val="1"/>
    </w:lvl>
  </w:abstractNum>
  <w:abstractNum w:abstractNumId="36">
    <w:nsid w:val="5F5E7FD0"/>
    <w:multiLevelType w:val="hybridMultilevel"/>
    <w:lvl w:ilvl="0">
      <w:lvlJc w:val="left"/>
      <w:lvlText w:val="(%1)"/>
      <w:numFmt w:val="lowerRoman"/>
      <w:start w:val="1"/>
    </w:lvl>
  </w:abstractNum>
  <w:abstractNum w:abstractNumId="37">
    <w:nsid w:val="98A3148"/>
    <w:multiLevelType w:val="hybridMultilevel"/>
    <w:lvl w:ilvl="0">
      <w:lvlJc w:val="left"/>
      <w:lvlText w:val="(%1)"/>
      <w:numFmt w:val="lowerRoman"/>
      <w:start w:val="1"/>
    </w:lvl>
    <w:lvl w:ilvl="1">
      <w:lvlJc w:val="left"/>
      <w:lvlText w:val="%2)"/>
      <w:numFmt w:val="lowerLetter"/>
      <w:start w:val="1"/>
    </w:lvl>
  </w:abstractNum>
  <w:abstractNum w:abstractNumId="38">
    <w:nsid w:val="799D0247"/>
    <w:multiLevelType w:val="hybridMultilevel"/>
    <w:lvl w:ilvl="0">
      <w:lvlJc w:val="left"/>
      <w:lvlText w:val="(%1)"/>
      <w:numFmt w:val="lowerRoman"/>
      <w:start w:val="1"/>
    </w:lvl>
  </w:abstractNum>
  <w:abstractNum w:abstractNumId="39">
    <w:nsid w:val="6B94764"/>
    <w:multiLevelType w:val="hybridMultilevel"/>
    <w:lvl w:ilvl="0">
      <w:lvlJc w:val="left"/>
      <w:lvlText w:val="(%1)"/>
      <w:numFmt w:val="lowerRoman"/>
      <w:start w:val="1"/>
    </w:lvl>
  </w:abstractNum>
  <w:abstractNum w:abstractNumId="40">
    <w:nsid w:val="42C296BD"/>
    <w:multiLevelType w:val="hybridMultilevel"/>
    <w:lvl w:ilvl="0">
      <w:lvlJc w:val="left"/>
      <w:lvlText w:val="(%1)"/>
      <w:numFmt w:val="lowerRoman"/>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lowerRoman"/>
      <w:start w:val="1"/>
    </w:lvl>
    <w:lvl w:ilvl="1">
      <w:lvlJc w:val="left"/>
      <w:lvlText w:val="%2)"/>
      <w:numFmt w:val="lowerLetter"/>
      <w:start w:val="1"/>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decimal"/>
      <w:start w:val="3"/>
    </w:lvl>
  </w:abstractNum>
  <w:abstractNum w:abstractNumId="45">
    <w:nsid w:val="540A471C"/>
    <w:multiLevelType w:val="hybridMultilevel"/>
    <w:lvl w:ilvl="0">
      <w:lvlJc w:val="left"/>
      <w:lvlText w:val="(%1)"/>
      <w:numFmt w:val="decimal"/>
      <w:start w:val="3"/>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3"/>
    </w:lvl>
  </w:abstractNum>
  <w:abstractNum w:abstractNumId="49">
    <w:nsid w:val="BF72B14"/>
    <w:multiLevelType w:val="hybridMultilevel"/>
    <w:lvl w:ilvl="0">
      <w:lvlJc w:val="left"/>
      <w:lvlText w:val="(%1)"/>
      <w:numFmt w:val="decimal"/>
      <w:start w:val="3"/>
    </w:lvl>
  </w:abstractNum>
  <w:abstractNum w:abstractNumId="50">
    <w:nsid w:val="11447B73"/>
    <w:multiLevelType w:val="hybridMultilevel"/>
    <w:lvl w:ilvl="0">
      <w:lvlJc w:val="left"/>
      <w:lvlText w:val="%1."/>
      <w:numFmt w:val="decimal"/>
      <w:start w:val="5"/>
    </w:lvl>
  </w:abstractNum>
  <w:abstractNum w:abstractNumId="51">
    <w:nsid w:val="42963E5A"/>
    <w:multiLevelType w:val="hybridMultilevel"/>
    <w:lvl w:ilvl="0">
      <w:lvlJc w:val="left"/>
      <w:lvlText w:val="(%1)"/>
      <w:numFmt w:val="lowerRoman"/>
      <w:start w:val="1"/>
    </w:lvl>
  </w:abstractNum>
  <w:abstractNum w:abstractNumId="52">
    <w:nsid w:val="A0382C5"/>
    <w:multiLevelType w:val="hybridMultilevel"/>
    <w:lvl w:ilvl="0">
      <w:lvlJc w:val="left"/>
      <w:lvlText w:val="(%1)"/>
      <w:numFmt w:val="lowerRoman"/>
      <w:start w:val="1"/>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lowerRoman"/>
      <w:start w:val="1"/>
    </w:lvl>
  </w:abstractNum>
  <w:abstractNum w:abstractNumId="55">
    <w:nsid w:val="3B0FD379"/>
    <w:multiLevelType w:val="hybridMultilevel"/>
    <w:lvl w:ilvl="0">
      <w:lvlJc w:val="left"/>
      <w:lvlText w:val="(%1)"/>
      <w:numFmt w:val="lowerRoman"/>
      <w:start w:val="3"/>
    </w:lvl>
  </w:abstractNum>
  <w:abstractNum w:abstractNumId="56">
    <w:nsid w:val="68EB2F63"/>
    <w:multiLevelType w:val="hybridMultilevel"/>
    <w:lvl w:ilvl="0">
      <w:lvlJc w:val="left"/>
      <w:lvlText w:val="(%1)"/>
      <w:numFmt w:val="lowerRoman"/>
      <w:start w:val="1"/>
    </w:lvl>
  </w:abstractNum>
  <w:abstractNum w:abstractNumId="57">
    <w:nsid w:val="4962813B"/>
    <w:multiLevelType w:val="hybridMultilevel"/>
    <w:lvl w:ilvl="0">
      <w:lvlJc w:val="left"/>
      <w:lvlText w:val="(%1)"/>
      <w:numFmt w:val="decimal"/>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1)"/>
      <w:numFmt w:val="lowerRoman"/>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1)"/>
      <w:numFmt w:val="decimal"/>
      <w:start w:val="1"/>
    </w:lvl>
  </w:abstractNum>
  <w:abstractNum w:abstractNumId="64">
    <w:nsid w:val="100F59DC"/>
    <w:multiLevelType w:val="hybridMultilevel"/>
    <w:lvl w:ilvl="0">
      <w:lvlJc w:val="left"/>
      <w:lvlText w:val="(%1)"/>
      <w:numFmt w:val="lowerRoman"/>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1"/>
    </w:lvl>
  </w:abstractNum>
  <w:abstractNum w:abstractNumId="67">
    <w:nsid w:val="6F6DD9AC"/>
    <w:multiLevelType w:val="hybridMultilevel"/>
    <w:lvl w:ilvl="0">
      <w:lvlJc w:val="left"/>
      <w:lvlText w:val="(%1)"/>
      <w:numFmt w:val="lowerRoman"/>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lowerRoman"/>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1)"/>
      <w:numFmt w:val="lowerRoman"/>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lowerRoman"/>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9"/>
    </w:lvl>
  </w:abstractNum>
  <w:abstractNum w:abstractNumId="77">
    <w:nsid w:val="2DF6D648"/>
    <w:multiLevelType w:val="hybridMultilevel"/>
    <w:lvl w:ilvl="0">
      <w:lvlJc w:val="left"/>
      <w:lvlText w:val="(%1)"/>
      <w:numFmt w:val="decimal"/>
      <w:start w:val="1"/>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lowerRoman"/>
      <w:start w:val="1"/>
    </w:lvl>
  </w:abstractNum>
  <w:abstractNum w:abstractNumId="80">
    <w:nsid w:val="39EE015C"/>
    <w:multiLevelType w:val="hybridMultilevel"/>
    <w:lvl w:ilvl="0">
      <w:lvlJc w:val="left"/>
      <w:lvlText w:val="(%1)"/>
      <w:numFmt w:val="lowerRoman"/>
      <w:start w:val="1"/>
    </w:lvl>
  </w:abstractNum>
  <w:abstractNum w:abstractNumId="81">
    <w:nsid w:val="57FC4FBB"/>
    <w:multiLevelType w:val="hybridMultilevel"/>
    <w:lvl w:ilvl="0">
      <w:lvlJc w:val="left"/>
      <w:lvlText w:val="(%1)"/>
      <w:numFmt w:val="lowerRoman"/>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10"/>
    </w:lvl>
  </w:abstractNum>
  <w:abstractNum w:abstractNumId="84">
    <w:nsid w:val="60EF0119"/>
    <w:multiLevelType w:val="hybridMultilevel"/>
    <w:lvl w:ilvl="0">
      <w:lvlJc w:val="left"/>
      <w:lvlText w:val="10.%1."/>
      <w:numFmt w:val="decimal"/>
      <w:start w:val="1"/>
    </w:lvl>
  </w:abstractNum>
  <w:abstractNum w:abstractNumId="85">
    <w:nsid w:val="26F324BA"/>
    <w:multiLevelType w:val="hybridMultilevel"/>
    <w:lvl w:ilvl="0">
      <w:lvlJc w:val="left"/>
      <w:lvlText w:val="(%1)"/>
      <w:numFmt w:val="decimal"/>
      <w:start w:val="1"/>
    </w:lvl>
  </w:abstractNum>
  <w:abstractNum w:abstractNumId="86">
    <w:nsid w:val="7F01579B"/>
    <w:multiLevelType w:val="hybridMultilevel"/>
    <w:lvl w:ilvl="0">
      <w:lvlJc w:val="left"/>
      <w:lvlText w:val="%1."/>
      <w:numFmt w:val="decimal"/>
      <w:start w:val="11"/>
    </w:lvl>
  </w:abstractNum>
  <w:abstractNum w:abstractNumId="87">
    <w:nsid w:val="49DA307D"/>
    <w:multiLevelType w:val="hybridMultilevel"/>
    <w:lvl w:ilvl="0">
      <w:lvlJc w:val="left"/>
      <w:lvlText w:val="11.%1."/>
      <w:numFmt w:val="decimal"/>
      <w:start w:val="1"/>
    </w:lvl>
  </w:abstractNum>
  <w:abstractNum w:abstractNumId="88">
    <w:nsid w:val="7055A5F5"/>
    <w:multiLevelType w:val="hybridMultilevel"/>
    <w:lvl w:ilvl="0">
      <w:lvlJc w:val="left"/>
      <w:lvlText w:val="(%1)"/>
      <w:numFmt w:val="decimal"/>
      <w:start w:val="1"/>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decimal"/>
      <w:start w:val="1"/>
    </w:lvl>
  </w:abstractNum>
  <w:abstractNum w:abstractNumId="91">
    <w:nsid w:val="488AC1A"/>
    <w:multiLevelType w:val="hybridMultilevel"/>
    <w:lvl w:ilvl="0">
      <w:lvlJc w:val="left"/>
      <w:lvlText w:val="(%1)"/>
      <w:numFmt w:val="decimal"/>
      <w:start w:val="1"/>
    </w:lvl>
  </w:abstractNum>
  <w:abstractNum w:abstractNumId="92">
    <w:nsid w:val="5FB8011C"/>
    <w:multiLevelType w:val="hybridMultilevel"/>
    <w:lvl w:ilvl="0">
      <w:lvlJc w:val="left"/>
      <w:lvlText w:val="(%1)"/>
      <w:numFmt w:val="decimal"/>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1)"/>
      <w:numFmt w:val="decimal"/>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lowerRoman"/>
      <w:start w:val="1"/>
    </w:lvl>
  </w:abstractNum>
  <w:abstractNum w:abstractNumId="100">
    <w:nsid w:val="7DE67713"/>
    <w:multiLevelType w:val="hybridMultilevel"/>
    <w:lvl w:ilvl="0">
      <w:lvlJc w:val="left"/>
      <w:lvlText w:val="(*)"/>
      <w:numFmt w:val="bullet"/>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2021-02-12T15:35:33Z</dcterms:created>
  <dcterms:modified xsi:type="dcterms:W3CDTF">2021-02-12T15:35:33Z</dcterms:modified>
</cp:coreProperties>
</file>