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237490</wp:posOffset>
            </wp:positionV>
            <wp:extent cx="72923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260350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FORM 6-K</w:t>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Report of Foreign Private Issuer</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Pursuant to Rule 13a-16 or 15d-16 under the</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Securities Exchange Act of 1934</w:t>
      </w:r>
    </w:p>
    <w:p>
      <w:pPr>
        <w:spacing w:after="0" w:line="137"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For the month of February 2020</w:t>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Commission File Number: 001-14014</w:t>
      </w:r>
    </w:p>
    <w:p>
      <w:pPr>
        <w:spacing w:after="0" w:line="144"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CREDICORP LTD.</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(Translation of registrant’s name into English))</w:t>
      </w:r>
    </w:p>
    <w:p>
      <w:pPr>
        <w:spacing w:after="0" w:line="13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Of our subsidiary</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Banco de Credito del Peru:</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Calle Centenario 156</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La Molina</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 xml:space="preserve">Lima 12, Peru </w:t>
      </w:r>
      <w:r>
        <w:rPr>
          <w:rFonts w:ascii="Arial" w:cs="Arial" w:eastAsia="Arial" w:hAnsi="Arial"/>
          <w:sz w:val="12"/>
          <w:szCs w:val="12"/>
          <w:color w:val="auto"/>
        </w:rPr>
        <w:t>(Address of principal executive office)</w:t>
      </w:r>
    </w:p>
    <w:p>
      <w:pPr>
        <w:spacing w:after="0" w:line="141" w:lineRule="exact"/>
        <w:rPr>
          <w:sz w:val="24"/>
          <w:szCs w:val="24"/>
          <w:color w:val="auto"/>
        </w:rPr>
      </w:pPr>
    </w:p>
    <w:p>
      <w:pPr>
        <w:jc w:val="center"/>
        <w:ind w:right="-1220"/>
        <w:spacing w:after="0"/>
        <w:rPr>
          <w:sz w:val="20"/>
          <w:szCs w:val="20"/>
          <w:color w:val="auto"/>
        </w:rPr>
      </w:pPr>
      <w:r>
        <w:rPr>
          <w:rFonts w:ascii="Arial" w:cs="Arial" w:eastAsia="Arial" w:hAnsi="Arial"/>
          <w:sz w:val="11"/>
          <w:szCs w:val="11"/>
          <w:color w:val="auto"/>
        </w:rPr>
        <w:t>Indicate by check mark whether the registrant files or will file annual reports under cover of Form 20-F or Form 40-F.</w:t>
      </w:r>
    </w:p>
    <w:p>
      <w:pPr>
        <w:spacing w:after="0" w:line="139" w:lineRule="exact"/>
        <w:rPr>
          <w:sz w:val="24"/>
          <w:szCs w:val="24"/>
          <w:color w:val="auto"/>
        </w:rPr>
      </w:pPr>
    </w:p>
    <w:p>
      <w:pPr>
        <w:ind w:left="5060"/>
        <w:spacing w:after="0" w:line="138" w:lineRule="exact"/>
        <w:rPr>
          <w:sz w:val="20"/>
          <w:szCs w:val="20"/>
          <w:color w:val="auto"/>
        </w:rPr>
      </w:pPr>
      <w:r>
        <w:rPr>
          <w:rFonts w:ascii="Arial" w:cs="Arial" w:eastAsia="Arial" w:hAnsi="Arial"/>
          <w:sz w:val="12"/>
          <w:szCs w:val="12"/>
          <w:color w:val="auto"/>
        </w:rPr>
        <w:t xml:space="preserve">Form 20-F </w:t>
      </w:r>
      <w:r>
        <w:rPr>
          <w:rFonts w:ascii="MS PGothic" w:cs="MS PGothic" w:eastAsia="MS PGothic" w:hAnsi="MS PGothic"/>
          <w:sz w:val="12"/>
          <w:szCs w:val="12"/>
          <w:color w:val="auto"/>
        </w:rPr>
        <w:t>☒</w:t>
      </w:r>
      <w:r>
        <w:rPr>
          <w:rFonts w:ascii="Arial" w:cs="Arial" w:eastAsia="Arial" w:hAnsi="Arial"/>
          <w:sz w:val="12"/>
          <w:szCs w:val="12"/>
          <w:color w:val="auto"/>
        </w:rPr>
        <w:t xml:space="preserve"> Form 40-F </w:t>
      </w:r>
      <w:r>
        <w:rPr>
          <w:rFonts w:ascii="MS PGothic" w:cs="MS PGothic" w:eastAsia="MS PGothic" w:hAnsi="MS PGothic"/>
          <w:sz w:val="12"/>
          <w:szCs w:val="12"/>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101(b)(1): ____</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7292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312420</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239"/>
          </w:cols>
          <w:pgMar w:left="220" w:top="568"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6054090</wp:posOffset>
            </wp:positionH>
            <wp:positionV relativeFrom="page">
              <wp:posOffset>420370</wp:posOffset>
            </wp:positionV>
            <wp:extent cx="1372870" cy="382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72870" cy="382905"/>
                    </a:xfrm>
                    <a:prstGeom prst="rect">
                      <a:avLst/>
                    </a:prstGeom>
                    <a:noFill/>
                  </pic:spPr>
                </pic:pic>
              </a:graphicData>
            </a:graphic>
          </wp:anchor>
        </w:drawing>
        <w:t>February 28,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Securities and Exchange Commission - SEC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 MATERIAL EVENT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Dear Sirs: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Please find attached herewith a copy of the audited consolidated financial statements of Credicorp Ltd. (the “Company”) and its subsidiaries, for the fiscal year ended December 31, 2019, including the report of the external independent auditors Gaveglio, Aparicio y Asociados Sociedad de Responsabilidad Limitada, members of PricewaterhouseCoopers in Peru, approved by the Company’s Board of Directors in its session held on February 27, 2020, and which will be submitted for evaluation and approval of the Annual General Meeting of Shareholders on March 27, 2020.</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6487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87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Stock Market Representative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198120</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01" w:right="199" w:bottom="1440" w:gutter="0" w:footer="0" w:header="0"/>
        </w:sectPr>
      </w:pPr>
    </w:p>
    <w:bookmarkStart w:id="2" w:name="page3"/>
    <w:bookmarkEnd w:id="2"/>
    <w:p>
      <w:pPr>
        <w:ind w:left="496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28, 2020</w:t>
      </w:r>
    </w:p>
    <w:p>
      <w:pPr>
        <w:spacing w:after="0" w:line="150"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CREDICORP LTD.</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(Registrant)</w:t>
      </w:r>
    </w:p>
    <w:p>
      <w:pPr>
        <w:spacing w:after="0" w:line="141" w:lineRule="exact"/>
        <w:rPr>
          <w:sz w:val="20"/>
          <w:szCs w:val="20"/>
          <w:color w:val="auto"/>
        </w:rPr>
      </w:pPr>
    </w:p>
    <w:p>
      <w:pPr>
        <w:ind w:left="5320"/>
        <w:spacing w:after="0"/>
        <w:tabs>
          <w:tab w:leader="none" w:pos="5640" w:val="left"/>
        </w:tabs>
        <w:rPr>
          <w:sz w:val="20"/>
          <w:szCs w:val="20"/>
          <w:color w:val="auto"/>
        </w:rPr>
      </w:pPr>
      <w:r>
        <w:rPr>
          <w:rFonts w:ascii="Arial" w:cs="Arial" w:eastAsia="Arial" w:hAnsi="Arial"/>
          <w:sz w:val="12"/>
          <w:szCs w:val="12"/>
          <w:color w:val="auto"/>
        </w:rPr>
        <w:t>By:</w:t>
        <w:tab/>
        <w:t>/s/ Miriam Böttger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-86995</wp:posOffset>
            </wp:positionV>
            <wp:extent cx="34258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5825"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9819"/>
          </w:cols>
          <w:pgMar w:left="640" w:top="649" w:right="1440"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CREDICORP LTD. AND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292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239"/>
          </w:cols>
          <w:pgMar w:left="220" w:top="82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11100" w:type="dxa"/>
            <w:vAlign w:val="bottom"/>
            <w:gridSpan w:val="11"/>
          </w:tcPr>
          <w:p>
            <w:pPr>
              <w:spacing w:after="0"/>
              <w:rPr>
                <w:sz w:val="20"/>
                <w:szCs w:val="20"/>
                <w:color w:val="auto"/>
              </w:rPr>
            </w:pPr>
            <w:r>
              <w:rPr>
                <w:rFonts w:ascii="Arial" w:cs="Arial" w:eastAsia="Arial" w:hAnsi="Arial"/>
                <w:sz w:val="12"/>
                <w:szCs w:val="12"/>
                <w:b w:val="1"/>
                <w:bCs w:val="1"/>
                <w:color w:val="auto"/>
              </w:rPr>
              <w:t>CREDICORP LTD. AND SUBSIDIARIES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1100" w:type="dxa"/>
            <w:vAlign w:val="bottom"/>
            <w:gridSpan w:val="11"/>
          </w:tcPr>
          <w:p>
            <w:pPr>
              <w:spacing w:after="0"/>
              <w:rPr>
                <w:sz w:val="20"/>
                <w:szCs w:val="20"/>
                <w:color w:val="auto"/>
              </w:rPr>
            </w:pPr>
            <w:r>
              <w:rPr>
                <w:rFonts w:ascii="Arial" w:cs="Arial" w:eastAsia="Arial" w:hAnsi="Arial"/>
                <w:sz w:val="12"/>
                <w:szCs w:val="12"/>
                <w:color w:val="auto"/>
              </w:rPr>
              <w:t>CONSOLIDATED FINANCIAL STATEMENTS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100" w:type="dxa"/>
            <w:vAlign w:val="bottom"/>
            <w:gridSpan w:val="11"/>
          </w:tcPr>
          <w:p>
            <w:pPr>
              <w:spacing w:after="0"/>
              <w:rPr>
                <w:sz w:val="20"/>
                <w:szCs w:val="20"/>
                <w:color w:val="auto"/>
              </w:rPr>
            </w:pPr>
            <w:r>
              <w:rPr>
                <w:rFonts w:ascii="Arial" w:cs="Arial" w:eastAsia="Arial" w:hAnsi="Arial"/>
                <w:sz w:val="12"/>
                <w:szCs w:val="12"/>
                <w:color w:val="auto"/>
              </w:rPr>
              <w:t>AS OF DECEMBER 31, 2019 AND 2018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80" w:type="dxa"/>
            <w:vAlign w:val="bottom"/>
            <w:gridSpan w:val="3"/>
          </w:tcPr>
          <w:p>
            <w:pPr>
              <w:spacing w:after="0"/>
              <w:rPr>
                <w:sz w:val="20"/>
                <w:szCs w:val="20"/>
                <w:color w:val="auto"/>
              </w:rPr>
            </w:pPr>
            <w:r>
              <w:rPr>
                <w:rFonts w:ascii="Arial" w:cs="Arial" w:eastAsia="Arial" w:hAnsi="Arial"/>
                <w:sz w:val="12"/>
                <w:szCs w:val="12"/>
                <w:color w:val="auto"/>
              </w:rPr>
              <w:t>CONTENTS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ind w:left="40"/>
              <w:spacing w:after="0"/>
              <w:rPr>
                <w:sz w:val="20"/>
                <w:szCs w:val="20"/>
                <w:color w:val="auto"/>
              </w:rPr>
            </w:pPr>
            <w:r>
              <w:rPr>
                <w:rFonts w:ascii="Arial" w:cs="Arial" w:eastAsia="Arial" w:hAnsi="Arial"/>
                <w:sz w:val="12"/>
                <w:szCs w:val="12"/>
                <w:color w:val="auto"/>
                <w:w w:val="82"/>
              </w:rPr>
              <w:t>Pages</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Independent auditor’s report</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1 - 8</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14">
              <w:r>
                <w:rPr>
                  <w:rFonts w:ascii="Arial" w:cs="Arial" w:eastAsia="Arial" w:hAnsi="Arial"/>
                  <w:sz w:val="12"/>
                  <w:szCs w:val="12"/>
                  <w:color w:val="0000EE"/>
                </w:rPr>
                <w:t>Consolidated statement of financial position</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u w:val="single" w:color="auto"/>
                <w:color w:val="0000EE"/>
              </w:rPr>
            </w:pPr>
            <w:hyperlink w:anchor="page14">
              <w:r>
                <w:rPr>
                  <w:rFonts w:ascii="Arial" w:cs="Arial" w:eastAsia="Arial" w:hAnsi="Arial"/>
                  <w:sz w:val="12"/>
                  <w:szCs w:val="12"/>
                  <w:u w:val="single" w:color="auto"/>
                  <w:color w:val="0000EE"/>
                </w:rPr>
                <w:t>9</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15">
              <w:r>
                <w:rPr>
                  <w:rFonts w:ascii="Arial" w:cs="Arial" w:eastAsia="Arial" w:hAnsi="Arial"/>
                  <w:sz w:val="12"/>
                  <w:szCs w:val="12"/>
                  <w:color w:val="0000EE"/>
                </w:rPr>
                <w:t>Consolidated statement of income</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color w:val="0000EE"/>
                <w:w w:val="96"/>
              </w:rPr>
            </w:pPr>
            <w:hyperlink w:anchor="page15">
              <w:r>
                <w:rPr>
                  <w:rFonts w:ascii="Arial" w:cs="Arial" w:eastAsia="Arial" w:hAnsi="Arial"/>
                  <w:sz w:val="12"/>
                  <w:szCs w:val="12"/>
                  <w:color w:val="0000EE"/>
                  <w:w w:val="96"/>
                </w:rPr>
                <w:t>10 - 11</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17">
              <w:r>
                <w:rPr>
                  <w:rFonts w:ascii="Arial" w:cs="Arial" w:eastAsia="Arial" w:hAnsi="Arial"/>
                  <w:sz w:val="12"/>
                  <w:szCs w:val="12"/>
                  <w:color w:val="0000EE"/>
                </w:rPr>
                <w:t>Consolidated statement of comprehensive income</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color w:val="0000EE"/>
              </w:rPr>
            </w:pPr>
            <w:hyperlink w:anchor="page17">
              <w:r>
                <w:rPr>
                  <w:rFonts w:ascii="Arial" w:cs="Arial" w:eastAsia="Arial" w:hAnsi="Arial"/>
                  <w:sz w:val="12"/>
                  <w:szCs w:val="12"/>
                  <w:color w:val="0000EE"/>
                </w:rPr>
                <w:t>12</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18">
              <w:r>
                <w:rPr>
                  <w:rFonts w:ascii="Arial" w:cs="Arial" w:eastAsia="Arial" w:hAnsi="Arial"/>
                  <w:sz w:val="12"/>
                  <w:szCs w:val="12"/>
                  <w:color w:val="0000EE"/>
                </w:rPr>
                <w:t>Consolidated statement of changes in net equity</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color w:val="0000EE"/>
              </w:rPr>
            </w:pPr>
            <w:hyperlink w:anchor="page18">
              <w:r>
                <w:rPr>
                  <w:rFonts w:ascii="Arial" w:cs="Arial" w:eastAsia="Arial" w:hAnsi="Arial"/>
                  <w:sz w:val="12"/>
                  <w:szCs w:val="12"/>
                  <w:color w:val="0000EE"/>
                </w:rPr>
                <w:t>13 -14</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080" w:type="dxa"/>
            <w:vAlign w:val="bottom"/>
            <w:gridSpan w:val="10"/>
            <w:shd w:val="clear" w:color="auto" w:fill="CCEEFF"/>
          </w:tcPr>
          <w:p>
            <w:pPr>
              <w:spacing w:after="0" w:line="117" w:lineRule="exact"/>
              <w:rPr>
                <w:rFonts w:ascii="Arial" w:cs="Arial" w:eastAsia="Arial" w:hAnsi="Arial"/>
                <w:sz w:val="12"/>
                <w:szCs w:val="12"/>
                <w:color w:val="0000EE"/>
              </w:rPr>
            </w:pPr>
            <w:hyperlink w:anchor="page20">
              <w:r>
                <w:rPr>
                  <w:rFonts w:ascii="Arial" w:cs="Arial" w:eastAsia="Arial" w:hAnsi="Arial"/>
                  <w:sz w:val="12"/>
                  <w:szCs w:val="12"/>
                  <w:color w:val="0000EE"/>
                </w:rPr>
                <w:t>Consolidated statement of cash flows</w:t>
              </w:r>
            </w:hyperlink>
          </w:p>
        </w:tc>
        <w:tc>
          <w:tcPr>
            <w:tcW w:w="380" w:type="dxa"/>
            <w:vAlign w:val="bottom"/>
            <w:gridSpan w:val="5"/>
            <w:shd w:val="clear" w:color="auto" w:fill="CCEEFF"/>
          </w:tcPr>
          <w:p>
            <w:pPr>
              <w:jc w:val="right"/>
              <w:spacing w:after="0" w:line="117" w:lineRule="exact"/>
              <w:rPr>
                <w:rFonts w:ascii="Arial" w:cs="Arial" w:eastAsia="Arial" w:hAnsi="Arial"/>
                <w:sz w:val="12"/>
                <w:szCs w:val="12"/>
                <w:color w:val="0000EE"/>
                <w:w w:val="96"/>
              </w:rPr>
            </w:pPr>
            <w:hyperlink w:anchor="page20">
              <w:r>
                <w:rPr>
                  <w:rFonts w:ascii="Arial" w:cs="Arial" w:eastAsia="Arial" w:hAnsi="Arial"/>
                  <w:sz w:val="12"/>
                  <w:szCs w:val="12"/>
                  <w:color w:val="0000EE"/>
                  <w:w w:val="96"/>
                </w:rPr>
                <w:t>15 - 17</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Borders>
              <w:top w:val="single" w:sz="8" w:color="0000EE"/>
            </w:tcBorders>
            <w:gridSpan w:val="3"/>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18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23">
              <w:r>
                <w:rPr>
                  <w:rFonts w:ascii="Arial" w:cs="Arial" w:eastAsia="Arial" w:hAnsi="Arial"/>
                  <w:sz w:val="12"/>
                  <w:szCs w:val="12"/>
                  <w:color w:val="0000EE"/>
                  <w:w w:val="88"/>
                </w:rPr>
                <w:t>Notes to the consolidated financial statements</w:t>
              </w:r>
            </w:hyperlink>
          </w:p>
        </w:tc>
        <w:tc>
          <w:tcPr>
            <w:tcW w:w="8900" w:type="dxa"/>
            <w:vAlign w:val="bottom"/>
            <w:tcBorders>
              <w:bottom w:val="single" w:sz="8" w:color="CCEEFF"/>
            </w:tcBorders>
            <w:gridSpan w:val="3"/>
            <w:shd w:val="clear" w:color="auto" w:fill="CCEEFF"/>
          </w:tcPr>
          <w:p>
            <w:pPr>
              <w:spacing w:after="0"/>
              <w:rPr>
                <w:sz w:val="10"/>
                <w:szCs w:val="10"/>
                <w:color w:val="auto"/>
              </w:rPr>
            </w:pPr>
          </w:p>
        </w:tc>
        <w:tc>
          <w:tcPr>
            <w:tcW w:w="380" w:type="dxa"/>
            <w:vAlign w:val="bottom"/>
            <w:tcBorders>
              <w:bottom w:val="single" w:sz="8" w:color="0000EE"/>
            </w:tcBorders>
            <w:gridSpan w:val="5"/>
            <w:shd w:val="clear" w:color="auto" w:fill="CCEEFF"/>
          </w:tcPr>
          <w:p>
            <w:pPr>
              <w:jc w:val="right"/>
              <w:spacing w:after="0" w:line="117" w:lineRule="exact"/>
              <w:rPr>
                <w:rFonts w:ascii="Arial" w:cs="Arial" w:eastAsia="Arial" w:hAnsi="Arial"/>
                <w:sz w:val="12"/>
                <w:szCs w:val="12"/>
                <w:color w:val="0000EE"/>
                <w:w w:val="88"/>
              </w:rPr>
            </w:pPr>
            <w:hyperlink w:anchor="page23">
              <w:r>
                <w:rPr>
                  <w:rFonts w:ascii="Arial" w:cs="Arial" w:eastAsia="Arial" w:hAnsi="Arial"/>
                  <w:sz w:val="12"/>
                  <w:szCs w:val="12"/>
                  <w:color w:val="0000EE"/>
                  <w:w w:val="88"/>
                </w:rPr>
                <w:t>18- 178</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380" w:type="dxa"/>
            <w:vAlign w:val="bottom"/>
            <w:gridSpan w:val="2"/>
          </w:tcPr>
          <w:p>
            <w:pPr>
              <w:spacing w:after="0"/>
              <w:rPr>
                <w:sz w:val="20"/>
                <w:szCs w:val="20"/>
                <w:color w:val="auto"/>
              </w:rPr>
            </w:pPr>
            <w:r>
              <w:rPr>
                <w:rFonts w:ascii="Arial" w:cs="Arial" w:eastAsia="Arial" w:hAnsi="Arial"/>
                <w:sz w:val="12"/>
                <w:szCs w:val="12"/>
                <w:color w:val="auto"/>
              </w:rPr>
              <w:t>US$</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320" w:type="dxa"/>
            <w:vAlign w:val="bottom"/>
            <w:gridSpan w:val="8"/>
          </w:tcPr>
          <w:p>
            <w:pPr>
              <w:ind w:left="140"/>
              <w:spacing w:after="0"/>
              <w:rPr>
                <w:sz w:val="20"/>
                <w:szCs w:val="20"/>
                <w:color w:val="auto"/>
              </w:rPr>
            </w:pPr>
            <w:r>
              <w:rPr>
                <w:rFonts w:ascii="Arial" w:cs="Arial" w:eastAsia="Arial" w:hAnsi="Arial"/>
                <w:sz w:val="12"/>
                <w:szCs w:val="12"/>
                <w:color w:val="auto"/>
              </w:rPr>
              <w:t>United States dollar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80" w:type="dxa"/>
            <w:vAlign w:val="bottom"/>
            <w:gridSpan w:val="2"/>
          </w:tcPr>
          <w:p>
            <w:pPr>
              <w:spacing w:after="0"/>
              <w:rPr>
                <w:sz w:val="20"/>
                <w:szCs w:val="20"/>
                <w:color w:val="auto"/>
              </w:rPr>
            </w:pPr>
            <w:r>
              <w:rPr>
                <w:rFonts w:ascii="Arial" w:cs="Arial" w:eastAsia="Arial" w:hAnsi="Arial"/>
                <w:sz w:val="12"/>
                <w:szCs w:val="12"/>
                <w:color w:val="auto"/>
              </w:rPr>
              <w:t>S/</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320" w:type="dxa"/>
            <w:vAlign w:val="bottom"/>
            <w:gridSpan w:val="8"/>
          </w:tcPr>
          <w:p>
            <w:pPr>
              <w:ind w:left="140"/>
              <w:spacing w:after="0"/>
              <w:rPr>
                <w:sz w:val="20"/>
                <w:szCs w:val="20"/>
                <w:color w:val="auto"/>
              </w:rPr>
            </w:pPr>
            <w:r>
              <w:rPr>
                <w:rFonts w:ascii="Arial" w:cs="Arial" w:eastAsia="Arial" w:hAnsi="Arial"/>
                <w:sz w:val="12"/>
                <w:szCs w:val="12"/>
                <w:color w:val="auto"/>
              </w:rPr>
              <w:t>Sol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color w:val="auto"/>
        </w:rPr>
        <w:t>(A free translation of the original in Spanish)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Independent auditor’s report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the Shareholders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Credicorp Ltd. and subsidiaries</w:t>
      </w: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Our opinion</w:t>
      </w:r>
    </w:p>
    <w:p>
      <w:pPr>
        <w:spacing w:after="0" w:line="150" w:lineRule="exact"/>
        <w:rPr>
          <w:sz w:val="20"/>
          <w:szCs w:val="20"/>
          <w:color w:val="auto"/>
        </w:rPr>
      </w:pPr>
    </w:p>
    <w:p>
      <w:pPr>
        <w:ind w:left="8" w:right="400"/>
        <w:spacing w:after="0" w:line="331" w:lineRule="auto"/>
        <w:rPr>
          <w:sz w:val="20"/>
          <w:szCs w:val="20"/>
          <w:color w:val="auto"/>
        </w:rPr>
      </w:pPr>
      <w:r>
        <w:rPr>
          <w:rFonts w:ascii="Arial" w:cs="Arial" w:eastAsia="Arial" w:hAnsi="Arial"/>
          <w:sz w:val="11"/>
          <w:szCs w:val="11"/>
          <w:color w:val="auto"/>
        </w:rPr>
        <w:t xml:space="preserve">In our opinion, the consolidated financial statements present fairly, in all material respects, the consolidated financial position of </w:t>
      </w:r>
      <w:r>
        <w:rPr>
          <w:rFonts w:ascii="Arial" w:cs="Arial" w:eastAsia="Arial" w:hAnsi="Arial"/>
          <w:sz w:val="11"/>
          <w:szCs w:val="11"/>
          <w:b w:val="1"/>
          <w:bCs w:val="1"/>
          <w:color w:val="auto"/>
        </w:rPr>
        <w:t>Credicorp Ltd. and subsidiaries (the Group)</w:t>
      </w:r>
      <w:r>
        <w:rPr>
          <w:rFonts w:ascii="Arial" w:cs="Arial" w:eastAsia="Arial" w:hAnsi="Arial"/>
          <w:sz w:val="11"/>
          <w:szCs w:val="11"/>
          <w:color w:val="auto"/>
        </w:rPr>
        <w:t xml:space="preserve"> as at December 31, 2019, their consolidated financial performance and consolidated cash flows for the year then ended in accordance with the International Financial Reporting Standards (IFRS) issued by the International Accounting Standards Board (IASB).</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What we have audited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Group’s consolidated financial statements comprise:</w:t>
      </w:r>
    </w:p>
    <w:p>
      <w:pPr>
        <w:spacing w:after="0" w:line="150" w:lineRule="exact"/>
        <w:rPr>
          <w:sz w:val="20"/>
          <w:szCs w:val="20"/>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consolidated statement of financial position as at December 31, 2019;</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consolidated statement of income for the year then ended;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consolidated statement of comprehensive income for the year then ended;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consolidated statement of changes in net equity for the year then ended;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consolidated statement of cash flows for the year then ended; and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Notes to the consolidated financial statements, which include a summary of the significant accounting policies.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We conducted our audit in accordance with International Standards on Auditing (ISAs). Our responsibilities under those standards are further described in the Auditor's responsibilities for the audit of the consolidated financial statements section of our report.</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opinion.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Independence</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are independent of the Group in accordance with the International Ethics Standards Board for Accountants’ Code of Ethics for Professional Accountants (IESBA Code of Ethics) and the ethical requirements of the Code of Professional Ethics issued by the Board of Deans of the Institutes of Peruvian Certified Public Accountants, which are relevant for our audit of the consolidated financial statements. We have fulfilled our other ethical responsibilities in accordance with the IESBA Code of Ethics and the ethical requirements of the Code of Professional Ethics issued by the Board of Deans of the Institutes of Peruvian Certified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2923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53" w:right="23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Our audit approach</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DC6900"/>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100965</wp:posOffset>
            </wp:positionV>
            <wp:extent cx="7252335" cy="1332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1332865"/>
                    </a:xfrm>
                    <a:prstGeom prst="rect">
                      <a:avLst/>
                    </a:prstGeom>
                    <a:noFill/>
                  </pic:spPr>
                </pic:pic>
              </a:graphicData>
            </a:graphic>
          </wp:anchor>
        </w:drawing>
      </w:r>
    </w:p>
    <w:p>
      <w:pPr>
        <w:spacing w:after="0" w:line="166" w:lineRule="exact"/>
        <w:rPr>
          <w:sz w:val="20"/>
          <w:szCs w:val="20"/>
          <w:color w:val="auto"/>
        </w:rPr>
      </w:pPr>
    </w:p>
    <w:p>
      <w:pPr>
        <w:ind w:left="2820" w:right="400"/>
        <w:spacing w:after="0" w:line="263" w:lineRule="auto"/>
        <w:rPr>
          <w:sz w:val="20"/>
          <w:szCs w:val="20"/>
          <w:color w:val="auto"/>
        </w:rPr>
      </w:pPr>
      <w:r>
        <w:rPr>
          <w:rFonts w:ascii="Arial" w:cs="Arial" w:eastAsia="Arial" w:hAnsi="Arial"/>
          <w:sz w:val="12"/>
          <w:szCs w:val="12"/>
          <w:color w:val="auto"/>
        </w:rPr>
        <w:t>An audit is designed to obtain reasonable assurance about whether the consolidated financial statements are free from material misstatement. Errors may arise due to error or fraud. These are considered material if, individually or in total,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32385</wp:posOffset>
            </wp:positionV>
            <wp:extent cx="571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32385</wp:posOffset>
            </wp:positionV>
            <wp:extent cx="571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32385</wp:posOffset>
            </wp:positionV>
            <wp:extent cx="571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32385</wp:posOffset>
            </wp:positionV>
            <wp:extent cx="57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32385</wp:posOffset>
            </wp:positionV>
            <wp:extent cx="571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32385</wp:posOffset>
            </wp:positionV>
            <wp:extent cx="571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32385</wp:posOffset>
            </wp:positionV>
            <wp:extent cx="57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32385</wp:posOffset>
            </wp:positionV>
            <wp:extent cx="57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32385</wp:posOffset>
            </wp:positionV>
            <wp:extent cx="57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32385</wp:posOffset>
            </wp:positionV>
            <wp:extent cx="57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32385</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32385</wp:posOffset>
            </wp:positionV>
            <wp:extent cx="57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32385</wp:posOffset>
            </wp:positionV>
            <wp:extent cx="57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32385</wp:posOffset>
            </wp:positionV>
            <wp:extent cx="57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32385</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32385</wp:posOffset>
            </wp:positionV>
            <wp:extent cx="57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32385</wp:posOffset>
            </wp:positionV>
            <wp:extent cx="57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32385</wp:posOffset>
            </wp:positionV>
            <wp:extent cx="57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32385</wp:posOffset>
            </wp:positionV>
            <wp:extent cx="57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32385</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32385</wp:posOffset>
            </wp:positionV>
            <wp:extent cx="57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32385</wp:posOffset>
            </wp:positionV>
            <wp:extent cx="57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32385</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32385</wp:posOffset>
            </wp:positionV>
            <wp:extent cx="57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32385</wp:posOffset>
            </wp:positionV>
            <wp:extent cx="5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32385</wp:posOffset>
            </wp:positionV>
            <wp:extent cx="57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32385</wp:posOffset>
            </wp:positionV>
            <wp:extent cx="57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32385</wp:posOffset>
            </wp:positionV>
            <wp:extent cx="57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32385</wp:posOffset>
            </wp:positionV>
            <wp:extent cx="571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32385</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32385</wp:posOffset>
            </wp:positionV>
            <wp:extent cx="57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32385</wp:posOffset>
            </wp:positionV>
            <wp:extent cx="57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32385</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32385</wp:posOffset>
            </wp:positionV>
            <wp:extent cx="57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32385</wp:posOffset>
            </wp:positionV>
            <wp:extent cx="57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32385</wp:posOffset>
            </wp:positionV>
            <wp:extent cx="57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32385</wp:posOffset>
            </wp:positionV>
            <wp:extent cx="57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32385</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32385</wp:posOffset>
            </wp:positionV>
            <wp:extent cx="57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32385</wp:posOffset>
            </wp:positionV>
            <wp:extent cx="57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32385</wp:posOffset>
            </wp:positionV>
            <wp:extent cx="57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32385</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32385</wp:posOffset>
            </wp:positionV>
            <wp:extent cx="57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32385</wp:posOffset>
            </wp:positionV>
            <wp:extent cx="57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32385</wp:posOffset>
            </wp:positionV>
            <wp:extent cx="57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32385</wp:posOffset>
            </wp:positionV>
            <wp:extent cx="57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32385</wp:posOffset>
            </wp:positionV>
            <wp:extent cx="57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32385</wp:posOffset>
            </wp:positionV>
            <wp:extent cx="57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32385</wp:posOffset>
            </wp:positionV>
            <wp:extent cx="57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32385</wp:posOffset>
            </wp:positionV>
            <wp:extent cx="57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32385</wp:posOffset>
            </wp:positionV>
            <wp:extent cx="57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32385</wp:posOffset>
            </wp:positionV>
            <wp:extent cx="57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32385</wp:posOffset>
            </wp:positionV>
            <wp:extent cx="57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32385</wp:posOffset>
            </wp:positionV>
            <wp:extent cx="57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32385</wp:posOffset>
            </wp:positionV>
            <wp:extent cx="57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2374265</wp:posOffset>
            </wp:positionH>
            <wp:positionV relativeFrom="paragraph">
              <wp:posOffset>32385</wp:posOffset>
            </wp:positionV>
            <wp:extent cx="57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32385</wp:posOffset>
            </wp:positionV>
            <wp:extent cx="57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32385</wp:posOffset>
            </wp:positionV>
            <wp:extent cx="57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32385</wp:posOffset>
            </wp:positionV>
            <wp:extent cx="57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32385</wp:posOffset>
            </wp:positionV>
            <wp:extent cx="57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32385</wp:posOffset>
            </wp:positionV>
            <wp:extent cx="57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32385</wp:posOffset>
            </wp:positionV>
            <wp:extent cx="57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32385</wp:posOffset>
            </wp:positionV>
            <wp:extent cx="57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32385</wp:posOffset>
            </wp:positionV>
            <wp:extent cx="57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32385</wp:posOffset>
            </wp:positionV>
            <wp:extent cx="57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32385</wp:posOffset>
            </wp:positionV>
            <wp:extent cx="57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32385</wp:posOffset>
            </wp:positionV>
            <wp:extent cx="57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32385</wp:posOffset>
            </wp:positionV>
            <wp:extent cx="57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32385</wp:posOffset>
            </wp:positionV>
            <wp:extent cx="57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32385</wp:posOffset>
            </wp:positionV>
            <wp:extent cx="57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2545715</wp:posOffset>
            </wp:positionH>
            <wp:positionV relativeFrom="paragraph">
              <wp:posOffset>32385</wp:posOffset>
            </wp:positionV>
            <wp:extent cx="571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32385</wp:posOffset>
            </wp:positionV>
            <wp:extent cx="57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32385</wp:posOffset>
            </wp:positionV>
            <wp:extent cx="57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32385</wp:posOffset>
            </wp:positionV>
            <wp:extent cx="57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32385</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32385</wp:posOffset>
            </wp:positionV>
            <wp:extent cx="57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32385</wp:posOffset>
            </wp:positionV>
            <wp:extent cx="57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32385</wp:posOffset>
            </wp:positionV>
            <wp:extent cx="57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32385</wp:posOffset>
            </wp:positionV>
            <wp:extent cx="57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32385</wp:posOffset>
            </wp:positionV>
            <wp:extent cx="57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32385</wp:posOffset>
            </wp:positionV>
            <wp:extent cx="57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32385</wp:posOffset>
            </wp:positionV>
            <wp:extent cx="57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32385</wp:posOffset>
            </wp:positionV>
            <wp:extent cx="57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32385</wp:posOffset>
            </wp:positionV>
            <wp:extent cx="57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32385</wp:posOffset>
            </wp:positionV>
            <wp:extent cx="571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32385</wp:posOffset>
            </wp:positionV>
            <wp:extent cx="57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32385</wp:posOffset>
            </wp:positionV>
            <wp:extent cx="57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32385</wp:posOffset>
            </wp:positionV>
            <wp:extent cx="57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32385</wp:posOffset>
            </wp:positionV>
            <wp:extent cx="57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32385</wp:posOffset>
            </wp:positionV>
            <wp:extent cx="57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32385</wp:posOffset>
            </wp:positionV>
            <wp:extent cx="57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32385</wp:posOffset>
            </wp:positionV>
            <wp:extent cx="57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32385</wp:posOffset>
            </wp:positionV>
            <wp:extent cx="571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32385</wp:posOffset>
            </wp:positionV>
            <wp:extent cx="571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32385</wp:posOffset>
            </wp:positionV>
            <wp:extent cx="571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32385</wp:posOffset>
            </wp:positionV>
            <wp:extent cx="571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32385</wp:posOffset>
            </wp:positionV>
            <wp:extent cx="57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32385</wp:posOffset>
            </wp:positionV>
            <wp:extent cx="57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32385</wp:posOffset>
            </wp:positionV>
            <wp:extent cx="57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32385</wp:posOffset>
            </wp:positionV>
            <wp:extent cx="57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32385</wp:posOffset>
            </wp:positionV>
            <wp:extent cx="57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32385</wp:posOffset>
            </wp:positionV>
            <wp:extent cx="57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32385</wp:posOffset>
            </wp:positionV>
            <wp:extent cx="57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32385</wp:posOffset>
            </wp:positionV>
            <wp:extent cx="57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32385</wp:posOffset>
            </wp:positionV>
            <wp:extent cx="57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32385</wp:posOffset>
            </wp:positionV>
            <wp:extent cx="57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32385</wp:posOffset>
            </wp:positionV>
            <wp:extent cx="571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32385</wp:posOffset>
            </wp:positionV>
            <wp:extent cx="57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32385</wp:posOffset>
            </wp:positionV>
            <wp:extent cx="57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32385</wp:posOffset>
            </wp:positionV>
            <wp:extent cx="57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32385</wp:posOffset>
            </wp:positionV>
            <wp:extent cx="57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32385</wp:posOffset>
            </wp:positionV>
            <wp:extent cx="571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32385</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32385</wp:posOffset>
            </wp:positionV>
            <wp:extent cx="57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32385</wp:posOffset>
            </wp:positionV>
            <wp:extent cx="57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32385</wp:posOffset>
            </wp:positionV>
            <wp:extent cx="57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32385</wp:posOffset>
            </wp:positionV>
            <wp:extent cx="57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32385</wp:posOffset>
            </wp:positionV>
            <wp:extent cx="57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32385</wp:posOffset>
            </wp:positionV>
            <wp:extent cx="57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32385</wp:posOffset>
            </wp:positionV>
            <wp:extent cx="571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32385</wp:posOffset>
            </wp:positionV>
            <wp:extent cx="57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32385</wp:posOffset>
            </wp:positionV>
            <wp:extent cx="57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32385</wp:posOffset>
            </wp:positionV>
            <wp:extent cx="57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32385</wp:posOffset>
            </wp:positionV>
            <wp:extent cx="57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32385</wp:posOffset>
            </wp:positionV>
            <wp:extent cx="57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32385</wp:posOffset>
            </wp:positionV>
            <wp:extent cx="57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32385</wp:posOffset>
            </wp:positionV>
            <wp:extent cx="57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32385</wp:posOffset>
            </wp:positionV>
            <wp:extent cx="57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32385</wp:posOffset>
            </wp:positionV>
            <wp:extent cx="57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32385</wp:posOffset>
            </wp:positionV>
            <wp:extent cx="57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32385</wp:posOffset>
            </wp:positionV>
            <wp:extent cx="57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32385</wp:posOffset>
            </wp:positionV>
            <wp:extent cx="57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32385</wp:posOffset>
            </wp:positionV>
            <wp:extent cx="57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32385</wp:posOffset>
            </wp:positionV>
            <wp:extent cx="57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32385</wp:posOffset>
            </wp:positionV>
            <wp:extent cx="57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32385</wp:posOffset>
            </wp:positionV>
            <wp:extent cx="57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32385</wp:posOffset>
            </wp:positionV>
            <wp:extent cx="57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32385</wp:posOffset>
            </wp:positionV>
            <wp:extent cx="57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32385</wp:posOffset>
            </wp:positionV>
            <wp:extent cx="57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32385</wp:posOffset>
            </wp:positionV>
            <wp:extent cx="57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32385</wp:posOffset>
            </wp:positionV>
            <wp:extent cx="571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32385</wp:posOffset>
            </wp:positionV>
            <wp:extent cx="57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32385</wp:posOffset>
            </wp:positionV>
            <wp:extent cx="57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32385</wp:posOffset>
            </wp:positionV>
            <wp:extent cx="57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32385</wp:posOffset>
            </wp:positionV>
            <wp:extent cx="57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32385</wp:posOffset>
            </wp:positionV>
            <wp:extent cx="57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32385</wp:posOffset>
            </wp:positionV>
            <wp:extent cx="57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32385</wp:posOffset>
            </wp:positionV>
            <wp:extent cx="57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32385</wp:posOffset>
            </wp:positionV>
            <wp:extent cx="57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32385</wp:posOffset>
            </wp:positionV>
            <wp:extent cx="57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32385</wp:posOffset>
            </wp:positionV>
            <wp:extent cx="57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32385</wp:posOffset>
            </wp:positionV>
            <wp:extent cx="57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32385</wp:posOffset>
            </wp:positionV>
            <wp:extent cx="57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32385</wp:posOffset>
            </wp:positionV>
            <wp:extent cx="57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32385</wp:posOffset>
            </wp:positionV>
            <wp:extent cx="57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32385</wp:posOffset>
            </wp:positionV>
            <wp:extent cx="57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32385</wp:posOffset>
            </wp:positionV>
            <wp:extent cx="57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32385</wp:posOffset>
            </wp:positionV>
            <wp:extent cx="57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32385</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32385</wp:posOffset>
            </wp:positionV>
            <wp:extent cx="57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32385</wp:posOffset>
            </wp:positionV>
            <wp:extent cx="57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32385</wp:posOffset>
            </wp:positionV>
            <wp:extent cx="57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32385</wp:posOffset>
            </wp:positionV>
            <wp:extent cx="57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32385</wp:posOffset>
            </wp:positionV>
            <wp:extent cx="57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32385</wp:posOffset>
            </wp:positionV>
            <wp:extent cx="57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32385</wp:posOffset>
            </wp:positionV>
            <wp:extent cx="57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32385</wp:posOffset>
            </wp:positionV>
            <wp:extent cx="571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32385</wp:posOffset>
            </wp:positionV>
            <wp:extent cx="57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32385</wp:posOffset>
            </wp:positionV>
            <wp:extent cx="57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32385</wp:posOffset>
            </wp:positionV>
            <wp:extent cx="57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32385</wp:posOffset>
            </wp:positionV>
            <wp:extent cx="571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32385</wp:posOffset>
            </wp:positionV>
            <wp:extent cx="57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32385</wp:posOffset>
            </wp:positionV>
            <wp:extent cx="57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32385</wp:posOffset>
            </wp:positionV>
            <wp:extent cx="57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32385</wp:posOffset>
            </wp:positionV>
            <wp:extent cx="57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32385</wp:posOffset>
            </wp:positionV>
            <wp:extent cx="571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32385</wp:posOffset>
            </wp:positionV>
            <wp:extent cx="57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32385</wp:posOffset>
            </wp:positionV>
            <wp:extent cx="57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32385</wp:posOffset>
            </wp:positionV>
            <wp:extent cx="571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32385</wp:posOffset>
            </wp:positionV>
            <wp:extent cx="571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32385</wp:posOffset>
            </wp:positionV>
            <wp:extent cx="57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32385</wp:posOffset>
            </wp:positionV>
            <wp:extent cx="57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32385</wp:posOffset>
            </wp:positionV>
            <wp:extent cx="57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32385</wp:posOffset>
            </wp:positionV>
            <wp:extent cx="571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32385</wp:posOffset>
            </wp:positionV>
            <wp:extent cx="57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32385</wp:posOffset>
            </wp:positionV>
            <wp:extent cx="57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32385</wp:posOffset>
            </wp:positionV>
            <wp:extent cx="57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32385</wp:posOffset>
            </wp:positionV>
            <wp:extent cx="57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32385</wp:posOffset>
            </wp:positionV>
            <wp:extent cx="57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32385</wp:posOffset>
            </wp:positionV>
            <wp:extent cx="571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32385</wp:posOffset>
            </wp:positionV>
            <wp:extent cx="57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32385</wp:posOffset>
            </wp:positionV>
            <wp:extent cx="57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32385</wp:posOffset>
            </wp:positionV>
            <wp:extent cx="571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32385</wp:posOffset>
            </wp:positionV>
            <wp:extent cx="57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32385</wp:posOffset>
            </wp:positionV>
            <wp:extent cx="57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32385</wp:posOffset>
            </wp:positionV>
            <wp:extent cx="57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32385</wp:posOffset>
            </wp:positionV>
            <wp:extent cx="57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32385</wp:posOffset>
            </wp:positionV>
            <wp:extent cx="57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32385</wp:posOffset>
            </wp:positionV>
            <wp:extent cx="57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32385</wp:posOffset>
            </wp:positionV>
            <wp:extent cx="57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32385</wp:posOffset>
            </wp:positionV>
            <wp:extent cx="57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32385</wp:posOffset>
            </wp:positionV>
            <wp:extent cx="57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32385</wp:posOffset>
            </wp:positionV>
            <wp:extent cx="57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32385</wp:posOffset>
            </wp:positionV>
            <wp:extent cx="57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32385</wp:posOffset>
            </wp:positionV>
            <wp:extent cx="57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32385</wp:posOffset>
            </wp:positionV>
            <wp:extent cx="57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32385</wp:posOffset>
            </wp:positionV>
            <wp:extent cx="57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32385</wp:posOffset>
            </wp:positionV>
            <wp:extent cx="57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32385</wp:posOffset>
            </wp:positionV>
            <wp:extent cx="571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32385</wp:posOffset>
            </wp:positionV>
            <wp:extent cx="57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32385</wp:posOffset>
            </wp:positionV>
            <wp:extent cx="57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32385</wp:posOffset>
            </wp:positionV>
            <wp:extent cx="571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32385</wp:posOffset>
            </wp:positionV>
            <wp:extent cx="57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32385</wp:posOffset>
            </wp:positionV>
            <wp:extent cx="57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32385</wp:posOffset>
            </wp:positionV>
            <wp:extent cx="57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32385</wp:posOffset>
            </wp:positionV>
            <wp:extent cx="57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32385</wp:posOffset>
            </wp:positionV>
            <wp:extent cx="57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32385</wp:posOffset>
            </wp:positionV>
            <wp:extent cx="57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32385</wp:posOffset>
            </wp:positionV>
            <wp:extent cx="571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32385</wp:posOffset>
            </wp:positionV>
            <wp:extent cx="571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32385</wp:posOffset>
            </wp:positionV>
            <wp:extent cx="57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32385</wp:posOffset>
            </wp:positionV>
            <wp:extent cx="571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32385</wp:posOffset>
            </wp:positionV>
            <wp:extent cx="57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32385</wp:posOffset>
            </wp:positionV>
            <wp:extent cx="57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32385</wp:posOffset>
            </wp:positionV>
            <wp:extent cx="57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32385</wp:posOffset>
            </wp:positionV>
            <wp:extent cx="57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32385</wp:posOffset>
            </wp:positionV>
            <wp:extent cx="571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32385</wp:posOffset>
            </wp:positionV>
            <wp:extent cx="57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32385</wp:posOffset>
            </wp:positionV>
            <wp:extent cx="57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32385</wp:posOffset>
            </wp:positionV>
            <wp:extent cx="571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32385</wp:posOffset>
            </wp:positionV>
            <wp:extent cx="57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32385</wp:posOffset>
            </wp:positionV>
            <wp:extent cx="57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32385</wp:posOffset>
            </wp:positionV>
            <wp:extent cx="57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32385</wp:posOffset>
            </wp:positionV>
            <wp:extent cx="57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32385</wp:posOffset>
            </wp:positionV>
            <wp:extent cx="571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32385</wp:posOffset>
            </wp:positionV>
            <wp:extent cx="57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32385</wp:posOffset>
            </wp:positionV>
            <wp:extent cx="57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32385</wp:posOffset>
            </wp:positionV>
            <wp:extent cx="57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32385</wp:posOffset>
            </wp:positionV>
            <wp:extent cx="57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32385</wp:posOffset>
            </wp:positionV>
            <wp:extent cx="57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32385</wp:posOffset>
            </wp:positionV>
            <wp:extent cx="57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32385</wp:posOffset>
            </wp:positionV>
            <wp:extent cx="57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32385</wp:posOffset>
            </wp:positionV>
            <wp:extent cx="57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32385</wp:posOffset>
            </wp:positionV>
            <wp:extent cx="57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32385</wp:posOffset>
            </wp:positionV>
            <wp:extent cx="571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32385</wp:posOffset>
            </wp:positionV>
            <wp:extent cx="571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32385</wp:posOffset>
            </wp:positionV>
            <wp:extent cx="571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32385</wp:posOffset>
            </wp:positionV>
            <wp:extent cx="571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32385</wp:posOffset>
            </wp:positionV>
            <wp:extent cx="571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32385</wp:posOffset>
            </wp:positionV>
            <wp:extent cx="571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32385</wp:posOffset>
            </wp:positionV>
            <wp:extent cx="571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32385</wp:posOffset>
            </wp:positionV>
            <wp:extent cx="57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32385</wp:posOffset>
            </wp:positionV>
            <wp:extent cx="571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32385</wp:posOffset>
            </wp:positionV>
            <wp:extent cx="571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32385</wp:posOffset>
            </wp:positionV>
            <wp:extent cx="57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32385</wp:posOffset>
            </wp:positionV>
            <wp:extent cx="57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32385</wp:posOffset>
            </wp:positionV>
            <wp:extent cx="571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32385</wp:posOffset>
            </wp:positionV>
            <wp:extent cx="57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32385</wp:posOffset>
            </wp:positionV>
            <wp:extent cx="57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32385</wp:posOffset>
            </wp:positionV>
            <wp:extent cx="57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32385</wp:posOffset>
            </wp:positionV>
            <wp:extent cx="571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32385</wp:posOffset>
            </wp:positionV>
            <wp:extent cx="57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32385</wp:posOffset>
            </wp:positionV>
            <wp:extent cx="571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32385</wp:posOffset>
            </wp:positionV>
            <wp:extent cx="571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32385</wp:posOffset>
            </wp:positionV>
            <wp:extent cx="571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32385</wp:posOffset>
            </wp:positionV>
            <wp:extent cx="57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32385</wp:posOffset>
            </wp:positionV>
            <wp:extent cx="571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32385</wp:posOffset>
            </wp:positionV>
            <wp:extent cx="571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32385</wp:posOffset>
            </wp:positionV>
            <wp:extent cx="571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32385</wp:posOffset>
            </wp:positionV>
            <wp:extent cx="571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32385</wp:posOffset>
            </wp:positionV>
            <wp:extent cx="571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32385</wp:posOffset>
            </wp:positionV>
            <wp:extent cx="571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32385</wp:posOffset>
            </wp:positionV>
            <wp:extent cx="57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32385</wp:posOffset>
            </wp:positionV>
            <wp:extent cx="571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32385</wp:posOffset>
            </wp:positionV>
            <wp:extent cx="571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32385</wp:posOffset>
            </wp:positionV>
            <wp:extent cx="571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32385</wp:posOffset>
            </wp:positionV>
            <wp:extent cx="57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32385</wp:posOffset>
            </wp:positionV>
            <wp:extent cx="571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32385</wp:posOffset>
            </wp:positionV>
            <wp:extent cx="57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32385</wp:posOffset>
            </wp:positionV>
            <wp:extent cx="571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32385</wp:posOffset>
            </wp:positionV>
            <wp:extent cx="571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32385</wp:posOffset>
            </wp:positionV>
            <wp:extent cx="571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32385</wp:posOffset>
            </wp:positionV>
            <wp:extent cx="571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32385</wp:posOffset>
            </wp:positionV>
            <wp:extent cx="571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32385</wp:posOffset>
            </wp:positionV>
            <wp:extent cx="571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32385</wp:posOffset>
            </wp:positionV>
            <wp:extent cx="571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32385</wp:posOffset>
            </wp:positionV>
            <wp:extent cx="571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32385</wp:posOffset>
            </wp:positionV>
            <wp:extent cx="571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32385</wp:posOffset>
            </wp:positionV>
            <wp:extent cx="571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32385</wp:posOffset>
            </wp:positionV>
            <wp:extent cx="57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32385</wp:posOffset>
            </wp:positionV>
            <wp:extent cx="571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32385</wp:posOffset>
            </wp:positionV>
            <wp:extent cx="571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32385</wp:posOffset>
            </wp:positionV>
            <wp:extent cx="571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32385</wp:posOffset>
            </wp:positionV>
            <wp:extent cx="571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32385</wp:posOffset>
            </wp:positionV>
            <wp:extent cx="571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32385</wp:posOffset>
            </wp:positionV>
            <wp:extent cx="571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32385</wp:posOffset>
            </wp:positionV>
            <wp:extent cx="571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32385</wp:posOffset>
            </wp:positionV>
            <wp:extent cx="571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32385</wp:posOffset>
            </wp:positionV>
            <wp:extent cx="571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32385</wp:posOffset>
            </wp:positionV>
            <wp:extent cx="571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32385</wp:posOffset>
            </wp:positionV>
            <wp:extent cx="571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32385</wp:posOffset>
            </wp:positionV>
            <wp:extent cx="571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32385</wp:posOffset>
            </wp:positionV>
            <wp:extent cx="571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32385</wp:posOffset>
            </wp:positionV>
            <wp:extent cx="57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32385</wp:posOffset>
            </wp:positionV>
            <wp:extent cx="571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32385</wp:posOffset>
            </wp:positionV>
            <wp:extent cx="571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32385</wp:posOffset>
            </wp:positionV>
            <wp:extent cx="571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32385</wp:posOffset>
            </wp:positionV>
            <wp:extent cx="57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32385</wp:posOffset>
            </wp:positionV>
            <wp:extent cx="571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32385</wp:posOffset>
            </wp:positionV>
            <wp:extent cx="571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32385</wp:posOffset>
            </wp:positionV>
            <wp:extent cx="571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32385</wp:posOffset>
            </wp:positionV>
            <wp:extent cx="571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32385</wp:posOffset>
            </wp:positionV>
            <wp:extent cx="571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32385</wp:posOffset>
            </wp:positionV>
            <wp:extent cx="571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32385</wp:posOffset>
            </wp:positionV>
            <wp:extent cx="571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5348605</wp:posOffset>
            </wp:positionH>
            <wp:positionV relativeFrom="paragraph">
              <wp:posOffset>32385</wp:posOffset>
            </wp:positionV>
            <wp:extent cx="571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32385</wp:posOffset>
            </wp:positionV>
            <wp:extent cx="571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32385</wp:posOffset>
            </wp:positionV>
            <wp:extent cx="571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32385</wp:posOffset>
            </wp:positionV>
            <wp:extent cx="571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32385</wp:posOffset>
            </wp:positionV>
            <wp:extent cx="571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32385</wp:posOffset>
            </wp:positionV>
            <wp:extent cx="571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32385</wp:posOffset>
            </wp:positionV>
            <wp:extent cx="571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32385</wp:posOffset>
            </wp:positionV>
            <wp:extent cx="571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32385</wp:posOffset>
            </wp:positionV>
            <wp:extent cx="57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32385</wp:posOffset>
            </wp:positionV>
            <wp:extent cx="571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32385</wp:posOffset>
            </wp:positionV>
            <wp:extent cx="571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32385</wp:posOffset>
            </wp:positionV>
            <wp:extent cx="571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32385</wp:posOffset>
            </wp:positionV>
            <wp:extent cx="571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32385</wp:posOffset>
            </wp:positionV>
            <wp:extent cx="571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32385</wp:posOffset>
            </wp:positionV>
            <wp:extent cx="571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32385</wp:posOffset>
            </wp:positionV>
            <wp:extent cx="571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32385</wp:posOffset>
            </wp:positionV>
            <wp:extent cx="571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32385</wp:posOffset>
            </wp:positionV>
            <wp:extent cx="571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32385</wp:posOffset>
            </wp:positionV>
            <wp:extent cx="571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32385</wp:posOffset>
            </wp:positionV>
            <wp:extent cx="571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32385</wp:posOffset>
            </wp:positionV>
            <wp:extent cx="571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32385</wp:posOffset>
            </wp:positionV>
            <wp:extent cx="571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32385</wp:posOffset>
            </wp:positionV>
            <wp:extent cx="571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32385</wp:posOffset>
            </wp:positionV>
            <wp:extent cx="571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32385</wp:posOffset>
            </wp:positionV>
            <wp:extent cx="571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32385</wp:posOffset>
            </wp:positionV>
            <wp:extent cx="57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32385</wp:posOffset>
            </wp:positionV>
            <wp:extent cx="571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5657215</wp:posOffset>
            </wp:positionH>
            <wp:positionV relativeFrom="paragraph">
              <wp:posOffset>32385</wp:posOffset>
            </wp:positionV>
            <wp:extent cx="57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32385</wp:posOffset>
            </wp:positionV>
            <wp:extent cx="571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32385</wp:posOffset>
            </wp:positionV>
            <wp:extent cx="571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32385</wp:posOffset>
            </wp:positionV>
            <wp:extent cx="571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32385</wp:posOffset>
            </wp:positionV>
            <wp:extent cx="571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32385</wp:posOffset>
            </wp:positionV>
            <wp:extent cx="571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32385</wp:posOffset>
            </wp:positionV>
            <wp:extent cx="571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32385</wp:posOffset>
            </wp:positionV>
            <wp:extent cx="571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32385</wp:posOffset>
            </wp:positionV>
            <wp:extent cx="571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32385</wp:posOffset>
            </wp:positionV>
            <wp:extent cx="571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32385</wp:posOffset>
            </wp:positionV>
            <wp:extent cx="571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32385</wp:posOffset>
            </wp:positionV>
            <wp:extent cx="571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32385</wp:posOffset>
            </wp:positionV>
            <wp:extent cx="571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32385</wp:posOffset>
            </wp:positionV>
            <wp:extent cx="571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32385</wp:posOffset>
            </wp:positionV>
            <wp:extent cx="571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32385</wp:posOffset>
            </wp:positionV>
            <wp:extent cx="571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32385</wp:posOffset>
            </wp:positionV>
            <wp:extent cx="571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32385</wp:posOffset>
            </wp:positionV>
            <wp:extent cx="571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32385</wp:posOffset>
            </wp:positionV>
            <wp:extent cx="571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32385</wp:posOffset>
            </wp:positionV>
            <wp:extent cx="571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32385</wp:posOffset>
            </wp:positionV>
            <wp:extent cx="571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32385</wp:posOffset>
            </wp:positionV>
            <wp:extent cx="571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32385</wp:posOffset>
            </wp:positionV>
            <wp:extent cx="571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32385</wp:posOffset>
            </wp:positionV>
            <wp:extent cx="571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32385</wp:posOffset>
            </wp:positionV>
            <wp:extent cx="571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32385</wp:posOffset>
            </wp:positionV>
            <wp:extent cx="571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32385</wp:posOffset>
            </wp:positionV>
            <wp:extent cx="571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32385</wp:posOffset>
            </wp:positionV>
            <wp:extent cx="571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32385</wp:posOffset>
            </wp:positionV>
            <wp:extent cx="571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32385</wp:posOffset>
            </wp:positionV>
            <wp:extent cx="571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32385</wp:posOffset>
            </wp:positionV>
            <wp:extent cx="571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32385</wp:posOffset>
            </wp:positionV>
            <wp:extent cx="571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32385</wp:posOffset>
            </wp:positionV>
            <wp:extent cx="571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6034405</wp:posOffset>
            </wp:positionH>
            <wp:positionV relativeFrom="paragraph">
              <wp:posOffset>32385</wp:posOffset>
            </wp:positionV>
            <wp:extent cx="571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32385</wp:posOffset>
            </wp:positionV>
            <wp:extent cx="571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32385</wp:posOffset>
            </wp:positionV>
            <wp:extent cx="571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32385</wp:posOffset>
            </wp:positionV>
            <wp:extent cx="571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32385</wp:posOffset>
            </wp:positionV>
            <wp:extent cx="571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32385</wp:posOffset>
            </wp:positionV>
            <wp:extent cx="571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32385</wp:posOffset>
            </wp:positionV>
            <wp:extent cx="571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32385</wp:posOffset>
            </wp:positionV>
            <wp:extent cx="571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32385</wp:posOffset>
            </wp:positionV>
            <wp:extent cx="571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32385</wp:posOffset>
            </wp:positionV>
            <wp:extent cx="571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32385</wp:posOffset>
            </wp:positionV>
            <wp:extent cx="571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32385</wp:posOffset>
            </wp:positionV>
            <wp:extent cx="571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32385</wp:posOffset>
            </wp:positionV>
            <wp:extent cx="571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32385</wp:posOffset>
            </wp:positionV>
            <wp:extent cx="571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32385</wp:posOffset>
            </wp:positionV>
            <wp:extent cx="571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32385</wp:posOffset>
            </wp:positionV>
            <wp:extent cx="571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32385</wp:posOffset>
            </wp:positionV>
            <wp:extent cx="571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32385</wp:posOffset>
            </wp:positionV>
            <wp:extent cx="571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32385</wp:posOffset>
            </wp:positionV>
            <wp:extent cx="571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32385</wp:posOffset>
            </wp:positionV>
            <wp:extent cx="571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32385</wp:posOffset>
            </wp:positionV>
            <wp:extent cx="571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32385</wp:posOffset>
            </wp:positionV>
            <wp:extent cx="571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6286500</wp:posOffset>
            </wp:positionH>
            <wp:positionV relativeFrom="paragraph">
              <wp:posOffset>32385</wp:posOffset>
            </wp:positionV>
            <wp:extent cx="571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32385</wp:posOffset>
            </wp:positionV>
            <wp:extent cx="571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32385</wp:posOffset>
            </wp:positionV>
            <wp:extent cx="571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6320790</wp:posOffset>
            </wp:positionH>
            <wp:positionV relativeFrom="paragraph">
              <wp:posOffset>32385</wp:posOffset>
            </wp:positionV>
            <wp:extent cx="571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32385</wp:posOffset>
            </wp:positionV>
            <wp:extent cx="571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32385</wp:posOffset>
            </wp:positionV>
            <wp:extent cx="571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32385</wp:posOffset>
            </wp:positionV>
            <wp:extent cx="571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32385</wp:posOffset>
            </wp:positionV>
            <wp:extent cx="571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6377940</wp:posOffset>
            </wp:positionH>
            <wp:positionV relativeFrom="paragraph">
              <wp:posOffset>32385</wp:posOffset>
            </wp:positionV>
            <wp:extent cx="571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32385</wp:posOffset>
            </wp:positionV>
            <wp:extent cx="571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32385</wp:posOffset>
            </wp:positionV>
            <wp:extent cx="571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6412230</wp:posOffset>
            </wp:positionH>
            <wp:positionV relativeFrom="paragraph">
              <wp:posOffset>32385</wp:posOffset>
            </wp:positionV>
            <wp:extent cx="571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32385</wp:posOffset>
            </wp:positionV>
            <wp:extent cx="571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32385</wp:posOffset>
            </wp:positionV>
            <wp:extent cx="571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32385</wp:posOffset>
            </wp:positionV>
            <wp:extent cx="571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6457950</wp:posOffset>
            </wp:positionH>
            <wp:positionV relativeFrom="paragraph">
              <wp:posOffset>32385</wp:posOffset>
            </wp:positionV>
            <wp:extent cx="571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32385</wp:posOffset>
            </wp:positionV>
            <wp:extent cx="571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32385</wp:posOffset>
            </wp:positionV>
            <wp:extent cx="571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32385</wp:posOffset>
            </wp:positionV>
            <wp:extent cx="571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32385</wp:posOffset>
            </wp:positionV>
            <wp:extent cx="571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32385</wp:posOffset>
            </wp:positionV>
            <wp:extent cx="571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32385</wp:posOffset>
            </wp:positionV>
            <wp:extent cx="571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32385</wp:posOffset>
            </wp:positionV>
            <wp:extent cx="571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32385</wp:posOffset>
            </wp:positionV>
            <wp:extent cx="571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6560820</wp:posOffset>
            </wp:positionH>
            <wp:positionV relativeFrom="paragraph">
              <wp:posOffset>32385</wp:posOffset>
            </wp:positionV>
            <wp:extent cx="571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32385</wp:posOffset>
            </wp:positionV>
            <wp:extent cx="571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6583680</wp:posOffset>
            </wp:positionH>
            <wp:positionV relativeFrom="paragraph">
              <wp:posOffset>32385</wp:posOffset>
            </wp:positionV>
            <wp:extent cx="571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6595110</wp:posOffset>
            </wp:positionH>
            <wp:positionV relativeFrom="paragraph">
              <wp:posOffset>32385</wp:posOffset>
            </wp:positionV>
            <wp:extent cx="571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32385</wp:posOffset>
            </wp:positionV>
            <wp:extent cx="571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32385</wp:posOffset>
            </wp:positionV>
            <wp:extent cx="571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6629400</wp:posOffset>
            </wp:positionH>
            <wp:positionV relativeFrom="paragraph">
              <wp:posOffset>32385</wp:posOffset>
            </wp:positionV>
            <wp:extent cx="571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32385</wp:posOffset>
            </wp:positionV>
            <wp:extent cx="571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32385</wp:posOffset>
            </wp:positionV>
            <wp:extent cx="571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32385</wp:posOffset>
            </wp:positionV>
            <wp:extent cx="571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32385</wp:posOffset>
            </wp:positionV>
            <wp:extent cx="5715"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32385</wp:posOffset>
            </wp:positionV>
            <wp:extent cx="571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32385</wp:posOffset>
            </wp:positionV>
            <wp:extent cx="571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32385</wp:posOffset>
            </wp:positionV>
            <wp:extent cx="571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32385</wp:posOffset>
            </wp:positionV>
            <wp:extent cx="571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32385</wp:posOffset>
            </wp:positionV>
            <wp:extent cx="571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32385</wp:posOffset>
            </wp:positionV>
            <wp:extent cx="571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32385</wp:posOffset>
            </wp:positionV>
            <wp:extent cx="571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32385</wp:posOffset>
            </wp:positionV>
            <wp:extent cx="571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32385</wp:posOffset>
            </wp:positionV>
            <wp:extent cx="571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6789420</wp:posOffset>
            </wp:positionH>
            <wp:positionV relativeFrom="paragraph">
              <wp:posOffset>32385</wp:posOffset>
            </wp:positionV>
            <wp:extent cx="571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32385</wp:posOffset>
            </wp:positionV>
            <wp:extent cx="571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32385</wp:posOffset>
            </wp:positionV>
            <wp:extent cx="571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32385</wp:posOffset>
            </wp:positionV>
            <wp:extent cx="57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6835140</wp:posOffset>
            </wp:positionH>
            <wp:positionV relativeFrom="paragraph">
              <wp:posOffset>32385</wp:posOffset>
            </wp:positionV>
            <wp:extent cx="571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32385</wp:posOffset>
            </wp:positionV>
            <wp:extent cx="571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32385</wp:posOffset>
            </wp:positionV>
            <wp:extent cx="571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6869430</wp:posOffset>
            </wp:positionH>
            <wp:positionV relativeFrom="paragraph">
              <wp:posOffset>32385</wp:posOffset>
            </wp:positionV>
            <wp:extent cx="571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32385</wp:posOffset>
            </wp:positionV>
            <wp:extent cx="571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6892290</wp:posOffset>
            </wp:positionH>
            <wp:positionV relativeFrom="paragraph">
              <wp:posOffset>32385</wp:posOffset>
            </wp:positionV>
            <wp:extent cx="571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32385</wp:posOffset>
            </wp:positionV>
            <wp:extent cx="571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32385</wp:posOffset>
            </wp:positionV>
            <wp:extent cx="57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32385</wp:posOffset>
            </wp:positionV>
            <wp:extent cx="571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6938645</wp:posOffset>
            </wp:positionH>
            <wp:positionV relativeFrom="paragraph">
              <wp:posOffset>32385</wp:posOffset>
            </wp:positionV>
            <wp:extent cx="571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6950075</wp:posOffset>
            </wp:positionH>
            <wp:positionV relativeFrom="paragraph">
              <wp:posOffset>32385</wp:posOffset>
            </wp:positionV>
            <wp:extent cx="571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32385</wp:posOffset>
            </wp:positionV>
            <wp:extent cx="571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6972935</wp:posOffset>
            </wp:positionH>
            <wp:positionV relativeFrom="paragraph">
              <wp:posOffset>32385</wp:posOffset>
            </wp:positionV>
            <wp:extent cx="5715"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6984365</wp:posOffset>
            </wp:positionH>
            <wp:positionV relativeFrom="paragraph">
              <wp:posOffset>32385</wp:posOffset>
            </wp:positionV>
            <wp:extent cx="571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6995795</wp:posOffset>
            </wp:positionH>
            <wp:positionV relativeFrom="paragraph">
              <wp:posOffset>32385</wp:posOffset>
            </wp:positionV>
            <wp:extent cx="571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7007225</wp:posOffset>
            </wp:positionH>
            <wp:positionV relativeFrom="paragraph">
              <wp:posOffset>32385</wp:posOffset>
            </wp:positionV>
            <wp:extent cx="571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7018655</wp:posOffset>
            </wp:positionH>
            <wp:positionV relativeFrom="paragraph">
              <wp:posOffset>32385</wp:posOffset>
            </wp:positionV>
            <wp:extent cx="571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7030085</wp:posOffset>
            </wp:positionH>
            <wp:positionV relativeFrom="paragraph">
              <wp:posOffset>32385</wp:posOffset>
            </wp:positionV>
            <wp:extent cx="571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7041515</wp:posOffset>
            </wp:positionH>
            <wp:positionV relativeFrom="paragraph">
              <wp:posOffset>32385</wp:posOffset>
            </wp:positionV>
            <wp:extent cx="571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7052945</wp:posOffset>
            </wp:positionH>
            <wp:positionV relativeFrom="paragraph">
              <wp:posOffset>32385</wp:posOffset>
            </wp:positionV>
            <wp:extent cx="571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32385</wp:posOffset>
            </wp:positionV>
            <wp:extent cx="571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32385</wp:posOffset>
            </wp:positionV>
            <wp:extent cx="571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32385</wp:posOffset>
            </wp:positionV>
            <wp:extent cx="571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32385</wp:posOffset>
            </wp:positionV>
            <wp:extent cx="571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32385</wp:posOffset>
            </wp:positionV>
            <wp:extent cx="5715"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32385</wp:posOffset>
            </wp:positionV>
            <wp:extent cx="571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32385</wp:posOffset>
            </wp:positionV>
            <wp:extent cx="5715"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32385</wp:posOffset>
            </wp:positionV>
            <wp:extent cx="571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7155815</wp:posOffset>
            </wp:positionH>
            <wp:positionV relativeFrom="paragraph">
              <wp:posOffset>32385</wp:posOffset>
            </wp:positionV>
            <wp:extent cx="571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7167245</wp:posOffset>
            </wp:positionH>
            <wp:positionV relativeFrom="paragraph">
              <wp:posOffset>32385</wp:posOffset>
            </wp:positionV>
            <wp:extent cx="571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32385</wp:posOffset>
            </wp:positionV>
            <wp:extent cx="571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7190105</wp:posOffset>
            </wp:positionH>
            <wp:positionV relativeFrom="paragraph">
              <wp:posOffset>32385</wp:posOffset>
            </wp:positionV>
            <wp:extent cx="571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32385</wp:posOffset>
            </wp:positionV>
            <wp:extent cx="571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32385</wp:posOffset>
            </wp:positionV>
            <wp:extent cx="571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7224395</wp:posOffset>
            </wp:positionH>
            <wp:positionV relativeFrom="paragraph">
              <wp:posOffset>32385</wp:posOffset>
            </wp:positionV>
            <wp:extent cx="571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7235825</wp:posOffset>
            </wp:positionH>
            <wp:positionV relativeFrom="paragraph">
              <wp:posOffset>32385</wp:posOffset>
            </wp:positionV>
            <wp:extent cx="571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32385</wp:posOffset>
            </wp:positionV>
            <wp:extent cx="5715"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32385</wp:posOffset>
            </wp:positionV>
            <wp:extent cx="571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7270115</wp:posOffset>
            </wp:positionH>
            <wp:positionV relativeFrom="paragraph">
              <wp:posOffset>32385</wp:posOffset>
            </wp:positionV>
            <wp:extent cx="571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32385</wp:posOffset>
            </wp:positionV>
            <wp:extent cx="571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58" w:lineRule="exact"/>
        <w:rPr>
          <w:sz w:val="20"/>
          <w:szCs w:val="20"/>
          <w:color w:val="auto"/>
        </w:rPr>
      </w:pPr>
    </w:p>
    <w:p>
      <w:pPr>
        <w:ind w:left="2820" w:right="380"/>
        <w:spacing w:after="0" w:line="298" w:lineRule="auto"/>
        <w:rPr>
          <w:sz w:val="20"/>
          <w:szCs w:val="20"/>
          <w:color w:val="auto"/>
        </w:rPr>
      </w:pPr>
      <w:r>
        <w:rPr>
          <w:rFonts w:ascii="Arial" w:cs="Arial" w:eastAsia="Arial" w:hAnsi="Arial"/>
          <w:sz w:val="11"/>
          <w:szCs w:val="11"/>
          <w:color w:val="auto"/>
        </w:rPr>
        <w:t>The scope of our audit and the nature, timing and extent of our procedures was determined by our risk assessment that the consolidated financial statements may contain material errors, whether due to fraud or error. We carried out our audit procedures based on the legal entities considered financially significant in the context of the Group, with a combination of full scope audits and specified procedures audit to achieve the desired level of evidence at a consolidated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26670</wp:posOffset>
            </wp:positionV>
            <wp:extent cx="571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26670</wp:posOffset>
            </wp:positionV>
            <wp:extent cx="571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26670</wp:posOffset>
            </wp:positionV>
            <wp:extent cx="571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26670</wp:posOffset>
            </wp:positionV>
            <wp:extent cx="571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26670</wp:posOffset>
            </wp:positionV>
            <wp:extent cx="571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26670</wp:posOffset>
            </wp:positionV>
            <wp:extent cx="571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26670</wp:posOffset>
            </wp:positionV>
            <wp:extent cx="571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26670</wp:posOffset>
            </wp:positionV>
            <wp:extent cx="571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26670</wp:posOffset>
            </wp:positionV>
            <wp:extent cx="571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26670</wp:posOffset>
            </wp:positionV>
            <wp:extent cx="571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26670</wp:posOffset>
            </wp:positionV>
            <wp:extent cx="571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26670</wp:posOffset>
            </wp:positionV>
            <wp:extent cx="571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26670</wp:posOffset>
            </wp:positionV>
            <wp:extent cx="571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26670</wp:posOffset>
            </wp:positionV>
            <wp:extent cx="571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26670</wp:posOffset>
            </wp:positionV>
            <wp:extent cx="571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26670</wp:posOffset>
            </wp:positionV>
            <wp:extent cx="571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26670</wp:posOffset>
            </wp:positionV>
            <wp:extent cx="571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26670</wp:posOffset>
            </wp:positionV>
            <wp:extent cx="571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26670</wp:posOffset>
            </wp:positionV>
            <wp:extent cx="571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26670</wp:posOffset>
            </wp:positionV>
            <wp:extent cx="571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26670</wp:posOffset>
            </wp:positionV>
            <wp:extent cx="571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26670</wp:posOffset>
            </wp:positionV>
            <wp:extent cx="571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26670</wp:posOffset>
            </wp:positionV>
            <wp:extent cx="571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26670</wp:posOffset>
            </wp:positionV>
            <wp:extent cx="571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26670</wp:posOffset>
            </wp:positionV>
            <wp:extent cx="571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26670</wp:posOffset>
            </wp:positionV>
            <wp:extent cx="5715"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26670</wp:posOffset>
            </wp:positionV>
            <wp:extent cx="571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26670</wp:posOffset>
            </wp:positionV>
            <wp:extent cx="571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26670</wp:posOffset>
            </wp:positionV>
            <wp:extent cx="571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26670</wp:posOffset>
            </wp:positionV>
            <wp:extent cx="5715"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26670</wp:posOffset>
            </wp:positionV>
            <wp:extent cx="571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26670</wp:posOffset>
            </wp:positionV>
            <wp:extent cx="5715"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26670</wp:posOffset>
            </wp:positionV>
            <wp:extent cx="571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26670</wp:posOffset>
            </wp:positionV>
            <wp:extent cx="571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26670</wp:posOffset>
            </wp:positionV>
            <wp:extent cx="571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26670</wp:posOffset>
            </wp:positionV>
            <wp:extent cx="571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26670</wp:posOffset>
            </wp:positionV>
            <wp:extent cx="571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26670</wp:posOffset>
            </wp:positionV>
            <wp:extent cx="5715"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26670</wp:posOffset>
            </wp:positionV>
            <wp:extent cx="571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26670</wp:posOffset>
            </wp:positionV>
            <wp:extent cx="5715"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26670</wp:posOffset>
            </wp:positionV>
            <wp:extent cx="571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26670</wp:posOffset>
            </wp:positionV>
            <wp:extent cx="571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26670</wp:posOffset>
            </wp:positionV>
            <wp:extent cx="571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26670</wp:posOffset>
            </wp:positionV>
            <wp:extent cx="571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26670</wp:posOffset>
            </wp:positionV>
            <wp:extent cx="571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26670</wp:posOffset>
            </wp:positionV>
            <wp:extent cx="571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26670</wp:posOffset>
            </wp:positionV>
            <wp:extent cx="571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26670</wp:posOffset>
            </wp:positionV>
            <wp:extent cx="571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26670</wp:posOffset>
            </wp:positionV>
            <wp:extent cx="571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26670</wp:posOffset>
            </wp:positionV>
            <wp:extent cx="5715"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26670</wp:posOffset>
            </wp:positionV>
            <wp:extent cx="571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26670</wp:posOffset>
            </wp:positionV>
            <wp:extent cx="5715"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26670</wp:posOffset>
            </wp:positionV>
            <wp:extent cx="571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26670</wp:posOffset>
            </wp:positionV>
            <wp:extent cx="571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26670</wp:posOffset>
            </wp:positionV>
            <wp:extent cx="571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2374265</wp:posOffset>
            </wp:positionH>
            <wp:positionV relativeFrom="paragraph">
              <wp:posOffset>26670</wp:posOffset>
            </wp:positionV>
            <wp:extent cx="571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26670</wp:posOffset>
            </wp:positionV>
            <wp:extent cx="571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26670</wp:posOffset>
            </wp:positionV>
            <wp:extent cx="571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26670</wp:posOffset>
            </wp:positionV>
            <wp:extent cx="571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26670</wp:posOffset>
            </wp:positionV>
            <wp:extent cx="571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26670</wp:posOffset>
            </wp:positionV>
            <wp:extent cx="571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26670</wp:posOffset>
            </wp:positionV>
            <wp:extent cx="571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26670</wp:posOffset>
            </wp:positionV>
            <wp:extent cx="571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26670</wp:posOffset>
            </wp:positionV>
            <wp:extent cx="571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26670</wp:posOffset>
            </wp:positionV>
            <wp:extent cx="571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26670</wp:posOffset>
            </wp:positionV>
            <wp:extent cx="571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26670</wp:posOffset>
            </wp:positionV>
            <wp:extent cx="5715"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26670</wp:posOffset>
            </wp:positionV>
            <wp:extent cx="5715"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26670</wp:posOffset>
            </wp:positionV>
            <wp:extent cx="5715"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26670</wp:posOffset>
            </wp:positionV>
            <wp:extent cx="5715"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2545715</wp:posOffset>
            </wp:positionH>
            <wp:positionV relativeFrom="paragraph">
              <wp:posOffset>26670</wp:posOffset>
            </wp:positionV>
            <wp:extent cx="5715"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26670</wp:posOffset>
            </wp:positionV>
            <wp:extent cx="571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26670</wp:posOffset>
            </wp:positionV>
            <wp:extent cx="571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26670</wp:posOffset>
            </wp:positionV>
            <wp:extent cx="571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26670</wp:posOffset>
            </wp:positionV>
            <wp:extent cx="5715"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26670</wp:posOffset>
            </wp:positionV>
            <wp:extent cx="5715"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26670</wp:posOffset>
            </wp:positionV>
            <wp:extent cx="571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26670</wp:posOffset>
            </wp:positionV>
            <wp:extent cx="5715"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26670</wp:posOffset>
            </wp:positionV>
            <wp:extent cx="571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26670</wp:posOffset>
            </wp:positionV>
            <wp:extent cx="571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26670</wp:posOffset>
            </wp:positionV>
            <wp:extent cx="571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26670</wp:posOffset>
            </wp:positionV>
            <wp:extent cx="571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26670</wp:posOffset>
            </wp:positionV>
            <wp:extent cx="571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26670</wp:posOffset>
            </wp:positionV>
            <wp:extent cx="571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26670</wp:posOffset>
            </wp:positionV>
            <wp:extent cx="571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26670</wp:posOffset>
            </wp:positionV>
            <wp:extent cx="571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26670</wp:posOffset>
            </wp:positionV>
            <wp:extent cx="57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26670</wp:posOffset>
            </wp:positionV>
            <wp:extent cx="571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26670</wp:posOffset>
            </wp:positionV>
            <wp:extent cx="571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26670</wp:posOffset>
            </wp:positionV>
            <wp:extent cx="571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26670</wp:posOffset>
            </wp:positionV>
            <wp:extent cx="571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26670</wp:posOffset>
            </wp:positionV>
            <wp:extent cx="57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26670</wp:posOffset>
            </wp:positionV>
            <wp:extent cx="571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26670</wp:posOffset>
            </wp:positionV>
            <wp:extent cx="571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26670</wp:posOffset>
            </wp:positionV>
            <wp:extent cx="571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26670</wp:posOffset>
            </wp:positionV>
            <wp:extent cx="571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26670</wp:posOffset>
            </wp:positionV>
            <wp:extent cx="571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26670</wp:posOffset>
            </wp:positionV>
            <wp:extent cx="571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26670</wp:posOffset>
            </wp:positionV>
            <wp:extent cx="571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26670</wp:posOffset>
            </wp:positionV>
            <wp:extent cx="571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26670</wp:posOffset>
            </wp:positionV>
            <wp:extent cx="571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26670</wp:posOffset>
            </wp:positionV>
            <wp:extent cx="571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26670</wp:posOffset>
            </wp:positionV>
            <wp:extent cx="5715"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26670</wp:posOffset>
            </wp:positionV>
            <wp:extent cx="571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26670</wp:posOffset>
            </wp:positionV>
            <wp:extent cx="5715"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26670</wp:posOffset>
            </wp:positionV>
            <wp:extent cx="5715"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26670</wp:posOffset>
            </wp:positionV>
            <wp:extent cx="571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26670</wp:posOffset>
            </wp:positionV>
            <wp:extent cx="5715"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26670</wp:posOffset>
            </wp:positionV>
            <wp:extent cx="571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26670</wp:posOffset>
            </wp:positionV>
            <wp:extent cx="571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26670</wp:posOffset>
            </wp:positionV>
            <wp:extent cx="5715"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26670</wp:posOffset>
            </wp:positionV>
            <wp:extent cx="571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26670</wp:posOffset>
            </wp:positionV>
            <wp:extent cx="571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26670</wp:posOffset>
            </wp:positionV>
            <wp:extent cx="571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26670</wp:posOffset>
            </wp:positionV>
            <wp:extent cx="571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26670</wp:posOffset>
            </wp:positionV>
            <wp:extent cx="571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26670</wp:posOffset>
            </wp:positionV>
            <wp:extent cx="5715"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26670</wp:posOffset>
            </wp:positionV>
            <wp:extent cx="571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26670</wp:posOffset>
            </wp:positionV>
            <wp:extent cx="571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26670</wp:posOffset>
            </wp:positionV>
            <wp:extent cx="5715"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26670</wp:posOffset>
            </wp:positionV>
            <wp:extent cx="5715"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26670</wp:posOffset>
            </wp:positionV>
            <wp:extent cx="5715"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26670</wp:posOffset>
            </wp:positionV>
            <wp:extent cx="571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26670</wp:posOffset>
            </wp:positionV>
            <wp:extent cx="5715"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26670</wp:posOffset>
            </wp:positionV>
            <wp:extent cx="571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26670</wp:posOffset>
            </wp:positionV>
            <wp:extent cx="5715"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26670</wp:posOffset>
            </wp:positionV>
            <wp:extent cx="5715"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26670</wp:posOffset>
            </wp:positionV>
            <wp:extent cx="5715"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26670</wp:posOffset>
            </wp:positionV>
            <wp:extent cx="571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26670</wp:posOffset>
            </wp:positionV>
            <wp:extent cx="5715"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26670</wp:posOffset>
            </wp:positionV>
            <wp:extent cx="571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26670</wp:posOffset>
            </wp:positionV>
            <wp:extent cx="571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26670</wp:posOffset>
            </wp:positionV>
            <wp:extent cx="5715"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26670</wp:posOffset>
            </wp:positionV>
            <wp:extent cx="5715"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26670</wp:posOffset>
            </wp:positionV>
            <wp:extent cx="571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26670</wp:posOffset>
            </wp:positionV>
            <wp:extent cx="571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26670</wp:posOffset>
            </wp:positionV>
            <wp:extent cx="571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26670</wp:posOffset>
            </wp:positionV>
            <wp:extent cx="5715"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26670</wp:posOffset>
            </wp:positionV>
            <wp:extent cx="571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26670</wp:posOffset>
            </wp:positionV>
            <wp:extent cx="5715"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26670</wp:posOffset>
            </wp:positionV>
            <wp:extent cx="5715"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26670</wp:posOffset>
            </wp:positionV>
            <wp:extent cx="5715"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26670</wp:posOffset>
            </wp:positionV>
            <wp:extent cx="571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26670</wp:posOffset>
            </wp:positionV>
            <wp:extent cx="5715"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26670</wp:posOffset>
            </wp:positionV>
            <wp:extent cx="5715"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26670</wp:posOffset>
            </wp:positionV>
            <wp:extent cx="571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26670</wp:posOffset>
            </wp:positionV>
            <wp:extent cx="571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26670</wp:posOffset>
            </wp:positionV>
            <wp:extent cx="5715"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26670</wp:posOffset>
            </wp:positionV>
            <wp:extent cx="5715"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26670</wp:posOffset>
            </wp:positionV>
            <wp:extent cx="571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26670</wp:posOffset>
            </wp:positionV>
            <wp:extent cx="571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26670</wp:posOffset>
            </wp:positionV>
            <wp:extent cx="571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26670</wp:posOffset>
            </wp:positionV>
            <wp:extent cx="571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26670</wp:posOffset>
            </wp:positionV>
            <wp:extent cx="5715"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26670</wp:posOffset>
            </wp:positionV>
            <wp:extent cx="571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26670</wp:posOffset>
            </wp:positionV>
            <wp:extent cx="5715"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26670</wp:posOffset>
            </wp:positionV>
            <wp:extent cx="5715"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26670</wp:posOffset>
            </wp:positionV>
            <wp:extent cx="5715"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26670</wp:posOffset>
            </wp:positionV>
            <wp:extent cx="571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26670</wp:posOffset>
            </wp:positionV>
            <wp:extent cx="571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26670</wp:posOffset>
            </wp:positionV>
            <wp:extent cx="571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26670</wp:posOffset>
            </wp:positionV>
            <wp:extent cx="571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26670</wp:posOffset>
            </wp:positionV>
            <wp:extent cx="571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26670</wp:posOffset>
            </wp:positionV>
            <wp:extent cx="5715"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26670</wp:posOffset>
            </wp:positionV>
            <wp:extent cx="5715"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26670</wp:posOffset>
            </wp:positionV>
            <wp:extent cx="5715"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26670</wp:posOffset>
            </wp:positionV>
            <wp:extent cx="571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26670</wp:posOffset>
            </wp:positionV>
            <wp:extent cx="571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26670</wp:posOffset>
            </wp:positionV>
            <wp:extent cx="571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26670</wp:posOffset>
            </wp:positionV>
            <wp:extent cx="5715"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26670</wp:posOffset>
            </wp:positionV>
            <wp:extent cx="5715"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26670</wp:posOffset>
            </wp:positionV>
            <wp:extent cx="5715"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26670</wp:posOffset>
            </wp:positionV>
            <wp:extent cx="5715"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26670</wp:posOffset>
            </wp:positionV>
            <wp:extent cx="5715"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26670</wp:posOffset>
            </wp:positionV>
            <wp:extent cx="571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26670</wp:posOffset>
            </wp:positionV>
            <wp:extent cx="571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26670</wp:posOffset>
            </wp:positionV>
            <wp:extent cx="571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26670</wp:posOffset>
            </wp:positionV>
            <wp:extent cx="571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26670</wp:posOffset>
            </wp:positionV>
            <wp:extent cx="571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26670</wp:posOffset>
            </wp:positionV>
            <wp:extent cx="5715"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26670</wp:posOffset>
            </wp:positionV>
            <wp:extent cx="5715"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26670</wp:posOffset>
            </wp:positionV>
            <wp:extent cx="5715"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26670</wp:posOffset>
            </wp:positionV>
            <wp:extent cx="5715"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26670</wp:posOffset>
            </wp:positionV>
            <wp:extent cx="5715"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26670</wp:posOffset>
            </wp:positionV>
            <wp:extent cx="5715"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26670</wp:posOffset>
            </wp:positionV>
            <wp:extent cx="5715"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26670</wp:posOffset>
            </wp:positionV>
            <wp:extent cx="5715"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26670</wp:posOffset>
            </wp:positionV>
            <wp:extent cx="5715"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26670</wp:posOffset>
            </wp:positionV>
            <wp:extent cx="5715"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26670</wp:posOffset>
            </wp:positionV>
            <wp:extent cx="5715"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26670</wp:posOffset>
            </wp:positionV>
            <wp:extent cx="5715"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26670</wp:posOffset>
            </wp:positionV>
            <wp:extent cx="571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26670</wp:posOffset>
            </wp:positionV>
            <wp:extent cx="571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26670</wp:posOffset>
            </wp:positionV>
            <wp:extent cx="5715"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26670</wp:posOffset>
            </wp:positionV>
            <wp:extent cx="5715"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26670</wp:posOffset>
            </wp:positionV>
            <wp:extent cx="5715"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26670</wp:posOffset>
            </wp:positionV>
            <wp:extent cx="5715"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26670</wp:posOffset>
            </wp:positionV>
            <wp:extent cx="5715"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26670</wp:posOffset>
            </wp:positionV>
            <wp:extent cx="571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26670</wp:posOffset>
            </wp:positionV>
            <wp:extent cx="5715"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26670</wp:posOffset>
            </wp:positionV>
            <wp:extent cx="5715"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26670</wp:posOffset>
            </wp:positionV>
            <wp:extent cx="5715"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26670</wp:posOffset>
            </wp:positionV>
            <wp:extent cx="5715"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26670</wp:posOffset>
            </wp:positionV>
            <wp:extent cx="5715"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26670</wp:posOffset>
            </wp:positionV>
            <wp:extent cx="5715"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26670</wp:posOffset>
            </wp:positionV>
            <wp:extent cx="5715"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26670</wp:posOffset>
            </wp:positionV>
            <wp:extent cx="5715"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26670</wp:posOffset>
            </wp:positionV>
            <wp:extent cx="5715"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26670</wp:posOffset>
            </wp:positionV>
            <wp:extent cx="5715"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26670</wp:posOffset>
            </wp:positionV>
            <wp:extent cx="5715"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26670</wp:posOffset>
            </wp:positionV>
            <wp:extent cx="5715"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26670</wp:posOffset>
            </wp:positionV>
            <wp:extent cx="5715"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26670</wp:posOffset>
            </wp:positionV>
            <wp:extent cx="5715"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26670</wp:posOffset>
            </wp:positionV>
            <wp:extent cx="5715"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26670</wp:posOffset>
            </wp:positionV>
            <wp:extent cx="5715"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26670</wp:posOffset>
            </wp:positionV>
            <wp:extent cx="5715"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26670</wp:posOffset>
            </wp:positionV>
            <wp:extent cx="5715"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26670</wp:posOffset>
            </wp:positionV>
            <wp:extent cx="5715"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26670</wp:posOffset>
            </wp:positionV>
            <wp:extent cx="5715"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26670</wp:posOffset>
            </wp:positionV>
            <wp:extent cx="5715"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26670</wp:posOffset>
            </wp:positionV>
            <wp:extent cx="5715"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26670</wp:posOffset>
            </wp:positionV>
            <wp:extent cx="5715"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26670</wp:posOffset>
            </wp:positionV>
            <wp:extent cx="5715"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26670</wp:posOffset>
            </wp:positionV>
            <wp:extent cx="5715"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26670</wp:posOffset>
            </wp:positionV>
            <wp:extent cx="5715"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26670</wp:posOffset>
            </wp:positionV>
            <wp:extent cx="5715"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26670</wp:posOffset>
            </wp:positionV>
            <wp:extent cx="5715"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26670</wp:posOffset>
            </wp:positionV>
            <wp:extent cx="5715"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26670</wp:posOffset>
            </wp:positionV>
            <wp:extent cx="5715"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26670</wp:posOffset>
            </wp:positionV>
            <wp:extent cx="5715"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26670</wp:posOffset>
            </wp:positionV>
            <wp:extent cx="5715"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26670</wp:posOffset>
            </wp:positionV>
            <wp:extent cx="5715"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26670</wp:posOffset>
            </wp:positionV>
            <wp:extent cx="5715"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26670</wp:posOffset>
            </wp:positionV>
            <wp:extent cx="5715"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26670</wp:posOffset>
            </wp:positionV>
            <wp:extent cx="5715"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26670</wp:posOffset>
            </wp:positionV>
            <wp:extent cx="5715"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26670</wp:posOffset>
            </wp:positionV>
            <wp:extent cx="5715"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26670</wp:posOffset>
            </wp:positionV>
            <wp:extent cx="5715"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26670</wp:posOffset>
            </wp:positionV>
            <wp:extent cx="5715"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26670</wp:posOffset>
            </wp:positionV>
            <wp:extent cx="5715"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26670</wp:posOffset>
            </wp:positionV>
            <wp:extent cx="5715" cy="57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26670</wp:posOffset>
            </wp:positionV>
            <wp:extent cx="5715"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26670</wp:posOffset>
            </wp:positionV>
            <wp:extent cx="5715"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26670</wp:posOffset>
            </wp:positionV>
            <wp:extent cx="5715"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26670</wp:posOffset>
            </wp:positionV>
            <wp:extent cx="5715"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26670</wp:posOffset>
            </wp:positionV>
            <wp:extent cx="5715"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26670</wp:posOffset>
            </wp:positionV>
            <wp:extent cx="5715"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26670</wp:posOffset>
            </wp:positionV>
            <wp:extent cx="5715"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26670</wp:posOffset>
            </wp:positionV>
            <wp:extent cx="5715"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26670</wp:posOffset>
            </wp:positionV>
            <wp:extent cx="5715"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26670</wp:posOffset>
            </wp:positionV>
            <wp:extent cx="5715"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26670</wp:posOffset>
            </wp:positionV>
            <wp:extent cx="5715"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26670</wp:posOffset>
            </wp:positionV>
            <wp:extent cx="5715" cy="57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26670</wp:posOffset>
            </wp:positionV>
            <wp:extent cx="5715"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26670</wp:posOffset>
            </wp:positionV>
            <wp:extent cx="5715" cy="57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26670</wp:posOffset>
            </wp:positionV>
            <wp:extent cx="5715"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26670</wp:posOffset>
            </wp:positionV>
            <wp:extent cx="571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26670</wp:posOffset>
            </wp:positionV>
            <wp:extent cx="5715"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26670</wp:posOffset>
            </wp:positionV>
            <wp:extent cx="5715"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26670</wp:posOffset>
            </wp:positionV>
            <wp:extent cx="5715" cy="57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26670</wp:posOffset>
            </wp:positionV>
            <wp:extent cx="5715" cy="57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26670</wp:posOffset>
            </wp:positionV>
            <wp:extent cx="5715" cy="57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26670</wp:posOffset>
            </wp:positionV>
            <wp:extent cx="5715" cy="57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26670</wp:posOffset>
            </wp:positionV>
            <wp:extent cx="5715" cy="57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26670</wp:posOffset>
            </wp:positionV>
            <wp:extent cx="5715"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26670</wp:posOffset>
            </wp:positionV>
            <wp:extent cx="5715"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26670</wp:posOffset>
            </wp:positionV>
            <wp:extent cx="5715"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26670</wp:posOffset>
            </wp:positionV>
            <wp:extent cx="571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26670</wp:posOffset>
            </wp:positionV>
            <wp:extent cx="5715"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26670</wp:posOffset>
            </wp:positionV>
            <wp:extent cx="5715"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26670</wp:posOffset>
            </wp:positionV>
            <wp:extent cx="5715"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26670</wp:posOffset>
            </wp:positionV>
            <wp:extent cx="5715"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26670</wp:posOffset>
            </wp:positionV>
            <wp:extent cx="5715"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26670</wp:posOffset>
            </wp:positionV>
            <wp:extent cx="5715"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26670</wp:posOffset>
            </wp:positionV>
            <wp:extent cx="5715"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26670</wp:posOffset>
            </wp:positionV>
            <wp:extent cx="5715"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26670</wp:posOffset>
            </wp:positionV>
            <wp:extent cx="5715"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26670</wp:posOffset>
            </wp:positionV>
            <wp:extent cx="5715"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26670</wp:posOffset>
            </wp:positionV>
            <wp:extent cx="5715"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26670</wp:posOffset>
            </wp:positionV>
            <wp:extent cx="571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26670</wp:posOffset>
            </wp:positionV>
            <wp:extent cx="5715"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26670</wp:posOffset>
            </wp:positionV>
            <wp:extent cx="5715"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26670</wp:posOffset>
            </wp:positionV>
            <wp:extent cx="5715"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26670</wp:posOffset>
            </wp:positionV>
            <wp:extent cx="5715"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26670</wp:posOffset>
            </wp:positionV>
            <wp:extent cx="5715" cy="57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26670</wp:posOffset>
            </wp:positionV>
            <wp:extent cx="5715"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26670</wp:posOffset>
            </wp:positionV>
            <wp:extent cx="5715" cy="57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26670</wp:posOffset>
            </wp:positionV>
            <wp:extent cx="5715"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26670</wp:posOffset>
            </wp:positionV>
            <wp:extent cx="5715" cy="57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26670</wp:posOffset>
            </wp:positionV>
            <wp:extent cx="5715" cy="571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26670</wp:posOffset>
            </wp:positionV>
            <wp:extent cx="5715" cy="571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26670</wp:posOffset>
            </wp:positionV>
            <wp:extent cx="5715" cy="57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26670</wp:posOffset>
            </wp:positionV>
            <wp:extent cx="5715"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26670</wp:posOffset>
            </wp:positionV>
            <wp:extent cx="5715"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26670</wp:posOffset>
            </wp:positionV>
            <wp:extent cx="5715"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26670</wp:posOffset>
            </wp:positionV>
            <wp:extent cx="5715"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26670</wp:posOffset>
            </wp:positionV>
            <wp:extent cx="5715"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26670</wp:posOffset>
            </wp:positionV>
            <wp:extent cx="5715"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26670</wp:posOffset>
            </wp:positionV>
            <wp:extent cx="5715"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26670</wp:posOffset>
            </wp:positionV>
            <wp:extent cx="5715"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26670</wp:posOffset>
            </wp:positionV>
            <wp:extent cx="5715"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26670</wp:posOffset>
            </wp:positionV>
            <wp:extent cx="5715"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26670</wp:posOffset>
            </wp:positionV>
            <wp:extent cx="5715"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26670</wp:posOffset>
            </wp:positionV>
            <wp:extent cx="5715"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26670</wp:posOffset>
            </wp:positionV>
            <wp:extent cx="5715"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26670</wp:posOffset>
            </wp:positionV>
            <wp:extent cx="5715"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26670</wp:posOffset>
            </wp:positionV>
            <wp:extent cx="571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26670</wp:posOffset>
            </wp:positionV>
            <wp:extent cx="5715"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26670</wp:posOffset>
            </wp:positionV>
            <wp:extent cx="5715"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26670</wp:posOffset>
            </wp:positionV>
            <wp:extent cx="5715"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26670</wp:posOffset>
            </wp:positionV>
            <wp:extent cx="5715"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26670</wp:posOffset>
            </wp:positionV>
            <wp:extent cx="5715"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26670</wp:posOffset>
            </wp:positionV>
            <wp:extent cx="5715"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26670</wp:posOffset>
            </wp:positionV>
            <wp:extent cx="5715"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26670</wp:posOffset>
            </wp:positionV>
            <wp:extent cx="5715"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5348605</wp:posOffset>
            </wp:positionH>
            <wp:positionV relativeFrom="paragraph">
              <wp:posOffset>26670</wp:posOffset>
            </wp:positionV>
            <wp:extent cx="5715"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26670</wp:posOffset>
            </wp:positionV>
            <wp:extent cx="5715"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26670</wp:posOffset>
            </wp:positionV>
            <wp:extent cx="5715"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26670</wp:posOffset>
            </wp:positionV>
            <wp:extent cx="5715"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26670</wp:posOffset>
            </wp:positionV>
            <wp:extent cx="5715" cy="571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26670</wp:posOffset>
            </wp:positionV>
            <wp:extent cx="5715"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26670</wp:posOffset>
            </wp:positionV>
            <wp:extent cx="5715" cy="571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26670</wp:posOffset>
            </wp:positionV>
            <wp:extent cx="5715"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26670</wp:posOffset>
            </wp:positionV>
            <wp:extent cx="5715"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26670</wp:posOffset>
            </wp:positionV>
            <wp:extent cx="5715" cy="57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26670</wp:posOffset>
            </wp:positionV>
            <wp:extent cx="5715" cy="57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26670</wp:posOffset>
            </wp:positionV>
            <wp:extent cx="5715" cy="57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26670</wp:posOffset>
            </wp:positionV>
            <wp:extent cx="5715" cy="571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26670</wp:posOffset>
            </wp:positionV>
            <wp:extent cx="5715" cy="57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26670</wp:posOffset>
            </wp:positionV>
            <wp:extent cx="5715"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26670</wp:posOffset>
            </wp:positionV>
            <wp:extent cx="5715"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26670</wp:posOffset>
            </wp:positionV>
            <wp:extent cx="5715"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26670</wp:posOffset>
            </wp:positionV>
            <wp:extent cx="5715"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26670</wp:posOffset>
            </wp:positionV>
            <wp:extent cx="5715"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26670</wp:posOffset>
            </wp:positionV>
            <wp:extent cx="5715" cy="5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26670</wp:posOffset>
            </wp:positionV>
            <wp:extent cx="5715" cy="571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26670</wp:posOffset>
            </wp:positionV>
            <wp:extent cx="5715" cy="57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26670</wp:posOffset>
            </wp:positionV>
            <wp:extent cx="5715"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26670</wp:posOffset>
            </wp:positionV>
            <wp:extent cx="5715"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26670</wp:posOffset>
            </wp:positionV>
            <wp:extent cx="5715"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26670</wp:posOffset>
            </wp:positionV>
            <wp:extent cx="5715" cy="571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26670</wp:posOffset>
            </wp:positionV>
            <wp:extent cx="5715" cy="571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5657215</wp:posOffset>
            </wp:positionH>
            <wp:positionV relativeFrom="paragraph">
              <wp:posOffset>26670</wp:posOffset>
            </wp:positionV>
            <wp:extent cx="5715" cy="57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26670</wp:posOffset>
            </wp:positionV>
            <wp:extent cx="5715" cy="571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26670</wp:posOffset>
            </wp:positionV>
            <wp:extent cx="5715" cy="571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26670</wp:posOffset>
            </wp:positionV>
            <wp:extent cx="5715" cy="571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26670</wp:posOffset>
            </wp:positionV>
            <wp:extent cx="5715" cy="571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26670</wp:posOffset>
            </wp:positionV>
            <wp:extent cx="5715" cy="57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26670</wp:posOffset>
            </wp:positionV>
            <wp:extent cx="5715"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26670</wp:posOffset>
            </wp:positionV>
            <wp:extent cx="5715"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26670</wp:posOffset>
            </wp:positionV>
            <wp:extent cx="5715"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26670</wp:posOffset>
            </wp:positionV>
            <wp:extent cx="5715" cy="57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26670</wp:posOffset>
            </wp:positionV>
            <wp:extent cx="5715" cy="57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26670</wp:posOffset>
            </wp:positionV>
            <wp:extent cx="5715" cy="571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26670</wp:posOffset>
            </wp:positionV>
            <wp:extent cx="5715" cy="571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26670</wp:posOffset>
            </wp:positionV>
            <wp:extent cx="5715" cy="571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26670</wp:posOffset>
            </wp:positionV>
            <wp:extent cx="5715"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26670</wp:posOffset>
            </wp:positionV>
            <wp:extent cx="5715"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26670</wp:posOffset>
            </wp:positionV>
            <wp:extent cx="5715"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26670</wp:posOffset>
            </wp:positionV>
            <wp:extent cx="5715"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26670</wp:posOffset>
            </wp:positionV>
            <wp:extent cx="5715"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26670</wp:posOffset>
            </wp:positionV>
            <wp:extent cx="5715"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26670</wp:posOffset>
            </wp:positionV>
            <wp:extent cx="5715"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26670</wp:posOffset>
            </wp:positionV>
            <wp:extent cx="5715"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26670</wp:posOffset>
            </wp:positionV>
            <wp:extent cx="5715"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26670</wp:posOffset>
            </wp:positionV>
            <wp:extent cx="5715"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26670</wp:posOffset>
            </wp:positionV>
            <wp:extent cx="5715"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26670</wp:posOffset>
            </wp:positionV>
            <wp:extent cx="5715"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26670</wp:posOffset>
            </wp:positionV>
            <wp:extent cx="5715"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26670</wp:posOffset>
            </wp:positionV>
            <wp:extent cx="5715"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26670</wp:posOffset>
            </wp:positionV>
            <wp:extent cx="5715"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26670</wp:posOffset>
            </wp:positionV>
            <wp:extent cx="5715"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26670</wp:posOffset>
            </wp:positionV>
            <wp:extent cx="5715" cy="57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26670</wp:posOffset>
            </wp:positionV>
            <wp:extent cx="5715" cy="57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26670</wp:posOffset>
            </wp:positionV>
            <wp:extent cx="5715" cy="57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6034405</wp:posOffset>
            </wp:positionH>
            <wp:positionV relativeFrom="paragraph">
              <wp:posOffset>26670</wp:posOffset>
            </wp:positionV>
            <wp:extent cx="5715" cy="57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26670</wp:posOffset>
            </wp:positionV>
            <wp:extent cx="5715"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26670</wp:posOffset>
            </wp:positionV>
            <wp:extent cx="5715" cy="57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26670</wp:posOffset>
            </wp:positionV>
            <wp:extent cx="5715" cy="57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26670</wp:posOffset>
            </wp:positionV>
            <wp:extent cx="5715" cy="57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26670</wp:posOffset>
            </wp:positionV>
            <wp:extent cx="5715" cy="57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26670</wp:posOffset>
            </wp:positionV>
            <wp:extent cx="5715" cy="57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26670</wp:posOffset>
            </wp:positionV>
            <wp:extent cx="5715" cy="57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26670</wp:posOffset>
            </wp:positionV>
            <wp:extent cx="5715" cy="571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26670</wp:posOffset>
            </wp:positionV>
            <wp:extent cx="5715" cy="57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26670</wp:posOffset>
            </wp:positionV>
            <wp:extent cx="5715" cy="57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26670</wp:posOffset>
            </wp:positionV>
            <wp:extent cx="5715" cy="57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26670</wp:posOffset>
            </wp:positionV>
            <wp:extent cx="5715" cy="57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26670</wp:posOffset>
            </wp:positionV>
            <wp:extent cx="5715" cy="57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26670</wp:posOffset>
            </wp:positionV>
            <wp:extent cx="5715" cy="57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26670</wp:posOffset>
            </wp:positionV>
            <wp:extent cx="5715" cy="57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26670</wp:posOffset>
            </wp:positionV>
            <wp:extent cx="5715" cy="57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26670</wp:posOffset>
            </wp:positionV>
            <wp:extent cx="5715" cy="57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26670</wp:posOffset>
            </wp:positionV>
            <wp:extent cx="5715" cy="57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26670</wp:posOffset>
            </wp:positionV>
            <wp:extent cx="5715" cy="57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26670</wp:posOffset>
            </wp:positionV>
            <wp:extent cx="5715" cy="57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26670</wp:posOffset>
            </wp:positionV>
            <wp:extent cx="5715" cy="57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6286500</wp:posOffset>
            </wp:positionH>
            <wp:positionV relativeFrom="paragraph">
              <wp:posOffset>26670</wp:posOffset>
            </wp:positionV>
            <wp:extent cx="5715" cy="57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26670</wp:posOffset>
            </wp:positionV>
            <wp:extent cx="5715" cy="5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26670</wp:posOffset>
            </wp:positionV>
            <wp:extent cx="5715" cy="571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6320790</wp:posOffset>
            </wp:positionH>
            <wp:positionV relativeFrom="paragraph">
              <wp:posOffset>26670</wp:posOffset>
            </wp:positionV>
            <wp:extent cx="5715" cy="57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26670</wp:posOffset>
            </wp:positionV>
            <wp:extent cx="5715" cy="571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26670</wp:posOffset>
            </wp:positionV>
            <wp:extent cx="5715" cy="571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26670</wp:posOffset>
            </wp:positionV>
            <wp:extent cx="5715" cy="571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26670</wp:posOffset>
            </wp:positionV>
            <wp:extent cx="5715" cy="571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6377940</wp:posOffset>
            </wp:positionH>
            <wp:positionV relativeFrom="paragraph">
              <wp:posOffset>26670</wp:posOffset>
            </wp:positionV>
            <wp:extent cx="5715" cy="57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26670</wp:posOffset>
            </wp:positionV>
            <wp:extent cx="5715" cy="57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26670</wp:posOffset>
            </wp:positionV>
            <wp:extent cx="5715" cy="57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6412230</wp:posOffset>
            </wp:positionH>
            <wp:positionV relativeFrom="paragraph">
              <wp:posOffset>26670</wp:posOffset>
            </wp:positionV>
            <wp:extent cx="5715"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26670</wp:posOffset>
            </wp:positionV>
            <wp:extent cx="5715" cy="571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26670</wp:posOffset>
            </wp:positionV>
            <wp:extent cx="5715" cy="571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26670</wp:posOffset>
            </wp:positionV>
            <wp:extent cx="5715" cy="571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6457950</wp:posOffset>
            </wp:positionH>
            <wp:positionV relativeFrom="paragraph">
              <wp:posOffset>26670</wp:posOffset>
            </wp:positionV>
            <wp:extent cx="5715" cy="571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26670</wp:posOffset>
            </wp:positionV>
            <wp:extent cx="5715" cy="571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26670</wp:posOffset>
            </wp:positionV>
            <wp:extent cx="5715" cy="571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26670</wp:posOffset>
            </wp:positionV>
            <wp:extent cx="5715" cy="571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26670</wp:posOffset>
            </wp:positionV>
            <wp:extent cx="5715" cy="571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26670</wp:posOffset>
            </wp:positionV>
            <wp:extent cx="5715" cy="571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26670</wp:posOffset>
            </wp:positionV>
            <wp:extent cx="5715" cy="571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26670</wp:posOffset>
            </wp:positionV>
            <wp:extent cx="5715" cy="571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26670</wp:posOffset>
            </wp:positionV>
            <wp:extent cx="5715" cy="571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6560820</wp:posOffset>
            </wp:positionH>
            <wp:positionV relativeFrom="paragraph">
              <wp:posOffset>26670</wp:posOffset>
            </wp:positionV>
            <wp:extent cx="5715" cy="571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26670</wp:posOffset>
            </wp:positionV>
            <wp:extent cx="5715" cy="571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6583680</wp:posOffset>
            </wp:positionH>
            <wp:positionV relativeFrom="paragraph">
              <wp:posOffset>26670</wp:posOffset>
            </wp:positionV>
            <wp:extent cx="5715" cy="571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6595110</wp:posOffset>
            </wp:positionH>
            <wp:positionV relativeFrom="paragraph">
              <wp:posOffset>26670</wp:posOffset>
            </wp:positionV>
            <wp:extent cx="5715" cy="571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26670</wp:posOffset>
            </wp:positionV>
            <wp:extent cx="5715" cy="571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26670</wp:posOffset>
            </wp:positionV>
            <wp:extent cx="5715" cy="571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6629400</wp:posOffset>
            </wp:positionH>
            <wp:positionV relativeFrom="paragraph">
              <wp:posOffset>26670</wp:posOffset>
            </wp:positionV>
            <wp:extent cx="5715" cy="571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26670</wp:posOffset>
            </wp:positionV>
            <wp:extent cx="5715" cy="571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26670</wp:posOffset>
            </wp:positionV>
            <wp:extent cx="5715" cy="571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26670</wp:posOffset>
            </wp:positionV>
            <wp:extent cx="5715" cy="571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26670</wp:posOffset>
            </wp:positionV>
            <wp:extent cx="5715" cy="571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26670</wp:posOffset>
            </wp:positionV>
            <wp:extent cx="5715" cy="571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26670</wp:posOffset>
            </wp:positionV>
            <wp:extent cx="5715" cy="571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26670</wp:posOffset>
            </wp:positionV>
            <wp:extent cx="5715" cy="571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26670</wp:posOffset>
            </wp:positionV>
            <wp:extent cx="5715" cy="571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26670</wp:posOffset>
            </wp:positionV>
            <wp:extent cx="5715" cy="571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26670</wp:posOffset>
            </wp:positionV>
            <wp:extent cx="5715" cy="571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26670</wp:posOffset>
            </wp:positionV>
            <wp:extent cx="5715" cy="571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26670</wp:posOffset>
            </wp:positionV>
            <wp:extent cx="5715" cy="571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26670</wp:posOffset>
            </wp:positionV>
            <wp:extent cx="5715" cy="571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6789420</wp:posOffset>
            </wp:positionH>
            <wp:positionV relativeFrom="paragraph">
              <wp:posOffset>26670</wp:posOffset>
            </wp:positionV>
            <wp:extent cx="5715" cy="571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26670</wp:posOffset>
            </wp:positionV>
            <wp:extent cx="5715" cy="571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26670</wp:posOffset>
            </wp:positionV>
            <wp:extent cx="5715" cy="571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26670</wp:posOffset>
            </wp:positionV>
            <wp:extent cx="5715" cy="571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6835140</wp:posOffset>
            </wp:positionH>
            <wp:positionV relativeFrom="paragraph">
              <wp:posOffset>26670</wp:posOffset>
            </wp:positionV>
            <wp:extent cx="5715" cy="571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26670</wp:posOffset>
            </wp:positionV>
            <wp:extent cx="5715" cy="571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26670</wp:posOffset>
            </wp:positionV>
            <wp:extent cx="5715" cy="571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6869430</wp:posOffset>
            </wp:positionH>
            <wp:positionV relativeFrom="paragraph">
              <wp:posOffset>26670</wp:posOffset>
            </wp:positionV>
            <wp:extent cx="5715" cy="571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26670</wp:posOffset>
            </wp:positionV>
            <wp:extent cx="5715" cy="57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6892290</wp:posOffset>
            </wp:positionH>
            <wp:positionV relativeFrom="paragraph">
              <wp:posOffset>26670</wp:posOffset>
            </wp:positionV>
            <wp:extent cx="5715" cy="57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26670</wp:posOffset>
            </wp:positionV>
            <wp:extent cx="5715" cy="57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26670</wp:posOffset>
            </wp:positionV>
            <wp:extent cx="5715" cy="57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26670</wp:posOffset>
            </wp:positionV>
            <wp:extent cx="5715" cy="57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6938645</wp:posOffset>
            </wp:positionH>
            <wp:positionV relativeFrom="paragraph">
              <wp:posOffset>26670</wp:posOffset>
            </wp:positionV>
            <wp:extent cx="5715" cy="571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6950075</wp:posOffset>
            </wp:positionH>
            <wp:positionV relativeFrom="paragraph">
              <wp:posOffset>26670</wp:posOffset>
            </wp:positionV>
            <wp:extent cx="5715" cy="571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26670</wp:posOffset>
            </wp:positionV>
            <wp:extent cx="5715" cy="571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6972935</wp:posOffset>
            </wp:positionH>
            <wp:positionV relativeFrom="paragraph">
              <wp:posOffset>26670</wp:posOffset>
            </wp:positionV>
            <wp:extent cx="5715" cy="571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6984365</wp:posOffset>
            </wp:positionH>
            <wp:positionV relativeFrom="paragraph">
              <wp:posOffset>26670</wp:posOffset>
            </wp:positionV>
            <wp:extent cx="5715" cy="571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6995795</wp:posOffset>
            </wp:positionH>
            <wp:positionV relativeFrom="paragraph">
              <wp:posOffset>26670</wp:posOffset>
            </wp:positionV>
            <wp:extent cx="5715" cy="57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7007225</wp:posOffset>
            </wp:positionH>
            <wp:positionV relativeFrom="paragraph">
              <wp:posOffset>26670</wp:posOffset>
            </wp:positionV>
            <wp:extent cx="5715" cy="571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7018655</wp:posOffset>
            </wp:positionH>
            <wp:positionV relativeFrom="paragraph">
              <wp:posOffset>26670</wp:posOffset>
            </wp:positionV>
            <wp:extent cx="5715" cy="57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7030085</wp:posOffset>
            </wp:positionH>
            <wp:positionV relativeFrom="paragraph">
              <wp:posOffset>26670</wp:posOffset>
            </wp:positionV>
            <wp:extent cx="5715" cy="571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7041515</wp:posOffset>
            </wp:positionH>
            <wp:positionV relativeFrom="paragraph">
              <wp:posOffset>26670</wp:posOffset>
            </wp:positionV>
            <wp:extent cx="5715" cy="5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7052945</wp:posOffset>
            </wp:positionH>
            <wp:positionV relativeFrom="paragraph">
              <wp:posOffset>26670</wp:posOffset>
            </wp:positionV>
            <wp:extent cx="5715" cy="571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26670</wp:posOffset>
            </wp:positionV>
            <wp:extent cx="5715" cy="571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26670</wp:posOffset>
            </wp:positionV>
            <wp:extent cx="5715" cy="571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26670</wp:posOffset>
            </wp:positionV>
            <wp:extent cx="5715" cy="57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26670</wp:posOffset>
            </wp:positionV>
            <wp:extent cx="5715" cy="571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26670</wp:posOffset>
            </wp:positionV>
            <wp:extent cx="5715" cy="571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26670</wp:posOffset>
            </wp:positionV>
            <wp:extent cx="5715" cy="571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26670</wp:posOffset>
            </wp:positionV>
            <wp:extent cx="5715" cy="571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26670</wp:posOffset>
            </wp:positionV>
            <wp:extent cx="5715" cy="571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7155815</wp:posOffset>
            </wp:positionH>
            <wp:positionV relativeFrom="paragraph">
              <wp:posOffset>26670</wp:posOffset>
            </wp:positionV>
            <wp:extent cx="5715" cy="571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7167245</wp:posOffset>
            </wp:positionH>
            <wp:positionV relativeFrom="paragraph">
              <wp:posOffset>26670</wp:posOffset>
            </wp:positionV>
            <wp:extent cx="5715" cy="571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26670</wp:posOffset>
            </wp:positionV>
            <wp:extent cx="5715" cy="571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7190105</wp:posOffset>
            </wp:positionH>
            <wp:positionV relativeFrom="paragraph">
              <wp:posOffset>26670</wp:posOffset>
            </wp:positionV>
            <wp:extent cx="5715" cy="571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26670</wp:posOffset>
            </wp:positionV>
            <wp:extent cx="5715" cy="571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26670</wp:posOffset>
            </wp:positionV>
            <wp:extent cx="5715" cy="571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7224395</wp:posOffset>
            </wp:positionH>
            <wp:positionV relativeFrom="paragraph">
              <wp:posOffset>26670</wp:posOffset>
            </wp:positionV>
            <wp:extent cx="5715" cy="571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7235825</wp:posOffset>
            </wp:positionH>
            <wp:positionV relativeFrom="paragraph">
              <wp:posOffset>26670</wp:posOffset>
            </wp:positionV>
            <wp:extent cx="5715" cy="571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26670</wp:posOffset>
            </wp:positionV>
            <wp:extent cx="5715" cy="571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26670</wp:posOffset>
            </wp:positionV>
            <wp:extent cx="5715" cy="57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7270115</wp:posOffset>
            </wp:positionH>
            <wp:positionV relativeFrom="paragraph">
              <wp:posOffset>26670</wp:posOffset>
            </wp:positionV>
            <wp:extent cx="5715" cy="571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26670</wp:posOffset>
            </wp:positionV>
            <wp:extent cx="5715" cy="571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49" w:lineRule="exact"/>
        <w:rPr>
          <w:sz w:val="20"/>
          <w:szCs w:val="20"/>
          <w:color w:val="auto"/>
        </w:rPr>
      </w:pPr>
    </w:p>
    <w:p>
      <w:pPr>
        <w:ind w:left="2820"/>
        <w:spacing w:after="0"/>
        <w:rPr>
          <w:sz w:val="20"/>
          <w:szCs w:val="20"/>
          <w:color w:val="auto"/>
        </w:rPr>
      </w:pPr>
      <w:r>
        <w:rPr>
          <w:rFonts w:ascii="Arial" w:cs="Arial" w:eastAsia="Arial" w:hAnsi="Arial"/>
          <w:sz w:val="11"/>
          <w:szCs w:val="11"/>
          <w:i w:val="1"/>
          <w:iCs w:val="1"/>
          <w:color w:val="auto"/>
        </w:rPr>
        <w:t xml:space="preserve">Key Audit Matters (KAM) </w:t>
      </w:r>
      <w:r>
        <w:rPr>
          <w:rFonts w:ascii="Arial" w:cs="Arial" w:eastAsia="Arial" w:hAnsi="Arial"/>
          <w:sz w:val="11"/>
          <w:szCs w:val="11"/>
          <w:color w:val="auto"/>
        </w:rPr>
        <w:t>are those which, in our professional judgment, were the most significants in our audit of the consolidated financial statements of the current period:</w:t>
      </w:r>
    </w:p>
    <w:p>
      <w:pPr>
        <w:spacing w:after="0" w:line="162" w:lineRule="exact"/>
        <w:rPr>
          <w:sz w:val="20"/>
          <w:szCs w:val="20"/>
          <w:color w:val="auto"/>
        </w:rPr>
      </w:pPr>
    </w:p>
    <w:p>
      <w:pPr>
        <w:ind w:left="3060" w:hanging="247"/>
        <w:spacing w:after="0"/>
        <w:tabs>
          <w:tab w:leader="none" w:pos="3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Information technology environment;</w:t>
      </w:r>
    </w:p>
    <w:p>
      <w:pPr>
        <w:spacing w:after="0" w:line="14" w:lineRule="exact"/>
        <w:rPr>
          <w:rFonts w:ascii="Arial" w:cs="Arial" w:eastAsia="Arial" w:hAnsi="Arial"/>
          <w:sz w:val="12"/>
          <w:szCs w:val="12"/>
          <w:color w:val="auto"/>
        </w:rPr>
      </w:pPr>
    </w:p>
    <w:p>
      <w:pPr>
        <w:ind w:left="3060" w:hanging="247"/>
        <w:spacing w:after="0"/>
        <w:tabs>
          <w:tab w:leader="none" w:pos="3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Provision for credit losses on loan portfolio; and</w:t>
      </w:r>
    </w:p>
    <w:p>
      <w:pPr>
        <w:spacing w:after="0" w:line="6" w:lineRule="exact"/>
        <w:rPr>
          <w:rFonts w:ascii="Arial" w:cs="Arial" w:eastAsia="Arial" w:hAnsi="Arial"/>
          <w:sz w:val="12"/>
          <w:szCs w:val="12"/>
          <w:color w:val="auto"/>
        </w:rPr>
      </w:pPr>
    </w:p>
    <w:p>
      <w:pPr>
        <w:ind w:left="3060" w:hanging="247"/>
        <w:spacing w:after="0"/>
        <w:tabs>
          <w:tab w:leader="none" w:pos="3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Valuation of the mathematical reserves of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292340" cy="571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As part of the design of our audit, we determined materiality and assessed the risks of material misstatement in the consolidated financial statements. In particular, we considered the cases where management has made subjective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in the financial statements due to fraud.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DC6900"/>
        </w:rPr>
        <w:t>How we designed the scope of our audit of the Group</w:t>
      </w:r>
    </w:p>
    <w:p>
      <w:pPr>
        <w:spacing w:after="0" w:line="15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We have designed the scope of our audit in order to be able to carry out sufficient work to permit us to issue an opinion regarding the consolidated financial statements as a whole, taking into account the structure of the Group, the accounting processes and controls and the economic sector in which the Group operates.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audit for the year ended December 31, 2019 does not present significant changes in relation with the prior year audit; thus, in establishing the general approach for the Group audit, we determined the type of work that required to be done on the components, based mainly on individual legal entities. In that sense, we consider Banco de Crédito del Perú S.A. and Mibanco, Banco de la Microempresa S.A., are significant components based on their individual contributions to profit before tax, as well as Pacífico Compañía de Seguros y Reaseguros S.A. based on the significant risk related to the valuation of the mathematical reserves of annuities. Additionally, we have considered the individual work carried out in each subsidiary.</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649" w:right="29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2"/>
          <w:szCs w:val="12"/>
          <w:color w:val="auto"/>
        </w:rPr>
        <w:t>The audit of the subsidiaries includes work performed in other countries within the region, such as Panama, Chile, Colombia and Bolivia. For said components, we determined the level of audit work that would need to be performed in auditing those entities in order to conclude as to whether sufficient and appropriate audit evidence had been obtained as a basis for our opinion on the consolidated financial statements as a whole. This includes regular communications with the other PwC firms during the entire year, the issue of instructions, visits to the auditors of components by the key members of the engagement team and a review of the results of their audit procedures including the nature, timing and extent of the work that affect the audit opinion on the Group.</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DC6900"/>
        </w:rPr>
        <w:t>Key Audit Matters (KAM)</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Key audit matters are those matters that, in our professional judgment, were of most significance in our audit of the consolidated financial statements of the current period. The scope of our audit and the key audit matters have not changed significantly in relation to the prior. The audit matters were addressed in the context of our audit of the consolidated financial statements as a whole, and in forming our opinion thereon, and we do not express a separate opinion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92340" cy="1085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ectPr>
          <w:pgSz w:w="11900" w:h="16838" w:orient="portrait"/>
          <w:cols w:equalWidth="0" w:num="1">
            <w:col w:w="11460"/>
          </w:cols>
          <w:pgMar w:left="220" w:top="653" w:right="219" w:bottom="1440" w:gutter="0" w:footer="0" w:header="0"/>
        </w:sectPr>
      </w:pPr>
    </w:p>
    <w:p>
      <w:pPr>
        <w:spacing w:after="0" w:line="150"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FFFFFF"/>
        </w:rPr>
        <w:t>Key Audit Matters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715" cy="571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9525</wp:posOffset>
            </wp:positionV>
            <wp:extent cx="5715" cy="57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9525</wp:posOffset>
            </wp:positionV>
            <wp:extent cx="5715" cy="57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9525</wp:posOffset>
            </wp:positionV>
            <wp:extent cx="5715" cy="57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9525</wp:posOffset>
            </wp:positionV>
            <wp:extent cx="5715" cy="571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9525</wp:posOffset>
            </wp:positionV>
            <wp:extent cx="5715" cy="57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9525</wp:posOffset>
            </wp:positionV>
            <wp:extent cx="5715" cy="57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9525</wp:posOffset>
            </wp:positionV>
            <wp:extent cx="5715" cy="57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9525</wp:posOffset>
            </wp:positionV>
            <wp:extent cx="5715" cy="57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9525</wp:posOffset>
            </wp:positionV>
            <wp:extent cx="5715" cy="57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9525</wp:posOffset>
            </wp:positionV>
            <wp:extent cx="5715" cy="571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9525</wp:posOffset>
            </wp:positionV>
            <wp:extent cx="5715" cy="571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9525</wp:posOffset>
            </wp:positionV>
            <wp:extent cx="5715" cy="571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9525</wp:posOffset>
            </wp:positionV>
            <wp:extent cx="5715" cy="571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9525</wp:posOffset>
            </wp:positionV>
            <wp:extent cx="5715" cy="571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9525</wp:posOffset>
            </wp:positionV>
            <wp:extent cx="5715" cy="571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9525</wp:posOffset>
            </wp:positionV>
            <wp:extent cx="5715" cy="571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9525</wp:posOffset>
            </wp:positionV>
            <wp:extent cx="5715" cy="571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9525</wp:posOffset>
            </wp:positionV>
            <wp:extent cx="5715" cy="571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9525</wp:posOffset>
            </wp:positionV>
            <wp:extent cx="5715" cy="571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9525</wp:posOffset>
            </wp:positionV>
            <wp:extent cx="5715" cy="571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9525</wp:posOffset>
            </wp:positionV>
            <wp:extent cx="5715" cy="57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9525</wp:posOffset>
            </wp:positionV>
            <wp:extent cx="5715" cy="571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9525</wp:posOffset>
            </wp:positionV>
            <wp:extent cx="5715" cy="57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9525</wp:posOffset>
            </wp:positionV>
            <wp:extent cx="5715" cy="571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9525</wp:posOffset>
            </wp:positionV>
            <wp:extent cx="5715" cy="57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9525</wp:posOffset>
            </wp:positionV>
            <wp:extent cx="5715" cy="571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9525</wp:posOffset>
            </wp:positionV>
            <wp:extent cx="5715" cy="571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9525</wp:posOffset>
            </wp:positionV>
            <wp:extent cx="5715" cy="571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9525</wp:posOffset>
            </wp:positionV>
            <wp:extent cx="5715" cy="571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9525</wp:posOffset>
            </wp:positionV>
            <wp:extent cx="5715" cy="571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9525</wp:posOffset>
            </wp:positionV>
            <wp:extent cx="5715" cy="571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9525</wp:posOffset>
            </wp:positionV>
            <wp:extent cx="5715" cy="571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372745</wp:posOffset>
            </wp:positionH>
            <wp:positionV relativeFrom="paragraph">
              <wp:posOffset>9525</wp:posOffset>
            </wp:positionV>
            <wp:extent cx="5715" cy="571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9525</wp:posOffset>
            </wp:positionV>
            <wp:extent cx="5715" cy="571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9525</wp:posOffset>
            </wp:positionV>
            <wp:extent cx="5715" cy="571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9525</wp:posOffset>
            </wp:positionV>
            <wp:extent cx="5715" cy="571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9525</wp:posOffset>
            </wp:positionV>
            <wp:extent cx="5715" cy="571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9525</wp:posOffset>
            </wp:positionV>
            <wp:extent cx="5715" cy="571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9525</wp:posOffset>
            </wp:positionV>
            <wp:extent cx="5715" cy="571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9525</wp:posOffset>
            </wp:positionV>
            <wp:extent cx="5715" cy="571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9525</wp:posOffset>
            </wp:positionV>
            <wp:extent cx="5715" cy="571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9525</wp:posOffset>
            </wp:positionV>
            <wp:extent cx="5715" cy="57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9525</wp:posOffset>
            </wp:positionV>
            <wp:extent cx="5715" cy="571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9525</wp:posOffset>
            </wp:positionV>
            <wp:extent cx="5715" cy="57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9525</wp:posOffset>
            </wp:positionV>
            <wp:extent cx="5715" cy="57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9525</wp:posOffset>
            </wp:positionV>
            <wp:extent cx="5715"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9525</wp:posOffset>
            </wp:positionV>
            <wp:extent cx="5715" cy="57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9525</wp:posOffset>
            </wp:positionV>
            <wp:extent cx="5715" cy="571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9525</wp:posOffset>
            </wp:positionV>
            <wp:extent cx="5715" cy="57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9525</wp:posOffset>
            </wp:positionV>
            <wp:extent cx="5715" cy="57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9525</wp:posOffset>
            </wp:positionV>
            <wp:extent cx="5715" cy="571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9525</wp:posOffset>
            </wp:positionV>
            <wp:extent cx="5715" cy="571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9525</wp:posOffset>
            </wp:positionV>
            <wp:extent cx="5715" cy="571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9525</wp:posOffset>
            </wp:positionV>
            <wp:extent cx="5715" cy="571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9525</wp:posOffset>
            </wp:positionV>
            <wp:extent cx="5715" cy="571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9525</wp:posOffset>
            </wp:positionV>
            <wp:extent cx="5715" cy="571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9525</wp:posOffset>
            </wp:positionV>
            <wp:extent cx="5715" cy="57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658495</wp:posOffset>
            </wp:positionH>
            <wp:positionV relativeFrom="paragraph">
              <wp:posOffset>9525</wp:posOffset>
            </wp:positionV>
            <wp:extent cx="5715" cy="571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9525</wp:posOffset>
            </wp:positionV>
            <wp:extent cx="5715" cy="571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9525</wp:posOffset>
            </wp:positionV>
            <wp:extent cx="5715" cy="571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9525</wp:posOffset>
            </wp:positionV>
            <wp:extent cx="5715" cy="571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9525</wp:posOffset>
            </wp:positionV>
            <wp:extent cx="5715" cy="571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9525</wp:posOffset>
            </wp:positionV>
            <wp:extent cx="5715" cy="571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9525</wp:posOffset>
            </wp:positionV>
            <wp:extent cx="5715" cy="571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9525</wp:posOffset>
            </wp:positionV>
            <wp:extent cx="5715" cy="571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9525</wp:posOffset>
            </wp:positionV>
            <wp:extent cx="5715" cy="571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9525</wp:posOffset>
            </wp:positionV>
            <wp:extent cx="5715" cy="571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9525</wp:posOffset>
            </wp:positionV>
            <wp:extent cx="5715" cy="571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9525</wp:posOffset>
            </wp:positionV>
            <wp:extent cx="5715" cy="571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9525</wp:posOffset>
            </wp:positionV>
            <wp:extent cx="5715" cy="571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9525</wp:posOffset>
            </wp:positionV>
            <wp:extent cx="5715" cy="571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9525</wp:posOffset>
            </wp:positionV>
            <wp:extent cx="5715" cy="571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9525</wp:posOffset>
            </wp:positionV>
            <wp:extent cx="5715" cy="571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9525</wp:posOffset>
            </wp:positionV>
            <wp:extent cx="5715" cy="571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9525</wp:posOffset>
            </wp:positionV>
            <wp:extent cx="5715" cy="571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9525</wp:posOffset>
            </wp:positionV>
            <wp:extent cx="5715" cy="571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9525</wp:posOffset>
            </wp:positionV>
            <wp:extent cx="5715" cy="571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9525</wp:posOffset>
            </wp:positionV>
            <wp:extent cx="5715" cy="571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9525</wp:posOffset>
            </wp:positionV>
            <wp:extent cx="5715" cy="571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9525</wp:posOffset>
            </wp:positionV>
            <wp:extent cx="5715" cy="571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9525</wp:posOffset>
            </wp:positionV>
            <wp:extent cx="5715" cy="571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932815</wp:posOffset>
            </wp:positionH>
            <wp:positionV relativeFrom="paragraph">
              <wp:posOffset>9525</wp:posOffset>
            </wp:positionV>
            <wp:extent cx="5715" cy="571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9525</wp:posOffset>
            </wp:positionV>
            <wp:extent cx="5715" cy="571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9525</wp:posOffset>
            </wp:positionV>
            <wp:extent cx="5715" cy="571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9525</wp:posOffset>
            </wp:positionV>
            <wp:extent cx="5715" cy="571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9525</wp:posOffset>
            </wp:positionV>
            <wp:extent cx="5715" cy="571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9525</wp:posOffset>
            </wp:positionV>
            <wp:extent cx="5715" cy="571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9525</wp:posOffset>
            </wp:positionV>
            <wp:extent cx="5715" cy="571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9525</wp:posOffset>
            </wp:positionV>
            <wp:extent cx="5715" cy="571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1024255</wp:posOffset>
            </wp:positionH>
            <wp:positionV relativeFrom="paragraph">
              <wp:posOffset>9525</wp:posOffset>
            </wp:positionV>
            <wp:extent cx="5715" cy="571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9525</wp:posOffset>
            </wp:positionV>
            <wp:extent cx="5715" cy="571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9525</wp:posOffset>
            </wp:positionV>
            <wp:extent cx="5715" cy="571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9525</wp:posOffset>
            </wp:positionV>
            <wp:extent cx="5715" cy="571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9525</wp:posOffset>
            </wp:positionV>
            <wp:extent cx="5715" cy="571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9525</wp:posOffset>
            </wp:positionV>
            <wp:extent cx="5715" cy="571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9525</wp:posOffset>
            </wp:positionV>
            <wp:extent cx="5715" cy="571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9525</wp:posOffset>
            </wp:positionV>
            <wp:extent cx="5715" cy="571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9525</wp:posOffset>
            </wp:positionV>
            <wp:extent cx="5715" cy="571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1127125</wp:posOffset>
            </wp:positionH>
            <wp:positionV relativeFrom="paragraph">
              <wp:posOffset>9525</wp:posOffset>
            </wp:positionV>
            <wp:extent cx="5715" cy="571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9525</wp:posOffset>
            </wp:positionV>
            <wp:extent cx="5715" cy="571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9525</wp:posOffset>
            </wp:positionV>
            <wp:extent cx="5715" cy="571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9525</wp:posOffset>
            </wp:positionV>
            <wp:extent cx="5715" cy="571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1172845</wp:posOffset>
            </wp:positionH>
            <wp:positionV relativeFrom="paragraph">
              <wp:posOffset>9525</wp:posOffset>
            </wp:positionV>
            <wp:extent cx="5715" cy="571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1184910</wp:posOffset>
            </wp:positionH>
            <wp:positionV relativeFrom="paragraph">
              <wp:posOffset>9525</wp:posOffset>
            </wp:positionV>
            <wp:extent cx="5715" cy="571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9525</wp:posOffset>
            </wp:positionV>
            <wp:extent cx="5715" cy="571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1207770</wp:posOffset>
            </wp:positionH>
            <wp:positionV relativeFrom="paragraph">
              <wp:posOffset>9525</wp:posOffset>
            </wp:positionV>
            <wp:extent cx="5715" cy="571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9525</wp:posOffset>
            </wp:positionV>
            <wp:extent cx="5715" cy="571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9525</wp:posOffset>
            </wp:positionV>
            <wp:extent cx="5715" cy="571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1242060</wp:posOffset>
            </wp:positionH>
            <wp:positionV relativeFrom="paragraph">
              <wp:posOffset>9525</wp:posOffset>
            </wp:positionV>
            <wp:extent cx="5715" cy="571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9525</wp:posOffset>
            </wp:positionV>
            <wp:extent cx="5715" cy="571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9525</wp:posOffset>
            </wp:positionV>
            <wp:extent cx="5715" cy="571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9525</wp:posOffset>
            </wp:positionV>
            <wp:extent cx="5715" cy="571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9525</wp:posOffset>
            </wp:positionV>
            <wp:extent cx="5715" cy="571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9525</wp:posOffset>
            </wp:positionV>
            <wp:extent cx="5715" cy="571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9525</wp:posOffset>
            </wp:positionV>
            <wp:extent cx="5715" cy="571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9525</wp:posOffset>
            </wp:positionV>
            <wp:extent cx="5715" cy="571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9525</wp:posOffset>
            </wp:positionV>
            <wp:extent cx="5715" cy="571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9525</wp:posOffset>
            </wp:positionV>
            <wp:extent cx="5715" cy="571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9525</wp:posOffset>
            </wp:positionV>
            <wp:extent cx="5715" cy="571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9525</wp:posOffset>
            </wp:positionV>
            <wp:extent cx="5715" cy="571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1379220</wp:posOffset>
            </wp:positionH>
            <wp:positionV relativeFrom="paragraph">
              <wp:posOffset>9525</wp:posOffset>
            </wp:positionV>
            <wp:extent cx="5715" cy="571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9525</wp:posOffset>
            </wp:positionV>
            <wp:extent cx="5715" cy="571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9525</wp:posOffset>
            </wp:positionV>
            <wp:extent cx="5715" cy="571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1413510</wp:posOffset>
            </wp:positionH>
            <wp:positionV relativeFrom="paragraph">
              <wp:posOffset>9525</wp:posOffset>
            </wp:positionV>
            <wp:extent cx="5715" cy="571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9525</wp:posOffset>
            </wp:positionV>
            <wp:extent cx="5715" cy="571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9525</wp:posOffset>
            </wp:positionV>
            <wp:extent cx="5715" cy="571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1447800</wp:posOffset>
            </wp:positionH>
            <wp:positionV relativeFrom="paragraph">
              <wp:posOffset>9525</wp:posOffset>
            </wp:positionV>
            <wp:extent cx="5715" cy="571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1459230</wp:posOffset>
            </wp:positionH>
            <wp:positionV relativeFrom="paragraph">
              <wp:posOffset>9525</wp:posOffset>
            </wp:positionV>
            <wp:extent cx="5715" cy="57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9525</wp:posOffset>
            </wp:positionV>
            <wp:extent cx="5715" cy="57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9525</wp:posOffset>
            </wp:positionV>
            <wp:extent cx="5715" cy="571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9525</wp:posOffset>
            </wp:positionV>
            <wp:extent cx="5715" cy="571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9525</wp:posOffset>
            </wp:positionV>
            <wp:extent cx="5715" cy="571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9525</wp:posOffset>
            </wp:positionV>
            <wp:extent cx="5715" cy="571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9525</wp:posOffset>
            </wp:positionV>
            <wp:extent cx="5715" cy="571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9525</wp:posOffset>
            </wp:positionV>
            <wp:extent cx="5715" cy="571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9525</wp:posOffset>
            </wp:positionV>
            <wp:extent cx="5715" cy="571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9525</wp:posOffset>
            </wp:positionV>
            <wp:extent cx="5715" cy="571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9525</wp:posOffset>
            </wp:positionV>
            <wp:extent cx="5715" cy="571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9525</wp:posOffset>
            </wp:positionV>
            <wp:extent cx="5715" cy="571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9525</wp:posOffset>
            </wp:positionV>
            <wp:extent cx="5715" cy="571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9525</wp:posOffset>
            </wp:positionV>
            <wp:extent cx="5715" cy="571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9525</wp:posOffset>
            </wp:positionV>
            <wp:extent cx="5715" cy="571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1630680</wp:posOffset>
            </wp:positionH>
            <wp:positionV relativeFrom="paragraph">
              <wp:posOffset>9525</wp:posOffset>
            </wp:positionV>
            <wp:extent cx="5715" cy="571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9525</wp:posOffset>
            </wp:positionV>
            <wp:extent cx="5715" cy="571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9525</wp:posOffset>
            </wp:positionV>
            <wp:extent cx="5715" cy="571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9525</wp:posOffset>
            </wp:positionV>
            <wp:extent cx="5715" cy="571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9525</wp:posOffset>
            </wp:positionV>
            <wp:extent cx="5715" cy="571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9525</wp:posOffset>
            </wp:positionV>
            <wp:extent cx="5715" cy="571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9525</wp:posOffset>
            </wp:positionV>
            <wp:extent cx="5715" cy="57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9525</wp:posOffset>
            </wp:positionV>
            <wp:extent cx="5715" cy="571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9525</wp:posOffset>
            </wp:positionV>
            <wp:extent cx="5715" cy="571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9525</wp:posOffset>
            </wp:positionV>
            <wp:extent cx="5715" cy="57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9525</wp:posOffset>
            </wp:positionV>
            <wp:extent cx="5715" cy="571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9525</wp:posOffset>
            </wp:positionV>
            <wp:extent cx="5715" cy="571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9525</wp:posOffset>
            </wp:positionV>
            <wp:extent cx="5715" cy="571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9525</wp:posOffset>
            </wp:positionV>
            <wp:extent cx="5715" cy="571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9525</wp:posOffset>
            </wp:positionV>
            <wp:extent cx="5715" cy="571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9525</wp:posOffset>
            </wp:positionV>
            <wp:extent cx="5715" cy="571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9525</wp:posOffset>
            </wp:positionV>
            <wp:extent cx="5715" cy="57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9525</wp:posOffset>
            </wp:positionV>
            <wp:extent cx="5715" cy="571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9525</wp:posOffset>
            </wp:positionV>
            <wp:extent cx="5715" cy="571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9525</wp:posOffset>
            </wp:positionV>
            <wp:extent cx="5715" cy="571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wp:posOffset>
            </wp:positionV>
            <wp:extent cx="5715" cy="571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9525</wp:posOffset>
            </wp:positionV>
            <wp:extent cx="5715" cy="571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9525</wp:posOffset>
            </wp:positionV>
            <wp:extent cx="5715" cy="571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9525</wp:posOffset>
            </wp:positionV>
            <wp:extent cx="5715" cy="571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9525</wp:posOffset>
            </wp:positionV>
            <wp:extent cx="5715" cy="571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9525</wp:posOffset>
            </wp:positionV>
            <wp:extent cx="5715" cy="571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9525</wp:posOffset>
            </wp:positionV>
            <wp:extent cx="5715" cy="571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9525</wp:posOffset>
            </wp:positionV>
            <wp:extent cx="5715" cy="571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9525</wp:posOffset>
            </wp:positionV>
            <wp:extent cx="5715" cy="571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9525</wp:posOffset>
            </wp:positionV>
            <wp:extent cx="5715" cy="571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9525</wp:posOffset>
            </wp:positionV>
            <wp:extent cx="5715" cy="57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9525</wp:posOffset>
            </wp:positionV>
            <wp:extent cx="5715" cy="571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9525</wp:posOffset>
            </wp:positionV>
            <wp:extent cx="5715" cy="571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9525</wp:posOffset>
            </wp:positionV>
            <wp:extent cx="5715" cy="571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9525</wp:posOffset>
            </wp:positionV>
            <wp:extent cx="5715" cy="571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9525</wp:posOffset>
            </wp:positionV>
            <wp:extent cx="5715" cy="571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9525</wp:posOffset>
            </wp:positionV>
            <wp:extent cx="5715" cy="571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9525</wp:posOffset>
            </wp:positionV>
            <wp:extent cx="5715" cy="571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9525</wp:posOffset>
            </wp:positionV>
            <wp:extent cx="5715" cy="571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9525</wp:posOffset>
            </wp:positionV>
            <wp:extent cx="5715" cy="571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9525</wp:posOffset>
            </wp:positionV>
            <wp:extent cx="5715" cy="571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9525</wp:posOffset>
            </wp:positionV>
            <wp:extent cx="5715" cy="571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9525</wp:posOffset>
            </wp:positionV>
            <wp:extent cx="5715" cy="571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9525</wp:posOffset>
            </wp:positionV>
            <wp:extent cx="5715" cy="571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9525</wp:posOffset>
            </wp:positionV>
            <wp:extent cx="5715" cy="571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9525</wp:posOffset>
            </wp:positionV>
            <wp:extent cx="5715" cy="571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9525</wp:posOffset>
            </wp:positionV>
            <wp:extent cx="5715" cy="571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9525</wp:posOffset>
            </wp:positionV>
            <wp:extent cx="5715" cy="571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9525</wp:posOffset>
            </wp:positionV>
            <wp:extent cx="5715" cy="571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9525</wp:posOffset>
            </wp:positionV>
            <wp:extent cx="5715" cy="571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9525</wp:posOffset>
            </wp:positionV>
            <wp:extent cx="5715" cy="571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9525</wp:posOffset>
            </wp:positionV>
            <wp:extent cx="5715" cy="571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9525</wp:posOffset>
            </wp:positionV>
            <wp:extent cx="5715" cy="571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9525</wp:posOffset>
            </wp:positionV>
            <wp:extent cx="5715" cy="571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9525</wp:posOffset>
            </wp:positionV>
            <wp:extent cx="5715" cy="571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9525</wp:posOffset>
            </wp:positionV>
            <wp:extent cx="5715" cy="571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9525</wp:posOffset>
            </wp:positionV>
            <wp:extent cx="5715" cy="571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9525</wp:posOffset>
            </wp:positionV>
            <wp:extent cx="5715" cy="571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9525</wp:posOffset>
            </wp:positionV>
            <wp:extent cx="5715" cy="571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9525</wp:posOffset>
            </wp:positionV>
            <wp:extent cx="5715" cy="571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9525</wp:posOffset>
            </wp:positionV>
            <wp:extent cx="5715" cy="571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9525</wp:posOffset>
            </wp:positionV>
            <wp:extent cx="5715" cy="571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9525</wp:posOffset>
            </wp:positionV>
            <wp:extent cx="5715" cy="571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9525</wp:posOffset>
            </wp:positionV>
            <wp:extent cx="5715" cy="571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9525</wp:posOffset>
            </wp:positionV>
            <wp:extent cx="5715" cy="571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2374265</wp:posOffset>
            </wp:positionH>
            <wp:positionV relativeFrom="paragraph">
              <wp:posOffset>9525</wp:posOffset>
            </wp:positionV>
            <wp:extent cx="5715" cy="571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9525</wp:posOffset>
            </wp:positionV>
            <wp:extent cx="5715" cy="571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9525</wp:posOffset>
            </wp:positionV>
            <wp:extent cx="5715" cy="571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9525</wp:posOffset>
            </wp:positionV>
            <wp:extent cx="5715" cy="571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9525</wp:posOffset>
            </wp:positionV>
            <wp:extent cx="5715" cy="571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9525</wp:posOffset>
            </wp:positionV>
            <wp:extent cx="5715" cy="571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9525</wp:posOffset>
            </wp:positionV>
            <wp:extent cx="5715" cy="571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9525</wp:posOffset>
            </wp:positionV>
            <wp:extent cx="5715" cy="571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9525</wp:posOffset>
            </wp:positionV>
            <wp:extent cx="5715" cy="571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9525</wp:posOffset>
            </wp:positionV>
            <wp:extent cx="5715" cy="571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9525</wp:posOffset>
            </wp:positionV>
            <wp:extent cx="5715" cy="571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9525</wp:posOffset>
            </wp:positionV>
            <wp:extent cx="5715" cy="571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9525</wp:posOffset>
            </wp:positionV>
            <wp:extent cx="5715" cy="571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9525</wp:posOffset>
            </wp:positionV>
            <wp:extent cx="5715" cy="571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9525</wp:posOffset>
            </wp:positionV>
            <wp:extent cx="5715" cy="571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2545715</wp:posOffset>
            </wp:positionH>
            <wp:positionV relativeFrom="paragraph">
              <wp:posOffset>9525</wp:posOffset>
            </wp:positionV>
            <wp:extent cx="5715" cy="571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9525</wp:posOffset>
            </wp:positionV>
            <wp:extent cx="5715" cy="571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9525</wp:posOffset>
            </wp:positionV>
            <wp:extent cx="5715" cy="571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9525</wp:posOffset>
            </wp:positionV>
            <wp:extent cx="5715" cy="571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9525</wp:posOffset>
            </wp:positionV>
            <wp:extent cx="5715" cy="571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9525</wp:posOffset>
            </wp:positionV>
            <wp:extent cx="5715" cy="571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9525</wp:posOffset>
            </wp:positionV>
            <wp:extent cx="5715" cy="571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9525</wp:posOffset>
            </wp:positionV>
            <wp:extent cx="5715" cy="571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9525</wp:posOffset>
            </wp:positionV>
            <wp:extent cx="5715" cy="571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9525</wp:posOffset>
            </wp:positionV>
            <wp:extent cx="5715" cy="571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9525</wp:posOffset>
            </wp:positionV>
            <wp:extent cx="5715" cy="57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9525</wp:posOffset>
            </wp:positionV>
            <wp:extent cx="5715" cy="571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9525</wp:posOffset>
            </wp:positionV>
            <wp:extent cx="5715" cy="571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9525</wp:posOffset>
            </wp:positionV>
            <wp:extent cx="5715" cy="571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9525</wp:posOffset>
            </wp:positionV>
            <wp:extent cx="5715" cy="571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9525</wp:posOffset>
            </wp:positionV>
            <wp:extent cx="5715" cy="571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9525</wp:posOffset>
            </wp:positionV>
            <wp:extent cx="5715" cy="571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9525</wp:posOffset>
            </wp:positionV>
            <wp:extent cx="5715" cy="571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9525</wp:posOffset>
            </wp:positionV>
            <wp:extent cx="5715" cy="571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9525</wp:posOffset>
            </wp:positionV>
            <wp:extent cx="5715" cy="571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9525</wp:posOffset>
            </wp:positionV>
            <wp:extent cx="5715" cy="571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9525</wp:posOffset>
            </wp:positionV>
            <wp:extent cx="5715" cy="571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9525</wp:posOffset>
            </wp:positionV>
            <wp:extent cx="5715" cy="571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9525</wp:posOffset>
            </wp:positionV>
            <wp:extent cx="5715" cy="571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9525</wp:posOffset>
            </wp:positionV>
            <wp:extent cx="5715" cy="571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9525</wp:posOffset>
            </wp:positionV>
            <wp:extent cx="5715" cy="571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9525</wp:posOffset>
            </wp:positionV>
            <wp:extent cx="5715" cy="571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9525</wp:posOffset>
            </wp:positionV>
            <wp:extent cx="5715" cy="571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9525</wp:posOffset>
            </wp:positionV>
            <wp:extent cx="5715" cy="571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9525</wp:posOffset>
            </wp:positionV>
            <wp:extent cx="5715" cy="571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9525</wp:posOffset>
            </wp:positionV>
            <wp:extent cx="5715" cy="571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9525</wp:posOffset>
            </wp:positionV>
            <wp:extent cx="5715" cy="571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9525</wp:posOffset>
            </wp:positionV>
            <wp:extent cx="5715" cy="571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9525</wp:posOffset>
            </wp:positionV>
            <wp:extent cx="5715" cy="571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9525</wp:posOffset>
            </wp:positionV>
            <wp:extent cx="5715" cy="571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9525</wp:posOffset>
            </wp:positionV>
            <wp:extent cx="5715" cy="571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9525</wp:posOffset>
            </wp:positionV>
            <wp:extent cx="5715" cy="571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9525</wp:posOffset>
            </wp:positionV>
            <wp:extent cx="5715" cy="571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9525</wp:posOffset>
            </wp:positionV>
            <wp:extent cx="5715" cy="571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9525</wp:posOffset>
            </wp:positionV>
            <wp:extent cx="5715" cy="571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9525</wp:posOffset>
            </wp:positionV>
            <wp:extent cx="5715" cy="571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9525</wp:posOffset>
            </wp:positionV>
            <wp:extent cx="5715" cy="571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9525</wp:posOffset>
            </wp:positionV>
            <wp:extent cx="5715" cy="571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9525</wp:posOffset>
            </wp:positionV>
            <wp:extent cx="5715" cy="571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9525</wp:posOffset>
            </wp:positionV>
            <wp:extent cx="5715" cy="571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9525</wp:posOffset>
            </wp:positionV>
            <wp:extent cx="5715" cy="571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9525</wp:posOffset>
            </wp:positionV>
            <wp:extent cx="5715" cy="571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9525</wp:posOffset>
            </wp:positionV>
            <wp:extent cx="5715" cy="571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9525</wp:posOffset>
            </wp:positionV>
            <wp:extent cx="5715" cy="571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9525</wp:posOffset>
            </wp:positionV>
            <wp:extent cx="5715" cy="571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9525</wp:posOffset>
            </wp:positionV>
            <wp:extent cx="5715" cy="571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9525</wp:posOffset>
            </wp:positionV>
            <wp:extent cx="5715" cy="571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9525</wp:posOffset>
            </wp:positionV>
            <wp:extent cx="5715" cy="571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9525</wp:posOffset>
            </wp:positionV>
            <wp:extent cx="5715" cy="571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9525</wp:posOffset>
            </wp:positionV>
            <wp:extent cx="5715" cy="571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9525</wp:posOffset>
            </wp:positionV>
            <wp:extent cx="5715" cy="57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9525</wp:posOffset>
            </wp:positionV>
            <wp:extent cx="5715" cy="57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9525</wp:posOffset>
            </wp:positionV>
            <wp:extent cx="5715" cy="571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9525</wp:posOffset>
            </wp:positionV>
            <wp:extent cx="5715" cy="57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9525</wp:posOffset>
            </wp:positionV>
            <wp:extent cx="5715" cy="571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9525</wp:posOffset>
            </wp:positionV>
            <wp:extent cx="5715" cy="571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9525</wp:posOffset>
            </wp:positionV>
            <wp:extent cx="5715" cy="571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9525</wp:posOffset>
            </wp:positionV>
            <wp:extent cx="5715" cy="571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9525</wp:posOffset>
            </wp:positionV>
            <wp:extent cx="5715" cy="571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9525</wp:posOffset>
            </wp:positionV>
            <wp:extent cx="5715" cy="571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9525</wp:posOffset>
            </wp:positionV>
            <wp:extent cx="5715" cy="571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9525</wp:posOffset>
            </wp:positionV>
            <wp:extent cx="5715" cy="571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9525</wp:posOffset>
            </wp:positionV>
            <wp:extent cx="5715" cy="571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9525</wp:posOffset>
            </wp:positionV>
            <wp:extent cx="5715" cy="571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9525</wp:posOffset>
            </wp:positionV>
            <wp:extent cx="5715" cy="571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9525</wp:posOffset>
            </wp:positionV>
            <wp:extent cx="5715" cy="571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9525</wp:posOffset>
            </wp:positionV>
            <wp:extent cx="5715" cy="571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9525</wp:posOffset>
            </wp:positionV>
            <wp:extent cx="5715" cy="571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9525</wp:posOffset>
            </wp:positionV>
            <wp:extent cx="5715" cy="571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9525</wp:posOffset>
            </wp:positionV>
            <wp:extent cx="5715" cy="571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9525</wp:posOffset>
            </wp:positionV>
            <wp:extent cx="5715" cy="571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9525</wp:posOffset>
            </wp:positionV>
            <wp:extent cx="5715" cy="571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9525</wp:posOffset>
            </wp:positionV>
            <wp:extent cx="5715" cy="571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9525</wp:posOffset>
            </wp:positionV>
            <wp:extent cx="5715" cy="571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9525</wp:posOffset>
            </wp:positionV>
            <wp:extent cx="5715" cy="571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9525</wp:posOffset>
            </wp:positionV>
            <wp:extent cx="5715" cy="571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9525</wp:posOffset>
            </wp:positionV>
            <wp:extent cx="5715" cy="571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9525</wp:posOffset>
            </wp:positionV>
            <wp:extent cx="5715" cy="571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9525</wp:posOffset>
            </wp:positionV>
            <wp:extent cx="5715" cy="571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9525</wp:posOffset>
            </wp:positionV>
            <wp:extent cx="5715" cy="571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9525</wp:posOffset>
            </wp:positionV>
            <wp:extent cx="5715" cy="571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9525</wp:posOffset>
            </wp:positionV>
            <wp:extent cx="5715" cy="571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9525</wp:posOffset>
            </wp:positionV>
            <wp:extent cx="5715" cy="571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9525</wp:posOffset>
            </wp:positionV>
            <wp:extent cx="5715" cy="571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Information technology environment</w:t>
      </w:r>
    </w:p>
    <w:p>
      <w:pPr>
        <w:spacing w:after="0" w:line="46" w:lineRule="exact"/>
        <w:rPr>
          <w:sz w:val="20"/>
          <w:szCs w:val="20"/>
          <w:color w:val="auto"/>
        </w:rPr>
      </w:pPr>
    </w:p>
    <w:p>
      <w:pPr>
        <w:ind w:left="60" w:right="100"/>
        <w:spacing w:after="0" w:line="298" w:lineRule="auto"/>
        <w:rPr>
          <w:sz w:val="20"/>
          <w:szCs w:val="20"/>
          <w:color w:val="auto"/>
        </w:rPr>
      </w:pPr>
      <w:r>
        <w:rPr>
          <w:rFonts w:ascii="Arial" w:cs="Arial" w:eastAsia="Arial" w:hAnsi="Arial"/>
          <w:sz w:val="11"/>
          <w:szCs w:val="11"/>
          <w:color w:val="auto"/>
        </w:rPr>
        <w:t>Credicorp Ltd. and subsidiaries are highly dependent on their technology structure, both for processing their transactions, as well as for the fair preparation and presentation of their consolidated financial statements, which leads us to consider the information technology environment as an important area of focus in our audit.</w:t>
      </w:r>
    </w:p>
    <w:p>
      <w:pPr>
        <w:spacing w:after="0" w:line="105" w:lineRule="exact"/>
        <w:rPr>
          <w:sz w:val="20"/>
          <w:szCs w:val="20"/>
          <w:color w:val="auto"/>
        </w:rPr>
      </w:pPr>
    </w:p>
    <w:p>
      <w:pPr>
        <w:ind w:left="60" w:right="280"/>
        <w:spacing w:after="0" w:line="276" w:lineRule="auto"/>
        <w:rPr>
          <w:sz w:val="20"/>
          <w:szCs w:val="20"/>
          <w:color w:val="auto"/>
        </w:rPr>
      </w:pPr>
      <w:r>
        <w:rPr>
          <w:rFonts w:ascii="Arial" w:cs="Arial" w:eastAsia="Arial" w:hAnsi="Arial"/>
          <w:sz w:val="12"/>
          <w:szCs w:val="12"/>
          <w:color w:val="auto"/>
        </w:rPr>
        <w:t>Technology is critical for the evolution of the Group’s core businesses and significant investments have been made in systems and the IT environment, including cybersecurity.</w:t>
      </w:r>
    </w:p>
    <w:p>
      <w:pPr>
        <w:spacing w:after="0" w:line="115" w:lineRule="exact"/>
        <w:rPr>
          <w:sz w:val="20"/>
          <w:szCs w:val="20"/>
          <w:color w:val="auto"/>
        </w:rPr>
      </w:pPr>
    </w:p>
    <w:p>
      <w:pPr>
        <w:ind w:left="60"/>
        <w:spacing w:after="0" w:line="316" w:lineRule="auto"/>
        <w:rPr>
          <w:sz w:val="20"/>
          <w:szCs w:val="20"/>
          <w:color w:val="auto"/>
        </w:rPr>
      </w:pPr>
      <w:r>
        <w:rPr>
          <w:rFonts w:ascii="Arial" w:cs="Arial" w:eastAsia="Arial" w:hAnsi="Arial"/>
          <w:sz w:val="10"/>
          <w:szCs w:val="10"/>
          <w:color w:val="auto"/>
        </w:rPr>
        <w:t>The Group has technological infrastructure in place to support its business activities, as well as ongoing plans for the improvement and maintenance of the access management and changes in the respective systems and applications, the development of new programs, automated controls and automated components in the relevant business processes. Controls to authorize, restrict and cancel accesses to the technology environment and program changes are fundamental for mitigating the potential risk of fraud or error based on the misuse or improper change in the systems of the Group, thus ensuring the integrity of the financial information and accounting records.</w:t>
      </w:r>
    </w:p>
    <w:p>
      <w:pPr>
        <w:spacing w:after="0" w:line="100" w:lineRule="exact"/>
        <w:rPr>
          <w:sz w:val="20"/>
          <w:szCs w:val="20"/>
          <w:color w:val="auto"/>
        </w:rPr>
      </w:pPr>
    </w:p>
    <w:p>
      <w:pPr>
        <w:ind w:left="60"/>
        <w:spacing w:after="0" w:line="276" w:lineRule="auto"/>
        <w:rPr>
          <w:sz w:val="20"/>
          <w:szCs w:val="20"/>
          <w:color w:val="auto"/>
        </w:rPr>
      </w:pPr>
      <w:r>
        <w:rPr>
          <w:rFonts w:ascii="Arial" w:cs="Arial" w:eastAsia="Arial" w:hAnsi="Arial"/>
          <w:sz w:val="12"/>
          <w:szCs w:val="12"/>
          <w:color w:val="auto"/>
        </w:rPr>
        <w:t>The Group has an information technology structure, which comprises more than one technology environment with different processes and segregated controls; furthermore, it is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3723640" cy="571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723640" cy="5715"/>
                    </a:xfrm>
                    <a:prstGeom prst="rect">
                      <a:avLst/>
                    </a:prstGeom>
                    <a:noFill/>
                  </pic:spPr>
                </pic:pic>
              </a:graphicData>
            </a:graphic>
          </wp:anchor>
        </w:drawing>
      </w:r>
    </w:p>
    <w:p>
      <w:pPr>
        <w:spacing w:after="0" w:line="202" w:lineRule="exact"/>
        <w:rPr>
          <w:sz w:val="20"/>
          <w:szCs w:val="20"/>
          <w:color w:val="auto"/>
        </w:rPr>
      </w:pPr>
    </w:p>
    <w:p>
      <w:pPr>
        <w:ind w:right="120"/>
        <w:spacing w:after="0" w:line="283" w:lineRule="auto"/>
        <w:rPr>
          <w:sz w:val="20"/>
          <w:szCs w:val="20"/>
          <w:color w:val="auto"/>
        </w:rPr>
      </w:pPr>
      <w:r>
        <w:rPr>
          <w:rFonts w:ascii="Arial" w:cs="Arial" w:eastAsia="Arial" w:hAnsi="Arial"/>
          <w:sz w:val="11"/>
          <w:szCs w:val="11"/>
          <w:color w:val="auto"/>
        </w:rPr>
        <w:t>With the participation of specialists in systems audit, we evaluated and tested the design and operational effectiveness of information technology the general controls. Although the purpose of our audit is not to express an opinion on the effectiveness of the Information Technology (IT) controls, we reviewed the Group’s framework of governance of IT and the controls on the management of access to programs and data, the development of and changes in programs, the IT operations and we evaluated the mechanisms implemented by the Group in response to possible cybersecurity events as well as segregation of duties, including compensating controls, when necessary.</w:t>
      </w:r>
    </w:p>
    <w:p>
      <w:pPr>
        <w:spacing w:after="0" w:line="114"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The IT environment and the controls established by management, combined with the testing of controls, including compensating controls, which we have applied and the substantive testing we perform, provide us with a reasonable basis for placing reliance on the integrity and reliability of the information generated for the preparation of the Group’s consolidated financial statements. Furthermore, we have validated the existence of mechanisms for the mitigation of technology risks and cyber-attacks as well as preventive measures in place to ensure the continuous operation of its security and access controls, personnel awareness-raising campaigns in matters of security, identity and access management, among others, all of which contribute to the mitigation of cybersecurity risks.</w:t>
      </w:r>
    </w:p>
    <w:p>
      <w:pPr>
        <w:spacing w:after="0" w:line="489" w:lineRule="exact"/>
        <w:rPr>
          <w:sz w:val="20"/>
          <w:szCs w:val="20"/>
          <w:color w:val="auto"/>
        </w:rPr>
      </w:pPr>
    </w:p>
    <w:p>
      <w:pPr>
        <w:sectPr>
          <w:pgSz w:w="11900" w:h="16838" w:orient="portrait"/>
          <w:cols w:equalWidth="0" w:num="2">
            <w:col w:w="5560" w:space="120"/>
            <w:col w:w="5780"/>
          </w:cols>
          <w:pgMar w:left="220" w:top="653" w:right="219" w:bottom="1440" w:gutter="0" w:footer="0" w:header="0"/>
          <w:type w:val="continuous"/>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92340" cy="571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0"/>
          </w:cols>
          <w:pgMar w:left="220" w:top="653" w:right="219" w:bottom="1440" w:gutter="0" w:footer="0" w:header="0"/>
          <w:type w:val="continuous"/>
        </w:sectPr>
      </w:pPr>
    </w:p>
    <w:bookmarkStart w:id="8" w:name="page9"/>
    <w:bookmarkEnd w:id="8"/>
    <w:p>
      <w:pPr>
        <w:spacing w:after="0"/>
        <w:tabs>
          <w:tab w:leader="none" w:pos="5600" w:val="left"/>
        </w:tabs>
        <w:rPr>
          <w:sz w:val="20"/>
          <w:szCs w:val="20"/>
          <w:color w:val="auto"/>
        </w:rPr>
      </w:pPr>
      <w:r>
        <w:rPr>
          <w:rFonts w:ascii="Arial" w:cs="Arial" w:eastAsia="Arial" w:hAnsi="Arial"/>
          <w:sz w:val="12"/>
          <w:szCs w:val="12"/>
          <w:b w:val="1"/>
          <w:bCs w:val="1"/>
          <w:i w:val="1"/>
          <w:iCs w:val="1"/>
          <w:color w:val="FFFFFF"/>
        </w:rPr>
        <w:drawing>
          <wp:anchor simplePos="0" relativeHeight="251657728" behindDoc="1" locked="0" layoutInCell="0" allowOverlap="1">
            <wp:simplePos x="0" y="0"/>
            <wp:positionH relativeFrom="page">
              <wp:posOffset>134620</wp:posOffset>
            </wp:positionH>
            <wp:positionV relativeFrom="page">
              <wp:posOffset>431800</wp:posOffset>
            </wp:positionV>
            <wp:extent cx="7292340" cy="10858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92340" cy="108585"/>
                    </a:xfrm>
                    <a:prstGeom prst="rect">
                      <a:avLst/>
                    </a:prstGeom>
                    <a:noFill/>
                  </pic:spPr>
                </pic:pic>
              </a:graphicData>
            </a:graphic>
          </wp:anchor>
        </w:drawing>
        <w:t>Key Audit Matters (KAM)</w:t>
      </w:r>
      <w:r>
        <w:rPr>
          <w:sz w:val="20"/>
          <w:szCs w:val="20"/>
          <w:color w:val="auto"/>
        </w:rPr>
        <w:tab/>
      </w:r>
      <w:r>
        <w:rPr>
          <w:rFonts w:ascii="Arial" w:cs="Arial" w:eastAsia="Arial" w:hAnsi="Arial"/>
          <w:sz w:val="10"/>
          <w:szCs w:val="10"/>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292340" cy="571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currently implementing a digital transformation process and changes at the structural, functional and third-party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support level, a situation that leads to an increase in the risks associated with information security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cybersecurity, which may eventually affect the operational continuity of the Group companies and/or their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reputation.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lack of a suitable general technology control environment and its dependent controls could trigger incorrect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processing of critical information used for the preparation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198120</wp:posOffset>
            </wp:positionV>
            <wp:extent cx="7292340" cy="10858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311" w:lineRule="exact"/>
        <w:rPr>
          <w:sz w:val="20"/>
          <w:szCs w:val="20"/>
          <w:color w:val="auto"/>
        </w:rPr>
      </w:pPr>
    </w:p>
    <w:p>
      <w:pPr>
        <w:spacing w:after="0"/>
        <w:tabs>
          <w:tab w:leader="none" w:pos="5600" w:val="left"/>
        </w:tabs>
        <w:rPr>
          <w:sz w:val="20"/>
          <w:szCs w:val="20"/>
          <w:color w:val="auto"/>
        </w:rPr>
      </w:pPr>
      <w:r>
        <w:rPr>
          <w:rFonts w:ascii="Arial" w:cs="Arial" w:eastAsia="Arial" w:hAnsi="Arial"/>
          <w:sz w:val="12"/>
          <w:szCs w:val="12"/>
          <w:b w:val="1"/>
          <w:bCs w:val="1"/>
          <w:i w:val="1"/>
          <w:iCs w:val="1"/>
          <w:color w:val="FFFFFF"/>
        </w:rPr>
        <w:t>Key Audit Matter (KAM)</w:t>
      </w:r>
      <w:r>
        <w:rPr>
          <w:sz w:val="20"/>
          <w:szCs w:val="20"/>
          <w:color w:val="auto"/>
        </w:rPr>
        <w:tab/>
      </w:r>
      <w:r>
        <w:rPr>
          <w:rFonts w:ascii="Arial" w:cs="Arial" w:eastAsia="Arial" w:hAnsi="Arial"/>
          <w:sz w:val="10"/>
          <w:szCs w:val="10"/>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292340" cy="571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 for credit losses on loan portfolio (Notes 3 a (vii); 3 f; 3 i; 7 and 34.1 to the consolidated financial statements</w:t>
      </w:r>
    </w:p>
    <w:p>
      <w:pPr>
        <w:sectPr>
          <w:pgSz w:w="11900" w:h="16838" w:orient="portrait"/>
          <w:cols w:equalWidth="0" w:num="1">
            <w:col w:w="11240"/>
          </w:cols>
          <w:pgMar w:left="280" w:top="698" w:right="37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0"/>
          <w:szCs w:val="10"/>
          <w:color w:val="auto"/>
        </w:rPr>
        <w:t>The amount recognized as provision for credit losses on loan portfolio is S/5,508 million at December 31, 2019.</w:t>
      </w:r>
    </w:p>
    <w:p>
      <w:pPr>
        <w:spacing w:after="0" w:line="173" w:lineRule="exact"/>
        <w:rPr>
          <w:sz w:val="20"/>
          <w:szCs w:val="20"/>
          <w:color w:val="auto"/>
        </w:rPr>
      </w:pPr>
    </w:p>
    <w:p>
      <w:pPr>
        <w:ind w:right="320"/>
        <w:spacing w:after="0" w:line="380" w:lineRule="auto"/>
        <w:rPr>
          <w:sz w:val="20"/>
          <w:szCs w:val="20"/>
          <w:color w:val="auto"/>
        </w:rPr>
      </w:pPr>
      <w:r>
        <w:rPr>
          <w:rFonts w:ascii="Arial" w:cs="Arial" w:eastAsia="Arial" w:hAnsi="Arial"/>
          <w:sz w:val="10"/>
          <w:szCs w:val="10"/>
          <w:color w:val="auto"/>
        </w:rPr>
        <w:t>Provisions for the expected credit losses are measured at each reporting date using a three-stage model of expected credit losses based on the deterioration of the credit quality of the instrument from inception.</w:t>
      </w:r>
    </w:p>
    <w:p>
      <w:pPr>
        <w:spacing w:after="0" w:line="68" w:lineRule="exact"/>
        <w:rPr>
          <w:sz w:val="20"/>
          <w:szCs w:val="20"/>
          <w:color w:val="auto"/>
        </w:rPr>
      </w:pPr>
    </w:p>
    <w:p>
      <w:pPr>
        <w:ind w:right="300"/>
        <w:spacing w:after="0" w:line="255" w:lineRule="auto"/>
        <w:rPr>
          <w:sz w:val="20"/>
          <w:szCs w:val="20"/>
          <w:color w:val="auto"/>
        </w:rPr>
      </w:pPr>
      <w:r>
        <w:rPr>
          <w:rFonts w:ascii="Arial" w:cs="Arial" w:eastAsia="Arial" w:hAnsi="Arial"/>
          <w:sz w:val="12"/>
          <w:szCs w:val="12"/>
          <w:color w:val="auto"/>
        </w:rPr>
        <w:t>Measurement of the expected credit loss is based on the probability of default (PD), the loss-given default (LGD), and the exposure at default (EAD), updated at the reporting date and considering the expected macroeconomic effects. For determination of the allowance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for loan losses, management has developed specific methodologies including several assumptions and judgments, among which are, the financial situation of the counterparty, the estimated recoverable amounts, and the recoverable amounts of guarantees and adverse effects due to changes in the political and economic environments.</w:t>
      </w:r>
    </w:p>
    <w:p>
      <w:pPr>
        <w:spacing w:after="0" w:line="128"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The expected credit loss model reflects the present value of all events of decline in the value resulting from events of default (i) during the first twelve months or (ii) during the expected life of the financial instrument based on its significant increase of credit risk. The expected credit loss considers multiple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obtained an understanding of the process implemented by the Group in its analysis of the qualitative and quantitative disclosures required under IFRS 9; relying on the assistance of our specialists, we also performed audit procedures related to compliance with the requirements of such a standard.</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Our work on the evaluation of the allowance for loan losses has focused on the evaluation and testing of the design and operational effectiveness of the controls over the data inputs, assumptions and calculation of the allowance for loan losses. These controls included, among others: i) the integrity of the data base and the auxiliary systems; ii) models and assumptions adopted by management to determine the value of the portfolio of recoverable loans; iii) changes in significant increase of credit risk; iv) the follow up and valuation of the guarantees; v) the validation and approval of the model and the results of provisions calculation by management; and vi) preparation and disclosure in Notes to the consolidated financial statements. Additionally, we tested information technology controls over the data extraction and calculation of the allowance.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We focused our audit on the following aspects, among others:</w:t>
      </w:r>
    </w:p>
    <w:p>
      <w:pPr>
        <w:spacing w:after="0" w:line="150" w:lineRule="exact"/>
        <w:rPr>
          <w:sz w:val="20"/>
          <w:szCs w:val="20"/>
          <w:color w:val="auto"/>
        </w:rPr>
      </w:pPr>
    </w:p>
    <w:p>
      <w:pPr>
        <w:ind w:left="420" w:right="40" w:hanging="208"/>
        <w:spacing w:after="0" w:line="276" w:lineRule="auto"/>
        <w:tabs>
          <w:tab w:leader="none" w:pos="414"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Review of the accounting policies and methodological framework implemented by the Group for adequacy with IFRS9;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78740</wp:posOffset>
            </wp:positionV>
            <wp:extent cx="7292340" cy="571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260"/>
            <w:col w:w="5600"/>
          </w:cols>
          <w:pgMar w:left="280" w:top="698" w:right="379" w:bottom="1440" w:gutter="0" w:footer="0" w:header="0"/>
          <w:type w:val="continuous"/>
        </w:sect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17145</wp:posOffset>
            </wp:positionV>
            <wp:extent cx="7292340" cy="571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40"/>
          </w:cols>
          <w:pgMar w:left="280" w:top="698" w:right="379" w:bottom="1440" w:gutter="0" w:footer="0" w:header="0"/>
          <w:type w:val="continuous"/>
        </w:sectPr>
      </w:pPr>
    </w:p>
    <w:bookmarkStart w:id="9" w:name="page10"/>
    <w:bookmarkEnd w:id="9"/>
    <w:p>
      <w:pPr>
        <w:spacing w:after="0"/>
        <w:tabs>
          <w:tab w:leader="none" w:pos="5640" w:val="left"/>
        </w:tabs>
        <w:rPr>
          <w:sz w:val="20"/>
          <w:szCs w:val="20"/>
          <w:color w:val="auto"/>
        </w:rPr>
      </w:pPr>
      <w:r>
        <w:rPr>
          <w:rFonts w:ascii="Arial" w:cs="Arial" w:eastAsia="Arial" w:hAnsi="Arial"/>
          <w:sz w:val="12"/>
          <w:szCs w:val="12"/>
          <w:b w:val="1"/>
          <w:bCs w:val="1"/>
          <w:i w:val="1"/>
          <w:iCs w:val="1"/>
          <w:color w:val="FFFFFF"/>
        </w:rPr>
        <w:drawing>
          <wp:anchor simplePos="0" relativeHeight="251657728" behindDoc="1" locked="0" layoutInCell="0" allowOverlap="1">
            <wp:simplePos x="0" y="0"/>
            <wp:positionH relativeFrom="page">
              <wp:posOffset>134620</wp:posOffset>
            </wp:positionH>
            <wp:positionV relativeFrom="page">
              <wp:posOffset>431800</wp:posOffset>
            </wp:positionV>
            <wp:extent cx="7292340" cy="11430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t>Key Audit Matter (KAM)</w:t>
      </w:r>
      <w:r>
        <w:rPr>
          <w:sz w:val="20"/>
          <w:szCs w:val="20"/>
          <w:color w:val="auto"/>
        </w:rPr>
        <w:tab/>
      </w:r>
      <w:r>
        <w:rPr>
          <w:rFonts w:ascii="Arial" w:cs="Arial" w:eastAsia="Arial" w:hAnsi="Arial"/>
          <w:sz w:val="10"/>
          <w:szCs w:val="10"/>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20955</wp:posOffset>
            </wp:positionV>
            <wp:extent cx="7292340" cy="571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80" w:top="689" w:right="27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scenarios based on reasonable and supportable forecasts.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use of different techniques and assumptions of the model could result in significantly different provisions.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Furthermore, credit risk management is complex and depends on the database being reliable and complete.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As a result, this was an area of focus in our audit.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08" w:right="280" w:hanging="208"/>
        <w:spacing w:after="0" w:line="258" w:lineRule="auto"/>
        <w:tabs>
          <w:tab w:leader="none" w:pos="202" w:val="left"/>
        </w:tabs>
        <w:numPr>
          <w:ilvl w:val="0"/>
          <w:numId w:val="4"/>
        </w:numPr>
        <w:rPr>
          <w:rFonts w:ascii="Arial" w:cs="Arial" w:eastAsia="Arial" w:hAnsi="Arial"/>
          <w:sz w:val="12"/>
          <w:szCs w:val="12"/>
          <w:color w:val="auto"/>
        </w:rPr>
      </w:pPr>
      <w:r>
        <w:rPr>
          <w:rFonts w:ascii="Arial" w:cs="Arial" w:eastAsia="Arial" w:hAnsi="Arial"/>
          <w:sz w:val="12"/>
          <w:szCs w:val="12"/>
          <w:color w:val="auto"/>
        </w:rPr>
        <w:t>Evaluation of the reasonableness of the models and principal assumptions used for the calculation of the expected credit losses;</w:t>
      </w:r>
    </w:p>
    <w:p>
      <w:pPr>
        <w:ind w:left="208" w:hanging="208"/>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Evaluation of whether the data used to estimate the provision are complete and accurate; and</w:t>
      </w:r>
    </w:p>
    <w:p>
      <w:pPr>
        <w:spacing w:after="0" w:line="6" w:lineRule="exact"/>
        <w:rPr>
          <w:rFonts w:ascii="Arial" w:cs="Arial" w:eastAsia="Arial" w:hAnsi="Arial"/>
          <w:sz w:val="12"/>
          <w:szCs w:val="12"/>
          <w:color w:val="auto"/>
        </w:rPr>
      </w:pPr>
    </w:p>
    <w:p>
      <w:pPr>
        <w:ind w:left="208" w:hanging="208"/>
        <w:spacing w:after="0" w:line="261" w:lineRule="auto"/>
        <w:tabs>
          <w:tab w:leader="none" w:pos="202"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Review and independent re-performance of the calculation based on a sample of allowance for credit losses at December 31, 2019.</w:t>
      </w:r>
    </w:p>
    <w:p>
      <w:pPr>
        <w:spacing w:after="0" w:line="132" w:lineRule="exact"/>
        <w:rPr>
          <w:sz w:val="20"/>
          <w:szCs w:val="20"/>
          <w:color w:val="auto"/>
        </w:rPr>
      </w:pPr>
    </w:p>
    <w:p>
      <w:pPr>
        <w:sectPr>
          <w:pgSz w:w="11900" w:h="16838" w:orient="portrait"/>
          <w:cols w:equalWidth="0" w:num="2">
            <w:col w:w="5300" w:space="552"/>
            <w:col w:w="5488"/>
          </w:cols>
          <w:pgMar w:left="280" w:top="689" w:right="279" w:bottom="1440" w:gutter="0" w:footer="0" w:header="0"/>
          <w:type w:val="continuous"/>
        </w:sectPr>
      </w:pPr>
    </w:p>
    <w:p>
      <w:pPr>
        <w:ind w:left="5640"/>
        <w:spacing w:after="0"/>
        <w:rPr>
          <w:sz w:val="20"/>
          <w:szCs w:val="20"/>
          <w:color w:val="auto"/>
        </w:rPr>
      </w:pPr>
      <w:r>
        <w:rPr>
          <w:rFonts w:ascii="Arial" w:cs="Arial" w:eastAsia="Arial" w:hAnsi="Arial"/>
          <w:sz w:val="10"/>
          <w:szCs w:val="10"/>
          <w:color w:val="auto"/>
        </w:rPr>
        <w:t>We consider that the criteria and assumptions adopted by management in implementing IFRS 9 for determining the</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allowance for loan losses are reasonable and consistent with the disclosures included in the consolidated financial</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statements. This criteria and assumptions were considered in the relevant context of the consolidated financial</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381635</wp:posOffset>
            </wp:positionV>
            <wp:extent cx="7292340" cy="571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17145</wp:posOffset>
            </wp:positionV>
            <wp:extent cx="7292340" cy="571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80" w:top="689" w:right="279" w:bottom="1440" w:gutter="0" w:footer="0" w:header="0"/>
          <w:type w:val="continuous"/>
        </w:sectPr>
      </w:pPr>
    </w:p>
    <w:bookmarkStart w:id="10" w:name="page11"/>
    <w:bookmarkEnd w:id="10"/>
    <w:p>
      <w:pPr>
        <w:spacing w:after="0"/>
        <w:tabs>
          <w:tab w:leader="none" w:pos="5600" w:val="left"/>
        </w:tabs>
        <w:rPr>
          <w:sz w:val="20"/>
          <w:szCs w:val="20"/>
          <w:color w:val="auto"/>
        </w:rPr>
      </w:pPr>
      <w:r>
        <w:rPr>
          <w:rFonts w:ascii="Arial" w:cs="Arial" w:eastAsia="Arial" w:hAnsi="Arial"/>
          <w:sz w:val="12"/>
          <w:szCs w:val="12"/>
          <w:b w:val="1"/>
          <w:bCs w:val="1"/>
          <w:i w:val="1"/>
          <w:iCs w:val="1"/>
          <w:color w:val="FFFFFF"/>
        </w:rPr>
        <w:drawing>
          <wp:anchor simplePos="0" relativeHeight="251657728" behindDoc="1" locked="0" layoutInCell="0" allowOverlap="1">
            <wp:simplePos x="0" y="0"/>
            <wp:positionH relativeFrom="page">
              <wp:posOffset>134620</wp:posOffset>
            </wp:positionH>
            <wp:positionV relativeFrom="page">
              <wp:posOffset>431800</wp:posOffset>
            </wp:positionV>
            <wp:extent cx="7292340" cy="10858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92340" cy="108585"/>
                    </a:xfrm>
                    <a:prstGeom prst="rect">
                      <a:avLst/>
                    </a:prstGeom>
                    <a:noFill/>
                  </pic:spPr>
                </pic:pic>
              </a:graphicData>
            </a:graphic>
          </wp:anchor>
        </w:drawing>
        <w:t>Key Audit Matter (KAM)</w:t>
      </w:r>
      <w:r>
        <w:rPr>
          <w:sz w:val="20"/>
          <w:szCs w:val="20"/>
          <w:color w:val="auto"/>
        </w:rPr>
        <w:tab/>
      </w:r>
      <w:r>
        <w:rPr>
          <w:rFonts w:ascii="Arial" w:cs="Arial" w:eastAsia="Arial" w:hAnsi="Arial"/>
          <w:sz w:val="10"/>
          <w:szCs w:val="10"/>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292340" cy="571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the mathematical reserves for annuities (Notes 3 e and 16 to the consolidated financial statements)</w:t>
      </w:r>
    </w:p>
    <w:p>
      <w:pPr>
        <w:sectPr>
          <w:pgSz w:w="11900" w:h="16838" w:orient="portrait"/>
          <w:cols w:equalWidth="0" w:num="1">
            <w:col w:w="11320"/>
          </w:cols>
          <w:pgMar w:left="280" w:top="698" w:right="29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The amount recognized as mathematical reserves for annuities is S/5,961 million at December 31, 2019.</w:t>
      </w:r>
    </w:p>
    <w:p>
      <w:pPr>
        <w:spacing w:after="0" w:line="16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valuation of the Group’s insurance contracts depends on some key subjective assumptions regarding future events. The valuation of the liabilities generated by insurance contracts is made based on the actuarial assumptions and data used in the calculation.</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Some of the key actuarial economic assumptions used in the valuation of the insurance contracts are critical and include, among others, the discount rate, the life expectancy of the population and the future expenses to be incurred to maintain the existing policies.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Minor changes in each of these key assumptions could result in significant impacts in the valuation of the obligations for those insurance contracts and in the respective impacts reflected in the consolidated statement of income.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above, this accounting estimate was a critical matter in our audit.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2"/>
          <w:szCs w:val="12"/>
          <w:color w:val="auto"/>
        </w:rPr>
        <w:t>We obtained an understanding and tested key controls in the processes of determining mathematical reserves and the related processes, to analyze the actuarial and economic assumptions, as well as the data used in the calculations. We identified that the key controls related to the determination of the assumptions and the methodology of the calculation, were designed, implemented and operate effectively.</w:t>
      </w:r>
    </w:p>
    <w:p>
      <w:pPr>
        <w:spacing w:after="0" w:line="1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2"/>
          <w:szCs w:val="12"/>
          <w:color w:val="auto"/>
        </w:rPr>
        <w:t>We held meetings with financial, treasury and actuarial management in order to obtain an understanding of the judgments and criteria used to determine the key actuarial economic assumptions used in the calculation of the mathematical life insurance reserves.</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We have reviewed the adequacy of the actuarial and economic assumptions as a whole. With the involvement of actuarial specialists, we evaluated the reasonableness and consistency of the actuarial assumptions in an unbiased manner, including questioning management’s rationale on major criteria and judgments used; as a result, we consider that they are reasonable. Our evaluation included references to independent comparative data.</w:t>
      </w:r>
    </w:p>
    <w:p>
      <w:pPr>
        <w:spacing w:after="0" w:line="109"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Based on the results of our audit procedures, we consider that the assumptions applied and criteria used to determine the estimates used by Group’s management, in determining the amounts recognized as mathematical life insurance reserves, are reasonable in the context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72390</wp:posOffset>
            </wp:positionV>
            <wp:extent cx="7292340" cy="571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240"/>
            <w:col w:w="5700"/>
          </w:cols>
          <w:pgMar w:left="280" w:top="698" w:right="299" w:bottom="1440" w:gutter="0" w:footer="0" w:header="0"/>
          <w:type w:val="continuous"/>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17145</wp:posOffset>
            </wp:positionV>
            <wp:extent cx="7292340" cy="571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20"/>
          </w:cols>
          <w:pgMar w:left="280" w:top="698" w:right="299" w:bottom="1440" w:gutter="0" w:footer="0" w:header="0"/>
          <w:type w:val="continuous"/>
        </w:sectPr>
      </w:pPr>
    </w:p>
    <w:bookmarkStart w:id="11" w:name="page12"/>
    <w:bookmarkEnd w:id="11"/>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420370</wp:posOffset>
            </wp:positionV>
            <wp:extent cx="7292340" cy="571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92340" cy="5715"/>
                    </a:xfrm>
                    <a:prstGeom prst="rect">
                      <a:avLst/>
                    </a:prstGeom>
                    <a:noFill/>
                  </pic:spPr>
                </pic:pic>
              </a:graphicData>
            </a:graphic>
          </wp:anchor>
        </w:drawing>
        <w:t>Responsibilities of management and those charged with Corporate Governance for the consolidated financial statements</w:t>
      </w:r>
    </w:p>
    <w:p>
      <w:pPr>
        <w:spacing w:after="0" w:line="154" w:lineRule="exact"/>
        <w:rPr>
          <w:sz w:val="20"/>
          <w:szCs w:val="20"/>
          <w:color w:val="auto"/>
        </w:rPr>
      </w:pPr>
    </w:p>
    <w:p>
      <w:pPr>
        <w:ind w:left="8" w:right="280"/>
        <w:spacing w:after="0" w:line="323" w:lineRule="auto"/>
        <w:rPr>
          <w:sz w:val="20"/>
          <w:szCs w:val="20"/>
          <w:color w:val="auto"/>
        </w:rPr>
      </w:pPr>
      <w:r>
        <w:rPr>
          <w:rFonts w:ascii="Arial" w:cs="Arial" w:eastAsia="Arial" w:hAnsi="Arial"/>
          <w:sz w:val="11"/>
          <w:szCs w:val="11"/>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92" w:lineRule="exact"/>
        <w:rPr>
          <w:sz w:val="20"/>
          <w:szCs w:val="20"/>
          <w:color w:val="auto"/>
        </w:rPr>
      </w:pPr>
    </w:p>
    <w:p>
      <w:pPr>
        <w:jc w:val="both"/>
        <w:ind w:left="8" w:right="80"/>
        <w:spacing w:after="0" w:line="276" w:lineRule="auto"/>
        <w:rPr>
          <w:sz w:val="20"/>
          <w:szCs w:val="20"/>
          <w:color w:val="auto"/>
        </w:rPr>
      </w:pPr>
      <w:r>
        <w:rPr>
          <w:rFonts w:ascii="Arial" w:cs="Arial" w:eastAsia="Arial" w:hAnsi="Arial"/>
          <w:sz w:val="12"/>
          <w:szCs w:val="12"/>
          <w:color w:val="auto"/>
        </w:rPr>
        <w:t>In preparing the consolidated financial statements, management is responsible for assessing the Group’s ability to continue as a going concern, disclosing, as applicable, the matters related to the going concern and using the going concern basis of accounting, unless management either intends to liquidate the Group or cease operations, or has no realistic alternative but to do so.</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Those charged with Corporate Governance of Credicorp Ltd. and its subsidiaries are responsible for overseeing the Group’s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92340" cy="571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Auditor’s responsibilities for the audit of the consolidated financial statements</w:t>
      </w:r>
    </w:p>
    <w:p>
      <w:pPr>
        <w:spacing w:after="0" w:line="154" w:lineRule="exact"/>
        <w:rPr>
          <w:sz w:val="20"/>
          <w:szCs w:val="20"/>
          <w:color w:val="auto"/>
        </w:rPr>
      </w:pPr>
    </w:p>
    <w:p>
      <w:pPr>
        <w:jc w:val="both"/>
        <w:ind w:left="8" w:right="60"/>
        <w:spacing w:after="0" w:line="298" w:lineRule="auto"/>
        <w:rPr>
          <w:sz w:val="20"/>
          <w:szCs w:val="20"/>
          <w:color w:val="auto"/>
        </w:rPr>
      </w:pPr>
      <w:r>
        <w:rPr>
          <w:rFonts w:ascii="Arial" w:cs="Arial" w:eastAsia="Arial" w:hAnsi="Arial"/>
          <w:sz w:val="11"/>
          <w:szCs w:val="11"/>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part of an audit in accordance with ISAs, we exercise professional judgment and maintain professional scepticism throughout the audit. We also:</w:t>
      </w:r>
    </w:p>
    <w:p>
      <w:pPr>
        <w:spacing w:after="0" w:line="150" w:lineRule="exact"/>
        <w:rPr>
          <w:sz w:val="20"/>
          <w:szCs w:val="20"/>
          <w:color w:val="auto"/>
        </w:rPr>
      </w:pPr>
    </w:p>
    <w:p>
      <w:pPr>
        <w:ind w:left="208" w:right="60" w:hanging="208"/>
        <w:spacing w:after="0" w:line="255"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Identified and assessed the risks of material misstatement of the consolidated financial statements, whether due to fraud or error; and designed and performed audit procedures responsive to those risks, and obtained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 w:lineRule="exact"/>
        <w:rPr>
          <w:rFonts w:ascii="Arial" w:cs="Arial" w:eastAsia="Arial" w:hAnsi="Arial"/>
          <w:sz w:val="12"/>
          <w:szCs w:val="12"/>
          <w:color w:val="auto"/>
        </w:rPr>
      </w:pPr>
    </w:p>
    <w:p>
      <w:pPr>
        <w:ind w:left="208" w:right="20" w:hanging="208"/>
        <w:spacing w:after="0" w:line="250"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Obtained an understanding of internal control relevant to the audit in order to design audit procedures that are appropriate in the circumstances, but not for the purpose of expressing an opinion on the effectiveness of the Credicorp Ltd. and its subsidiaries’ internal control.</w:t>
      </w:r>
    </w:p>
    <w:p>
      <w:pPr>
        <w:ind w:left="208" w:hanging="208"/>
        <w:spacing w:after="0"/>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Evaluated the appropriateness of accounting policies used and the reasonableness of accounting estimates and related disclosures made by management.</w:t>
      </w:r>
    </w:p>
    <w:p>
      <w:pPr>
        <w:spacing w:after="0" w:line="6" w:lineRule="exact"/>
        <w:rPr>
          <w:rFonts w:ascii="Arial" w:cs="Arial" w:eastAsia="Arial" w:hAnsi="Arial"/>
          <w:sz w:val="12"/>
          <w:szCs w:val="12"/>
          <w:color w:val="auto"/>
        </w:rPr>
      </w:pPr>
    </w:p>
    <w:p>
      <w:pPr>
        <w:ind w:left="208" w:right="60" w:hanging="208"/>
        <w:spacing w:after="0" w:line="250"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Concluded on the appropriateness of management’s use of the going concern basis of accounting and, based on the audit evidence obtained, nothing has come to our attention regarding the existence of material uncertainty related to events or conditions that may cast significant doubt on the ability of Credicorp Ltd. and its subsidiaries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Credicorp Ltd. and its subsidiaries to cease to continue as a going concern.</w:t>
      </w:r>
    </w:p>
    <w:p>
      <w:pPr>
        <w:spacing w:after="0" w:line="1" w:lineRule="exact"/>
        <w:rPr>
          <w:rFonts w:ascii="Arial" w:cs="Arial" w:eastAsia="Arial" w:hAnsi="Arial"/>
          <w:sz w:val="12"/>
          <w:szCs w:val="12"/>
          <w:color w:val="auto"/>
        </w:rPr>
      </w:pPr>
    </w:p>
    <w:p>
      <w:pPr>
        <w:ind w:left="208" w:hanging="208"/>
        <w:spacing w:after="0" w:line="261"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Evaluated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285" w:lineRule="exact"/>
        <w:rPr>
          <w:rFonts w:ascii="Arial" w:cs="Arial" w:eastAsia="Arial" w:hAnsi="Arial"/>
          <w:sz w:val="12"/>
          <w:szCs w:val="12"/>
          <w:color w:val="auto"/>
        </w:rPr>
      </w:pPr>
    </w:p>
    <w:p>
      <w:pPr>
        <w:ind w:left="5708" w:hanging="62"/>
        <w:spacing w:after="0"/>
        <w:tabs>
          <w:tab w:leader="none" w:pos="5708" w:val="left"/>
        </w:tabs>
        <w:numPr>
          <w:ilvl w:val="1"/>
          <w:numId w:val="5"/>
        </w:numPr>
        <w:rPr>
          <w:rFonts w:ascii="Arial" w:cs="Arial" w:eastAsia="Arial" w:hAnsi="Arial"/>
          <w:sz w:val="12"/>
          <w:szCs w:val="12"/>
          <w:color w:val="auto"/>
        </w:rPr>
      </w:pPr>
      <w:r>
        <w:rPr>
          <w:rFonts w:ascii="Arial" w:cs="Arial" w:eastAsia="Arial" w:hAnsi="Arial"/>
          <w:sz w:val="12"/>
          <w:szCs w:val="1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67" w:right="219" w:bottom="1440" w:gutter="0" w:footer="0" w:header="0"/>
        </w:sectPr>
      </w:pPr>
    </w:p>
    <w:bookmarkStart w:id="12" w:name="page13"/>
    <w:bookmarkEnd w:id="12"/>
    <w:p>
      <w:pPr>
        <w:ind w:left="208" w:right="220" w:hanging="208"/>
        <w:spacing w:after="0" w:line="276" w:lineRule="auto"/>
        <w:tabs>
          <w:tab w:leader="none" w:pos="208" w:val="left"/>
        </w:tabs>
        <w:numPr>
          <w:ilvl w:val="0"/>
          <w:numId w:val="6"/>
        </w:numPr>
        <w:rPr>
          <w:rFonts w:ascii="Arial" w:cs="Arial" w:eastAsia="Arial" w:hAnsi="Arial"/>
          <w:sz w:val="12"/>
          <w:szCs w:val="12"/>
          <w:color w:val="auto"/>
        </w:rPr>
      </w:pPr>
      <w:r>
        <w:rPr>
          <w:rFonts w:ascii="Arial" w:cs="Arial" w:eastAsia="Arial" w:hAnsi="Arial"/>
          <w:sz w:val="12"/>
          <w:szCs w:val="12"/>
          <w:color w:val="auto"/>
        </w:rPr>
        <w:t>Obtained sufficient appropriate audit evidence regarding the financial information of the entities or business activities within the Group to express an opinion on the consolidated financial statements. We were responsible for the direction, supervision and performance of the Group audit. We remain solely responsible for our audit opinion.</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also provided those charged with Corporate Governance with a statement that we have complied with relevant ethical requirements regarding independence, and we have communicated to them all relationships and other matters that may reasonably be thought to bear on our independence, and where applicable, including the respective safeguards.</w:t>
      </w:r>
    </w:p>
    <w:p>
      <w:pPr>
        <w:spacing w:after="0" w:line="115" w:lineRule="exact"/>
        <w:rPr>
          <w:sz w:val="20"/>
          <w:szCs w:val="20"/>
          <w:color w:val="auto"/>
        </w:rPr>
      </w:pPr>
    </w:p>
    <w:p>
      <w:pPr>
        <w:ind w:left="8" w:right="20"/>
        <w:spacing w:after="0" w:line="298" w:lineRule="auto"/>
        <w:rPr>
          <w:sz w:val="20"/>
          <w:szCs w:val="20"/>
          <w:color w:val="auto"/>
        </w:rPr>
      </w:pPr>
      <w:r>
        <w:rPr>
          <w:rFonts w:ascii="Arial" w:cs="Arial" w:eastAsia="Arial" w:hAnsi="Arial"/>
          <w:sz w:val="11"/>
          <w:szCs w:val="11"/>
          <w:color w:val="auto"/>
        </w:rPr>
        <w:t>From the matters communicated with those charged with Corporate Governance, we determined those matters that were of most significance in the audit of the consolidated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292340" cy="571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47" w:lineRule="exact"/>
        <w:rPr>
          <w:sz w:val="20"/>
          <w:szCs w:val="20"/>
          <w:color w:val="auto"/>
        </w:rPr>
      </w:pPr>
    </w:p>
    <w:p>
      <w:pPr>
        <w:ind w:left="8"/>
        <w:spacing w:after="0"/>
        <w:rPr>
          <w:sz w:val="20"/>
          <w:szCs w:val="20"/>
          <w:color w:val="auto"/>
        </w:rPr>
      </w:pPr>
      <w:r>
        <w:rPr>
          <w:rFonts w:ascii="Arial" w:cs="Arial" w:eastAsia="Arial" w:hAnsi="Arial"/>
          <w:sz w:val="12"/>
          <w:szCs w:val="12"/>
          <w:color w:val="auto"/>
        </w:rPr>
        <w:t>Lima, February 27, 2020</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Countersigned by</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-------------------------------------------------(partner)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/S/Fernando Gaveglio</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Peruvian Certified Public Accountant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Registration No.01-019847</w:t>
      </w:r>
    </w:p>
    <w:p>
      <w:pPr>
        <w:spacing w:after="0" w:line="285" w:lineRule="exact"/>
        <w:rPr>
          <w:sz w:val="20"/>
          <w:szCs w:val="20"/>
          <w:color w:val="auto"/>
        </w:rPr>
      </w:pPr>
    </w:p>
    <w:p>
      <w:pPr>
        <w:jc w:val="center"/>
        <w:ind w:right="-167"/>
        <w:spacing w:after="0"/>
        <w:rPr>
          <w:sz w:val="20"/>
          <w:szCs w:val="20"/>
          <w:color w:val="auto"/>
        </w:rPr>
      </w:pPr>
      <w:r>
        <w:rPr>
          <w:rFonts w:ascii="Arial" w:cs="Arial" w:eastAsia="Arial" w:hAnsi="Arial"/>
          <w:sz w:val="12"/>
          <w:szCs w:val="1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571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28"/>
          </w:cols>
          <w:pgMar w:left="212" w:top="671"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7"/>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CREDICORP LTD. AND SUBSIDIARIES</w:t>
            </w: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4880" w:type="dxa"/>
            <w:vAlign w:val="bottom"/>
            <w:gridSpan w:val="2"/>
          </w:tcPr>
          <w:p>
            <w:pPr>
              <w:spacing w:after="0"/>
              <w:rPr>
                <w:sz w:val="20"/>
                <w:szCs w:val="20"/>
                <w:color w:val="auto"/>
              </w:rPr>
            </w:pPr>
            <w:r>
              <w:rPr>
                <w:rFonts w:ascii="Arial" w:cs="Arial" w:eastAsia="Arial" w:hAnsi="Arial"/>
                <w:sz w:val="12"/>
                <w:szCs w:val="12"/>
                <w:color w:val="auto"/>
              </w:rPr>
              <w:t>CONSOLIDATED STATEMENT OF FINANCIAL POSITION</w:t>
            </w: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2"/>
                <w:szCs w:val="12"/>
                <w:color w:val="auto"/>
              </w:rPr>
              <w:t>AT DECEMBER 31, 2019 AND 2018</w:t>
            </w: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Arial" w:cs="Arial" w:eastAsia="Arial" w:hAnsi="Arial"/>
                <w:sz w:val="12"/>
                <w:szCs w:val="12"/>
                <w:b w:val="1"/>
                <w:bCs w:val="1"/>
                <w:color w:val="auto"/>
              </w:rPr>
              <w:t>Note</w:t>
            </w:r>
          </w:p>
        </w:tc>
        <w:tc>
          <w:tcPr>
            <w:tcW w:w="1280" w:type="dxa"/>
            <w:vAlign w:val="bottom"/>
          </w:tcPr>
          <w:p>
            <w:pPr>
              <w:ind w:left="5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40" w:type="dxa"/>
            <w:vAlign w:val="bottom"/>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ind w:right="32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Cash and due from banks:</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Non-interest-bearing</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6,177,356</w:t>
            </w:r>
          </w:p>
        </w:tc>
        <w:tc>
          <w:tcPr>
            <w:tcW w:w="1240" w:type="dxa"/>
            <w:vAlign w:val="bottom"/>
          </w:tcPr>
          <w:p>
            <w:pPr>
              <w:jc w:val="right"/>
              <w:spacing w:after="0"/>
              <w:rPr>
                <w:sz w:val="20"/>
                <w:szCs w:val="20"/>
                <w:color w:val="auto"/>
              </w:rPr>
            </w:pPr>
            <w:r>
              <w:rPr>
                <w:rFonts w:ascii="Arial" w:cs="Arial" w:eastAsia="Arial" w:hAnsi="Arial"/>
                <w:sz w:val="12"/>
                <w:szCs w:val="12"/>
                <w:color w:val="auto"/>
              </w:rPr>
              <w:t>7,435,807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Interest-bearing</w:t>
            </w:r>
          </w:p>
        </w:tc>
        <w:tc>
          <w:tcPr>
            <w:tcW w:w="2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19,809,406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14,732,709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620" w:type="dxa"/>
            <w:vAlign w:val="bottom"/>
            <w:gridSpan w:val="2"/>
          </w:tcPr>
          <w:p>
            <w:pPr>
              <w:jc w:val="center"/>
              <w:ind w:left="2420"/>
              <w:spacing w:after="0" w:line="133" w:lineRule="exact"/>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25,986,762</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22,168,516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Cash collateral, reverse repurchase agreements and securities borrowing</w:t>
            </w:r>
          </w:p>
        </w:tc>
        <w:tc>
          <w:tcPr>
            <w:tcW w:w="236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Arial" w:cs="Arial" w:eastAsia="Arial" w:hAnsi="Arial"/>
                <w:sz w:val="12"/>
                <w:szCs w:val="12"/>
                <w:color w:val="auto"/>
                <w:w w:val="84"/>
              </w:rPr>
              <w:t>5(a)</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4,288,524</w:t>
            </w:r>
          </w:p>
        </w:tc>
        <w:tc>
          <w:tcPr>
            <w:tcW w:w="1240" w:type="dxa"/>
            <w:vAlign w:val="bottom"/>
          </w:tcPr>
          <w:p>
            <w:pPr>
              <w:jc w:val="right"/>
              <w:spacing w:after="0"/>
              <w:rPr>
                <w:sz w:val="20"/>
                <w:szCs w:val="20"/>
                <w:color w:val="auto"/>
              </w:rPr>
            </w:pPr>
            <w:r>
              <w:rPr>
                <w:rFonts w:ascii="Arial" w:cs="Arial" w:eastAsia="Arial" w:hAnsi="Arial"/>
                <w:sz w:val="12"/>
                <w:szCs w:val="12"/>
                <w:color w:val="auto"/>
              </w:rPr>
              <w:t>4,082,942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Investments:</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 fair value through profit or loss</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6 (a)</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3,850,762</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3,512,445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At fair value through other comprehensive income</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24,614,050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23,056,954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 fair value through other comprehensive income pledged as collateral</w:t>
            </w:r>
          </w:p>
        </w:tc>
        <w:tc>
          <w:tcPr>
            <w:tcW w:w="2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1,588,673</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2,138,881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80" w:type="dxa"/>
            <w:vAlign w:val="bottom"/>
            <w:gridSpan w:val="2"/>
          </w:tcPr>
          <w:p>
            <w:pPr>
              <w:jc w:val="center"/>
              <w:spacing w:after="0" w:line="133" w:lineRule="exact"/>
              <w:rPr>
                <w:sz w:val="20"/>
                <w:szCs w:val="20"/>
                <w:color w:val="auto"/>
              </w:rPr>
            </w:pPr>
            <w:r>
              <w:rPr>
                <w:rFonts w:ascii="Arial" w:cs="Arial" w:eastAsia="Arial" w:hAnsi="Arial"/>
                <w:sz w:val="12"/>
                <w:szCs w:val="12"/>
                <w:color w:val="auto"/>
                <w:w w:val="88"/>
              </w:rPr>
              <w:t>6 (b)</w:t>
            </w: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26,202,723</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25,195,835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Amortized cost</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1,907,738</w:t>
            </w:r>
          </w:p>
        </w:tc>
        <w:tc>
          <w:tcPr>
            <w:tcW w:w="1240" w:type="dxa"/>
            <w:vAlign w:val="bottom"/>
          </w:tcPr>
          <w:p>
            <w:pPr>
              <w:jc w:val="right"/>
              <w:spacing w:after="0"/>
              <w:rPr>
                <w:sz w:val="20"/>
                <w:szCs w:val="20"/>
                <w:color w:val="auto"/>
              </w:rPr>
            </w:pPr>
            <w:r>
              <w:rPr>
                <w:rFonts w:ascii="Arial" w:cs="Arial" w:eastAsia="Arial" w:hAnsi="Arial"/>
                <w:sz w:val="12"/>
                <w:szCs w:val="12"/>
                <w:color w:val="auto"/>
              </w:rPr>
              <w:t>1,292,203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Amortized cost pledged as collateral</w:t>
            </w:r>
          </w:p>
        </w:tc>
        <w:tc>
          <w:tcPr>
            <w:tcW w:w="2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1,569,308</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2,862,635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80" w:type="dxa"/>
            <w:vAlign w:val="bottom"/>
            <w:gridSpan w:val="2"/>
          </w:tcPr>
          <w:p>
            <w:pPr>
              <w:jc w:val="center"/>
              <w:spacing w:after="0" w:line="133" w:lineRule="exact"/>
              <w:rPr>
                <w:sz w:val="20"/>
                <w:szCs w:val="20"/>
                <w:color w:val="auto"/>
              </w:rPr>
            </w:pPr>
            <w:r>
              <w:rPr>
                <w:rFonts w:ascii="Arial" w:cs="Arial" w:eastAsia="Arial" w:hAnsi="Arial"/>
                <w:sz w:val="12"/>
                <w:szCs w:val="12"/>
                <w:color w:val="auto"/>
                <w:w w:val="91"/>
              </w:rPr>
              <w:t>6 (c)</w:t>
            </w: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3,477,046</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4,154,838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Loans, net:</w:t>
            </w:r>
          </w:p>
        </w:tc>
        <w:tc>
          <w:tcPr>
            <w:tcW w:w="3620" w:type="dxa"/>
            <w:vAlign w:val="bottom"/>
            <w:gridSpan w:val="2"/>
          </w:tcPr>
          <w:p>
            <w:pPr>
              <w:jc w:val="center"/>
              <w:ind w:left="2420"/>
              <w:spacing w:after="0"/>
              <w:rPr>
                <w:sz w:val="20"/>
                <w:szCs w:val="20"/>
                <w:color w:val="auto"/>
              </w:rPr>
            </w:pPr>
            <w:r>
              <w:rPr>
                <w:rFonts w:ascii="Arial" w:cs="Arial" w:eastAsia="Arial" w:hAnsi="Arial"/>
                <w:sz w:val="12"/>
                <w:szCs w:val="12"/>
                <w:color w:val="auto"/>
                <w:w w:val="89"/>
              </w:rPr>
              <w:t>7</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Loans, net of unearned income</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115,609,679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110,759,390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Allowance for loan losses</w:t>
            </w: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(5,123,962)</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(4,952,392)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110,485,717</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105,806,998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Financial assets designated at fair value through profit or loss</w:t>
            </w:r>
          </w:p>
        </w:tc>
        <w:tc>
          <w:tcPr>
            <w:tcW w:w="3620" w:type="dxa"/>
            <w:vAlign w:val="bottom"/>
            <w:gridSpan w:val="2"/>
            <w:shd w:val="clear" w:color="auto" w:fill="CCEEFF"/>
          </w:tcPr>
          <w:p>
            <w:pPr>
              <w:jc w:val="center"/>
              <w:ind w:left="2420"/>
              <w:spacing w:after="0"/>
              <w:rPr>
                <w:sz w:val="20"/>
                <w:szCs w:val="20"/>
                <w:color w:val="auto"/>
              </w:rPr>
            </w:pPr>
            <w:r>
              <w:rPr>
                <w:rFonts w:ascii="Arial" w:cs="Arial" w:eastAsia="Arial" w:hAnsi="Arial"/>
                <w:sz w:val="12"/>
                <w:szCs w:val="12"/>
                <w:color w:val="auto"/>
                <w:w w:val="89"/>
              </w:rPr>
              <w:t>8</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620,544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521,186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Premiums and other policies receivable</w:t>
            </w:r>
          </w:p>
        </w:tc>
        <w:tc>
          <w:tcPr>
            <w:tcW w:w="236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Arial" w:cs="Arial" w:eastAsia="Arial" w:hAnsi="Arial"/>
                <w:sz w:val="12"/>
                <w:szCs w:val="12"/>
                <w:color w:val="auto"/>
                <w:w w:val="88"/>
              </w:rPr>
              <w:t>9 (a)</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838,731</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887,273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from reinsurers and coinsurers</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9 (b)</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791,704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842,043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Property, furniture and equipment, net</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10</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1,428,173</w:t>
            </w:r>
          </w:p>
        </w:tc>
        <w:tc>
          <w:tcPr>
            <w:tcW w:w="1240" w:type="dxa"/>
            <w:vAlign w:val="bottom"/>
          </w:tcPr>
          <w:p>
            <w:pPr>
              <w:jc w:val="right"/>
              <w:spacing w:after="0"/>
              <w:rPr>
                <w:sz w:val="20"/>
                <w:szCs w:val="20"/>
                <w:color w:val="auto"/>
              </w:rPr>
            </w:pPr>
            <w:r>
              <w:rPr>
                <w:rFonts w:ascii="Arial" w:cs="Arial" w:eastAsia="Arial" w:hAnsi="Arial"/>
                <w:sz w:val="12"/>
                <w:szCs w:val="12"/>
                <w:color w:val="auto"/>
              </w:rPr>
              <w:t>1,480,702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Due from customers on acceptances</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535,222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967,968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Intangible assets and goodwill, net</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11</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2,552,274</w:t>
            </w:r>
          </w:p>
        </w:tc>
        <w:tc>
          <w:tcPr>
            <w:tcW w:w="1240" w:type="dxa"/>
            <w:vAlign w:val="bottom"/>
          </w:tcPr>
          <w:p>
            <w:pPr>
              <w:jc w:val="right"/>
              <w:spacing w:after="0"/>
              <w:rPr>
                <w:sz w:val="20"/>
                <w:szCs w:val="20"/>
                <w:color w:val="auto"/>
              </w:rPr>
            </w:pPr>
            <w:r>
              <w:rPr>
                <w:rFonts w:ascii="Arial" w:cs="Arial" w:eastAsia="Arial" w:hAnsi="Arial"/>
                <w:sz w:val="12"/>
                <w:szCs w:val="12"/>
                <w:color w:val="auto"/>
              </w:rPr>
              <w:t>2,055,702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Right-of-use assets, net</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12 (a)</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839,086</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Deferred tax assets, net</w:t>
            </w:r>
          </w:p>
        </w:tc>
        <w:tc>
          <w:tcPr>
            <w:tcW w:w="2360" w:type="dxa"/>
            <w:vAlign w:val="bottom"/>
          </w:tcPr>
          <w:p>
            <w:pPr>
              <w:spacing w:after="0"/>
              <w:rPr>
                <w:sz w:val="12"/>
                <w:szCs w:val="12"/>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2"/>
                <w:szCs w:val="12"/>
                <w:color w:val="auto"/>
                <w:w w:val="91"/>
              </w:rPr>
              <w:t>19 (c)</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520,953</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463,717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620" w:type="dxa"/>
            <w:vAlign w:val="bottom"/>
            <w:gridSpan w:val="2"/>
            <w:shd w:val="clear" w:color="auto" w:fill="CCEEFF"/>
          </w:tcPr>
          <w:p>
            <w:pPr>
              <w:jc w:val="center"/>
              <w:ind w:left="2400"/>
              <w:spacing w:after="0"/>
              <w:rPr>
                <w:sz w:val="20"/>
                <w:szCs w:val="20"/>
                <w:color w:val="auto"/>
              </w:rPr>
            </w:pPr>
            <w:r>
              <w:rPr>
                <w:rFonts w:ascii="Arial" w:cs="Arial" w:eastAsia="Arial" w:hAnsi="Arial"/>
                <w:sz w:val="12"/>
                <w:szCs w:val="12"/>
                <w:color w:val="auto"/>
                <w:w w:val="89"/>
              </w:rPr>
              <w:t>13</w:t>
            </w:r>
          </w:p>
        </w:tc>
        <w:tc>
          <w:tcPr>
            <w:tcW w:w="12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5,458,470</w:t>
            </w:r>
          </w:p>
        </w:tc>
        <w:tc>
          <w:tcPr>
            <w:tcW w:w="22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5,123,036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Total assets</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187,876,691</w:t>
            </w:r>
          </w:p>
        </w:tc>
        <w:tc>
          <w:tcPr>
            <w:tcW w:w="1240" w:type="dxa"/>
            <w:vAlign w:val="bottom"/>
          </w:tcPr>
          <w:p>
            <w:pPr>
              <w:jc w:val="right"/>
              <w:spacing w:after="0"/>
              <w:rPr>
                <w:sz w:val="20"/>
                <w:szCs w:val="20"/>
                <w:color w:val="auto"/>
              </w:rPr>
            </w:pPr>
            <w:r>
              <w:rPr>
                <w:rFonts w:ascii="Arial" w:cs="Arial" w:eastAsia="Arial" w:hAnsi="Arial"/>
                <w:sz w:val="12"/>
                <w:szCs w:val="12"/>
                <w:color w:val="auto"/>
              </w:rPr>
              <w:t>177,263,201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Deposits and obligations:</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14</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Non-interest-bearing</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33,830,166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32,249,606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Interest-bearing</w:t>
            </w: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78,175,219</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72,301,704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112,005,385</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104,551,310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Payables from repurchase agreements and securities lending</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5 (b)</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7,678,016</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9,415,357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Due to banks and correspondents</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15</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8,841,732</w:t>
            </w:r>
          </w:p>
        </w:tc>
        <w:tc>
          <w:tcPr>
            <w:tcW w:w="1240" w:type="dxa"/>
            <w:vAlign w:val="bottom"/>
          </w:tcPr>
          <w:p>
            <w:pPr>
              <w:jc w:val="right"/>
              <w:spacing w:after="0"/>
              <w:rPr>
                <w:sz w:val="20"/>
                <w:szCs w:val="20"/>
                <w:color w:val="auto"/>
              </w:rPr>
            </w:pPr>
            <w:r>
              <w:rPr>
                <w:rFonts w:ascii="Arial" w:cs="Arial" w:eastAsia="Arial" w:hAnsi="Arial"/>
                <w:sz w:val="12"/>
                <w:szCs w:val="12"/>
                <w:color w:val="auto"/>
              </w:rPr>
              <w:t>8,448,140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Banker’s acceptances outstanding</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535,222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967,968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Accounts payable to reinsurers</w:t>
            </w:r>
          </w:p>
        </w:tc>
        <w:tc>
          <w:tcPr>
            <w:tcW w:w="236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Arial" w:cs="Arial" w:eastAsia="Arial" w:hAnsi="Arial"/>
                <w:sz w:val="12"/>
                <w:szCs w:val="12"/>
                <w:color w:val="auto"/>
                <w:w w:val="88"/>
              </w:rPr>
              <w:t>9 (b)</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216,734</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291,693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Lease liabilities</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12 (b)</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847,504</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Financial liabilities at fair value through profit or loss</w:t>
            </w:r>
          </w:p>
        </w:tc>
        <w:tc>
          <w:tcPr>
            <w:tcW w:w="236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Arial" w:cs="Arial" w:eastAsia="Arial" w:hAnsi="Arial"/>
                <w:sz w:val="12"/>
                <w:szCs w:val="12"/>
                <w:color w:val="auto"/>
                <w:w w:val="99"/>
              </w:rPr>
              <w:t>3 (f)(ix)</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493,700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362,310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Technical reserves for insurance claims and premiums</w:t>
            </w:r>
          </w:p>
        </w:tc>
        <w:tc>
          <w:tcPr>
            <w:tcW w:w="3620" w:type="dxa"/>
            <w:vAlign w:val="bottom"/>
            <w:gridSpan w:val="2"/>
            <w:shd w:val="clear" w:color="auto" w:fill="CCEEFF"/>
          </w:tcPr>
          <w:p>
            <w:pPr>
              <w:jc w:val="center"/>
              <w:ind w:left="2400"/>
              <w:spacing w:after="0"/>
              <w:rPr>
                <w:sz w:val="20"/>
                <w:szCs w:val="20"/>
                <w:color w:val="auto"/>
              </w:rPr>
            </w:pPr>
            <w:r>
              <w:rPr>
                <w:rFonts w:ascii="Arial" w:cs="Arial" w:eastAsia="Arial" w:hAnsi="Arial"/>
                <w:sz w:val="12"/>
                <w:szCs w:val="12"/>
                <w:color w:val="auto"/>
                <w:w w:val="89"/>
              </w:rPr>
              <w:t>16</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9,950,233</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8,452,671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Bonds and notes issued</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17</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14,946,363</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15,457,540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 net</w:t>
            </w: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91"/>
              </w:rPr>
              <w:t>19 (c)</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134,204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Other liabilities</w:t>
            </w:r>
          </w:p>
        </w:tc>
        <w:tc>
          <w:tcPr>
            <w:tcW w:w="3620" w:type="dxa"/>
            <w:vAlign w:val="bottom"/>
            <w:gridSpan w:val="2"/>
          </w:tcPr>
          <w:p>
            <w:pPr>
              <w:jc w:val="center"/>
              <w:ind w:left="2400"/>
              <w:spacing w:after="0"/>
              <w:rPr>
                <w:sz w:val="20"/>
                <w:szCs w:val="20"/>
                <w:color w:val="auto"/>
              </w:rPr>
            </w:pPr>
            <w:r>
              <w:rPr>
                <w:rFonts w:ascii="Arial" w:cs="Arial" w:eastAsia="Arial" w:hAnsi="Arial"/>
                <w:sz w:val="12"/>
                <w:szCs w:val="12"/>
                <w:color w:val="auto"/>
                <w:w w:val="89"/>
              </w:rPr>
              <w:t>13</w:t>
            </w:r>
          </w:p>
        </w:tc>
        <w:tc>
          <w:tcPr>
            <w:tcW w:w="1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5,481,288</w:t>
            </w:r>
          </w:p>
        </w:tc>
        <w:tc>
          <w:tcPr>
            <w:tcW w:w="1240" w:type="dxa"/>
            <w:vAlign w:val="bottom"/>
          </w:tcPr>
          <w:p>
            <w:pPr>
              <w:jc w:val="right"/>
              <w:spacing w:after="0"/>
              <w:rPr>
                <w:sz w:val="20"/>
                <w:szCs w:val="20"/>
                <w:color w:val="auto"/>
              </w:rPr>
            </w:pPr>
            <w:r>
              <w:rPr>
                <w:rFonts w:ascii="Arial" w:cs="Arial" w:eastAsia="Arial" w:hAnsi="Arial"/>
                <w:sz w:val="12"/>
                <w:szCs w:val="12"/>
                <w:color w:val="auto"/>
              </w:rPr>
              <w:t>4,941,533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23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161,130,381</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152,997,125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Equity, net</w:t>
            </w:r>
          </w:p>
        </w:tc>
        <w:tc>
          <w:tcPr>
            <w:tcW w:w="3620" w:type="dxa"/>
            <w:vAlign w:val="bottom"/>
            <w:gridSpan w:val="2"/>
            <w:shd w:val="clear" w:color="auto" w:fill="CCEEFF"/>
          </w:tcPr>
          <w:p>
            <w:pPr>
              <w:jc w:val="center"/>
              <w:ind w:left="2400"/>
              <w:spacing w:after="0"/>
              <w:rPr>
                <w:sz w:val="20"/>
                <w:szCs w:val="20"/>
                <w:color w:val="auto"/>
              </w:rPr>
            </w:pPr>
            <w:r>
              <w:rPr>
                <w:rFonts w:ascii="Arial" w:cs="Arial" w:eastAsia="Arial" w:hAnsi="Arial"/>
                <w:sz w:val="12"/>
                <w:szCs w:val="12"/>
                <w:color w:val="auto"/>
                <w:w w:val="89"/>
              </w:rPr>
              <w:t>18</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Equity attributable to Credicorp´s equity holders:</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 stock</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1,318,993</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Treasury stock</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(207,839)</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(207,994)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 surplus</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226,037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246,194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Reserves</w:t>
            </w: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19,437,645</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17,598,556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reserves</w:t>
            </w:r>
          </w:p>
        </w:tc>
        <w:tc>
          <w:tcPr>
            <w:tcW w:w="2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1,088,189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708,453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Retained earnings</w:t>
            </w: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4,374,935</w:t>
            </w:r>
          </w:p>
        </w:tc>
        <w:tc>
          <w:tcPr>
            <w:tcW w:w="1240" w:type="dxa"/>
            <w:vAlign w:val="bottom"/>
          </w:tcPr>
          <w:p>
            <w:pPr>
              <w:jc w:val="right"/>
              <w:spacing w:after="0"/>
              <w:rPr>
                <w:sz w:val="20"/>
                <w:szCs w:val="20"/>
                <w:color w:val="auto"/>
              </w:rPr>
            </w:pPr>
            <w:r>
              <w:rPr>
                <w:rFonts w:ascii="Arial" w:cs="Arial" w:eastAsia="Arial" w:hAnsi="Arial"/>
                <w:sz w:val="12"/>
                <w:szCs w:val="12"/>
                <w:color w:val="auto"/>
              </w:rPr>
              <w:t>4,175,041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26,237,960</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23,839,243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2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508,350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426,833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equity, net</w:t>
            </w:r>
          </w:p>
        </w:tc>
        <w:tc>
          <w:tcPr>
            <w:tcW w:w="236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26,746,310</w:t>
            </w:r>
          </w:p>
        </w:tc>
        <w:tc>
          <w:tcPr>
            <w:tcW w:w="22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24,266,076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and net equity</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187,876,691</w:t>
            </w:r>
          </w:p>
        </w:tc>
        <w:tc>
          <w:tcPr>
            <w:tcW w:w="1240" w:type="dxa"/>
            <w:vAlign w:val="bottom"/>
          </w:tcPr>
          <w:p>
            <w:pPr>
              <w:jc w:val="right"/>
              <w:spacing w:after="0"/>
              <w:rPr>
                <w:sz w:val="20"/>
                <w:szCs w:val="20"/>
                <w:color w:val="auto"/>
              </w:rPr>
            </w:pPr>
            <w:r>
              <w:rPr>
                <w:rFonts w:ascii="Arial" w:cs="Arial" w:eastAsia="Arial" w:hAnsi="Arial"/>
                <w:sz w:val="12"/>
                <w:szCs w:val="12"/>
                <w:color w:val="auto"/>
              </w:rPr>
              <w:t>177,263,201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4880" w:type="dxa"/>
            <w:vAlign w:val="bottom"/>
            <w:gridSpan w:val="2"/>
          </w:tcPr>
          <w:p>
            <w:pPr>
              <w:spacing w:after="0"/>
              <w:rPr>
                <w:sz w:val="20"/>
                <w:szCs w:val="20"/>
                <w:color w:val="auto"/>
              </w:rPr>
            </w:pPr>
            <w:r>
              <w:rPr>
                <w:rFonts w:ascii="Arial" w:cs="Arial" w:eastAsia="Arial" w:hAnsi="Arial"/>
                <w:sz w:val="12"/>
                <w:szCs w:val="12"/>
                <w:color w:val="auto"/>
              </w:rPr>
              <w:t>The accompanying notes are an integral part of these consolidated financial statement.</w:t>
            </w: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340"/>
              <w:spacing w:after="0"/>
              <w:rPr>
                <w:sz w:val="20"/>
                <w:szCs w:val="20"/>
                <w:color w:val="auto"/>
              </w:rPr>
            </w:pPr>
            <w:r>
              <w:rPr>
                <w:rFonts w:ascii="Arial" w:cs="Arial" w:eastAsia="Arial" w:hAnsi="Arial"/>
                <w:sz w:val="12"/>
                <w:szCs w:val="12"/>
                <w:color w:val="auto"/>
              </w:rPr>
              <w:t>- 9 -</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20" w:type="dxa"/>
            <w:vAlign w:val="bottom"/>
            <w:gridSpan w:val="2"/>
          </w:tcPr>
          <w:p>
            <w:pPr>
              <w:spacing w:after="0"/>
              <w:rPr>
                <w:sz w:val="20"/>
                <w:szCs w:val="20"/>
                <w:color w:val="auto"/>
              </w:rPr>
            </w:pPr>
            <w:r>
              <w:rPr>
                <w:rFonts w:ascii="Arial" w:cs="Arial" w:eastAsia="Arial" w:hAnsi="Arial"/>
                <w:sz w:val="12"/>
                <w:szCs w:val="12"/>
                <w:b w:val="1"/>
                <w:bCs w:val="1"/>
                <w:color w:val="auto"/>
              </w:rPr>
              <w:t>CREDICORP LTD. AND SUBSIDIARIES</w:t>
            </w: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120" w:type="dxa"/>
            <w:vAlign w:val="bottom"/>
            <w:gridSpan w:val="2"/>
          </w:tcPr>
          <w:p>
            <w:pPr>
              <w:spacing w:after="0"/>
              <w:rPr>
                <w:sz w:val="20"/>
                <w:szCs w:val="20"/>
                <w:color w:val="auto"/>
              </w:rPr>
            </w:pPr>
            <w:r>
              <w:rPr>
                <w:rFonts w:ascii="Arial" w:cs="Arial" w:eastAsia="Arial" w:hAnsi="Arial"/>
                <w:sz w:val="12"/>
                <w:szCs w:val="12"/>
                <w:color w:val="auto"/>
              </w:rPr>
              <w:t>CONSOLIDATED STATEMENT OF INCOME</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120" w:type="dxa"/>
            <w:vAlign w:val="bottom"/>
            <w:gridSpan w:val="2"/>
          </w:tcPr>
          <w:p>
            <w:pPr>
              <w:spacing w:after="0"/>
              <w:rPr>
                <w:sz w:val="20"/>
                <w:szCs w:val="20"/>
                <w:color w:val="auto"/>
              </w:rPr>
            </w:pPr>
            <w:r>
              <w:rPr>
                <w:rFonts w:ascii="Arial" w:cs="Arial" w:eastAsia="Arial" w:hAnsi="Arial"/>
                <w:sz w:val="12"/>
                <w:szCs w:val="12"/>
                <w:color w:val="auto"/>
              </w:rPr>
              <w:t>FOR THE YEARS ENDED DECEMBER 31, 2019, 2018 AND 2017</w:t>
            </w: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ind w:left="520"/>
              <w:spacing w:after="0"/>
              <w:rPr>
                <w:sz w:val="20"/>
                <w:szCs w:val="20"/>
                <w:color w:val="auto"/>
              </w:rPr>
            </w:pPr>
            <w:r>
              <w:rPr>
                <w:rFonts w:ascii="Arial" w:cs="Arial" w:eastAsia="Arial" w:hAnsi="Arial"/>
                <w:sz w:val="12"/>
                <w:szCs w:val="12"/>
                <w:b w:val="1"/>
                <w:bCs w:val="1"/>
                <w:color w:val="auto"/>
              </w:rPr>
              <w:t>Note</w:t>
            </w:r>
          </w:p>
        </w:tc>
        <w:tc>
          <w:tcPr>
            <w:tcW w:w="1280" w:type="dxa"/>
            <w:vAlign w:val="bottom"/>
          </w:tcPr>
          <w:p>
            <w:pPr>
              <w:ind w:left="5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80" w:type="dxa"/>
            <w:vAlign w:val="bottom"/>
          </w:tcPr>
          <w:p>
            <w:pPr>
              <w:ind w:left="5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8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40" w:type="dxa"/>
            <w:vAlign w:val="bottom"/>
            <w:tcBorders>
              <w:top w:val="single" w:sz="8" w:color="auto"/>
            </w:tcBorders>
          </w:tcPr>
          <w:p>
            <w:pPr>
              <w:ind w:left="50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Interest and similar income</w:t>
            </w:r>
          </w:p>
        </w:tc>
        <w:tc>
          <w:tcPr>
            <w:tcW w:w="1880" w:type="dxa"/>
            <w:vAlign w:val="bottom"/>
            <w:gridSpan w:val="2"/>
            <w:shd w:val="clear" w:color="auto" w:fill="CCEEFF"/>
          </w:tcPr>
          <w:p>
            <w:pPr>
              <w:jc w:val="center"/>
              <w:ind w:left="700"/>
              <w:spacing w:after="0"/>
              <w:rPr>
                <w:sz w:val="20"/>
                <w:szCs w:val="20"/>
                <w:color w:val="auto"/>
              </w:rPr>
            </w:pPr>
            <w:r>
              <w:rPr>
                <w:rFonts w:ascii="Arial" w:cs="Arial" w:eastAsia="Arial" w:hAnsi="Arial"/>
                <w:sz w:val="12"/>
                <w:szCs w:val="12"/>
                <w:color w:val="auto"/>
                <w:w w:val="89"/>
              </w:rPr>
              <w:t>22</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12,381,664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11,522,634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11,030,683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Interest and similar expenses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22</w:t>
            </w:r>
          </w:p>
        </w:tc>
        <w:tc>
          <w:tcPr>
            <w:tcW w:w="12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(3,290,867)</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(3,033,529)</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(2,959,196)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interest, similar income and expenses</w:t>
            </w:r>
          </w:p>
        </w:tc>
        <w:tc>
          <w:tcPr>
            <w:tcW w:w="6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9,090,797</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8,489,105</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8,071,487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 on loan portfolio</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6"/>
              </w:rPr>
              <w:t>7(c)</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(2,100,091)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(1,814,898)</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(2,057,478)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Recoveries of written-off loans</w:t>
            </w: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254,155</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283,190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268,313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Provision for credit losses on loan portfolio, net of recoveries</w:t>
            </w:r>
          </w:p>
        </w:tc>
        <w:tc>
          <w:tcPr>
            <w:tcW w:w="6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(1,845,936)</w:t>
            </w:r>
          </w:p>
        </w:tc>
        <w:tc>
          <w:tcPr>
            <w:tcW w:w="2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(1,531,708)</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(1,789,165)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7"/>
              </w:rPr>
              <w:t>Net interest, similar income and expenses, after provision for credit losses on loan portfolio</w:t>
            </w:r>
          </w:p>
        </w:tc>
        <w:tc>
          <w:tcPr>
            <w:tcW w:w="6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7,244,861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6,957,397</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6,282,322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w:t>
            </w:r>
          </w:p>
        </w:tc>
        <w:tc>
          <w:tcPr>
            <w:tcW w:w="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Commissions and fees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23</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3,232,781</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3,126,857</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2,911,408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gain on foreign exchange transactions</w:t>
            </w:r>
          </w:p>
        </w:tc>
        <w:tc>
          <w:tcPr>
            <w:tcW w:w="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748,382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737,954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650,228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Net gain on securities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24</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546,814</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242,829</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760,772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gain on derivatives held for trading</w:t>
            </w:r>
          </w:p>
        </w:tc>
        <w:tc>
          <w:tcPr>
            <w:tcW w:w="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6,043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13,262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103,580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Net gain from exchange differences</w:t>
            </w: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19,735</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16,022</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17,394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1880" w:type="dxa"/>
            <w:vAlign w:val="bottom"/>
            <w:gridSpan w:val="2"/>
            <w:shd w:val="clear" w:color="auto" w:fill="CCEEFF"/>
          </w:tcPr>
          <w:p>
            <w:pPr>
              <w:jc w:val="center"/>
              <w:ind w:left="700"/>
              <w:spacing w:after="0"/>
              <w:rPr>
                <w:sz w:val="20"/>
                <w:szCs w:val="20"/>
                <w:color w:val="auto"/>
              </w:rPr>
            </w:pPr>
            <w:r>
              <w:rPr>
                <w:rFonts w:ascii="Arial" w:cs="Arial" w:eastAsia="Arial" w:hAnsi="Arial"/>
                <w:sz w:val="12"/>
                <w:szCs w:val="12"/>
                <w:color w:val="auto"/>
                <w:w w:val="89"/>
              </w:rPr>
              <w:t>29</w:t>
            </w: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344,229</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273,882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249,197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other income</w:t>
            </w:r>
          </w:p>
        </w:tc>
        <w:tc>
          <w:tcPr>
            <w:tcW w:w="62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4,897,984</w:t>
            </w:r>
          </w:p>
        </w:tc>
        <w:tc>
          <w:tcPr>
            <w:tcW w:w="220" w:type="dxa"/>
            <w:vAlign w:val="bottom"/>
            <w:tcBorders>
              <w:bottom w:val="single" w:sz="8" w:color="CCEEFF"/>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4,410,806</w:t>
            </w:r>
          </w:p>
        </w:tc>
        <w:tc>
          <w:tcPr>
            <w:tcW w:w="22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4,692,579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b w:val="1"/>
                <w:bCs w:val="1"/>
                <w:color w:val="auto"/>
              </w:rPr>
              <w:t>Insurance underwriting result</w:t>
            </w: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premiums earned</w:t>
            </w:r>
          </w:p>
        </w:tc>
        <w:tc>
          <w:tcPr>
            <w:tcW w:w="1880" w:type="dxa"/>
            <w:vAlign w:val="bottom"/>
            <w:gridSpan w:val="2"/>
            <w:shd w:val="clear" w:color="auto" w:fill="CCEEFF"/>
          </w:tcPr>
          <w:p>
            <w:pPr>
              <w:jc w:val="center"/>
              <w:ind w:left="700"/>
              <w:spacing w:after="0"/>
              <w:rPr>
                <w:sz w:val="20"/>
                <w:szCs w:val="20"/>
                <w:color w:val="auto"/>
              </w:rPr>
            </w:pPr>
            <w:r>
              <w:rPr>
                <w:rFonts w:ascii="Arial" w:cs="Arial" w:eastAsia="Arial" w:hAnsi="Arial"/>
                <w:sz w:val="12"/>
                <w:szCs w:val="12"/>
                <w:color w:val="auto"/>
                <w:w w:val="89"/>
              </w:rPr>
              <w:t>25</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2,419,349</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2,091,366</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1,875,973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Net claims incurred for life, general and health insurance contracts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26</w:t>
            </w: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(1,554,477)</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(1,239,635)</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(1,118,304)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Acquisition cost</w:t>
            </w:r>
          </w:p>
        </w:tc>
        <w:tc>
          <w:tcPr>
            <w:tcW w:w="6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(365,848)</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(380,310)</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(269,504)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Pr>
          <w:p>
            <w:pPr>
              <w:spacing w:after="0" w:line="133" w:lineRule="exact"/>
              <w:rPr>
                <w:sz w:val="20"/>
                <w:szCs w:val="20"/>
                <w:color w:val="auto"/>
              </w:rPr>
            </w:pPr>
            <w:r>
              <w:rPr>
                <w:rFonts w:ascii="Arial" w:cs="Arial" w:eastAsia="Arial" w:hAnsi="Arial"/>
                <w:sz w:val="12"/>
                <w:szCs w:val="12"/>
                <w:b w:val="1"/>
                <w:bCs w:val="1"/>
                <w:color w:val="auto"/>
              </w:rPr>
              <w:t>Total insurance underwriting result</w:t>
            </w:r>
          </w:p>
        </w:tc>
        <w:tc>
          <w:tcPr>
            <w:tcW w:w="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499,024</w:t>
            </w:r>
          </w:p>
        </w:tc>
        <w:tc>
          <w:tcPr>
            <w:tcW w:w="22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471,421</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488,165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b w:val="1"/>
                <w:bCs w:val="1"/>
                <w:color w:val="auto"/>
              </w:rPr>
              <w:t>Other expenses</w:t>
            </w: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Salaries and employee benefits</w:t>
            </w:r>
          </w:p>
        </w:tc>
        <w:tc>
          <w:tcPr>
            <w:tcW w:w="1880" w:type="dxa"/>
            <w:vAlign w:val="bottom"/>
            <w:gridSpan w:val="2"/>
            <w:shd w:val="clear" w:color="auto" w:fill="CCEEFF"/>
          </w:tcPr>
          <w:p>
            <w:pPr>
              <w:jc w:val="center"/>
              <w:ind w:left="700"/>
              <w:spacing w:after="0"/>
              <w:rPr>
                <w:sz w:val="20"/>
                <w:szCs w:val="20"/>
                <w:color w:val="auto"/>
              </w:rPr>
            </w:pPr>
            <w:r>
              <w:rPr>
                <w:rFonts w:ascii="Arial" w:cs="Arial" w:eastAsia="Arial" w:hAnsi="Arial"/>
                <w:sz w:val="12"/>
                <w:szCs w:val="12"/>
                <w:color w:val="auto"/>
                <w:w w:val="89"/>
              </w:rPr>
              <w:t>27</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(3,411,023)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(3,219,875)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(3,071,020)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Administrative expenses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28</w:t>
            </w:r>
          </w:p>
        </w:tc>
        <w:tc>
          <w:tcPr>
            <w:tcW w:w="1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(2,354,630)</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(2,330,044)</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(2,158,823)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10 and 11(a)</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(455,032)</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(429,122)</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(419,975)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Depreciation for right-of-use assets</w:t>
            </w:r>
          </w:p>
        </w:tc>
        <w:tc>
          <w:tcPr>
            <w:tcW w:w="62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Arial" w:cs="Arial" w:eastAsia="Arial" w:hAnsi="Arial"/>
                <w:sz w:val="12"/>
                <w:szCs w:val="12"/>
                <w:color w:val="auto"/>
                <w:w w:val="89"/>
              </w:rPr>
              <w:t>12 (a)</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(177,307)</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Impairment loss on goodwill</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11 (b)</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(38,189)</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Others</w:t>
            </w:r>
          </w:p>
        </w:tc>
        <w:tc>
          <w:tcPr>
            <w:tcW w:w="1880" w:type="dxa"/>
            <w:vAlign w:val="bottom"/>
            <w:gridSpan w:val="2"/>
          </w:tcPr>
          <w:p>
            <w:pPr>
              <w:jc w:val="center"/>
              <w:ind w:left="700"/>
              <w:spacing w:after="0"/>
              <w:rPr>
                <w:sz w:val="20"/>
                <w:szCs w:val="20"/>
                <w:color w:val="auto"/>
              </w:rPr>
            </w:pPr>
            <w:r>
              <w:rPr>
                <w:rFonts w:ascii="Arial" w:cs="Arial" w:eastAsia="Arial" w:hAnsi="Arial"/>
                <w:sz w:val="12"/>
                <w:szCs w:val="12"/>
                <w:color w:val="auto"/>
                <w:w w:val="89"/>
              </w:rPr>
              <w:t>29</w:t>
            </w:r>
          </w:p>
        </w:tc>
        <w:tc>
          <w:tcPr>
            <w:tcW w:w="12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(268,469)</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(230,180)</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(238,314)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other expenses</w:t>
            </w:r>
          </w:p>
        </w:tc>
        <w:tc>
          <w:tcPr>
            <w:tcW w:w="6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(6,666,461)</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(6,247,410)</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(5,888,132)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2"/>
                <w:szCs w:val="12"/>
                <w:color w:val="auto"/>
              </w:rPr>
              <w:t>- 10 -</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40" w:type="dxa"/>
            <w:vAlign w:val="bottom"/>
            <w:gridSpan w:val="2"/>
          </w:tcPr>
          <w:p>
            <w:pPr>
              <w:spacing w:after="0"/>
              <w:rPr>
                <w:sz w:val="20"/>
                <w:szCs w:val="20"/>
                <w:color w:val="auto"/>
              </w:rPr>
            </w:pPr>
            <w:r>
              <w:rPr>
                <w:rFonts w:ascii="Arial" w:cs="Arial" w:eastAsia="Arial" w:hAnsi="Arial"/>
                <w:sz w:val="12"/>
                <w:szCs w:val="12"/>
                <w:color w:val="auto"/>
              </w:rPr>
              <w:t>CONSOLIDATED STATEMENT OF INCOME (CONTINUED)</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Note</w:t>
            </w:r>
          </w:p>
        </w:tc>
        <w:tc>
          <w:tcPr>
            <w:tcW w:w="1280" w:type="dxa"/>
            <w:vAlign w:val="bottom"/>
          </w:tcPr>
          <w:p>
            <w:pPr>
              <w:ind w:left="5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80" w:type="dxa"/>
            <w:vAlign w:val="bottom"/>
          </w:tcPr>
          <w:p>
            <w:pPr>
              <w:ind w:left="5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8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40" w:type="dxa"/>
            <w:vAlign w:val="bottom"/>
            <w:tcBorders>
              <w:top w:val="single" w:sz="8" w:color="auto"/>
            </w:tcBorders>
          </w:tcPr>
          <w:p>
            <w:pPr>
              <w:ind w:left="50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Profit before income tax</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5,975,408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5,592,214</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5,574,934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Income tax</w:t>
            </w:r>
          </w:p>
        </w:tc>
        <w:tc>
          <w:tcPr>
            <w:tcW w:w="1380" w:type="dxa"/>
            <w:vAlign w:val="bottom"/>
            <w:gridSpan w:val="2"/>
          </w:tcPr>
          <w:p>
            <w:pPr>
              <w:ind w:left="540"/>
              <w:spacing w:after="0"/>
              <w:rPr>
                <w:sz w:val="20"/>
                <w:szCs w:val="20"/>
                <w:color w:val="auto"/>
              </w:rPr>
            </w:pPr>
            <w:r>
              <w:rPr>
                <w:rFonts w:ascii="Arial" w:cs="Arial" w:eastAsia="Arial" w:hAnsi="Arial"/>
                <w:sz w:val="12"/>
                <w:szCs w:val="12"/>
                <w:color w:val="auto"/>
              </w:rPr>
              <w:t>19 (b)</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(1,623,077)</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(1,520,909)</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(1,393,286)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profit</w:t>
            </w:r>
          </w:p>
        </w:tc>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4,352,331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4,071,305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4,181,648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Attributable to:</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Credicorp’s equity holders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4,265,304</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3,983,865</w:t>
            </w:r>
          </w:p>
        </w:tc>
        <w:tc>
          <w:tcPr>
            <w:tcW w:w="1240" w:type="dxa"/>
            <w:vAlign w:val="bottom"/>
          </w:tcPr>
          <w:p>
            <w:pPr>
              <w:jc w:val="right"/>
              <w:spacing w:after="0"/>
              <w:rPr>
                <w:sz w:val="20"/>
                <w:szCs w:val="20"/>
                <w:color w:val="auto"/>
              </w:rPr>
            </w:pPr>
            <w:r>
              <w:rPr>
                <w:rFonts w:ascii="Arial" w:cs="Arial" w:eastAsia="Arial" w:hAnsi="Arial"/>
                <w:sz w:val="12"/>
                <w:szCs w:val="12"/>
                <w:color w:val="auto"/>
              </w:rPr>
              <w:t>4,091,753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87,027</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87,440</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4,352,331</w:t>
            </w:r>
          </w:p>
        </w:tc>
        <w:tc>
          <w:tcPr>
            <w:tcW w:w="2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4,071,305</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4,181,648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Net basic and dilutive earnings per share attributable to Credicorp's equity holders (in Soles):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Basic</w:t>
            </w:r>
          </w:p>
        </w:tc>
        <w:tc>
          <w:tcPr>
            <w:tcW w:w="1260" w:type="dxa"/>
            <w:vAlign w:val="bottom"/>
          </w:tcPr>
          <w:p>
            <w:pPr>
              <w:jc w:val="right"/>
              <w:ind w:right="440"/>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53.66</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50.13</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51.49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26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53.53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49.99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51.35</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53" w:right="1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7"/>
        </w:trPr>
        <w:tc>
          <w:tcPr>
            <w:tcW w:w="5400" w:type="dxa"/>
            <w:vAlign w:val="bottom"/>
            <w:gridSpan w:val="2"/>
          </w:tcPr>
          <w:p>
            <w:pPr>
              <w:spacing w:after="0"/>
              <w:rPr>
                <w:sz w:val="20"/>
                <w:szCs w:val="20"/>
                <w:color w:val="auto"/>
              </w:rPr>
            </w:pPr>
            <w:r>
              <w:rPr>
                <w:rFonts w:ascii="Arial" w:cs="Arial" w:eastAsia="Arial" w:hAnsi="Arial"/>
                <w:sz w:val="12"/>
                <w:szCs w:val="12"/>
                <w:b w:val="1"/>
                <w:bCs w:val="1"/>
                <w:color w:val="auto"/>
              </w:rPr>
              <w:t>CREDICORP LTD. AND SUBSIDIARIES</w:t>
            </w: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400" w:type="dxa"/>
            <w:vAlign w:val="bottom"/>
            <w:gridSpan w:val="2"/>
          </w:tcPr>
          <w:p>
            <w:pPr>
              <w:spacing w:after="0"/>
              <w:rPr>
                <w:sz w:val="20"/>
                <w:szCs w:val="20"/>
                <w:color w:val="auto"/>
              </w:rPr>
            </w:pPr>
            <w:r>
              <w:rPr>
                <w:rFonts w:ascii="Arial" w:cs="Arial" w:eastAsia="Arial" w:hAnsi="Arial"/>
                <w:sz w:val="12"/>
                <w:szCs w:val="12"/>
                <w:color w:val="auto"/>
              </w:rPr>
              <w:t>CONSOLIDATED STATEMENT OF COMPREHENSIVE INCOME</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400" w:type="dxa"/>
            <w:vAlign w:val="bottom"/>
            <w:gridSpan w:val="2"/>
          </w:tcPr>
          <w:p>
            <w:pPr>
              <w:spacing w:after="0"/>
              <w:rPr>
                <w:sz w:val="20"/>
                <w:szCs w:val="20"/>
                <w:color w:val="auto"/>
              </w:rPr>
            </w:pPr>
            <w:r>
              <w:rPr>
                <w:rFonts w:ascii="Arial" w:cs="Arial" w:eastAsia="Arial" w:hAnsi="Arial"/>
                <w:sz w:val="12"/>
                <w:szCs w:val="12"/>
                <w:color w:val="auto"/>
              </w:rPr>
              <w:t>FOR THE YEARS ENDED DECEMBER 31, 2019, 2018 AND 2017</w:t>
            </w: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24"/>
                <w:szCs w:val="24"/>
                <w:color w:val="auto"/>
              </w:rPr>
            </w:pPr>
          </w:p>
        </w:tc>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2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profit for the year</w:t>
            </w:r>
          </w:p>
        </w:tc>
        <w:tc>
          <w:tcPr>
            <w:tcW w:w="17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4,352,331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4,071,305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4,181,648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b w:val="1"/>
                <w:bCs w:val="1"/>
                <w:color w:val="auto"/>
              </w:rPr>
              <w:t>Other comprehensive income:</w:t>
            </w: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To be reclassified to profit or loss in subsequent periods:</w:t>
            </w:r>
          </w:p>
        </w:tc>
        <w:tc>
          <w:tcPr>
            <w:tcW w:w="17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gain (loss) on investments at fair value through other comprehensive income</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1,064,859</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(642,505)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Arial" w:cs="Arial" w:eastAsia="Arial" w:hAnsi="Arial"/>
                <w:sz w:val="12"/>
                <w:szCs w:val="12"/>
                <w:color w:val="auto"/>
              </w:rPr>
              <w:t>Income tax</w:t>
            </w:r>
          </w:p>
        </w:tc>
        <w:tc>
          <w:tcPr>
            <w:tcW w:w="1720" w:type="dxa"/>
            <w:vAlign w:val="bottom"/>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(22,259)</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11,831</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1,042,600</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(630,674)</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gain on investments available for sale</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375,710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Arial" w:cs="Arial" w:eastAsia="Arial" w:hAnsi="Arial"/>
                <w:sz w:val="12"/>
                <w:szCs w:val="12"/>
                <w:color w:val="auto"/>
              </w:rPr>
              <w:t>Income tax</w:t>
            </w:r>
          </w:p>
        </w:tc>
        <w:tc>
          <w:tcPr>
            <w:tcW w:w="1720" w:type="dxa"/>
            <w:vAlign w:val="bottom"/>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(13,962)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361,748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movement on cash flow hedges</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(37,851)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41,241</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(77,369)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Arial" w:cs="Arial" w:eastAsia="Arial" w:hAnsi="Arial"/>
                <w:sz w:val="12"/>
                <w:szCs w:val="12"/>
                <w:color w:val="auto"/>
              </w:rPr>
              <w:t>Income tax</w:t>
            </w:r>
          </w:p>
        </w:tc>
        <w:tc>
          <w:tcPr>
            <w:tcW w:w="1720" w:type="dxa"/>
            <w:vAlign w:val="bottom"/>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10,290</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(10,942)</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18,719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(27,561)</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30,299</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(58,650)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reserves</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(666,556)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(666,556)</w:t>
            </w:r>
          </w:p>
        </w:tc>
        <w:tc>
          <w:tcPr>
            <w:tcW w:w="22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Arial" w:cs="Arial" w:eastAsia="Arial" w:hAnsi="Arial"/>
                <w:sz w:val="12"/>
                <w:szCs w:val="12"/>
                <w:color w:val="auto"/>
              </w:rPr>
              <w:t>Exchange differences on translation of foreign operations</w:t>
            </w:r>
          </w:p>
        </w:tc>
        <w:tc>
          <w:tcPr>
            <w:tcW w:w="1720" w:type="dxa"/>
            <w:vAlign w:val="bottom"/>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(58,323)</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45,655</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(54,227)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(58,323)</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45,655</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(54,227)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Total</w:t>
            </w:r>
          </w:p>
        </w:tc>
        <w:tc>
          <w:tcPr>
            <w:tcW w:w="1720" w:type="dxa"/>
            <w:vAlign w:val="bottom"/>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290,160</w:t>
            </w:r>
          </w:p>
        </w:tc>
        <w:tc>
          <w:tcPr>
            <w:tcW w:w="220" w:type="dxa"/>
            <w:vAlign w:val="bottom"/>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(554,720)</w:t>
            </w:r>
          </w:p>
        </w:tc>
        <w:tc>
          <w:tcPr>
            <w:tcW w:w="22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248,871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Not to be reclassified to profit or loss in subsequent periods:</w:t>
            </w:r>
          </w:p>
        </w:tc>
        <w:tc>
          <w:tcPr>
            <w:tcW w:w="17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gain in equity instruments designated at fair value through other comprehensive income</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91,512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20,971</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Arial" w:cs="Arial" w:eastAsia="Arial" w:hAnsi="Arial"/>
                <w:sz w:val="12"/>
                <w:szCs w:val="12"/>
                <w:color w:val="auto"/>
              </w:rPr>
              <w:t>Income tax</w:t>
            </w:r>
          </w:p>
        </w:tc>
        <w:tc>
          <w:tcPr>
            <w:tcW w:w="1720" w:type="dxa"/>
            <w:vAlign w:val="bottom"/>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5,999</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(168)</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97,511</w:t>
            </w:r>
          </w:p>
        </w:tc>
        <w:tc>
          <w:tcPr>
            <w:tcW w:w="2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20,803</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Total</w:t>
            </w:r>
          </w:p>
        </w:tc>
        <w:tc>
          <w:tcPr>
            <w:tcW w:w="1720" w:type="dxa"/>
            <w:vAlign w:val="bottom"/>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97,511</w:t>
            </w:r>
          </w:p>
        </w:tc>
        <w:tc>
          <w:tcPr>
            <w:tcW w:w="220" w:type="dxa"/>
            <w:vAlign w:val="bottom"/>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20,803</w:t>
            </w:r>
          </w:p>
        </w:tc>
        <w:tc>
          <w:tcPr>
            <w:tcW w:w="22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other comprehensive income</w:t>
            </w:r>
          </w:p>
        </w:tc>
        <w:tc>
          <w:tcPr>
            <w:tcW w:w="17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18 (d)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387,671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(533,917)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248,871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80" w:type="dxa"/>
            <w:vAlign w:val="bottom"/>
            <w:tcBorders>
              <w:top w:val="single" w:sz="8" w:color="CCEEFF"/>
            </w:tcBorders>
          </w:tcPr>
          <w:p>
            <w:pPr>
              <w:spacing w:after="0"/>
              <w:rPr>
                <w:sz w:val="12"/>
                <w:szCs w:val="12"/>
                <w:color w:val="auto"/>
              </w:rPr>
            </w:pPr>
          </w:p>
        </w:tc>
        <w:tc>
          <w:tcPr>
            <w:tcW w:w="1720" w:type="dxa"/>
            <w:vAlign w:val="bottom"/>
            <w:tcBorders>
              <w:top w:val="single" w:sz="8" w:color="CCEEFF"/>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comprehensive income for the year, net of income tax</w:t>
            </w:r>
          </w:p>
        </w:tc>
        <w:tc>
          <w:tcPr>
            <w:tcW w:w="17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4,740,002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3,537,388</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4,430,519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Attributable to:</w:t>
            </w:r>
          </w:p>
        </w:tc>
        <w:tc>
          <w:tcPr>
            <w:tcW w:w="17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Credicorp's equity holders</w:t>
            </w:r>
          </w:p>
        </w:tc>
        <w:tc>
          <w:tcPr>
            <w:tcW w:w="172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4,645,040</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3,455,682</w:t>
            </w:r>
          </w:p>
        </w:tc>
        <w:tc>
          <w:tcPr>
            <w:tcW w:w="1240" w:type="dxa"/>
            <w:vAlign w:val="bottom"/>
          </w:tcPr>
          <w:p>
            <w:pPr>
              <w:jc w:val="right"/>
              <w:spacing w:after="0"/>
              <w:rPr>
                <w:sz w:val="20"/>
                <w:szCs w:val="20"/>
                <w:color w:val="auto"/>
              </w:rPr>
            </w:pPr>
            <w:r>
              <w:rPr>
                <w:rFonts w:ascii="Arial" w:cs="Arial" w:eastAsia="Arial" w:hAnsi="Arial"/>
                <w:sz w:val="12"/>
                <w:szCs w:val="12"/>
                <w:color w:val="auto"/>
              </w:rPr>
              <w:t>4,337,616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1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94,962</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81,706</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4,740,002</w:t>
            </w:r>
          </w:p>
        </w:tc>
        <w:tc>
          <w:tcPr>
            <w:tcW w:w="2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3,537,388</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4,430,519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49" w:right="1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CREDICORP LTD. AND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 OF CHANGES IN NET EQUITY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2019, 2018 AND 2017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19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8"/>
                <w:szCs w:val="8"/>
                <w:b w:val="1"/>
                <w:bCs w:val="1"/>
                <w:color w:val="auto"/>
              </w:rPr>
              <w:t>Attributable to Credicorp's equity holders.</w:t>
            </w: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4"/>
          </w:tcPr>
          <w:p>
            <w:pPr>
              <w:jc w:val="right"/>
              <w:ind w:right="478"/>
              <w:spacing w:after="0" w:line="88" w:lineRule="exact"/>
              <w:rPr>
                <w:sz w:val="20"/>
                <w:szCs w:val="20"/>
                <w:color w:val="auto"/>
              </w:rPr>
            </w:pPr>
            <w:r>
              <w:rPr>
                <w:rFonts w:ascii="Arial" w:cs="Arial" w:eastAsia="Arial" w:hAnsi="Arial"/>
                <w:sz w:val="8"/>
                <w:szCs w:val="8"/>
                <w:b w:val="1"/>
                <w:bCs w:val="1"/>
                <w:color w:val="auto"/>
              </w:rPr>
              <w:t>Other reserves</w:t>
            </w: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gridSpan w:val="2"/>
          </w:tcPr>
          <w:p>
            <w:pPr>
              <w:jc w:val="center"/>
              <w:ind w:right="220"/>
              <w:spacing w:after="0" w:line="69" w:lineRule="exact"/>
              <w:rPr>
                <w:sz w:val="20"/>
                <w:szCs w:val="20"/>
                <w:color w:val="auto"/>
              </w:rPr>
            </w:pPr>
            <w:r>
              <w:rPr>
                <w:rFonts w:ascii="Arial" w:cs="Arial" w:eastAsia="Arial" w:hAnsi="Arial"/>
                <w:sz w:val="7"/>
                <w:szCs w:val="7"/>
                <w:b w:val="1"/>
                <w:bCs w:val="1"/>
                <w:color w:val="auto"/>
              </w:rPr>
              <w:t>Instruments</w:t>
            </w: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8"/>
              </w:rPr>
              <w:t>that will not</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5"/>
              </w:rPr>
              <w:t>be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0"/>
              </w:rPr>
              <w:t>reclassified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to income</w:t>
            </w:r>
          </w:p>
        </w:tc>
        <w:tc>
          <w:tcPr>
            <w:tcW w:w="3360" w:type="dxa"/>
            <w:vAlign w:val="bottom"/>
            <w:gridSpan w:val="10"/>
          </w:tcPr>
          <w:p>
            <w:pPr>
              <w:jc w:val="right"/>
              <w:ind w:right="440"/>
              <w:spacing w:after="0"/>
              <w:rPr>
                <w:sz w:val="20"/>
                <w:szCs w:val="20"/>
                <w:color w:val="auto"/>
              </w:rPr>
            </w:pPr>
            <w:r>
              <w:rPr>
                <w:rFonts w:ascii="Arial" w:cs="Arial" w:eastAsia="Arial" w:hAnsi="Arial"/>
                <w:sz w:val="8"/>
                <w:szCs w:val="8"/>
                <w:b w:val="1"/>
                <w:bCs w:val="1"/>
                <w:color w:val="auto"/>
                <w:w w:val="99"/>
              </w:rPr>
              <w:t>Instruments that will be reclassified to the consolidated statement of income</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gridSpan w:val="2"/>
          </w:tcPr>
          <w:p>
            <w:pPr>
              <w:jc w:val="center"/>
              <w:ind w:right="220"/>
              <w:spacing w:after="0" w:line="69" w:lineRule="exact"/>
              <w:rPr>
                <w:sz w:val="20"/>
                <w:szCs w:val="20"/>
                <w:color w:val="auto"/>
              </w:rPr>
            </w:pPr>
            <w:r>
              <w:rPr>
                <w:rFonts w:ascii="Arial" w:cs="Arial" w:eastAsia="Arial" w:hAnsi="Arial"/>
                <w:sz w:val="7"/>
                <w:szCs w:val="7"/>
                <w:b w:val="1"/>
                <w:bCs w:val="1"/>
                <w:color w:val="auto"/>
              </w:rPr>
              <w:t>Available-</w:t>
            </w:r>
          </w:p>
        </w:tc>
        <w:tc>
          <w:tcPr>
            <w:tcW w:w="4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Foreign</w:t>
            </w: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Investments</w:t>
            </w:r>
          </w:p>
        </w:tc>
        <w:tc>
          <w:tcPr>
            <w:tcW w:w="7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9"/>
              </w:rPr>
              <w:t>for-</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Investments</w:t>
            </w:r>
          </w:p>
        </w:tc>
        <w:tc>
          <w:tcPr>
            <w:tcW w:w="6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5"/>
              </w:rPr>
              <w:t>Cash flow</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currency</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7"/>
              </w:rPr>
              <w:t>Non-</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70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Capital</w:t>
            </w:r>
          </w:p>
        </w:tc>
        <w:tc>
          <w:tcPr>
            <w:tcW w:w="700" w:type="dxa"/>
            <w:vAlign w:val="bottom"/>
            <w:gridSpan w:val="2"/>
          </w:tcPr>
          <w:p>
            <w:pPr>
              <w:jc w:val="right"/>
              <w:ind w:right="258"/>
              <w:spacing w:after="0" w:line="90" w:lineRule="exact"/>
              <w:rPr>
                <w:sz w:val="20"/>
                <w:szCs w:val="20"/>
                <w:color w:val="auto"/>
              </w:rPr>
            </w:pPr>
            <w:r>
              <w:rPr>
                <w:rFonts w:ascii="Arial" w:cs="Arial" w:eastAsia="Arial" w:hAnsi="Arial"/>
                <w:sz w:val="8"/>
                <w:szCs w:val="8"/>
                <w:b w:val="1"/>
                <w:bCs w:val="1"/>
                <w:color w:val="auto"/>
              </w:rPr>
              <w:t>Treasury</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b w:val="1"/>
                <w:bCs w:val="1"/>
                <w:color w:val="auto"/>
              </w:rPr>
              <w:t>Capital</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7"/>
              </w:rPr>
              <w:t>in equity</w:t>
            </w:r>
          </w:p>
        </w:tc>
        <w:tc>
          <w:tcPr>
            <w:tcW w:w="70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sale</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1"/>
              </w:rPr>
              <w:t>in debt</w:t>
            </w:r>
          </w:p>
        </w:tc>
        <w:tc>
          <w:tcPr>
            <w:tcW w:w="6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84"/>
              </w:rPr>
              <w:t>hedge</w:t>
            </w:r>
          </w:p>
        </w:tc>
        <w:tc>
          <w:tcPr>
            <w:tcW w:w="68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Insurance</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7"/>
              </w:rPr>
              <w:t>translation</w:t>
            </w:r>
          </w:p>
        </w:tc>
        <w:tc>
          <w:tcPr>
            <w:tcW w:w="70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Retained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controlling</w:t>
            </w:r>
          </w:p>
        </w:tc>
        <w:tc>
          <w:tcPr>
            <w:tcW w:w="600" w:type="dxa"/>
            <w:vAlign w:val="bottom"/>
            <w:gridSpan w:val="2"/>
          </w:tcPr>
          <w:p>
            <w:pPr>
              <w:jc w:val="right"/>
              <w:ind w:right="200"/>
              <w:spacing w:after="0" w:line="90" w:lineRule="exact"/>
              <w:rPr>
                <w:sz w:val="20"/>
                <w:szCs w:val="20"/>
                <w:color w:val="auto"/>
              </w:rPr>
            </w:pPr>
            <w:r>
              <w:rPr>
                <w:rFonts w:ascii="Arial" w:cs="Arial" w:eastAsia="Arial" w:hAnsi="Arial"/>
                <w:sz w:val="8"/>
                <w:szCs w:val="8"/>
                <w:b w:val="1"/>
                <w:bCs w:val="1"/>
                <w:color w:val="auto"/>
              </w:rPr>
              <w:t>Total net</w:t>
            </w:r>
          </w:p>
        </w:tc>
        <w:tc>
          <w:tcPr>
            <w:tcW w:w="0" w:type="dxa"/>
            <w:vAlign w:val="bottom"/>
          </w:tcPr>
          <w:p>
            <w:pPr>
              <w:spacing w:after="0"/>
              <w:rPr>
                <w:sz w:val="1"/>
                <w:szCs w:val="1"/>
                <w:color w:val="auto"/>
              </w:rPr>
            </w:pPr>
          </w:p>
        </w:tc>
      </w:tr>
      <w:tr>
        <w:trPr>
          <w:trHeight w:val="101"/>
        </w:trPr>
        <w:tc>
          <w:tcPr>
            <w:tcW w:w="1960" w:type="dxa"/>
            <w:vAlign w:val="bottom"/>
          </w:tcPr>
          <w:p>
            <w:pPr>
              <w:spacing w:after="0"/>
              <w:rPr>
                <w:sz w:val="8"/>
                <w:szCs w:val="8"/>
                <w:color w:val="auto"/>
              </w:rPr>
            </w:pPr>
          </w:p>
        </w:tc>
        <w:tc>
          <w:tcPr>
            <w:tcW w:w="700" w:type="dxa"/>
            <w:vAlign w:val="bottom"/>
            <w:gridSpan w:val="2"/>
          </w:tcPr>
          <w:p>
            <w:pPr>
              <w:ind w:left="140"/>
              <w:spacing w:after="0"/>
              <w:rPr>
                <w:sz w:val="20"/>
                <w:szCs w:val="20"/>
                <w:color w:val="auto"/>
              </w:rPr>
            </w:pPr>
            <w:r>
              <w:rPr>
                <w:rFonts w:ascii="Arial" w:cs="Arial" w:eastAsia="Arial" w:hAnsi="Arial"/>
                <w:sz w:val="8"/>
                <w:szCs w:val="8"/>
                <w:b w:val="1"/>
                <w:bCs w:val="1"/>
                <w:color w:val="auto"/>
              </w:rPr>
              <w:t>stock</w:t>
            </w:r>
          </w:p>
        </w:tc>
        <w:tc>
          <w:tcPr>
            <w:tcW w:w="700" w:type="dxa"/>
            <w:vAlign w:val="bottom"/>
            <w:gridSpan w:val="2"/>
          </w:tcPr>
          <w:p>
            <w:pPr>
              <w:jc w:val="right"/>
              <w:ind w:right="318"/>
              <w:spacing w:after="0"/>
              <w:rPr>
                <w:sz w:val="20"/>
                <w:szCs w:val="20"/>
                <w:color w:val="auto"/>
              </w:rPr>
            </w:pPr>
            <w:r>
              <w:rPr>
                <w:rFonts w:ascii="Arial" w:cs="Arial" w:eastAsia="Arial" w:hAnsi="Arial"/>
                <w:sz w:val="8"/>
                <w:szCs w:val="8"/>
                <w:b w:val="1"/>
                <w:bCs w:val="1"/>
                <w:color w:val="auto"/>
              </w:rPr>
              <w:t>stock</w:t>
            </w:r>
          </w:p>
        </w:tc>
        <w:tc>
          <w:tcPr>
            <w:tcW w:w="70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rPr>
              <w:t>surplus</w:t>
            </w:r>
          </w:p>
        </w:tc>
        <w:tc>
          <w:tcPr>
            <w:tcW w:w="74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rPr>
              <w:t>Reserves</w:t>
            </w: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instruments</w:t>
            </w: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4"/>
              </w:rPr>
              <w:t>investments</w:t>
            </w: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instruments</w:t>
            </w:r>
          </w:p>
        </w:tc>
        <w:tc>
          <w:tcPr>
            <w:tcW w:w="660" w:type="dxa"/>
            <w:vAlign w:val="bottom"/>
            <w:gridSpan w:val="2"/>
          </w:tcPr>
          <w:p>
            <w:pPr>
              <w:jc w:val="center"/>
              <w:ind w:right="158"/>
              <w:spacing w:after="0"/>
              <w:rPr>
                <w:sz w:val="20"/>
                <w:szCs w:val="20"/>
                <w:color w:val="auto"/>
              </w:rPr>
            </w:pPr>
            <w:r>
              <w:rPr>
                <w:rFonts w:ascii="Arial" w:cs="Arial" w:eastAsia="Arial" w:hAnsi="Arial"/>
                <w:sz w:val="8"/>
                <w:szCs w:val="8"/>
                <w:b w:val="1"/>
                <w:bCs w:val="1"/>
                <w:color w:val="auto"/>
                <w:w w:val="91"/>
              </w:rPr>
              <w:t>reserve</w:t>
            </w: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reserves</w:t>
            </w: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1"/>
              </w:rPr>
              <w:t>reserve</w:t>
            </w:r>
          </w:p>
        </w:tc>
        <w:tc>
          <w:tcPr>
            <w:tcW w:w="70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earnings</w:t>
            </w:r>
          </w:p>
        </w:tc>
        <w:tc>
          <w:tcPr>
            <w:tcW w:w="70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Total</w:t>
            </w: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6"/>
              </w:rPr>
              <w:t>interest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79"/>
        </w:trPr>
        <w:tc>
          <w:tcPr>
            <w:tcW w:w="1960" w:type="dxa"/>
            <w:vAlign w:val="bottom"/>
          </w:tcPr>
          <w:p>
            <w:pPr>
              <w:spacing w:after="0"/>
              <w:rPr>
                <w:sz w:val="6"/>
                <w:szCs w:val="6"/>
                <w:color w:val="auto"/>
              </w:rPr>
            </w:pPr>
          </w:p>
        </w:tc>
        <w:tc>
          <w:tcPr>
            <w:tcW w:w="460" w:type="dxa"/>
            <w:vAlign w:val="bottom"/>
            <w:tcBorders>
              <w:top w:val="single" w:sz="8" w:color="auto"/>
            </w:tcBorders>
          </w:tcPr>
          <w:p>
            <w:pPr>
              <w:ind w:left="160"/>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50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Balances at January 1, 2017</w:t>
            </w:r>
          </w:p>
        </w:tc>
        <w:tc>
          <w:tcPr>
            <w:tcW w:w="700" w:type="dxa"/>
            <w:vAlign w:val="bottom"/>
            <w:gridSpan w:val="2"/>
            <w:shd w:val="clear" w:color="auto" w:fill="CCEEFF"/>
          </w:tcPr>
          <w:p>
            <w:pPr>
              <w:ind w:left="120"/>
              <w:spacing w:after="0" w:line="90" w:lineRule="exact"/>
              <w:rPr>
                <w:sz w:val="20"/>
                <w:szCs w:val="20"/>
                <w:color w:val="auto"/>
              </w:rPr>
            </w:pPr>
            <w:r>
              <w:rPr>
                <w:rFonts w:ascii="Arial" w:cs="Arial" w:eastAsia="Arial" w:hAnsi="Arial"/>
                <w:sz w:val="8"/>
                <w:szCs w:val="8"/>
                <w:color w:val="auto"/>
              </w:rPr>
              <w:t>1,318,993</w:t>
            </w:r>
          </w:p>
        </w:tc>
        <w:tc>
          <w:tcPr>
            <w:tcW w:w="70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(209,322)</w:t>
            </w:r>
          </w:p>
        </w:tc>
        <w:tc>
          <w:tcPr>
            <w:tcW w:w="4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280,876</w:t>
            </w:r>
          </w:p>
        </w:tc>
        <w:tc>
          <w:tcPr>
            <w:tcW w:w="2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13,539,091</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1,146,788</w:t>
            </w:r>
          </w:p>
        </w:tc>
        <w:tc>
          <w:tcPr>
            <w:tcW w:w="2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24,650</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38,293</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3,516,766</w:t>
            </w: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19,656,135</w:t>
            </w:r>
          </w:p>
        </w:tc>
        <w:tc>
          <w:tcPr>
            <w:tcW w:w="2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460,376</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20,116,511</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Changes in equity in 2017 -</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Net profit for the year</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4,091,753</w:t>
            </w: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4,091,753</w:t>
            </w:r>
          </w:p>
        </w:tc>
        <w:tc>
          <w:tcPr>
            <w:tcW w:w="2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89,895</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4,181,648</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20"/>
                <w:szCs w:val="20"/>
                <w:color w:val="auto"/>
              </w:rPr>
            </w:pPr>
            <w:r>
              <w:rPr>
                <w:rFonts w:ascii="Arial" w:cs="Arial" w:eastAsia="Arial" w:hAnsi="Arial"/>
                <w:sz w:val="8"/>
                <w:szCs w:val="8"/>
                <w:color w:val="auto"/>
              </w:rPr>
              <w:t>Other comprehensive income, Note 18(d)</w:t>
            </w:r>
          </w:p>
        </w:tc>
        <w:tc>
          <w:tcPr>
            <w:tcW w:w="70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357,628</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38"/>
              <w:spacing w:after="0"/>
              <w:rPr>
                <w:sz w:val="20"/>
                <w:szCs w:val="20"/>
                <w:color w:val="auto"/>
              </w:rPr>
            </w:pPr>
            <w:r>
              <w:rPr>
                <w:rFonts w:ascii="Arial" w:cs="Arial" w:eastAsia="Arial" w:hAnsi="Arial"/>
                <w:sz w:val="8"/>
                <w:szCs w:val="8"/>
                <w:color w:val="auto"/>
              </w:rPr>
              <w:t>(57,431)</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(54,334)</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480" w:type="dxa"/>
            <w:vAlign w:val="bottom"/>
          </w:tcPr>
          <w:p>
            <w:pPr>
              <w:jc w:val="right"/>
              <w:spacing w:after="0"/>
              <w:rPr>
                <w:sz w:val="20"/>
                <w:szCs w:val="20"/>
                <w:color w:val="auto"/>
              </w:rPr>
            </w:pPr>
            <w:r>
              <w:rPr>
                <w:rFonts w:ascii="Arial" w:cs="Arial" w:eastAsia="Arial" w:hAnsi="Arial"/>
                <w:sz w:val="8"/>
                <w:szCs w:val="8"/>
                <w:color w:val="auto"/>
              </w:rPr>
              <w:t>245,863</w:t>
            </w:r>
          </w:p>
        </w:tc>
        <w:tc>
          <w:tcPr>
            <w:tcW w:w="220" w:type="dxa"/>
            <w:vAlign w:val="bottom"/>
          </w:tcPr>
          <w:p>
            <w:pPr>
              <w:spacing w:after="0"/>
              <w:rPr>
                <w:sz w:val="8"/>
                <w:szCs w:val="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3,008</w:t>
            </w:r>
          </w:p>
        </w:tc>
        <w:tc>
          <w:tcPr>
            <w:tcW w:w="480" w:type="dxa"/>
            <w:vAlign w:val="bottom"/>
          </w:tcPr>
          <w:p>
            <w:pPr>
              <w:jc w:val="right"/>
              <w:spacing w:after="0"/>
              <w:rPr>
                <w:sz w:val="20"/>
                <w:szCs w:val="20"/>
                <w:color w:val="auto"/>
              </w:rPr>
            </w:pPr>
            <w:r>
              <w:rPr>
                <w:rFonts w:ascii="Arial" w:cs="Arial" w:eastAsia="Arial" w:hAnsi="Arial"/>
                <w:sz w:val="8"/>
                <w:szCs w:val="8"/>
                <w:color w:val="auto"/>
              </w:rPr>
              <w:t>248,871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9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Total comprehensive income</w:t>
            </w:r>
          </w:p>
        </w:tc>
        <w:tc>
          <w:tcPr>
            <w:tcW w:w="4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
                <w:szCs w:val="1"/>
                <w:color w:val="auto"/>
                <w:w w:val="4294967281"/>
              </w:rPr>
              <w:t>-</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357,628</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(57,431)</w:t>
            </w:r>
          </w:p>
        </w:tc>
        <w:tc>
          <w:tcPr>
            <w:tcW w:w="2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(54,334)</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4,091,753</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4,337,616</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92,903</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4,430,519</w:t>
            </w:r>
          </w:p>
        </w:tc>
        <w:tc>
          <w:tcPr>
            <w:tcW w:w="120" w:type="dxa"/>
            <w:vAlign w:val="bottom"/>
            <w:tcBorders>
              <w:top w:val="single" w:sz="8" w:color="CCEEFF"/>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Transfer of retained earnings to reserves, Note 18(c)</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2,354,954</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(2,354,954)</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Dividend distribution, Note 18(e)</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(979,989)</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(979,989)</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(979,989)</w:t>
            </w:r>
          </w:p>
        </w:tc>
        <w:tc>
          <w:tcPr>
            <w:tcW w:w="0" w:type="dxa"/>
            <w:vAlign w:val="bottom"/>
          </w:tcPr>
          <w:p>
            <w:pPr>
              <w:spacing w:after="0"/>
              <w:rPr>
                <w:sz w:val="1"/>
                <w:szCs w:val="1"/>
                <w:color w:val="auto"/>
              </w:rPr>
            </w:pPr>
          </w:p>
        </w:tc>
      </w:tr>
      <w:tr>
        <w:trPr>
          <w:trHeight w:val="81"/>
        </w:trPr>
        <w:tc>
          <w:tcPr>
            <w:tcW w:w="1960" w:type="dxa"/>
            <w:vAlign w:val="bottom"/>
          </w:tcPr>
          <w:p>
            <w:pPr>
              <w:spacing w:after="0" w:line="81" w:lineRule="exact"/>
              <w:rPr>
                <w:sz w:val="20"/>
                <w:szCs w:val="20"/>
                <w:color w:val="auto"/>
              </w:rPr>
            </w:pPr>
            <w:r>
              <w:rPr>
                <w:rFonts w:ascii="Arial" w:cs="Arial" w:eastAsia="Arial" w:hAnsi="Arial"/>
                <w:sz w:val="8"/>
                <w:szCs w:val="8"/>
                <w:color w:val="auto"/>
              </w:rPr>
              <w:t>Dividends paid to interest non-controlling of</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tcPr>
          <w:p>
            <w:pPr>
              <w:ind w:left="100"/>
              <w:spacing w:after="0"/>
              <w:rPr>
                <w:sz w:val="20"/>
                <w:szCs w:val="20"/>
                <w:color w:val="auto"/>
              </w:rPr>
            </w:pPr>
            <w:r>
              <w:rPr>
                <w:rFonts w:ascii="Arial" w:cs="Arial" w:eastAsia="Arial" w:hAnsi="Arial"/>
                <w:sz w:val="8"/>
                <w:szCs w:val="8"/>
                <w:color w:val="auto"/>
              </w:rPr>
              <w:t>subsidiaries</w:t>
            </w:r>
          </w:p>
        </w:tc>
        <w:tc>
          <w:tcPr>
            <w:tcW w:w="70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(50,234)</w:t>
            </w:r>
          </w:p>
        </w:tc>
        <w:tc>
          <w:tcPr>
            <w:tcW w:w="600" w:type="dxa"/>
            <w:vAlign w:val="bottom"/>
            <w:gridSpan w:val="2"/>
          </w:tcPr>
          <w:p>
            <w:pPr>
              <w:jc w:val="right"/>
              <w:ind w:right="80"/>
              <w:spacing w:after="0"/>
              <w:rPr>
                <w:sz w:val="20"/>
                <w:szCs w:val="20"/>
                <w:color w:val="auto"/>
              </w:rPr>
            </w:pPr>
            <w:r>
              <w:rPr>
                <w:rFonts w:ascii="Arial" w:cs="Arial" w:eastAsia="Arial" w:hAnsi="Arial"/>
                <w:sz w:val="8"/>
                <w:szCs w:val="8"/>
                <w:color w:val="auto"/>
              </w:rPr>
              <w:t>(50,234)</w:t>
            </w: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Additional dividends</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(1,252,255)</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(1,252,255)</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(1,252,255)</w:t>
            </w: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Purchase of treasury stock, Note 18(b)</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(2,141)</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(68,867)</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(71,008)</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(71,008)</w:t>
            </w: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Share-based payment transactions</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line="90" w:lineRule="exact"/>
              <w:rPr>
                <w:sz w:val="20"/>
                <w:szCs w:val="20"/>
                <w:color w:val="auto"/>
              </w:rPr>
            </w:pPr>
            <w:r>
              <w:rPr>
                <w:rFonts w:ascii="Arial" w:cs="Arial" w:eastAsia="Arial" w:hAnsi="Arial"/>
                <w:sz w:val="8"/>
                <w:szCs w:val="8"/>
                <w:color w:val="auto"/>
              </w:rPr>
              <w:t>2,526</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59,939</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5,919</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68,384</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68,384</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20"/>
                <w:szCs w:val="20"/>
                <w:color w:val="auto"/>
              </w:rPr>
            </w:pPr>
            <w:r>
              <w:rPr>
                <w:rFonts w:ascii="Arial" w:cs="Arial" w:eastAsia="Arial" w:hAnsi="Arial"/>
                <w:sz w:val="8"/>
                <w:szCs w:val="8"/>
                <w:color w:val="auto"/>
              </w:rPr>
              <w:t>Others</w:t>
            </w:r>
          </w:p>
        </w:tc>
        <w:tc>
          <w:tcPr>
            <w:tcW w:w="70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(2,316)</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(2,316)</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(5,909)</w:t>
            </w:r>
          </w:p>
        </w:tc>
        <w:tc>
          <w:tcPr>
            <w:tcW w:w="600" w:type="dxa"/>
            <w:vAlign w:val="bottom"/>
            <w:gridSpan w:val="2"/>
          </w:tcPr>
          <w:p>
            <w:pPr>
              <w:jc w:val="right"/>
              <w:ind w:right="80"/>
              <w:spacing w:after="0"/>
              <w:rPr>
                <w:sz w:val="20"/>
                <w:szCs w:val="20"/>
                <w:color w:val="auto"/>
              </w:rPr>
            </w:pPr>
            <w:r>
              <w:rPr>
                <w:rFonts w:ascii="Arial" w:cs="Arial" w:eastAsia="Arial" w:hAnsi="Arial"/>
                <w:sz w:val="8"/>
                <w:szCs w:val="8"/>
                <w:color w:val="auto"/>
              </w:rPr>
              <w:t>(8,225)</w:t>
            </w:r>
          </w:p>
        </w:tc>
        <w:tc>
          <w:tcPr>
            <w:tcW w:w="0" w:type="dxa"/>
            <w:vAlign w:val="bottom"/>
          </w:tcPr>
          <w:p>
            <w:pPr>
              <w:spacing w:after="0"/>
              <w:rPr>
                <w:sz w:val="1"/>
                <w:szCs w:val="1"/>
                <w:color w:val="auto"/>
              </w:rPr>
            </w:pPr>
          </w:p>
        </w:tc>
      </w:tr>
      <w:tr>
        <w:trPr>
          <w:trHeight w:val="79"/>
        </w:trPr>
        <w:tc>
          <w:tcPr>
            <w:tcW w:w="19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Balances at December 31, 2017</w:t>
            </w:r>
          </w:p>
        </w:tc>
        <w:tc>
          <w:tcPr>
            <w:tcW w:w="460" w:type="dxa"/>
            <w:vAlign w:val="bottom"/>
            <w:tcBorders>
              <w:top w:val="single" w:sz="8" w:color="auto"/>
              <w:bottom w:val="single" w:sz="8" w:color="auto"/>
            </w:tcBorders>
            <w:shd w:val="clear" w:color="auto" w:fill="CCEEFF"/>
          </w:tcPr>
          <w:p>
            <w:pPr>
              <w:ind w:left="120"/>
              <w:spacing w:after="0" w:line="79" w:lineRule="exact"/>
              <w:rPr>
                <w:sz w:val="20"/>
                <w:szCs w:val="20"/>
                <w:color w:val="auto"/>
              </w:rPr>
            </w:pPr>
            <w:r>
              <w:rPr>
                <w:rFonts w:ascii="Arial" w:cs="Arial" w:eastAsia="Arial" w:hAnsi="Arial"/>
                <w:sz w:val="8"/>
                <w:szCs w:val="8"/>
                <w:color w:val="auto"/>
                <w:w w:val="89"/>
              </w:rPr>
              <w:t>1,318,993</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(208,937)</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271,948</w:t>
            </w: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14,647,709</w:t>
            </w:r>
          </w:p>
        </w:tc>
        <w:tc>
          <w:tcPr>
            <w:tcW w:w="2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1,504,416</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(32,781)</w:t>
            </w:r>
          </w:p>
        </w:tc>
        <w:tc>
          <w:tcPr>
            <w:tcW w:w="2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(16,041)</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4,271,260</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21,756,567</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497,136</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22,253,703</w:t>
            </w:r>
          </w:p>
        </w:tc>
        <w:tc>
          <w:tcPr>
            <w:tcW w:w="120" w:type="dxa"/>
            <w:vAlign w:val="bottom"/>
            <w:tcBorders>
              <w:top w:val="single" w:sz="8" w:color="CCEEFF"/>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60" w:type="dxa"/>
            <w:vAlign w:val="bottom"/>
            <w:tcBorders>
              <w:bottom w:val="single" w:sz="8" w:color="CCEEFF"/>
            </w:tcBorders>
          </w:tcPr>
          <w:p>
            <w:pPr>
              <w:spacing w:after="0" w:line="79" w:lineRule="exact"/>
              <w:rPr>
                <w:sz w:val="20"/>
                <w:szCs w:val="20"/>
                <w:color w:val="auto"/>
              </w:rPr>
            </w:pPr>
            <w:r>
              <w:rPr>
                <w:rFonts w:ascii="Arial" w:cs="Arial" w:eastAsia="Arial" w:hAnsi="Arial"/>
                <w:sz w:val="8"/>
                <w:szCs w:val="8"/>
                <w:color w:val="auto"/>
              </w:rPr>
              <w:t>Change in accounting policy, Note 3(a)(vii)</w:t>
            </w:r>
          </w:p>
        </w:tc>
        <w:tc>
          <w:tcPr>
            <w:tcW w:w="460" w:type="dxa"/>
            <w:vAlign w:val="bottom"/>
            <w:tcBorders>
              <w:bottom w:val="single" w:sz="8" w:color="auto"/>
            </w:tcBorders>
          </w:tcPr>
          <w:p>
            <w:pPr>
              <w:ind w:left="440"/>
              <w:spacing w:after="0"/>
              <w:rPr>
                <w:sz w:val="20"/>
                <w:szCs w:val="20"/>
                <w:color w:val="auto"/>
              </w:rPr>
            </w:pPr>
            <w:r>
              <w:rPr>
                <w:rFonts w:ascii="Arial" w:cs="Arial" w:eastAsia="Arial" w:hAnsi="Arial"/>
                <w:sz w:val="1"/>
                <w:szCs w:val="1"/>
                <w:color w:val="auto"/>
                <w:w w:val="4294967281"/>
              </w:rPr>
              <w:t>-</w:t>
            </w:r>
          </w:p>
        </w:tc>
        <w:tc>
          <w:tcPr>
            <w:tcW w:w="2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431,711</w:t>
            </w:r>
          </w:p>
        </w:tc>
        <w:tc>
          <w:tcPr>
            <w:tcW w:w="2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(1,504,416)</w:t>
            </w:r>
          </w:p>
        </w:tc>
        <w:tc>
          <w:tcPr>
            <w:tcW w:w="2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853,747</w:t>
            </w:r>
          </w:p>
        </w:tc>
        <w:tc>
          <w:tcPr>
            <w:tcW w:w="2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27,318</w:t>
            </w:r>
          </w:p>
        </w:tc>
        <w:tc>
          <w:tcPr>
            <w:tcW w:w="2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(191,640)</w:t>
            </w:r>
          </w:p>
        </w:tc>
        <w:tc>
          <w:tcPr>
            <w:tcW w:w="2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(191,640)</w:t>
            </w: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60" w:type="dxa"/>
            <w:vAlign w:val="bottom"/>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Balances at January 1, 2018 - Restated</w:t>
            </w:r>
          </w:p>
        </w:tc>
        <w:tc>
          <w:tcPr>
            <w:tcW w:w="460" w:type="dxa"/>
            <w:vAlign w:val="bottom"/>
            <w:tcBorders>
              <w:bottom w:val="single" w:sz="8" w:color="auto"/>
            </w:tcBorders>
            <w:shd w:val="clear" w:color="auto" w:fill="CCEEFF"/>
          </w:tcPr>
          <w:p>
            <w:pPr>
              <w:ind w:left="120"/>
              <w:spacing w:after="0" w:line="79" w:lineRule="exact"/>
              <w:rPr>
                <w:sz w:val="20"/>
                <w:szCs w:val="20"/>
                <w:color w:val="auto"/>
              </w:rPr>
            </w:pPr>
            <w:r>
              <w:rPr>
                <w:rFonts w:ascii="Arial" w:cs="Arial" w:eastAsia="Arial" w:hAnsi="Arial"/>
                <w:sz w:val="8"/>
                <w:szCs w:val="8"/>
                <w:color w:val="auto"/>
                <w:w w:val="89"/>
              </w:rPr>
              <w:t>1,318,993</w:t>
            </w:r>
          </w:p>
        </w:tc>
        <w:tc>
          <w:tcPr>
            <w:tcW w:w="24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(208,937)</w:t>
            </w:r>
          </w:p>
        </w:tc>
        <w:tc>
          <w:tcPr>
            <w:tcW w:w="24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271,948</w:t>
            </w:r>
          </w:p>
        </w:tc>
        <w:tc>
          <w:tcPr>
            <w:tcW w:w="24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14,647,709</w:t>
            </w:r>
          </w:p>
        </w:tc>
        <w:tc>
          <w:tcPr>
            <w:tcW w:w="24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431,711</w:t>
            </w:r>
          </w:p>
        </w:tc>
        <w:tc>
          <w:tcPr>
            <w:tcW w:w="2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853,747</w:t>
            </w:r>
          </w:p>
        </w:tc>
        <w:tc>
          <w:tcPr>
            <w:tcW w:w="2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(32,781)</w:t>
            </w:r>
          </w:p>
        </w:tc>
        <w:tc>
          <w:tcPr>
            <w:tcW w:w="2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(16,041)</w:t>
            </w:r>
          </w:p>
        </w:tc>
        <w:tc>
          <w:tcPr>
            <w:tcW w:w="2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4,298,578</w:t>
            </w:r>
          </w:p>
        </w:tc>
        <w:tc>
          <w:tcPr>
            <w:tcW w:w="2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21,564,927</w:t>
            </w:r>
          </w:p>
        </w:tc>
        <w:tc>
          <w:tcPr>
            <w:tcW w:w="2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497,136</w:t>
            </w:r>
          </w:p>
        </w:tc>
        <w:tc>
          <w:tcPr>
            <w:tcW w:w="2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22,062,063</w:t>
            </w:r>
          </w:p>
        </w:tc>
        <w:tc>
          <w:tcPr>
            <w:tcW w:w="120" w:type="dxa"/>
            <w:vAlign w:val="bottom"/>
            <w:tcBorders>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Changes in equity in 2018 -</w:t>
            </w: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Net profit for the year</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3,983,865</w:t>
            </w:r>
          </w:p>
        </w:tc>
        <w:tc>
          <w:tcPr>
            <w:tcW w:w="220" w:type="dxa"/>
            <w:vAlign w:val="bottom"/>
          </w:tcPr>
          <w:p>
            <w:pPr>
              <w:spacing w:after="0"/>
              <w:rPr>
                <w:sz w:val="7"/>
                <w:szCs w:val="7"/>
                <w:color w:val="auto"/>
              </w:rPr>
            </w:pP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3,983,865</w:t>
            </w:r>
          </w:p>
        </w:tc>
        <w:tc>
          <w:tcPr>
            <w:tcW w:w="220" w:type="dxa"/>
            <w:vAlign w:val="bottom"/>
          </w:tcPr>
          <w:p>
            <w:pPr>
              <w:spacing w:after="0"/>
              <w:rPr>
                <w:sz w:val="7"/>
                <w:szCs w:val="7"/>
                <w:color w:val="auto"/>
              </w:rPr>
            </w:pP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87,440</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4,071,305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CCEEFF"/>
          </w:tcPr>
          <w:p>
            <w:pPr>
              <w:spacing w:after="0"/>
              <w:rPr>
                <w:sz w:val="20"/>
                <w:szCs w:val="20"/>
                <w:color w:val="auto"/>
              </w:rPr>
            </w:pPr>
            <w:r>
              <w:rPr>
                <w:rFonts w:ascii="Arial" w:cs="Arial" w:eastAsia="Arial" w:hAnsi="Arial"/>
                <w:sz w:val="8"/>
                <w:szCs w:val="8"/>
                <w:color w:val="auto"/>
              </w:rPr>
              <w:t>Other comprehensive income, Note 18(d)</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20,840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(624,277)</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8"/>
                <w:szCs w:val="8"/>
                <w:color w:val="auto"/>
              </w:rPr>
              <w:t>29,620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45,634</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(528,183)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(5,734)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(533,917)</w:t>
            </w:r>
          </w:p>
        </w:tc>
        <w:tc>
          <w:tcPr>
            <w:tcW w:w="0" w:type="dxa"/>
            <w:vAlign w:val="bottom"/>
          </w:tcPr>
          <w:p>
            <w:pPr>
              <w:spacing w:after="0"/>
              <w:rPr>
                <w:sz w:val="1"/>
                <w:szCs w:val="1"/>
                <w:color w:val="auto"/>
              </w:rPr>
            </w:pPr>
          </w:p>
        </w:tc>
      </w:tr>
      <w:tr>
        <w:trPr>
          <w:trHeight w:val="79"/>
        </w:trPr>
        <w:tc>
          <w:tcPr>
            <w:tcW w:w="1960" w:type="dxa"/>
            <w:vAlign w:val="bottom"/>
          </w:tcPr>
          <w:p>
            <w:pPr>
              <w:spacing w:after="0" w:line="79" w:lineRule="exact"/>
              <w:rPr>
                <w:sz w:val="20"/>
                <w:szCs w:val="20"/>
                <w:color w:val="auto"/>
              </w:rPr>
            </w:pPr>
            <w:r>
              <w:rPr>
                <w:rFonts w:ascii="Arial" w:cs="Arial" w:eastAsia="Arial" w:hAnsi="Arial"/>
                <w:sz w:val="8"/>
                <w:szCs w:val="8"/>
                <w:color w:val="auto"/>
              </w:rPr>
              <w:t>Total comprehensive income</w:t>
            </w:r>
          </w:p>
        </w:tc>
        <w:tc>
          <w:tcPr>
            <w:tcW w:w="460" w:type="dxa"/>
            <w:vAlign w:val="bottom"/>
            <w:tcBorders>
              <w:top w:val="single" w:sz="8" w:color="auto"/>
            </w:tcBorders>
          </w:tcPr>
          <w:p>
            <w:pPr>
              <w:ind w:left="440"/>
              <w:spacing w:after="0"/>
              <w:rPr>
                <w:sz w:val="20"/>
                <w:szCs w:val="20"/>
                <w:color w:val="auto"/>
              </w:rPr>
            </w:pPr>
            <w:r>
              <w:rPr>
                <w:rFonts w:ascii="Arial" w:cs="Arial" w:eastAsia="Arial" w:hAnsi="Arial"/>
                <w:sz w:val="1"/>
                <w:szCs w:val="1"/>
                <w:color w:val="auto"/>
                <w:w w:val="4294967281"/>
              </w:rPr>
              <w:t>-</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20,840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(624,277)</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29,620</w:t>
            </w:r>
          </w:p>
        </w:tc>
        <w:tc>
          <w:tcPr>
            <w:tcW w:w="22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45,634</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3,983,865</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3,455,682</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81,706</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3,537,388</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Transfer of retained earnings to reserves, Note 18(c)</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2,933,617</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(2,933,617)</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Dividend distribution, Note 18(e)</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(1,130,427)</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(1,130,427)</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(1,130,427)</w:t>
            </w:r>
          </w:p>
        </w:tc>
        <w:tc>
          <w:tcPr>
            <w:tcW w:w="0" w:type="dxa"/>
            <w:vAlign w:val="bottom"/>
          </w:tcPr>
          <w:p>
            <w:pPr>
              <w:spacing w:after="0"/>
              <w:rPr>
                <w:sz w:val="1"/>
                <w:szCs w:val="1"/>
                <w:color w:val="auto"/>
              </w:rPr>
            </w:pPr>
          </w:p>
        </w:tc>
      </w:tr>
      <w:tr>
        <w:trPr>
          <w:trHeight w:val="81"/>
        </w:trPr>
        <w:tc>
          <w:tcPr>
            <w:tcW w:w="196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Dividends paid to interest non-controlling of</w:t>
            </w: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CCEEFF"/>
          </w:tcPr>
          <w:p>
            <w:pPr>
              <w:ind w:left="100"/>
              <w:spacing w:after="0"/>
              <w:rPr>
                <w:sz w:val="20"/>
                <w:szCs w:val="20"/>
                <w:color w:val="auto"/>
              </w:rPr>
            </w:pPr>
            <w:r>
              <w:rPr>
                <w:rFonts w:ascii="Arial" w:cs="Arial" w:eastAsia="Arial" w:hAnsi="Arial"/>
                <w:sz w:val="8"/>
                <w:szCs w:val="8"/>
                <w:color w:val="auto"/>
              </w:rPr>
              <w:t>subsidiaries</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(45,134)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(45,134)</w:t>
            </w: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Acquisition of non-controlling interest</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(70,046)</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(70,046)</w:t>
            </w:r>
          </w:p>
        </w:tc>
        <w:tc>
          <w:tcPr>
            <w:tcW w:w="66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(104,426)</w:t>
            </w:r>
          </w:p>
        </w:tc>
        <w:tc>
          <w:tcPr>
            <w:tcW w:w="6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(174,472)</w:t>
            </w: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Purchase of treasury stock, Note 18(b)</w:t>
            </w:r>
          </w:p>
        </w:tc>
        <w:tc>
          <w:tcPr>
            <w:tcW w:w="700" w:type="dxa"/>
            <w:vAlign w:val="bottom"/>
            <w:gridSpan w:val="2"/>
            <w:shd w:val="clear" w:color="auto" w:fill="CCEEFF"/>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(1,869)</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(93,544)</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(95,413)</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(95,413)</w:t>
            </w: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Share-based payment transactions</w:t>
            </w:r>
          </w:p>
        </w:tc>
        <w:tc>
          <w:tcPr>
            <w:tcW w:w="700" w:type="dxa"/>
            <w:vAlign w:val="bottom"/>
            <w:gridSpan w:val="2"/>
          </w:tcPr>
          <w:p>
            <w:pPr>
              <w:ind w:left="4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98"/>
              <w:spacing w:after="0" w:line="90" w:lineRule="exact"/>
              <w:rPr>
                <w:sz w:val="20"/>
                <w:szCs w:val="20"/>
                <w:color w:val="auto"/>
              </w:rPr>
            </w:pPr>
            <w:r>
              <w:rPr>
                <w:rFonts w:ascii="Arial" w:cs="Arial" w:eastAsia="Arial" w:hAnsi="Arial"/>
                <w:sz w:val="8"/>
                <w:szCs w:val="8"/>
                <w:color w:val="auto"/>
              </w:rPr>
              <w:t>2,812</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67,790</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17,230</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87,832</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87,832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CCEEFF"/>
          </w:tcPr>
          <w:p>
            <w:pPr>
              <w:spacing w:after="0"/>
              <w:rPr>
                <w:sz w:val="20"/>
                <w:szCs w:val="20"/>
                <w:color w:val="auto"/>
              </w:rPr>
            </w:pPr>
            <w:r>
              <w:rPr>
                <w:rFonts w:ascii="Arial" w:cs="Arial" w:eastAsia="Arial" w:hAnsi="Arial"/>
                <w:sz w:val="8"/>
                <w:szCs w:val="8"/>
                <w:color w:val="auto"/>
              </w:rPr>
              <w:t>Others</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26,688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26,688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(2,449)</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24,239</w:t>
            </w:r>
          </w:p>
        </w:tc>
        <w:tc>
          <w:tcPr>
            <w:tcW w:w="12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8"/>
                <w:szCs w:val="8"/>
                <w:b w:val="1"/>
                <w:bCs w:val="1"/>
                <w:color w:val="auto"/>
              </w:rPr>
              <w:t>Balances at December 31, 2018</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58"/>
              <w:spacing w:after="0"/>
              <w:rPr>
                <w:sz w:val="20"/>
                <w:szCs w:val="20"/>
                <w:color w:val="auto"/>
              </w:rPr>
            </w:pPr>
            <w:r>
              <w:rPr>
                <w:rFonts w:ascii="Arial" w:cs="Arial" w:eastAsia="Arial" w:hAnsi="Arial"/>
                <w:sz w:val="8"/>
                <w:szCs w:val="8"/>
                <w:color w:val="auto"/>
                <w:w w:val="73"/>
              </w:rPr>
              <w:t>)</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38"/>
              <w:spacing w:after="0"/>
              <w:rPr>
                <w:sz w:val="20"/>
                <w:szCs w:val="20"/>
                <w:color w:val="auto"/>
              </w:rPr>
            </w:pPr>
            <w:r>
              <w:rPr>
                <w:rFonts w:ascii="Arial" w:cs="Arial" w:eastAsia="Arial" w:hAnsi="Arial"/>
                <w:sz w:val="8"/>
                <w:szCs w:val="8"/>
                <w:color w:val="auto"/>
                <w:w w:val="73"/>
              </w:rPr>
              <w:t>)</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60" w:type="dxa"/>
            <w:vAlign w:val="bottom"/>
            <w:vMerge w:val="continue"/>
          </w:tcPr>
          <w:p>
            <w:pPr>
              <w:spacing w:after="0"/>
              <w:rPr>
                <w:sz w:val="7"/>
                <w:szCs w:val="7"/>
                <w:color w:val="auto"/>
              </w:rPr>
            </w:pPr>
          </w:p>
        </w:tc>
        <w:tc>
          <w:tcPr>
            <w:tcW w:w="700" w:type="dxa"/>
            <w:vAlign w:val="bottom"/>
            <w:gridSpan w:val="2"/>
          </w:tcPr>
          <w:p>
            <w:pPr>
              <w:ind w:left="120"/>
              <w:spacing w:after="0" w:line="88" w:lineRule="exact"/>
              <w:rPr>
                <w:sz w:val="20"/>
                <w:szCs w:val="20"/>
                <w:color w:val="auto"/>
              </w:rPr>
            </w:pPr>
            <w:r>
              <w:rPr>
                <w:rFonts w:ascii="Arial" w:cs="Arial" w:eastAsia="Arial" w:hAnsi="Arial"/>
                <w:sz w:val="8"/>
                <w:szCs w:val="8"/>
                <w:color w:val="auto"/>
              </w:rPr>
              <w:t>1,318,993</w:t>
            </w:r>
          </w:p>
        </w:tc>
        <w:tc>
          <w:tcPr>
            <w:tcW w:w="460" w:type="dxa"/>
            <w:vAlign w:val="bottom"/>
          </w:tcPr>
          <w:p>
            <w:pPr>
              <w:jc w:val="right"/>
              <w:spacing w:after="0" w:line="88" w:lineRule="exact"/>
              <w:rPr>
                <w:sz w:val="20"/>
                <w:szCs w:val="20"/>
                <w:color w:val="auto"/>
              </w:rPr>
            </w:pPr>
            <w:r>
              <w:rPr>
                <w:rFonts w:ascii="Arial" w:cs="Arial" w:eastAsia="Arial" w:hAnsi="Arial"/>
                <w:sz w:val="8"/>
                <w:szCs w:val="8"/>
                <w:color w:val="auto"/>
              </w:rPr>
              <w:t>(207,994</w:t>
            </w:r>
          </w:p>
        </w:tc>
        <w:tc>
          <w:tcPr>
            <w:tcW w:w="240" w:type="dxa"/>
            <w:vAlign w:val="bottom"/>
            <w:vMerge w:val="continue"/>
          </w:tcPr>
          <w:p>
            <w:pPr>
              <w:spacing w:after="0"/>
              <w:rPr>
                <w:sz w:val="7"/>
                <w:szCs w:val="7"/>
                <w:color w:val="auto"/>
              </w:rPr>
            </w:pPr>
          </w:p>
        </w:tc>
        <w:tc>
          <w:tcPr>
            <w:tcW w:w="460" w:type="dxa"/>
            <w:vAlign w:val="bottom"/>
          </w:tcPr>
          <w:p>
            <w:pPr>
              <w:jc w:val="right"/>
              <w:spacing w:after="0" w:line="88" w:lineRule="exact"/>
              <w:rPr>
                <w:sz w:val="20"/>
                <w:szCs w:val="20"/>
                <w:color w:val="auto"/>
              </w:rPr>
            </w:pPr>
            <w:r>
              <w:rPr>
                <w:rFonts w:ascii="Arial" w:cs="Arial" w:eastAsia="Arial" w:hAnsi="Arial"/>
                <w:sz w:val="8"/>
                <w:szCs w:val="8"/>
                <w:color w:val="auto"/>
              </w:rPr>
              <w:t>246,194</w:t>
            </w:r>
          </w:p>
        </w:tc>
        <w:tc>
          <w:tcPr>
            <w:tcW w:w="240" w:type="dxa"/>
            <w:vAlign w:val="bottom"/>
          </w:tcPr>
          <w:p>
            <w:pPr>
              <w:spacing w:after="0"/>
              <w:rPr>
                <w:sz w:val="7"/>
                <w:szCs w:val="7"/>
                <w:color w:val="auto"/>
              </w:rPr>
            </w:pPr>
          </w:p>
        </w:tc>
        <w:tc>
          <w:tcPr>
            <w:tcW w:w="74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17,598,556</w:t>
            </w:r>
          </w:p>
        </w:tc>
        <w:tc>
          <w:tcPr>
            <w:tcW w:w="6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452,551</w:t>
            </w:r>
          </w:p>
        </w:tc>
        <w:tc>
          <w:tcPr>
            <w:tcW w:w="70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229,470</w:t>
            </w: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(3,161</w:t>
            </w:r>
          </w:p>
        </w:tc>
        <w:tc>
          <w:tcPr>
            <w:tcW w:w="220" w:type="dxa"/>
            <w:vAlign w:val="bottom"/>
            <w:vMerge w:val="continue"/>
          </w:tcPr>
          <w:p>
            <w:pPr>
              <w:spacing w:after="0"/>
              <w:rPr>
                <w:sz w:val="7"/>
                <w:szCs w:val="7"/>
                <w:color w:val="auto"/>
              </w:rPr>
            </w:pPr>
          </w:p>
        </w:tc>
        <w:tc>
          <w:tcPr>
            <w:tcW w:w="68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29,593</w:t>
            </w:r>
          </w:p>
        </w:tc>
        <w:tc>
          <w:tcPr>
            <w:tcW w:w="480" w:type="dxa"/>
            <w:vAlign w:val="bottom"/>
          </w:tcPr>
          <w:p>
            <w:pPr>
              <w:jc w:val="right"/>
              <w:spacing w:after="0" w:line="88" w:lineRule="exact"/>
              <w:rPr>
                <w:sz w:val="20"/>
                <w:szCs w:val="20"/>
                <w:color w:val="auto"/>
              </w:rPr>
            </w:pPr>
            <w:r>
              <w:rPr>
                <w:rFonts w:ascii="Arial" w:cs="Arial" w:eastAsia="Arial" w:hAnsi="Arial"/>
                <w:sz w:val="8"/>
                <w:szCs w:val="8"/>
                <w:color w:val="auto"/>
              </w:rPr>
              <w:t>4,175,041</w:t>
            </w:r>
          </w:p>
        </w:tc>
        <w:tc>
          <w:tcPr>
            <w:tcW w:w="220" w:type="dxa"/>
            <w:vAlign w:val="bottom"/>
          </w:tcPr>
          <w:p>
            <w:pPr>
              <w:spacing w:after="0"/>
              <w:rPr>
                <w:sz w:val="7"/>
                <w:szCs w:val="7"/>
                <w:color w:val="auto"/>
              </w:rPr>
            </w:pPr>
          </w:p>
        </w:tc>
        <w:tc>
          <w:tcPr>
            <w:tcW w:w="480" w:type="dxa"/>
            <w:vAlign w:val="bottom"/>
          </w:tcPr>
          <w:p>
            <w:pPr>
              <w:jc w:val="right"/>
              <w:spacing w:after="0" w:line="88" w:lineRule="exact"/>
              <w:rPr>
                <w:sz w:val="20"/>
                <w:szCs w:val="20"/>
                <w:color w:val="auto"/>
              </w:rPr>
            </w:pPr>
            <w:r>
              <w:rPr>
                <w:rFonts w:ascii="Arial" w:cs="Arial" w:eastAsia="Arial" w:hAnsi="Arial"/>
                <w:sz w:val="8"/>
                <w:szCs w:val="8"/>
                <w:color w:val="auto"/>
              </w:rPr>
              <w:t>23,839,243</w:t>
            </w:r>
          </w:p>
        </w:tc>
        <w:tc>
          <w:tcPr>
            <w:tcW w:w="220" w:type="dxa"/>
            <w:vAlign w:val="bottom"/>
          </w:tcPr>
          <w:p>
            <w:pPr>
              <w:spacing w:after="0"/>
              <w:rPr>
                <w:sz w:val="7"/>
                <w:szCs w:val="7"/>
                <w:color w:val="auto"/>
              </w:rPr>
            </w:pPr>
          </w:p>
        </w:tc>
        <w:tc>
          <w:tcPr>
            <w:tcW w:w="6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426,833</w:t>
            </w:r>
          </w:p>
        </w:tc>
        <w:tc>
          <w:tcPr>
            <w:tcW w:w="480" w:type="dxa"/>
            <w:vAlign w:val="bottom"/>
          </w:tcPr>
          <w:p>
            <w:pPr>
              <w:jc w:val="right"/>
              <w:spacing w:after="0" w:line="88" w:lineRule="exact"/>
              <w:rPr>
                <w:sz w:val="20"/>
                <w:szCs w:val="20"/>
                <w:color w:val="auto"/>
              </w:rPr>
            </w:pPr>
            <w:r>
              <w:rPr>
                <w:rFonts w:ascii="Arial" w:cs="Arial" w:eastAsia="Arial" w:hAnsi="Arial"/>
                <w:sz w:val="8"/>
                <w:szCs w:val="8"/>
                <w:color w:val="auto"/>
              </w:rPr>
              <w:t>24,266,076</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49"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CONSOLIDATED STATEMENT OF CHANGES IN NET EQUITY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19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8"/>
                <w:szCs w:val="8"/>
                <w:b w:val="1"/>
                <w:bCs w:val="1"/>
                <w:color w:val="auto"/>
              </w:rPr>
              <w:t>Attributable to Credicorp's equity holders.</w:t>
            </w: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4"/>
          </w:tcPr>
          <w:p>
            <w:pPr>
              <w:jc w:val="right"/>
              <w:ind w:right="520"/>
              <w:spacing w:after="0" w:line="88" w:lineRule="exact"/>
              <w:rPr>
                <w:sz w:val="20"/>
                <w:szCs w:val="20"/>
                <w:color w:val="auto"/>
              </w:rPr>
            </w:pPr>
            <w:r>
              <w:rPr>
                <w:rFonts w:ascii="Arial" w:cs="Arial" w:eastAsia="Arial" w:hAnsi="Arial"/>
                <w:sz w:val="8"/>
                <w:szCs w:val="8"/>
                <w:b w:val="1"/>
                <w:bCs w:val="1"/>
                <w:color w:val="auto"/>
              </w:rPr>
              <w:t>Other reserves</w:t>
            </w: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gridSpan w:val="2"/>
          </w:tcPr>
          <w:p>
            <w:pPr>
              <w:jc w:val="center"/>
              <w:ind w:right="200"/>
              <w:spacing w:after="0" w:line="69" w:lineRule="exact"/>
              <w:rPr>
                <w:sz w:val="20"/>
                <w:szCs w:val="20"/>
                <w:color w:val="auto"/>
              </w:rPr>
            </w:pPr>
            <w:r>
              <w:rPr>
                <w:rFonts w:ascii="Arial" w:cs="Arial" w:eastAsia="Arial" w:hAnsi="Arial"/>
                <w:sz w:val="7"/>
                <w:szCs w:val="7"/>
                <w:b w:val="1"/>
                <w:bCs w:val="1"/>
                <w:color w:val="auto"/>
              </w:rPr>
              <w:t>Instruments</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8"/>
              </w:rPr>
              <w:t>that will not</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85"/>
              </w:rPr>
              <w:t>be</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0"/>
              </w:rPr>
              <w:t>reclassified</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9"/>
              </w:rPr>
              <w:t>to income</w:t>
            </w:r>
          </w:p>
        </w:tc>
        <w:tc>
          <w:tcPr>
            <w:tcW w:w="3340" w:type="dxa"/>
            <w:vAlign w:val="bottom"/>
            <w:gridSpan w:val="10"/>
          </w:tcPr>
          <w:p>
            <w:pPr>
              <w:jc w:val="center"/>
              <w:ind w:right="220"/>
              <w:spacing w:after="0"/>
              <w:rPr>
                <w:sz w:val="20"/>
                <w:szCs w:val="20"/>
                <w:color w:val="auto"/>
              </w:rPr>
            </w:pPr>
            <w:r>
              <w:rPr>
                <w:rFonts w:ascii="Arial" w:cs="Arial" w:eastAsia="Arial" w:hAnsi="Arial"/>
                <w:sz w:val="8"/>
                <w:szCs w:val="8"/>
                <w:b w:val="1"/>
                <w:bCs w:val="1"/>
                <w:color w:val="auto"/>
                <w:w w:val="93"/>
              </w:rPr>
              <w:t>Instruments that will be reclassified to the consolidated statement of income</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top w:val="single" w:sz="8" w:color="auto"/>
            </w:tcBorders>
            <w:gridSpan w:val="2"/>
          </w:tcPr>
          <w:p>
            <w:pPr>
              <w:jc w:val="center"/>
              <w:ind w:right="200"/>
              <w:spacing w:after="0" w:line="69" w:lineRule="exact"/>
              <w:rPr>
                <w:sz w:val="20"/>
                <w:szCs w:val="20"/>
                <w:color w:val="auto"/>
              </w:rPr>
            </w:pPr>
            <w:r>
              <w:rPr>
                <w:rFonts w:ascii="Arial" w:cs="Arial" w:eastAsia="Arial" w:hAnsi="Arial"/>
                <w:sz w:val="7"/>
                <w:szCs w:val="7"/>
                <w:b w:val="1"/>
                <w:bCs w:val="1"/>
                <w:color w:val="auto"/>
              </w:rPr>
              <w:t>Available-</w:t>
            </w:r>
          </w:p>
        </w:tc>
        <w:tc>
          <w:tcPr>
            <w:tcW w:w="4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Foreign</w:t>
            </w: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4"/>
              </w:rPr>
              <w:t>Investments</w:t>
            </w:r>
          </w:p>
        </w:tc>
        <w:tc>
          <w:tcPr>
            <w:tcW w:w="6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rPr>
              <w:t>for-</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Investments</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Cash flow</w:t>
            </w: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5"/>
              </w:rPr>
              <w:t>Insurance</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currency</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7"/>
              </w:rPr>
              <w:t>Non-</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b w:val="1"/>
                <w:bCs w:val="1"/>
                <w:color w:val="auto"/>
              </w:rPr>
              <w:t>Capital</w:t>
            </w:r>
          </w:p>
        </w:tc>
        <w:tc>
          <w:tcPr>
            <w:tcW w:w="70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Treasury</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b w:val="1"/>
                <w:bCs w:val="1"/>
                <w:color w:val="auto"/>
              </w:rPr>
              <w:t>Capital</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7"/>
              </w:rPr>
              <w:t>in equity</w:t>
            </w:r>
          </w:p>
        </w:tc>
        <w:tc>
          <w:tcPr>
            <w:tcW w:w="6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9"/>
              </w:rPr>
              <w:t>sale</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1"/>
              </w:rPr>
              <w:t>in debt</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4"/>
              </w:rPr>
              <w:t>hedge</w:t>
            </w:r>
          </w:p>
        </w:tc>
        <w:tc>
          <w:tcPr>
            <w:tcW w:w="6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5"/>
              </w:rPr>
              <w:t>reserves,</w:t>
            </w: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7"/>
              </w:rPr>
              <w:t>translation</w:t>
            </w:r>
          </w:p>
        </w:tc>
        <w:tc>
          <w:tcPr>
            <w:tcW w:w="70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Retained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controlling</w:t>
            </w:r>
          </w:p>
        </w:tc>
        <w:tc>
          <w:tcPr>
            <w:tcW w:w="600" w:type="dxa"/>
            <w:vAlign w:val="bottom"/>
            <w:gridSpan w:val="2"/>
          </w:tcPr>
          <w:p>
            <w:pPr>
              <w:jc w:val="right"/>
              <w:ind w:right="200"/>
              <w:spacing w:after="0" w:line="90" w:lineRule="exact"/>
              <w:rPr>
                <w:sz w:val="20"/>
                <w:szCs w:val="20"/>
                <w:color w:val="auto"/>
              </w:rPr>
            </w:pPr>
            <w:r>
              <w:rPr>
                <w:rFonts w:ascii="Arial" w:cs="Arial" w:eastAsia="Arial" w:hAnsi="Arial"/>
                <w:sz w:val="8"/>
                <w:szCs w:val="8"/>
                <w:b w:val="1"/>
                <w:bCs w:val="1"/>
                <w:color w:val="auto"/>
              </w:rPr>
              <w:t>Total net</w:t>
            </w:r>
          </w:p>
        </w:tc>
        <w:tc>
          <w:tcPr>
            <w:tcW w:w="0" w:type="dxa"/>
            <w:vAlign w:val="bottom"/>
          </w:tcPr>
          <w:p>
            <w:pPr>
              <w:spacing w:after="0"/>
              <w:rPr>
                <w:sz w:val="1"/>
                <w:szCs w:val="1"/>
                <w:color w:val="auto"/>
              </w:rPr>
            </w:pPr>
          </w:p>
        </w:tc>
      </w:tr>
      <w:tr>
        <w:trPr>
          <w:trHeight w:val="101"/>
        </w:trPr>
        <w:tc>
          <w:tcPr>
            <w:tcW w:w="1960" w:type="dxa"/>
            <w:vAlign w:val="bottom"/>
          </w:tcPr>
          <w:p>
            <w:pPr>
              <w:spacing w:after="0"/>
              <w:rPr>
                <w:sz w:val="8"/>
                <w:szCs w:val="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stock</w:t>
            </w:r>
          </w:p>
        </w:tc>
        <w:tc>
          <w:tcPr>
            <w:tcW w:w="70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stock</w:t>
            </w:r>
          </w:p>
        </w:tc>
        <w:tc>
          <w:tcPr>
            <w:tcW w:w="70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rPr>
              <w:t>surplus</w:t>
            </w:r>
          </w:p>
        </w:tc>
        <w:tc>
          <w:tcPr>
            <w:tcW w:w="74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rPr>
              <w:t>Reserves</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5"/>
              </w:rPr>
              <w:t>instruments</w:t>
            </w:r>
          </w:p>
        </w:tc>
        <w:tc>
          <w:tcPr>
            <w:tcW w:w="6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9"/>
              </w:rPr>
              <w:t>investments</w:t>
            </w: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instruments</w:t>
            </w:r>
          </w:p>
        </w:tc>
        <w:tc>
          <w:tcPr>
            <w:tcW w:w="6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reserve</w:t>
            </w:r>
          </w:p>
        </w:tc>
        <w:tc>
          <w:tcPr>
            <w:tcW w:w="6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2"/>
              </w:rPr>
              <w:t>Note 3(a.1)</w:t>
            </w: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1"/>
              </w:rPr>
              <w:t>reserve</w:t>
            </w:r>
          </w:p>
        </w:tc>
        <w:tc>
          <w:tcPr>
            <w:tcW w:w="70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earnings</w:t>
            </w:r>
          </w:p>
        </w:tc>
        <w:tc>
          <w:tcPr>
            <w:tcW w:w="70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Total</w:t>
            </w:r>
          </w:p>
        </w:tc>
        <w:tc>
          <w:tcPr>
            <w:tcW w:w="6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6"/>
              </w:rPr>
              <w:t>interest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79"/>
        </w:trPr>
        <w:tc>
          <w:tcPr>
            <w:tcW w:w="196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50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0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right"/>
              <w:ind w:right="18"/>
              <w:spacing w:after="0" w:line="79" w:lineRule="exact"/>
              <w:rPr>
                <w:sz w:val="20"/>
                <w:szCs w:val="20"/>
                <w:color w:val="auto"/>
              </w:rPr>
            </w:pPr>
            <w:r>
              <w:rPr>
                <w:rFonts w:ascii="Arial" w:cs="Arial" w:eastAsia="Arial" w:hAnsi="Arial"/>
                <w:sz w:val="8"/>
                <w:szCs w:val="8"/>
                <w:b w:val="1"/>
                <w:bCs w:val="1"/>
                <w:color w:val="auto"/>
              </w:rPr>
              <w:t>S/(000)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Balances at December 31, 2018</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1,318,993</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(207,994)</w:t>
            </w:r>
          </w:p>
        </w:tc>
        <w:tc>
          <w:tcPr>
            <w:tcW w:w="4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246,194</w:t>
            </w:r>
          </w:p>
        </w:tc>
        <w:tc>
          <w:tcPr>
            <w:tcW w:w="2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17,598,556</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452,551</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229,470</w:t>
            </w:r>
          </w:p>
        </w:tc>
        <w:tc>
          <w:tcPr>
            <w:tcW w:w="66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(3,161)</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29,593</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4,175,041</w:t>
            </w: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23,839,243</w:t>
            </w:r>
          </w:p>
        </w:tc>
        <w:tc>
          <w:tcPr>
            <w:tcW w:w="2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426,833</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24,266,076</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Changes in equity in 2019 -</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Net profit for the year</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4,265,304</w:t>
            </w: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4,265,304</w:t>
            </w:r>
          </w:p>
        </w:tc>
        <w:tc>
          <w:tcPr>
            <w:tcW w:w="2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87,027</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4,352,331</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20"/>
                <w:szCs w:val="20"/>
                <w:color w:val="auto"/>
              </w:rPr>
            </w:pPr>
            <w:r>
              <w:rPr>
                <w:rFonts w:ascii="Arial" w:cs="Arial" w:eastAsia="Arial" w:hAnsi="Arial"/>
                <w:sz w:val="8"/>
                <w:szCs w:val="8"/>
                <w:color w:val="auto"/>
              </w:rPr>
              <w:t>Other comprehensive income, Note 18(d)</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97,514</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1,026,518</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(26,943)</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(658,491)</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(58,862)</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480" w:type="dxa"/>
            <w:vAlign w:val="bottom"/>
          </w:tcPr>
          <w:p>
            <w:pPr>
              <w:jc w:val="right"/>
              <w:spacing w:after="0"/>
              <w:rPr>
                <w:sz w:val="20"/>
                <w:szCs w:val="20"/>
                <w:color w:val="auto"/>
              </w:rPr>
            </w:pPr>
            <w:r>
              <w:rPr>
                <w:rFonts w:ascii="Arial" w:cs="Arial" w:eastAsia="Arial" w:hAnsi="Arial"/>
                <w:sz w:val="8"/>
                <w:szCs w:val="8"/>
                <w:color w:val="auto"/>
              </w:rPr>
              <w:t>379,736</w:t>
            </w:r>
          </w:p>
        </w:tc>
        <w:tc>
          <w:tcPr>
            <w:tcW w:w="220" w:type="dxa"/>
            <w:vAlign w:val="bottom"/>
          </w:tcPr>
          <w:p>
            <w:pPr>
              <w:spacing w:after="0"/>
              <w:rPr>
                <w:sz w:val="8"/>
                <w:szCs w:val="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7,935</w:t>
            </w:r>
          </w:p>
        </w:tc>
        <w:tc>
          <w:tcPr>
            <w:tcW w:w="480" w:type="dxa"/>
            <w:vAlign w:val="bottom"/>
          </w:tcPr>
          <w:p>
            <w:pPr>
              <w:jc w:val="right"/>
              <w:spacing w:after="0"/>
              <w:rPr>
                <w:sz w:val="20"/>
                <w:szCs w:val="20"/>
                <w:color w:val="auto"/>
              </w:rPr>
            </w:pPr>
            <w:r>
              <w:rPr>
                <w:rFonts w:ascii="Arial" w:cs="Arial" w:eastAsia="Arial" w:hAnsi="Arial"/>
                <w:sz w:val="8"/>
                <w:szCs w:val="8"/>
                <w:color w:val="auto"/>
              </w:rPr>
              <w:t>387,671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9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Total comprehensive income</w:t>
            </w: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97,514</w:t>
            </w: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1,026,518</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(26,943)</w:t>
            </w:r>
          </w:p>
        </w:tc>
        <w:tc>
          <w:tcPr>
            <w:tcW w:w="2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(658,491)</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(58,862)</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4,265,304</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4,645,040</w:t>
            </w: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94,962</w:t>
            </w: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4,740,002</w:t>
            </w:r>
          </w:p>
        </w:tc>
        <w:tc>
          <w:tcPr>
            <w:tcW w:w="120" w:type="dxa"/>
            <w:vAlign w:val="bottom"/>
            <w:tcBorders>
              <w:top w:val="single" w:sz="8" w:color="CCEEFF"/>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Transfer of retained earnings to reserves, Note 18(c)</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1,858,811</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(1,858,811)</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Dividend distribution, Note 18(e)</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(1,595,229)</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(1,595,229)</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(1,595,229)</w:t>
            </w:r>
          </w:p>
        </w:tc>
        <w:tc>
          <w:tcPr>
            <w:tcW w:w="0" w:type="dxa"/>
            <w:vAlign w:val="bottom"/>
          </w:tcPr>
          <w:p>
            <w:pPr>
              <w:spacing w:after="0"/>
              <w:rPr>
                <w:sz w:val="1"/>
                <w:szCs w:val="1"/>
                <w:color w:val="auto"/>
              </w:rPr>
            </w:pPr>
          </w:p>
        </w:tc>
      </w:tr>
      <w:tr>
        <w:trPr>
          <w:trHeight w:val="81"/>
        </w:trPr>
        <w:tc>
          <w:tcPr>
            <w:tcW w:w="1960" w:type="dxa"/>
            <w:vAlign w:val="bottom"/>
          </w:tcPr>
          <w:p>
            <w:pPr>
              <w:spacing w:after="0" w:line="81" w:lineRule="exact"/>
              <w:rPr>
                <w:sz w:val="20"/>
                <w:szCs w:val="20"/>
                <w:color w:val="auto"/>
              </w:rPr>
            </w:pPr>
            <w:r>
              <w:rPr>
                <w:rFonts w:ascii="Arial" w:cs="Arial" w:eastAsia="Arial" w:hAnsi="Arial"/>
                <w:sz w:val="8"/>
                <w:szCs w:val="8"/>
                <w:color w:val="auto"/>
              </w:rPr>
              <w:t>Dividends paid to interest non-controlling of</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tcPr>
          <w:p>
            <w:pPr>
              <w:ind w:left="100"/>
              <w:spacing w:after="0"/>
              <w:rPr>
                <w:sz w:val="20"/>
                <w:szCs w:val="20"/>
                <w:color w:val="auto"/>
              </w:rPr>
            </w:pPr>
            <w:r>
              <w:rPr>
                <w:rFonts w:ascii="Arial" w:cs="Arial" w:eastAsia="Arial" w:hAnsi="Arial"/>
                <w:sz w:val="8"/>
                <w:szCs w:val="8"/>
                <w:color w:val="auto"/>
              </w:rPr>
              <w:t>subsidiaries</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(52,971)</w:t>
            </w:r>
          </w:p>
        </w:tc>
        <w:tc>
          <w:tcPr>
            <w:tcW w:w="600" w:type="dxa"/>
            <w:vAlign w:val="bottom"/>
            <w:gridSpan w:val="2"/>
          </w:tcPr>
          <w:p>
            <w:pPr>
              <w:jc w:val="right"/>
              <w:ind w:right="80"/>
              <w:spacing w:after="0"/>
              <w:rPr>
                <w:sz w:val="20"/>
                <w:szCs w:val="20"/>
                <w:color w:val="auto"/>
              </w:rPr>
            </w:pPr>
            <w:r>
              <w:rPr>
                <w:rFonts w:ascii="Arial" w:cs="Arial" w:eastAsia="Arial" w:hAnsi="Arial"/>
                <w:sz w:val="8"/>
                <w:szCs w:val="8"/>
                <w:color w:val="auto"/>
              </w:rPr>
              <w:t>(52,971)</w:t>
            </w: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Additional dividends</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(31,268)</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(606,824)</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(638,092)</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(638,092)</w:t>
            </w: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Purchase of treasury stock, Note 18(b)</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(1,814)</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(101,411)</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(103,225)</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(103,225)</w:t>
            </w:r>
          </w:p>
        </w:tc>
        <w:tc>
          <w:tcPr>
            <w:tcW w:w="0" w:type="dxa"/>
            <w:vAlign w:val="bottom"/>
          </w:tcPr>
          <w:p>
            <w:pPr>
              <w:spacing w:after="0"/>
              <w:rPr>
                <w:sz w:val="1"/>
                <w:szCs w:val="1"/>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Share-based payment transactions</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1,969</w:t>
            </w:r>
          </w:p>
        </w:tc>
        <w:tc>
          <w:tcPr>
            <w:tcW w:w="70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81,254</w:t>
            </w:r>
          </w:p>
        </w:tc>
        <w:tc>
          <w:tcPr>
            <w:tcW w:w="74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11,546</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94,769</w:t>
            </w:r>
          </w:p>
        </w:tc>
        <w:tc>
          <w:tcPr>
            <w:tcW w:w="6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94,769</w:t>
            </w:r>
          </w:p>
        </w:tc>
        <w:tc>
          <w:tcPr>
            <w:tcW w:w="12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Acquisition of subsidiaries, Note 2(a)</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74,392</w:t>
            </w:r>
          </w:p>
        </w:tc>
        <w:tc>
          <w:tcPr>
            <w:tcW w:w="480" w:type="dxa"/>
            <w:vAlign w:val="bottom"/>
          </w:tcPr>
          <w:p>
            <w:pPr>
              <w:jc w:val="right"/>
              <w:spacing w:after="0" w:line="90" w:lineRule="exact"/>
              <w:rPr>
                <w:sz w:val="20"/>
                <w:szCs w:val="20"/>
                <w:color w:val="auto"/>
              </w:rPr>
            </w:pPr>
            <w:r>
              <w:rPr>
                <w:rFonts w:ascii="Arial" w:cs="Arial" w:eastAsia="Arial" w:hAnsi="Arial"/>
                <w:sz w:val="8"/>
                <w:szCs w:val="8"/>
                <w:color w:val="auto"/>
              </w:rPr>
              <w:t>74,392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CCEEFF"/>
          </w:tcPr>
          <w:p>
            <w:pPr>
              <w:spacing w:after="0"/>
              <w:rPr>
                <w:sz w:val="20"/>
                <w:szCs w:val="20"/>
                <w:color w:val="auto"/>
              </w:rPr>
            </w:pPr>
            <w:r>
              <w:rPr>
                <w:rFonts w:ascii="Arial" w:cs="Arial" w:eastAsia="Arial" w:hAnsi="Arial"/>
                <w:sz w:val="8"/>
                <w:szCs w:val="8"/>
                <w:color w:val="auto"/>
              </w:rPr>
              <w:t>Others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(4,546)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(4,546)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(34,866)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(39,412)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8"/>
                <w:szCs w:val="8"/>
                <w:b w:val="1"/>
                <w:bCs w:val="1"/>
                <w:color w:val="auto"/>
              </w:rPr>
              <w:t>Balances at December 31, 2019</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1,318,993</w:t>
            </w:r>
          </w:p>
        </w:tc>
        <w:tc>
          <w:tcPr>
            <w:tcW w:w="700" w:type="dxa"/>
            <w:vAlign w:val="bottom"/>
            <w:gridSpan w:val="2"/>
          </w:tcPr>
          <w:p>
            <w:pPr>
              <w:jc w:val="right"/>
              <w:ind w:right="200"/>
              <w:spacing w:after="0" w:line="106" w:lineRule="exact"/>
              <w:rPr>
                <w:sz w:val="20"/>
                <w:szCs w:val="20"/>
                <w:color w:val="auto"/>
              </w:rPr>
            </w:pPr>
            <w:r>
              <w:rPr>
                <w:rFonts w:ascii="Arial" w:cs="Arial" w:eastAsia="Arial" w:hAnsi="Arial"/>
                <w:sz w:val="7"/>
                <w:szCs w:val="7"/>
                <w:color w:val="auto"/>
              </w:rPr>
              <w:t>(207,839</w:t>
            </w:r>
            <w:r>
              <w:rPr>
                <w:rFonts w:ascii="Arial" w:cs="Arial" w:eastAsia="Arial" w:hAnsi="Arial"/>
                <w:sz w:val="12"/>
                <w:szCs w:val="12"/>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8"/>
                <w:szCs w:val="8"/>
                <w:color w:val="auto"/>
              </w:rPr>
              <w:t>226,037</w:t>
            </w:r>
          </w:p>
        </w:tc>
        <w:tc>
          <w:tcPr>
            <w:tcW w:w="240" w:type="dxa"/>
            <w:vAlign w:val="bottom"/>
          </w:tcPr>
          <w:p>
            <w:pPr>
              <w:spacing w:after="0"/>
              <w:rPr>
                <w:sz w:val="9"/>
                <w:szCs w:val="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19,437,645</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550,065</w:t>
            </w:r>
          </w:p>
        </w:tc>
        <w:tc>
          <w:tcPr>
            <w:tcW w:w="6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1,255,988</w:t>
            </w:r>
          </w:p>
        </w:tc>
        <w:tc>
          <w:tcPr>
            <w:tcW w:w="660" w:type="dxa"/>
            <w:vAlign w:val="bottom"/>
            <w:gridSpan w:val="2"/>
          </w:tcPr>
          <w:p>
            <w:pPr>
              <w:jc w:val="right"/>
              <w:ind w:right="180"/>
              <w:spacing w:after="0" w:line="106" w:lineRule="exact"/>
              <w:rPr>
                <w:sz w:val="20"/>
                <w:szCs w:val="20"/>
                <w:color w:val="auto"/>
              </w:rPr>
            </w:pPr>
            <w:r>
              <w:rPr>
                <w:rFonts w:ascii="Arial" w:cs="Arial" w:eastAsia="Arial" w:hAnsi="Arial"/>
                <w:sz w:val="7"/>
                <w:szCs w:val="7"/>
                <w:color w:val="auto"/>
              </w:rPr>
              <w:t>(30,104</w:t>
            </w:r>
            <w:r>
              <w:rPr>
                <w:rFonts w:ascii="Arial" w:cs="Arial" w:eastAsia="Arial" w:hAnsi="Arial"/>
                <w:sz w:val="12"/>
                <w:szCs w:val="12"/>
                <w:color w:val="auto"/>
                <w:vertAlign w:val="superscript"/>
              </w:rPr>
              <w:t>)</w:t>
            </w:r>
          </w:p>
        </w:tc>
        <w:tc>
          <w:tcPr>
            <w:tcW w:w="680" w:type="dxa"/>
            <w:vAlign w:val="bottom"/>
            <w:gridSpan w:val="2"/>
          </w:tcPr>
          <w:p>
            <w:pPr>
              <w:jc w:val="right"/>
              <w:ind w:right="200"/>
              <w:spacing w:after="0" w:line="106" w:lineRule="exact"/>
              <w:rPr>
                <w:sz w:val="20"/>
                <w:szCs w:val="20"/>
                <w:color w:val="auto"/>
              </w:rPr>
            </w:pPr>
            <w:r>
              <w:rPr>
                <w:rFonts w:ascii="Arial" w:cs="Arial" w:eastAsia="Arial" w:hAnsi="Arial"/>
                <w:sz w:val="7"/>
                <w:szCs w:val="7"/>
                <w:color w:val="auto"/>
              </w:rPr>
              <w:t>(658,491</w:t>
            </w:r>
            <w:r>
              <w:rPr>
                <w:rFonts w:ascii="Arial" w:cs="Arial" w:eastAsia="Arial" w:hAnsi="Arial"/>
                <w:sz w:val="12"/>
                <w:szCs w:val="12"/>
                <w:color w:val="auto"/>
                <w:vertAlign w:val="superscript"/>
              </w:rPr>
              <w:t>)</w:t>
            </w:r>
          </w:p>
        </w:tc>
        <w:tc>
          <w:tcPr>
            <w:tcW w:w="660" w:type="dxa"/>
            <w:vAlign w:val="bottom"/>
            <w:gridSpan w:val="2"/>
          </w:tcPr>
          <w:p>
            <w:pPr>
              <w:jc w:val="right"/>
              <w:ind w:right="180"/>
              <w:spacing w:after="0" w:line="106" w:lineRule="exact"/>
              <w:rPr>
                <w:sz w:val="20"/>
                <w:szCs w:val="20"/>
                <w:color w:val="auto"/>
              </w:rPr>
            </w:pPr>
            <w:r>
              <w:rPr>
                <w:rFonts w:ascii="Arial" w:cs="Arial" w:eastAsia="Arial" w:hAnsi="Arial"/>
                <w:sz w:val="7"/>
                <w:szCs w:val="7"/>
                <w:color w:val="auto"/>
              </w:rPr>
              <w:t>(29,269</w:t>
            </w:r>
            <w:r>
              <w:rPr>
                <w:rFonts w:ascii="Arial" w:cs="Arial" w:eastAsia="Arial" w:hAnsi="Arial"/>
                <w:sz w:val="12"/>
                <w:szCs w:val="12"/>
                <w:color w:val="auto"/>
                <w:vertAlign w:val="superscript"/>
              </w:rPr>
              <w:t>)</w:t>
            </w:r>
          </w:p>
        </w:tc>
        <w:tc>
          <w:tcPr>
            <w:tcW w:w="480" w:type="dxa"/>
            <w:vAlign w:val="bottom"/>
          </w:tcPr>
          <w:p>
            <w:pPr>
              <w:jc w:val="right"/>
              <w:spacing w:after="0"/>
              <w:rPr>
                <w:sz w:val="20"/>
                <w:szCs w:val="20"/>
                <w:color w:val="auto"/>
              </w:rPr>
            </w:pPr>
            <w:r>
              <w:rPr>
                <w:rFonts w:ascii="Arial" w:cs="Arial" w:eastAsia="Arial" w:hAnsi="Arial"/>
                <w:sz w:val="8"/>
                <w:szCs w:val="8"/>
                <w:color w:val="auto"/>
              </w:rPr>
              <w:t>4,374,935</w:t>
            </w:r>
          </w:p>
        </w:tc>
        <w:tc>
          <w:tcPr>
            <w:tcW w:w="2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26,237,960</w:t>
            </w:r>
          </w:p>
        </w:tc>
        <w:tc>
          <w:tcPr>
            <w:tcW w:w="22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8"/>
                <w:szCs w:val="8"/>
                <w:color w:val="auto"/>
              </w:rPr>
              <w:t>508,350</w:t>
            </w:r>
          </w:p>
        </w:tc>
        <w:tc>
          <w:tcPr>
            <w:tcW w:w="480" w:type="dxa"/>
            <w:vAlign w:val="bottom"/>
          </w:tcPr>
          <w:p>
            <w:pPr>
              <w:jc w:val="right"/>
              <w:spacing w:after="0"/>
              <w:rPr>
                <w:sz w:val="20"/>
                <w:szCs w:val="20"/>
                <w:color w:val="auto"/>
              </w:rPr>
            </w:pPr>
            <w:r>
              <w:rPr>
                <w:rFonts w:ascii="Arial" w:cs="Arial" w:eastAsia="Arial" w:hAnsi="Arial"/>
                <w:sz w:val="8"/>
                <w:szCs w:val="8"/>
                <w:color w:val="auto"/>
              </w:rPr>
              <w:t>26,746,310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53" w:right="1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7"/>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CREDICORP LTD. AND SUBSIDIARIES</w:t>
            </w: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4820" w:type="dxa"/>
            <w:vAlign w:val="bottom"/>
            <w:gridSpan w:val="2"/>
          </w:tcPr>
          <w:p>
            <w:pPr>
              <w:spacing w:after="0"/>
              <w:rPr>
                <w:sz w:val="20"/>
                <w:szCs w:val="20"/>
                <w:color w:val="auto"/>
              </w:rPr>
            </w:pPr>
            <w:r>
              <w:rPr>
                <w:rFonts w:ascii="Arial" w:cs="Arial" w:eastAsia="Arial" w:hAnsi="Arial"/>
                <w:sz w:val="12"/>
                <w:szCs w:val="12"/>
                <w:color w:val="auto"/>
              </w:rPr>
              <w:t>CONSOLIDATED STATEMENT OF CASH FLOWS</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spacing w:after="0"/>
              <w:rPr>
                <w:sz w:val="20"/>
                <w:szCs w:val="20"/>
                <w:color w:val="auto"/>
              </w:rPr>
            </w:pPr>
            <w:r>
              <w:rPr>
                <w:rFonts w:ascii="Arial" w:cs="Arial" w:eastAsia="Arial" w:hAnsi="Arial"/>
                <w:sz w:val="12"/>
                <w:szCs w:val="12"/>
                <w:color w:val="auto"/>
              </w:rPr>
              <w:t>FOR THE YEARS ENDED DECEMBER 31, 2019, 2018 AND 2017</w:t>
            </w: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gridSpan w:val="2"/>
          </w:tcPr>
          <w:p>
            <w:pPr>
              <w:ind w:left="460"/>
              <w:spacing w:after="0"/>
              <w:rPr>
                <w:sz w:val="20"/>
                <w:szCs w:val="20"/>
                <w:color w:val="auto"/>
              </w:rPr>
            </w:pPr>
            <w:r>
              <w:rPr>
                <w:rFonts w:ascii="Arial" w:cs="Arial" w:eastAsia="Arial" w:hAnsi="Arial"/>
                <w:sz w:val="12"/>
                <w:szCs w:val="12"/>
                <w:b w:val="1"/>
                <w:bCs w:val="1"/>
                <w:color w:val="auto"/>
              </w:rPr>
              <w:t>Note</w:t>
            </w: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24"/>
                <w:szCs w:val="24"/>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jc w:val="right"/>
              <w:ind w:right="320"/>
              <w:spacing w:after="0" w:line="133" w:lineRule="exact"/>
              <w:rPr>
                <w:sz w:val="20"/>
                <w:szCs w:val="20"/>
                <w:color w:val="auto"/>
              </w:rPr>
            </w:pPr>
            <w:r>
              <w:rPr>
                <w:rFonts w:ascii="Arial" w:cs="Arial" w:eastAsia="Arial" w:hAnsi="Arial"/>
                <w:sz w:val="12"/>
                <w:szCs w:val="12"/>
                <w:b w:val="1"/>
                <w:bCs w:val="1"/>
                <w:color w:val="auto"/>
              </w:rPr>
              <w:t>S/000</w:t>
            </w:r>
          </w:p>
        </w:tc>
        <w:tc>
          <w:tcPr>
            <w:tcW w:w="240" w:type="dxa"/>
            <w:vAlign w:val="bottom"/>
          </w:tcPr>
          <w:p>
            <w:pPr>
              <w:spacing w:after="0"/>
              <w:rPr>
                <w:sz w:val="11"/>
                <w:szCs w:val="11"/>
                <w:color w:val="auto"/>
              </w:rPr>
            </w:pPr>
          </w:p>
        </w:tc>
        <w:tc>
          <w:tcPr>
            <w:tcW w:w="114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FROM OPERATING ACTIVITIES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Net profit for the year</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4,352,331</w:t>
            </w:r>
          </w:p>
        </w:tc>
        <w:tc>
          <w:tcPr>
            <w:tcW w:w="1140" w:type="dxa"/>
            <w:vAlign w:val="bottom"/>
          </w:tcPr>
          <w:p>
            <w:pPr>
              <w:jc w:val="right"/>
              <w:spacing w:after="0"/>
              <w:rPr>
                <w:sz w:val="20"/>
                <w:szCs w:val="20"/>
                <w:color w:val="auto"/>
              </w:rPr>
            </w:pPr>
            <w:r>
              <w:rPr>
                <w:rFonts w:ascii="Arial" w:cs="Arial" w:eastAsia="Arial" w:hAnsi="Arial"/>
                <w:sz w:val="12"/>
                <w:szCs w:val="12"/>
                <w:color w:val="auto"/>
              </w:rPr>
              <w:t>4,071,305</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4,181,648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b w:val="1"/>
                <w:bCs w:val="1"/>
                <w:color w:val="auto"/>
              </w:rPr>
              <w:t>Adjustment to reconcile net profit to net cash arising from operating activities: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 on loan portfolio</w:t>
            </w:r>
          </w:p>
        </w:tc>
        <w:tc>
          <w:tcPr>
            <w:tcW w:w="1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7 (c)</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2,100,091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1,814,898</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2,057,478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3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8"/>
              </w:rPr>
              <w:t>10 and 11(a)</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455,032</w:t>
            </w:r>
          </w:p>
        </w:tc>
        <w:tc>
          <w:tcPr>
            <w:tcW w:w="1140" w:type="dxa"/>
            <w:vAlign w:val="bottom"/>
          </w:tcPr>
          <w:p>
            <w:pPr>
              <w:jc w:val="right"/>
              <w:spacing w:after="0"/>
              <w:rPr>
                <w:sz w:val="20"/>
                <w:szCs w:val="20"/>
                <w:color w:val="auto"/>
              </w:rPr>
            </w:pPr>
            <w:r>
              <w:rPr>
                <w:rFonts w:ascii="Arial" w:cs="Arial" w:eastAsia="Arial" w:hAnsi="Arial"/>
                <w:sz w:val="12"/>
                <w:szCs w:val="12"/>
                <w:color w:val="auto"/>
              </w:rPr>
              <w:t>429,122</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419,975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Depreciation of right-of-use assets</w:t>
            </w:r>
          </w:p>
        </w:tc>
        <w:tc>
          <w:tcPr>
            <w:tcW w:w="1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12 (a)</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177,307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Depreciation of investment properties</w:t>
            </w:r>
          </w:p>
        </w:tc>
        <w:tc>
          <w:tcPr>
            <w:tcW w:w="13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9"/>
              </w:rPr>
              <w:t>13 (e)</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6,727</w:t>
            </w:r>
          </w:p>
        </w:tc>
        <w:tc>
          <w:tcPr>
            <w:tcW w:w="1140" w:type="dxa"/>
            <w:vAlign w:val="bottom"/>
          </w:tcPr>
          <w:p>
            <w:pPr>
              <w:jc w:val="right"/>
              <w:spacing w:after="0"/>
              <w:rPr>
                <w:sz w:val="20"/>
                <w:szCs w:val="20"/>
                <w:color w:val="auto"/>
              </w:rPr>
            </w:pPr>
            <w:r>
              <w:rPr>
                <w:rFonts w:ascii="Arial" w:cs="Arial" w:eastAsia="Arial" w:hAnsi="Arial"/>
                <w:sz w:val="12"/>
                <w:szCs w:val="12"/>
                <w:color w:val="auto"/>
              </w:rPr>
              <w:t>7,405</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6,440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 expense</w:t>
            </w:r>
          </w:p>
        </w:tc>
        <w:tc>
          <w:tcPr>
            <w:tcW w:w="1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19 (b)</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(52,540)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91,101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Adjustment of technical reserves</w:t>
            </w:r>
          </w:p>
        </w:tc>
        <w:tc>
          <w:tcPr>
            <w:tcW w:w="13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9"/>
              </w:rPr>
              <w:t>25 (a)</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761,970</w:t>
            </w:r>
          </w:p>
        </w:tc>
        <w:tc>
          <w:tcPr>
            <w:tcW w:w="1140" w:type="dxa"/>
            <w:vAlign w:val="bottom"/>
          </w:tcPr>
          <w:p>
            <w:pPr>
              <w:jc w:val="right"/>
              <w:spacing w:after="0"/>
              <w:rPr>
                <w:sz w:val="20"/>
                <w:szCs w:val="20"/>
                <w:color w:val="auto"/>
              </w:rPr>
            </w:pPr>
            <w:r>
              <w:rPr>
                <w:rFonts w:ascii="Arial" w:cs="Arial" w:eastAsia="Arial" w:hAnsi="Arial"/>
                <w:sz w:val="12"/>
                <w:szCs w:val="12"/>
                <w:color w:val="auto"/>
              </w:rPr>
              <w:t>713,433</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608,072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gain on securities</w:t>
            </w:r>
          </w:p>
        </w:tc>
        <w:tc>
          <w:tcPr>
            <w:tcW w:w="2540" w:type="dxa"/>
            <w:vAlign w:val="bottom"/>
            <w:gridSpan w:val="2"/>
            <w:shd w:val="clear" w:color="auto" w:fill="CCEEFF"/>
          </w:tcPr>
          <w:p>
            <w:pPr>
              <w:jc w:val="center"/>
              <w:ind w:left="1440"/>
              <w:spacing w:after="0"/>
              <w:rPr>
                <w:sz w:val="20"/>
                <w:szCs w:val="20"/>
                <w:color w:val="auto"/>
              </w:rPr>
            </w:pPr>
            <w:r>
              <w:rPr>
                <w:rFonts w:ascii="Arial" w:cs="Arial" w:eastAsia="Arial" w:hAnsi="Arial"/>
                <w:sz w:val="12"/>
                <w:szCs w:val="12"/>
                <w:color w:val="auto"/>
                <w:w w:val="89"/>
              </w:rPr>
              <w:t>24</w:t>
            </w: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(546,814)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(242,829)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(760,772)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Impairment loss on goodwill</w:t>
            </w:r>
          </w:p>
        </w:tc>
        <w:tc>
          <w:tcPr>
            <w:tcW w:w="13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9"/>
              </w:rPr>
              <w:t>11 (b)</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38,189</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sundry risks</w:t>
            </w:r>
          </w:p>
        </w:tc>
        <w:tc>
          <w:tcPr>
            <w:tcW w:w="1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2"/>
              </w:rPr>
              <w:t>13 (f)</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44,131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42,236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Gain (loss) on financial assets designated at fair value through profit and loss</w:t>
            </w:r>
          </w:p>
        </w:tc>
        <w:tc>
          <w:tcPr>
            <w:tcW w:w="13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9"/>
              </w:rPr>
              <w:t>25 (a)</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(93,664)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53,935</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(67,633)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gain of trading derivatives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(6,043)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(13,262)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(103,580)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Net Income from sale of property, furniture and equipment</w:t>
            </w:r>
          </w:p>
        </w:tc>
        <w:tc>
          <w:tcPr>
            <w:tcW w:w="2540" w:type="dxa"/>
            <w:vAlign w:val="bottom"/>
            <w:gridSpan w:val="2"/>
          </w:tcPr>
          <w:p>
            <w:pPr>
              <w:jc w:val="center"/>
              <w:ind w:left="1440"/>
              <w:spacing w:after="0"/>
              <w:rPr>
                <w:sz w:val="20"/>
                <w:szCs w:val="20"/>
                <w:color w:val="auto"/>
              </w:rPr>
            </w:pPr>
            <w:r>
              <w:rPr>
                <w:rFonts w:ascii="Arial" w:cs="Arial" w:eastAsia="Arial" w:hAnsi="Arial"/>
                <w:sz w:val="12"/>
                <w:szCs w:val="12"/>
                <w:color w:val="auto"/>
                <w:w w:val="89"/>
              </w:rPr>
              <w:t>29</w:t>
            </w: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(16,869)</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(54,952)</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(36,970)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loss (gain) from sale of seized and recovered assets</w:t>
            </w:r>
          </w:p>
        </w:tc>
        <w:tc>
          <w:tcPr>
            <w:tcW w:w="2540" w:type="dxa"/>
            <w:vAlign w:val="bottom"/>
            <w:gridSpan w:val="2"/>
            <w:shd w:val="clear" w:color="auto" w:fill="CCEEFF"/>
          </w:tcPr>
          <w:p>
            <w:pPr>
              <w:jc w:val="center"/>
              <w:ind w:left="1440"/>
              <w:spacing w:after="0"/>
              <w:rPr>
                <w:sz w:val="20"/>
                <w:szCs w:val="20"/>
                <w:color w:val="auto"/>
              </w:rPr>
            </w:pPr>
            <w:r>
              <w:rPr>
                <w:rFonts w:ascii="Arial" w:cs="Arial" w:eastAsia="Arial" w:hAnsi="Arial"/>
                <w:sz w:val="12"/>
                <w:szCs w:val="12"/>
                <w:color w:val="auto"/>
                <w:w w:val="89"/>
              </w:rPr>
              <w:t>29</w:t>
            </w: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9,617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3,411</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Expense for share-based payment transactions</w:t>
            </w:r>
          </w:p>
        </w:tc>
        <w:tc>
          <w:tcPr>
            <w:tcW w:w="2540" w:type="dxa"/>
            <w:vAlign w:val="bottom"/>
            <w:gridSpan w:val="2"/>
          </w:tcPr>
          <w:p>
            <w:pPr>
              <w:jc w:val="center"/>
              <w:ind w:left="1440"/>
              <w:spacing w:after="0"/>
              <w:rPr>
                <w:sz w:val="20"/>
                <w:szCs w:val="20"/>
                <w:color w:val="auto"/>
              </w:rPr>
            </w:pPr>
            <w:r>
              <w:rPr>
                <w:rFonts w:ascii="Arial" w:cs="Arial" w:eastAsia="Arial" w:hAnsi="Arial"/>
                <w:sz w:val="12"/>
                <w:szCs w:val="12"/>
                <w:color w:val="auto"/>
                <w:w w:val="89"/>
              </w:rPr>
              <w:t>27</w:t>
            </w: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120,062</w:t>
            </w:r>
          </w:p>
        </w:tc>
        <w:tc>
          <w:tcPr>
            <w:tcW w:w="1140" w:type="dxa"/>
            <w:vAlign w:val="bottom"/>
          </w:tcPr>
          <w:p>
            <w:pPr>
              <w:jc w:val="right"/>
              <w:spacing w:after="0"/>
              <w:rPr>
                <w:sz w:val="20"/>
                <w:szCs w:val="20"/>
                <w:color w:val="auto"/>
              </w:rPr>
            </w:pPr>
            <w:r>
              <w:rPr>
                <w:rFonts w:ascii="Arial" w:cs="Arial" w:eastAsia="Arial" w:hAnsi="Arial"/>
                <w:sz w:val="12"/>
                <w:szCs w:val="12"/>
                <w:color w:val="auto"/>
              </w:rPr>
              <w:t>106,685</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104,170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(19,735)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b w:val="1"/>
                <w:bCs w:val="1"/>
                <w:color w:val="auto"/>
              </w:rPr>
              <w:t>Net changes in assets and liabilities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(increase) decrease in assets: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Loans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(6,767,721)</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(10,236,155)</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(8,387,767)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Investments at fair value through profit or loss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(206,534)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530,918</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Investments at fair value through other comprehensive income</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771,680</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(837,699)</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Investments available-for-sale</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(5,380,789)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Cash collateral, reverse repurchase agreements and securities borrowings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(265,157)</w:t>
            </w:r>
          </w:p>
        </w:tc>
        <w:tc>
          <w:tcPr>
            <w:tcW w:w="1140" w:type="dxa"/>
            <w:vAlign w:val="bottom"/>
          </w:tcPr>
          <w:p>
            <w:pPr>
              <w:jc w:val="right"/>
              <w:spacing w:after="0"/>
              <w:rPr>
                <w:sz w:val="20"/>
                <w:szCs w:val="20"/>
                <w:color w:val="auto"/>
              </w:rPr>
            </w:pPr>
            <w:r>
              <w:rPr>
                <w:rFonts w:ascii="Arial" w:cs="Arial" w:eastAsia="Arial" w:hAnsi="Arial"/>
                <w:sz w:val="12"/>
                <w:szCs w:val="12"/>
                <w:color w:val="auto"/>
              </w:rPr>
              <w:t>3,604,105</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3,134,530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(1,066,465)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(1,078,163)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425,245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b w:val="1"/>
                <w:bCs w:val="1"/>
                <w:color w:val="auto"/>
              </w:rPr>
              <w:t>Net increase (decrease) in liabilities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Deposits and obligations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7,457,393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5,583,328</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12,779,204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Due to Banks and correspondents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426,411</w:t>
            </w:r>
          </w:p>
        </w:tc>
        <w:tc>
          <w:tcPr>
            <w:tcW w:w="1140" w:type="dxa"/>
            <w:vAlign w:val="bottom"/>
          </w:tcPr>
          <w:p>
            <w:pPr>
              <w:jc w:val="right"/>
              <w:spacing w:after="0"/>
              <w:rPr>
                <w:sz w:val="20"/>
                <w:szCs w:val="20"/>
                <w:color w:val="auto"/>
              </w:rPr>
            </w:pPr>
            <w:r>
              <w:rPr>
                <w:rFonts w:ascii="Arial" w:cs="Arial" w:eastAsia="Arial" w:hAnsi="Arial"/>
                <w:sz w:val="12"/>
                <w:szCs w:val="12"/>
                <w:color w:val="auto"/>
              </w:rPr>
              <w:t>267,383</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661,747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Payables from repurchase agreements and securities lending</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(1,714,532)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(4,069,121)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(1,661,576)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Bonds and notes issued</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670,877</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(1,264,573)</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788,144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Short-term and low-value lease payments</w:t>
            </w:r>
          </w:p>
        </w:tc>
        <w:tc>
          <w:tcPr>
            <w:tcW w:w="1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(63,047)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Other liabilities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1,567,333</w:t>
            </w:r>
          </w:p>
        </w:tc>
        <w:tc>
          <w:tcPr>
            <w:tcW w:w="1140" w:type="dxa"/>
            <w:vAlign w:val="bottom"/>
          </w:tcPr>
          <w:p>
            <w:pPr>
              <w:jc w:val="right"/>
              <w:spacing w:after="0"/>
              <w:rPr>
                <w:sz w:val="20"/>
                <w:szCs w:val="20"/>
                <w:color w:val="auto"/>
              </w:rPr>
            </w:pPr>
            <w:r>
              <w:rPr>
                <w:rFonts w:ascii="Arial" w:cs="Arial" w:eastAsia="Arial" w:hAnsi="Arial"/>
                <w:sz w:val="12"/>
                <w:szCs w:val="12"/>
                <w:color w:val="auto"/>
              </w:rPr>
              <w:t>1,310,451</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1,745,720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Income tax paid</w:t>
            </w:r>
          </w:p>
        </w:tc>
        <w:tc>
          <w:tcPr>
            <w:tcW w:w="1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(1,168,130)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(1,106,700)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(1,014,907)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00" w:type="dxa"/>
            <w:vAlign w:val="bottom"/>
          </w:tcPr>
          <w:p>
            <w:pPr>
              <w:spacing w:after="0" w:line="133" w:lineRule="exact"/>
              <w:rPr>
                <w:sz w:val="20"/>
                <w:szCs w:val="20"/>
                <w:color w:val="auto"/>
              </w:rPr>
            </w:pPr>
            <w:r>
              <w:rPr>
                <w:rFonts w:ascii="Arial" w:cs="Arial" w:eastAsia="Arial" w:hAnsi="Arial"/>
                <w:sz w:val="12"/>
                <w:szCs w:val="12"/>
                <w:b w:val="1"/>
                <w:bCs w:val="1"/>
                <w:color w:val="auto"/>
              </w:rPr>
              <w:t>Net cash flow from operating activities</w:t>
            </w: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6,933,711</w:t>
            </w:r>
          </w:p>
        </w:tc>
        <w:tc>
          <w:tcPr>
            <w:tcW w:w="24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(251,571)</w:t>
            </w:r>
          </w:p>
        </w:tc>
        <w:tc>
          <w:tcPr>
            <w:tcW w:w="24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9,507,315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- 15 -</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80" w:type="dxa"/>
            <w:vAlign w:val="bottom"/>
            <w:gridSpan w:val="2"/>
          </w:tcPr>
          <w:p>
            <w:pPr>
              <w:spacing w:after="0"/>
              <w:rPr>
                <w:sz w:val="20"/>
                <w:szCs w:val="20"/>
                <w:color w:val="auto"/>
              </w:rPr>
            </w:pPr>
            <w:r>
              <w:rPr>
                <w:rFonts w:ascii="Arial" w:cs="Arial" w:eastAsia="Arial" w:hAnsi="Arial"/>
                <w:sz w:val="12"/>
                <w:szCs w:val="12"/>
                <w:color w:val="auto"/>
              </w:rPr>
              <w:t>CONSOLIDATED STATEMENT OF CASH FLOWS (CONTINUED)</w:t>
            </w: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2"/>
          </w:tcPr>
          <w:p>
            <w:pPr>
              <w:ind w:left="460"/>
              <w:spacing w:after="0"/>
              <w:rPr>
                <w:sz w:val="20"/>
                <w:szCs w:val="20"/>
                <w:color w:val="auto"/>
              </w:rPr>
            </w:pPr>
            <w:r>
              <w:rPr>
                <w:rFonts w:ascii="Arial" w:cs="Arial" w:eastAsia="Arial" w:hAnsi="Arial"/>
                <w:sz w:val="12"/>
                <w:szCs w:val="12"/>
                <w:b w:val="1"/>
                <w:bCs w:val="1"/>
                <w:color w:val="auto"/>
              </w:rPr>
              <w:t>Note</w:t>
            </w: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24"/>
                <w:szCs w:val="24"/>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jc w:val="right"/>
              <w:ind w:right="320"/>
              <w:spacing w:after="0" w:line="133" w:lineRule="exact"/>
              <w:rPr>
                <w:sz w:val="20"/>
                <w:szCs w:val="20"/>
                <w:color w:val="auto"/>
              </w:rPr>
            </w:pPr>
            <w:r>
              <w:rPr>
                <w:rFonts w:ascii="Arial" w:cs="Arial" w:eastAsia="Arial" w:hAnsi="Arial"/>
                <w:sz w:val="12"/>
                <w:szCs w:val="12"/>
                <w:b w:val="1"/>
                <w:bCs w:val="1"/>
                <w:color w:val="auto"/>
              </w:rPr>
              <w:t>S/000</w:t>
            </w:r>
          </w:p>
        </w:tc>
        <w:tc>
          <w:tcPr>
            <w:tcW w:w="240" w:type="dxa"/>
            <w:vAlign w:val="bottom"/>
          </w:tcPr>
          <w:p>
            <w:pPr>
              <w:spacing w:after="0"/>
              <w:rPr>
                <w:sz w:val="11"/>
                <w:szCs w:val="11"/>
                <w:color w:val="auto"/>
              </w:rPr>
            </w:pPr>
          </w:p>
        </w:tc>
        <w:tc>
          <w:tcPr>
            <w:tcW w:w="114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FLOWS FROM INVESTING ACTIVITIES</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Revenue from sale of property, furniture and equipment</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35,355</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95,063</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44,137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Revenue from sale of investment property</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38,969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25,552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115,705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Purchase of property, furniture and equipment</w:t>
            </w:r>
          </w:p>
        </w:tc>
        <w:tc>
          <w:tcPr>
            <w:tcW w:w="2180" w:type="dxa"/>
            <w:vAlign w:val="bottom"/>
            <w:gridSpan w:val="2"/>
          </w:tcPr>
          <w:p>
            <w:pPr>
              <w:jc w:val="center"/>
              <w:ind w:left="1080"/>
              <w:spacing w:after="0"/>
              <w:rPr>
                <w:sz w:val="20"/>
                <w:szCs w:val="20"/>
                <w:color w:val="auto"/>
              </w:rPr>
            </w:pPr>
            <w:r>
              <w:rPr>
                <w:rFonts w:ascii="Arial" w:cs="Arial" w:eastAsia="Arial" w:hAnsi="Arial"/>
                <w:sz w:val="12"/>
                <w:szCs w:val="12"/>
                <w:color w:val="auto"/>
                <w:w w:val="89"/>
              </w:rPr>
              <w:t>10</w:t>
            </w: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(134,776)</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(181,459)</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(143,851)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Purchase of investment property</w:t>
            </w:r>
          </w:p>
        </w:tc>
        <w:tc>
          <w:tcPr>
            <w:tcW w:w="10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13 (e)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(33,321)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(49,519)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Purchase of intangible assets</w:t>
            </w:r>
          </w:p>
        </w:tc>
        <w:tc>
          <w:tcPr>
            <w:tcW w:w="102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2"/>
                <w:szCs w:val="12"/>
                <w:color w:val="auto"/>
                <w:w w:val="89"/>
              </w:rPr>
              <w:t>11 (a)</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(371,957)</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(419,789)</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(271,722)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Purchase of investment at amortized cost</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(1,688,443)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(3,613,093)</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Revenue from sales and reimbursement of investment at amortized cost</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3,256,332</w:t>
            </w:r>
          </w:p>
        </w:tc>
        <w:tc>
          <w:tcPr>
            <w:tcW w:w="1140" w:type="dxa"/>
            <w:vAlign w:val="bottom"/>
          </w:tcPr>
          <w:p>
            <w:pPr>
              <w:jc w:val="right"/>
              <w:spacing w:after="0"/>
              <w:rPr>
                <w:sz w:val="20"/>
                <w:szCs w:val="20"/>
                <w:color w:val="auto"/>
              </w:rPr>
            </w:pPr>
            <w:r>
              <w:rPr>
                <w:rFonts w:ascii="Arial" w:cs="Arial" w:eastAsia="Arial" w:hAnsi="Arial"/>
                <w:sz w:val="12"/>
                <w:szCs w:val="12"/>
                <w:color w:val="auto"/>
              </w:rPr>
              <w:t>4,083,902</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Purchase of investments held-to-maturity</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(2,242,548)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Revenue from sales and reimbursement of investments held-to-maturity</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2,757,402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subsidiaries, net of cash received</w:t>
            </w:r>
          </w:p>
        </w:tc>
        <w:tc>
          <w:tcPr>
            <w:tcW w:w="10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2 (a)</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(375,952)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Net cash flows from investing activities</w:t>
            </w:r>
          </w:p>
        </w:tc>
        <w:tc>
          <w:tcPr>
            <w:tcW w:w="102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726,207</w:t>
            </w:r>
          </w:p>
        </w:tc>
        <w:tc>
          <w:tcPr>
            <w:tcW w:w="24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(59,343)</w:t>
            </w:r>
          </w:p>
        </w:tc>
        <w:tc>
          <w:tcPr>
            <w:tcW w:w="2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249,906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b w:val="1"/>
                <w:bCs w:val="1"/>
                <w:color w:val="auto"/>
              </w:rPr>
              <w:t>NET CASH FLOWS FROM FINANCING ACTIVITIES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Dividends paid</w:t>
            </w:r>
          </w:p>
        </w:tc>
        <w:tc>
          <w:tcPr>
            <w:tcW w:w="10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18 (e)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(1,595,229)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(1,130,427)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(979,989)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Dividends paid to non-controlling interest of subsidiaries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(52,971)</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(45,134)</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(50,234)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Additional dividends paid</w:t>
            </w:r>
          </w:p>
        </w:tc>
        <w:tc>
          <w:tcPr>
            <w:tcW w:w="10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18 (e)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(638,092)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(1,252,255)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Principal payments of leasing contracts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(147,841)</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Interest payments of leasing contracts</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(37,438)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Subordinated bonds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(977,009)</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(40,049)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Purchase of treasury stock</w:t>
            </w:r>
          </w:p>
        </w:tc>
        <w:tc>
          <w:tcPr>
            <w:tcW w:w="10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18 (b)</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(103,225)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(95,413)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(71,008)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Acquisition of non-controlling interest</w:t>
            </w: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(174,472)</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cash flows from financing activities</w:t>
            </w:r>
          </w:p>
        </w:tc>
        <w:tc>
          <w:tcPr>
            <w:tcW w:w="10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(3,551,805)</w:t>
            </w: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(1,445,446)</w:t>
            </w:r>
          </w:p>
        </w:tc>
        <w:tc>
          <w:tcPr>
            <w:tcW w:w="2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(2,393,535)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4"/>
              </w:rPr>
              <w:t>Net increase (decrease) of cash and cash equivalents before effect of changes in exchange rate</w:t>
            </w:r>
          </w:p>
        </w:tc>
        <w:tc>
          <w:tcPr>
            <w:tcW w:w="10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4,108,113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(1,756,360)</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7,363,686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80" w:type="dxa"/>
            <w:vAlign w:val="bottom"/>
            <w:gridSpan w:val="2"/>
          </w:tcPr>
          <w:p>
            <w:pPr>
              <w:spacing w:after="0" w:line="133" w:lineRule="exact"/>
              <w:rPr>
                <w:sz w:val="20"/>
                <w:szCs w:val="20"/>
                <w:color w:val="auto"/>
              </w:rPr>
            </w:pPr>
            <w:r>
              <w:rPr>
                <w:rFonts w:ascii="Arial" w:cs="Arial" w:eastAsia="Arial" w:hAnsi="Arial"/>
                <w:sz w:val="12"/>
                <w:szCs w:val="12"/>
                <w:color w:val="auto"/>
              </w:rPr>
              <w:t>Effect of changes in exchange rate of cash and cash equivalents</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(294,874)</w:t>
            </w:r>
          </w:p>
        </w:tc>
        <w:tc>
          <w:tcPr>
            <w:tcW w:w="240" w:type="dxa"/>
            <w:vAlign w:val="bottom"/>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704,966</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(784,685)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the beginning of the period</w:t>
            </w:r>
          </w:p>
        </w:tc>
        <w:tc>
          <w:tcPr>
            <w:tcW w:w="10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22,160,803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23,212,197</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16,633,196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line="133" w:lineRule="exact"/>
              <w:rPr>
                <w:sz w:val="20"/>
                <w:szCs w:val="20"/>
                <w:color w:val="auto"/>
              </w:rPr>
            </w:pPr>
            <w:r>
              <w:rPr>
                <w:rFonts w:ascii="Arial" w:cs="Arial" w:eastAsia="Arial" w:hAnsi="Arial"/>
                <w:sz w:val="12"/>
                <w:szCs w:val="12"/>
                <w:b w:val="1"/>
                <w:bCs w:val="1"/>
                <w:color w:val="auto"/>
              </w:rPr>
              <w:t>Cash and cash equivalents at the end of the period</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25,974,042</w:t>
            </w:r>
          </w:p>
        </w:tc>
        <w:tc>
          <w:tcPr>
            <w:tcW w:w="240" w:type="dxa"/>
            <w:vAlign w:val="bottom"/>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22,160,803</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23,212,197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Additional information from cash flows</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Interest received</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12,349,495</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11,469,209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10,935,640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Interest paid</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(3,193,536)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(3,034,140)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(2,885,989)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Transactions that do not represent cash flow</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Recognition of lease operations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852,800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from investments at amortized cost to fair value with changes in equity</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241,656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- 16 -</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21" w:name="page22"/>
    <w:bookmarkEnd w:id="2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420" w:type="dxa"/>
            <w:vAlign w:val="bottom"/>
            <w:gridSpan w:val="4"/>
          </w:tcPr>
          <w:p>
            <w:pPr>
              <w:spacing w:after="0"/>
              <w:rPr>
                <w:sz w:val="20"/>
                <w:szCs w:val="20"/>
                <w:color w:val="auto"/>
              </w:rPr>
            </w:pPr>
            <w:r>
              <w:rPr>
                <w:rFonts w:ascii="Arial" w:cs="Arial" w:eastAsia="Arial" w:hAnsi="Arial"/>
                <w:sz w:val="12"/>
                <w:szCs w:val="12"/>
                <w:color w:val="auto"/>
                <w:w w:val="95"/>
              </w:rPr>
              <w:t>CONSOLIDATED STATEMENT OF CASH FLOWS (CONTINUED)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420" w:type="dxa"/>
            <w:vAlign w:val="bottom"/>
            <w:gridSpan w:val="4"/>
          </w:tcPr>
          <w:p>
            <w:pPr>
              <w:spacing w:after="0"/>
              <w:rPr>
                <w:sz w:val="20"/>
                <w:szCs w:val="20"/>
                <w:color w:val="auto"/>
              </w:rPr>
            </w:pPr>
            <w:r>
              <w:rPr>
                <w:rFonts w:ascii="Arial" w:cs="Arial" w:eastAsia="Arial" w:hAnsi="Arial"/>
                <w:sz w:val="12"/>
                <w:szCs w:val="12"/>
                <w:b w:val="1"/>
                <w:bCs w:val="1"/>
                <w:color w:val="auto"/>
              </w:rPr>
              <w:t>Reconciliation of liabilities arising from financing activities: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8"/>
              </w:rPr>
              <w:t>Changes that generate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96"/>
              </w:rPr>
              <w:t>At January</w:t>
            </w:r>
          </w:p>
        </w:tc>
        <w:tc>
          <w:tcPr>
            <w:tcW w:w="208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84"/>
              </w:rPr>
              <w:t>cash flows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w w:val="87"/>
              </w:rPr>
              <w:t>Changes that do not generate cash flows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At December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8"/>
              </w:rPr>
              <w:t>New</w:t>
            </w:r>
          </w:p>
        </w:tc>
        <w:tc>
          <w:tcPr>
            <w:tcW w:w="8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Amortization</w:t>
            </w: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8"/>
              </w:rPr>
              <w:t>Exchange</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86"/>
              </w:rPr>
              <w:t>Changes in</w:t>
            </w:r>
          </w:p>
        </w:tc>
        <w:tc>
          <w:tcPr>
            <w:tcW w:w="1000" w:type="dxa"/>
            <w:vAlign w:val="bottom"/>
            <w:tcBorders>
              <w:top w:val="single" w:sz="8" w:color="auto"/>
            </w:tcBorders>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Discontinuing</w:t>
            </w: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1, 2019</w:t>
            </w:r>
          </w:p>
        </w:tc>
        <w:tc>
          <w:tcPr>
            <w:tcW w:w="2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0"/>
              </w:rPr>
              <w:t>issues</w:t>
            </w: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of principal</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difference</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fair value</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of hedge</w:t>
            </w: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Others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Subordinated bonds: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3"/>
          </w:tcPr>
          <w:p>
            <w:pPr>
              <w:ind w:left="80"/>
              <w:spacing w:after="0"/>
              <w:rPr>
                <w:sz w:val="20"/>
                <w:szCs w:val="20"/>
                <w:color w:val="auto"/>
              </w:rPr>
            </w:pPr>
            <w:r>
              <w:rPr>
                <w:rFonts w:ascii="Arial" w:cs="Arial" w:eastAsia="Arial" w:hAnsi="Arial"/>
                <w:sz w:val="12"/>
                <w:szCs w:val="12"/>
                <w:color w:val="auto"/>
              </w:rPr>
              <w:t>Amortized cost</w:t>
            </w:r>
          </w:p>
        </w:tc>
        <w:tc>
          <w:tcPr>
            <w:tcW w:w="720" w:type="dxa"/>
            <w:vAlign w:val="bottom"/>
          </w:tcPr>
          <w:p>
            <w:pPr>
              <w:jc w:val="right"/>
              <w:spacing w:after="0"/>
              <w:rPr>
                <w:sz w:val="20"/>
                <w:szCs w:val="20"/>
                <w:color w:val="auto"/>
              </w:rPr>
            </w:pPr>
            <w:r>
              <w:rPr>
                <w:rFonts w:ascii="Arial" w:cs="Arial" w:eastAsia="Arial" w:hAnsi="Arial"/>
                <w:sz w:val="12"/>
                <w:szCs w:val="12"/>
                <w:color w:val="auto"/>
              </w:rPr>
              <w:t>5,424,401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(977,009)</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(69,875)</w:t>
            </w:r>
          </w:p>
        </w:tc>
        <w:tc>
          <w:tcPr>
            <w:tcW w:w="1200" w:type="dxa"/>
            <w:vAlign w:val="bottom"/>
            <w:gridSpan w:val="3"/>
          </w:tcPr>
          <w:p>
            <w:pPr>
              <w:jc w:val="right"/>
              <w:ind w:right="240"/>
              <w:spacing w:after="0"/>
              <w:rPr>
                <w:sz w:val="20"/>
                <w:szCs w:val="20"/>
                <w:color w:val="auto"/>
              </w:rPr>
            </w:pPr>
            <w:r>
              <w:rPr>
                <w:rFonts w:ascii="Arial" w:cs="Arial" w:eastAsia="Arial" w:hAnsi="Arial"/>
                <w:sz w:val="12"/>
                <w:szCs w:val="12"/>
                <w:color w:val="auto"/>
              </w:rPr>
              <w:t>421</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9,805</w:t>
            </w:r>
          </w:p>
        </w:tc>
        <w:tc>
          <w:tcPr>
            <w:tcW w:w="780" w:type="dxa"/>
            <w:vAlign w:val="bottom"/>
          </w:tcPr>
          <w:p>
            <w:pPr>
              <w:jc w:val="right"/>
              <w:spacing w:after="0"/>
              <w:rPr>
                <w:sz w:val="20"/>
                <w:szCs w:val="20"/>
                <w:color w:val="auto"/>
              </w:rPr>
            </w:pPr>
            <w:r>
              <w:rPr>
                <w:rFonts w:ascii="Arial" w:cs="Arial" w:eastAsia="Arial" w:hAnsi="Arial"/>
                <w:sz w:val="12"/>
                <w:szCs w:val="12"/>
                <w:color w:val="auto"/>
              </w:rPr>
              <w:t>4,387,743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Fair value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5,424,401</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(977,009)</w:t>
            </w:r>
          </w:p>
        </w:tc>
        <w:tc>
          <w:tcPr>
            <w:tcW w:w="2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(69,875)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421</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9,805</w:t>
            </w:r>
          </w:p>
        </w:tc>
        <w:tc>
          <w:tcPr>
            <w:tcW w:w="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4,387,743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8"/>
              </w:rPr>
              <w:t>Changes that generate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96"/>
              </w:rPr>
              <w:t>At January</w:t>
            </w:r>
          </w:p>
        </w:tc>
        <w:tc>
          <w:tcPr>
            <w:tcW w:w="208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84"/>
              </w:rPr>
              <w:t>cash flows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w w:val="87"/>
              </w:rPr>
              <w:t>Changes that do not generate cash flows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At December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8"/>
              </w:rPr>
              <w:t>New</w:t>
            </w:r>
          </w:p>
        </w:tc>
        <w:tc>
          <w:tcPr>
            <w:tcW w:w="8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Amortization</w:t>
            </w: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8"/>
              </w:rPr>
              <w:t>Exchange</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86"/>
              </w:rPr>
              <w:t>Changes in</w:t>
            </w:r>
          </w:p>
        </w:tc>
        <w:tc>
          <w:tcPr>
            <w:tcW w:w="1000" w:type="dxa"/>
            <w:vAlign w:val="bottom"/>
            <w:tcBorders>
              <w:top w:val="single" w:sz="8" w:color="auto"/>
            </w:tcBorders>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Discontinuing</w:t>
            </w: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1, 2018</w:t>
            </w:r>
          </w:p>
        </w:tc>
        <w:tc>
          <w:tcPr>
            <w:tcW w:w="2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0"/>
              </w:rPr>
              <w:t>issues</w:t>
            </w: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of principal</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difference</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fair value</w:t>
            </w: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of hedge (*)</w:t>
            </w: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Others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Subordinated bonds: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3"/>
          </w:tcPr>
          <w:p>
            <w:pPr>
              <w:ind w:left="80"/>
              <w:spacing w:after="0"/>
              <w:rPr>
                <w:sz w:val="20"/>
                <w:szCs w:val="20"/>
                <w:color w:val="auto"/>
              </w:rPr>
            </w:pPr>
            <w:r>
              <w:rPr>
                <w:rFonts w:ascii="Arial" w:cs="Arial" w:eastAsia="Arial" w:hAnsi="Arial"/>
                <w:sz w:val="12"/>
                <w:szCs w:val="12"/>
                <w:color w:val="auto"/>
              </w:rPr>
              <w:t>Amortized cost</w:t>
            </w:r>
          </w:p>
        </w:tc>
        <w:tc>
          <w:tcPr>
            <w:tcW w:w="720" w:type="dxa"/>
            <w:vAlign w:val="bottom"/>
          </w:tcPr>
          <w:p>
            <w:pPr>
              <w:jc w:val="right"/>
              <w:spacing w:after="0"/>
              <w:rPr>
                <w:sz w:val="20"/>
                <w:szCs w:val="20"/>
                <w:color w:val="auto"/>
              </w:rPr>
            </w:pPr>
            <w:r>
              <w:rPr>
                <w:rFonts w:ascii="Arial" w:cs="Arial" w:eastAsia="Arial" w:hAnsi="Arial"/>
                <w:sz w:val="12"/>
                <w:szCs w:val="12"/>
                <w:color w:val="auto"/>
              </w:rPr>
              <w:t>2,257,516</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183,791</w:t>
            </w:r>
          </w:p>
        </w:tc>
        <w:tc>
          <w:tcPr>
            <w:tcW w:w="1200" w:type="dxa"/>
            <w:vAlign w:val="bottom"/>
            <w:gridSpan w:val="3"/>
          </w:tcPr>
          <w:p>
            <w:pPr>
              <w:jc w:val="right"/>
              <w:ind w:right="240"/>
              <w:spacing w:after="0"/>
              <w:rPr>
                <w:sz w:val="20"/>
                <w:szCs w:val="20"/>
                <w:color w:val="auto"/>
              </w:rPr>
            </w:pPr>
            <w:r>
              <w:rPr>
                <w:rFonts w:ascii="Arial" w:cs="Arial" w:eastAsia="Arial" w:hAnsi="Arial"/>
                <w:sz w:val="12"/>
                <w:szCs w:val="12"/>
                <w:color w:val="auto"/>
              </w:rPr>
              <w:t>164</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2,951,813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31,117</w:t>
            </w:r>
          </w:p>
        </w:tc>
        <w:tc>
          <w:tcPr>
            <w:tcW w:w="780" w:type="dxa"/>
            <w:vAlign w:val="bottom"/>
          </w:tcPr>
          <w:p>
            <w:pPr>
              <w:jc w:val="right"/>
              <w:spacing w:after="0"/>
              <w:rPr>
                <w:sz w:val="20"/>
                <w:szCs w:val="20"/>
                <w:color w:val="auto"/>
              </w:rPr>
            </w:pPr>
            <w:r>
              <w:rPr>
                <w:rFonts w:ascii="Arial" w:cs="Arial" w:eastAsia="Arial" w:hAnsi="Arial"/>
                <w:sz w:val="12"/>
                <w:szCs w:val="12"/>
                <w:color w:val="auto"/>
              </w:rPr>
              <w:t>5,424,401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Fair value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2,989,873</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17,210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(55,270)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(2,951,813)</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5,247,389</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201,001</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(55,106)</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31,117</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5,424,401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400" w:type="dxa"/>
            <w:vAlign w:val="bottom"/>
            <w:gridSpan w:val="3"/>
          </w:tcPr>
          <w:p>
            <w:pPr>
              <w:spacing w:after="0"/>
              <w:rPr>
                <w:sz w:val="20"/>
                <w:szCs w:val="20"/>
                <w:color w:val="auto"/>
              </w:rPr>
            </w:pPr>
            <w:r>
              <w:rPr>
                <w:rFonts w:ascii="Arial" w:cs="Arial" w:eastAsia="Arial" w:hAnsi="Arial"/>
                <w:sz w:val="12"/>
                <w:szCs w:val="12"/>
                <w:color w:val="auto"/>
              </w:rPr>
              <w:t>Fair value hedge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(34,290)</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(9,245)</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(293)</w:t>
            </w:r>
          </w:p>
        </w:tc>
        <w:tc>
          <w:tcPr>
            <w:tcW w:w="1200" w:type="dxa"/>
            <w:vAlign w:val="bottom"/>
            <w:gridSpan w:val="3"/>
          </w:tcPr>
          <w:p>
            <w:pPr>
              <w:jc w:val="right"/>
              <w:ind w:right="240"/>
              <w:spacing w:after="0"/>
              <w:rPr>
                <w:sz w:val="20"/>
                <w:szCs w:val="20"/>
                <w:color w:val="auto"/>
              </w:rPr>
            </w:pPr>
            <w:r>
              <w:rPr>
                <w:rFonts w:ascii="Arial" w:cs="Arial" w:eastAsia="Arial" w:hAnsi="Arial"/>
                <w:sz w:val="12"/>
                <w:szCs w:val="12"/>
                <w:color w:val="auto"/>
              </w:rPr>
              <w:t>31,185</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12,643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8" w:right="20" w:hanging="208"/>
        <w:spacing w:after="0" w:line="276" w:lineRule="auto"/>
        <w:tabs>
          <w:tab w:leader="none" w:pos="208" w:val="left"/>
        </w:tabs>
        <w:numPr>
          <w:ilvl w:val="0"/>
          <w:numId w:val="7"/>
        </w:numPr>
        <w:rPr>
          <w:rFonts w:ascii="Arial" w:cs="Arial" w:eastAsia="Arial" w:hAnsi="Arial"/>
          <w:sz w:val="12"/>
          <w:szCs w:val="12"/>
          <w:color w:val="auto"/>
        </w:rPr>
      </w:pPr>
      <w:r>
        <w:rPr>
          <w:rFonts w:ascii="Arial" w:cs="Arial" w:eastAsia="Arial" w:hAnsi="Arial"/>
          <w:sz w:val="12"/>
          <w:szCs w:val="12"/>
          <w:color w:val="auto"/>
        </w:rPr>
        <w:t>During the first quarter of 2018, the Group discontinued the fair value hedge of certain liability bonds that were classified to fair value; as a result, these bonds were reclassified as financial liabilities at amortized cost. See explanation in Note 17(a).</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accompanying notes are an integral part of these consolidated financial statement.</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22" w:name="page23"/>
    <w:bookmarkEnd w:id="22"/>
    <w:p>
      <w:pPr>
        <w:ind w:left="8"/>
        <w:spacing w:after="0"/>
        <w:rPr>
          <w:sz w:val="20"/>
          <w:szCs w:val="20"/>
          <w:color w:val="auto"/>
        </w:rPr>
      </w:pPr>
      <w:r>
        <w:rPr>
          <w:rFonts w:ascii="Arial" w:cs="Arial" w:eastAsia="Arial" w:hAnsi="Arial"/>
          <w:sz w:val="12"/>
          <w:szCs w:val="12"/>
          <w:b w:val="1"/>
          <w:bCs w:val="1"/>
          <w:color w:val="auto"/>
        </w:rPr>
        <w:t>CREDICORP LTD. AND SUBSIDIARIES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NOTES TO THE CONSOLIDATED FINANCIAL STATEMENTS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2019 AND 2018</w:t>
      </w:r>
    </w:p>
    <w:p>
      <w:pPr>
        <w:spacing w:after="0" w:line="137"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OPERATIONS</w:t>
      </w:r>
    </w:p>
    <w:p>
      <w:pPr>
        <w:spacing w:after="0" w:line="154" w:lineRule="exact"/>
        <w:rPr>
          <w:rFonts w:ascii="Arial" w:cs="Arial" w:eastAsia="Arial" w:hAnsi="Arial"/>
          <w:sz w:val="12"/>
          <w:szCs w:val="12"/>
          <w:b w:val="1"/>
          <w:bCs w:val="1"/>
          <w:color w:val="auto"/>
        </w:rPr>
      </w:pPr>
    </w:p>
    <w:p>
      <w:pPr>
        <w:ind w:left="208" w:right="42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14" w:lineRule="exact"/>
        <w:rPr>
          <w:rFonts w:ascii="Arial" w:cs="Arial" w:eastAsia="Arial" w:hAnsi="Arial"/>
          <w:sz w:val="12"/>
          <w:szCs w:val="12"/>
          <w:b w:val="1"/>
          <w:bCs w:val="1"/>
          <w:color w:val="auto"/>
        </w:rPr>
      </w:pPr>
    </w:p>
    <w:p>
      <w:pPr>
        <w:ind w:left="208" w:right="120"/>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Clarendon House 2 Church Street Hamilton, Bermuda; likewise, administration offices of its representative in Peru are located in Calle Centenario Nº156, La Molina, Lima, Peru.</w:t>
      </w:r>
    </w:p>
    <w:p>
      <w:pPr>
        <w:spacing w:after="0" w:line="122"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Credicorp is listed on the Lima and New York stock exchanges.</w:t>
      </w:r>
    </w:p>
    <w:p>
      <w:pPr>
        <w:spacing w:after="0" w:line="150" w:lineRule="exact"/>
        <w:rPr>
          <w:sz w:val="20"/>
          <w:szCs w:val="20"/>
          <w:color w:val="auto"/>
        </w:rPr>
      </w:pPr>
    </w:p>
    <w:p>
      <w:pPr>
        <w:ind w:left="208" w:right="140"/>
        <w:spacing w:after="0" w:line="263" w:lineRule="auto"/>
        <w:rPr>
          <w:sz w:val="20"/>
          <w:szCs w:val="20"/>
          <w:color w:val="auto"/>
        </w:rPr>
      </w:pPr>
      <w:r>
        <w:rPr>
          <w:rFonts w:ascii="Arial" w:cs="Arial" w:eastAsia="Arial" w:hAnsi="Arial"/>
          <w:sz w:val="12"/>
          <w:szCs w:val="12"/>
          <w:color w:val="auto"/>
        </w:rPr>
        <w:t>The consolidated financial statements as of December 31, 2018 and for the year then ended were approved by the General Shareholders Meeting dated March 29, 2019. The consolidated financial statements as of December 31, 2019 and for the year then ended were approved by the Audit Committee and Management on February 25, 2020, and will be submitted for their final approval by the Board of Directors and the General Shareholders’ Meeting within the period established by law; in Management’s opinion, the consolidated financial statements will be approved without modifications.</w:t>
      </w:r>
    </w:p>
    <w:p>
      <w:pPr>
        <w:spacing w:after="0" w:line="119"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MAIN ACQUISITIONS, INCORPORATIONS AND MERGERS</w:t>
      </w:r>
    </w:p>
    <w:p>
      <w:pPr>
        <w:spacing w:after="0" w:line="154" w:lineRule="exact"/>
        <w:rPr>
          <w:rFonts w:ascii="Arial" w:cs="Arial" w:eastAsia="Arial" w:hAnsi="Arial"/>
          <w:sz w:val="12"/>
          <w:szCs w:val="12"/>
          <w:b w:val="1"/>
          <w:bCs w:val="1"/>
          <w:color w:val="auto"/>
        </w:rPr>
      </w:pPr>
    </w:p>
    <w:p>
      <w:pPr>
        <w:ind w:left="428" w:right="9420" w:hanging="212"/>
        <w:spacing w:after="0" w:line="501" w:lineRule="auto"/>
        <w:tabs>
          <w:tab w:leader="none" w:pos="428" w:val="left"/>
        </w:tabs>
        <w:numPr>
          <w:ilvl w:val="1"/>
          <w:numId w:val="9"/>
        </w:numPr>
        <w:rPr>
          <w:rFonts w:ascii="Arial" w:cs="Arial" w:eastAsia="Arial" w:hAnsi="Arial"/>
          <w:sz w:val="12"/>
          <w:szCs w:val="12"/>
          <w:color w:val="auto"/>
        </w:rPr>
      </w:pPr>
      <w:r>
        <w:rPr>
          <w:rFonts w:ascii="Arial" w:cs="Arial" w:eastAsia="Arial" w:hAnsi="Arial"/>
          <w:sz w:val="12"/>
          <w:szCs w:val="12"/>
          <w:color w:val="auto"/>
        </w:rPr>
        <w:t>Acquisitions during the year 2019 Banco Compartir S.A.-</w:t>
      </w:r>
    </w:p>
    <w:p>
      <w:pPr>
        <w:ind w:left="428"/>
        <w:spacing w:after="0" w:line="380" w:lineRule="auto"/>
        <w:rPr>
          <w:rFonts w:ascii="Arial" w:cs="Arial" w:eastAsia="Arial" w:hAnsi="Arial"/>
          <w:sz w:val="12"/>
          <w:szCs w:val="12"/>
          <w:color w:val="auto"/>
        </w:rPr>
      </w:pPr>
      <w:r>
        <w:rPr>
          <w:rFonts w:ascii="Arial" w:cs="Arial" w:eastAsia="Arial" w:hAnsi="Arial"/>
          <w:sz w:val="10"/>
          <w:szCs w:val="10"/>
          <w:color w:val="auto"/>
        </w:rPr>
        <w:t>On June 28, 2019, Credicorp, through its Subsidiary Credicorp Holding Colombia S.A.S., signed an agreement with the majority shareholders of Banco Compartir S.A. (hereinafter "Bancompartir") to acquire 74.49 percent of its share capital. Subsequently, as part of the initial agreement, in July 2019, Credicorp Holding Colombia S.A.S. signed agreements with minority shareholders to additionally acquire 2.97 percent of the share capital of Bancompartir.</w:t>
      </w:r>
    </w:p>
    <w:p>
      <w:pPr>
        <w:spacing w:after="0" w:line="68" w:lineRule="exact"/>
        <w:rPr>
          <w:rFonts w:ascii="Arial" w:cs="Arial" w:eastAsia="Arial" w:hAnsi="Arial"/>
          <w:sz w:val="12"/>
          <w:szCs w:val="12"/>
          <w:color w:val="auto"/>
        </w:rPr>
      </w:pPr>
    </w:p>
    <w:p>
      <w:pPr>
        <w:ind w:left="428" w:right="20"/>
        <w:spacing w:after="0" w:line="276" w:lineRule="auto"/>
        <w:rPr>
          <w:rFonts w:ascii="Arial" w:cs="Arial" w:eastAsia="Arial" w:hAnsi="Arial"/>
          <w:sz w:val="12"/>
          <w:szCs w:val="12"/>
          <w:color w:val="auto"/>
        </w:rPr>
      </w:pPr>
      <w:r>
        <w:rPr>
          <w:rFonts w:ascii="Arial" w:cs="Arial" w:eastAsia="Arial" w:hAnsi="Arial"/>
          <w:sz w:val="12"/>
          <w:szCs w:val="12"/>
          <w:color w:val="auto"/>
        </w:rPr>
        <w:t>Bancompartir is a financial institution incorporated in Colombia to operate as banking stablishment, with the objective of carrying out all the businesses, operations, acts and contracts authorized by law and by the Superintendency of Banks Colombia.</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acquisition of Bancompartir was approved by the Superintendency of Banks Colombia through document N°2019120112-000-000, dated in November 12, 2019.</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Credicorp Holding Colombia S.A.S. paid a total of COP265,251.7 million (equivalent to S/255.7 million) for the acquisition of 77.46 percent of the share capital of Bancompartir, effective December 1, 2019.</w:t>
      </w:r>
    </w:p>
    <w:p>
      <w:pPr>
        <w:spacing w:after="0" w:line="294" w:lineRule="exact"/>
        <w:rPr>
          <w:rFonts w:ascii="Arial" w:cs="Arial" w:eastAsia="Arial" w:hAnsi="Arial"/>
          <w:sz w:val="12"/>
          <w:szCs w:val="12"/>
          <w:color w:val="auto"/>
        </w:rPr>
      </w:pPr>
    </w:p>
    <w:p>
      <w:pPr>
        <w:ind w:left="5688" w:hanging="72"/>
        <w:spacing w:after="0"/>
        <w:tabs>
          <w:tab w:leader="none" w:pos="5688" w:val="left"/>
        </w:tabs>
        <w:numPr>
          <w:ilvl w:val="2"/>
          <w:numId w:val="9"/>
        </w:numPr>
        <w:rPr>
          <w:rFonts w:ascii="Arial" w:cs="Arial" w:eastAsia="Arial" w:hAnsi="Arial"/>
          <w:sz w:val="12"/>
          <w:szCs w:val="12"/>
          <w:color w:val="auto"/>
        </w:rPr>
      </w:pPr>
      <w:r>
        <w:rPr>
          <w:rFonts w:ascii="Arial" w:cs="Arial" w:eastAsia="Arial" w:hAnsi="Arial"/>
          <w:sz w:val="12"/>
          <w:szCs w:val="1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793"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Ultraserfinco S.A. and Subsidiaries -</w:t>
      </w:r>
    </w:p>
    <w:p>
      <w:pPr>
        <w:spacing w:after="0" w:line="150"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On November 1, 2019, Credicorp through its Subsidiaries Credicorp Holding Colombia S.A.S. and Credicorp Capital Fiduciaria S.A., acquired 84.20 percent and 15.80 percent, respectively, of the capital stock of Ultraserfinco S.A. (a company incorporated in Colombia in 1991 and oriented to provide services related to the purchase and sale of securities), for approximately COP118,251 million (equivalent to S/116.8 million) and COP22,312 million (equivalent to S/22.1 million), respectively.</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acquisition of Ultraserfinco includes its subsidiaries Ultra Holdings Group Inc.; Ultralat Group Inc.; Ultralat Capital Market Inc. and Ultralat Investment Advisor; which have as economic goal to administer investment funds and carry out stock operations in the country in which they operate.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transaction was approved by the Superintendency of Banks Colombia through document N° 2019052313-000-000 dated October 22, 2019, the effective date of the acquisition was in November 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Multicaja Prepago S.A. and Tenpo SpA -</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On March 27, 2019, Credicorp through its subsidiary Krealo SpA (an entity incorporated in Chile on January 2019), suscribed an agreement with Multicaja S.A. in order to acquire the 100.0 percent of the equity of Multicaja Prepago S.A. for approximately US$6.1 million equivalent to S/19.6 million, and Tenpo SpA for approximately US$12.5 million, equivalent to S/41.1 million.</w:t>
      </w:r>
    </w:p>
    <w:p>
      <w:pPr>
        <w:spacing w:after="0" w:line="115"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Multicaja Prepago S.A., is a chilean company oriented exclusively to the issuance of non-bank payment cards with provision of funds and other necessary activities, which are authorized by the Comisión para el Mercado Financiero- CMF (before “Superintendencia de Bancos e Instituciones Financieras”, the Chilean Banking Supervisor- SBIF from spanish acronym).</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acquisition of Multicaja Prepago was approved by the SBIF through the document N°218999 on May 28, 2019.</w:t>
      </w:r>
    </w:p>
    <w:p>
      <w:pPr>
        <w:spacing w:after="0" w:line="15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Tenpo SpA, is a Chilean company oriented to develop information systems and data processing; as well as the development of activities related to the commercialization or distribution of digital and computer products and services. The acquisition of this entity does not required the approval of the Chilean Banking Supervisor.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acquisition of these entities was effective in July 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Compañía Incubadora de Soluciones Móviles S.A.C. -</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January 2019, Credicorp through its subsidiary Grupo Crédito S.A. (hereinafter “Grupo Crédito”) acquired the 100.00 percent of the capital stock of Compañía Incubadora de Soluciones Móviles S.A. (hereinafter "Culqi"), an entity incorporated in Peru, oriented to the development and operation of a platform online payment methods for approximately US$4.0 million (equivalent to S/13.3 million).</w:t>
      </w: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60"/>
          </w:cols>
          <w:pgMar w:left="640" w:top="653" w:right="299" w:bottom="1440" w:gutter="0" w:footer="0" w:header="0"/>
        </w:sectPr>
      </w:pPr>
    </w:p>
    <w:bookmarkStart w:id="24" w:name="page25"/>
    <w:bookmarkEnd w:id="24"/>
    <w:p>
      <w:pPr>
        <w:ind w:left="140"/>
        <w:spacing w:after="0"/>
        <w:rPr>
          <w:sz w:val="20"/>
          <w:szCs w:val="20"/>
          <w:color w:val="auto"/>
        </w:rPr>
      </w:pPr>
      <w:r>
        <w:rPr>
          <w:rFonts w:ascii="Arial" w:cs="Arial" w:eastAsia="Arial" w:hAnsi="Arial"/>
          <w:sz w:val="12"/>
          <w:szCs w:val="12"/>
          <w:color w:val="auto"/>
        </w:rPr>
        <w:t>At the date of acquisition, the book value and fair value of the identified assets and liabilities of the entities purchased were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8"/>
                <w:szCs w:val="8"/>
                <w:color w:val="auto"/>
              </w:rPr>
              <w:t>Book value</w:t>
            </w: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4"/>
          </w:tcPr>
          <w:p>
            <w:pPr>
              <w:ind w:left="460"/>
              <w:spacing w:after="0"/>
              <w:rPr>
                <w:sz w:val="20"/>
                <w:szCs w:val="20"/>
                <w:color w:val="auto"/>
              </w:rPr>
            </w:pPr>
            <w:r>
              <w:rPr>
                <w:rFonts w:ascii="Arial" w:cs="Arial" w:eastAsia="Arial" w:hAnsi="Arial"/>
                <w:sz w:val="8"/>
                <w:szCs w:val="8"/>
                <w:color w:val="auto"/>
                <w:w w:val="99"/>
              </w:rPr>
              <w:t>Fair value adjustments</w:t>
            </w: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gridSpan w:val="6"/>
          </w:tcPr>
          <w:p>
            <w:pPr>
              <w:ind w:left="240"/>
              <w:spacing w:after="0"/>
              <w:rPr>
                <w:sz w:val="20"/>
                <w:szCs w:val="20"/>
                <w:color w:val="auto"/>
              </w:rPr>
            </w:pPr>
            <w:r>
              <w:rPr>
                <w:rFonts w:ascii="Arial" w:cs="Arial" w:eastAsia="Arial" w:hAnsi="Arial"/>
                <w:sz w:val="8"/>
                <w:szCs w:val="8"/>
                <w:color w:val="auto"/>
              </w:rPr>
              <w:t>Fair value recognized on acquisition</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8"/>
                <w:szCs w:val="8"/>
                <w:color w:val="auto"/>
                <w:w w:val="95"/>
              </w:rPr>
              <w:t>Total fair value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tcPr>
          <w:p>
            <w:pPr>
              <w:jc w:val="right"/>
              <w:ind w:right="120"/>
              <w:spacing w:after="0" w:line="71" w:lineRule="exact"/>
              <w:rPr>
                <w:sz w:val="20"/>
                <w:szCs w:val="20"/>
                <w:color w:val="auto"/>
              </w:rPr>
            </w:pPr>
            <w:r>
              <w:rPr>
                <w:rFonts w:ascii="Arial" w:cs="Arial" w:eastAsia="Arial" w:hAnsi="Arial"/>
                <w:sz w:val="8"/>
                <w:szCs w:val="8"/>
                <w:color w:val="auto"/>
                <w:w w:val="93"/>
              </w:rPr>
              <w:t>Ultraserfinco</w:t>
            </w: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220"/>
              <w:spacing w:after="0" w:line="71" w:lineRule="exact"/>
              <w:rPr>
                <w:sz w:val="20"/>
                <w:szCs w:val="20"/>
                <w:color w:val="auto"/>
              </w:rPr>
            </w:pPr>
            <w:r>
              <w:rPr>
                <w:rFonts w:ascii="Arial" w:cs="Arial" w:eastAsia="Arial" w:hAnsi="Arial"/>
                <w:sz w:val="8"/>
                <w:szCs w:val="8"/>
                <w:color w:val="auto"/>
                <w:w w:val="97"/>
              </w:rPr>
              <w:t>Ultraserfinco</w:t>
            </w: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tcPr>
          <w:p>
            <w:pPr>
              <w:jc w:val="center"/>
              <w:ind w:right="200"/>
              <w:spacing w:after="0" w:line="71" w:lineRule="exact"/>
              <w:rPr>
                <w:sz w:val="20"/>
                <w:szCs w:val="20"/>
                <w:color w:val="auto"/>
              </w:rPr>
            </w:pPr>
            <w:r>
              <w:rPr>
                <w:rFonts w:ascii="Arial" w:cs="Arial" w:eastAsia="Arial" w:hAnsi="Arial"/>
                <w:sz w:val="8"/>
                <w:szCs w:val="8"/>
                <w:color w:val="auto"/>
                <w:w w:val="97"/>
              </w:rPr>
              <w:t>Ultraserfinco</w:t>
            </w: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2"/>
          </w:tcPr>
          <w:p>
            <w:pPr>
              <w:jc w:val="right"/>
              <w:ind w:right="280"/>
              <w:spacing w:after="0" w:line="90" w:lineRule="exact"/>
              <w:rPr>
                <w:sz w:val="20"/>
                <w:szCs w:val="20"/>
                <w:color w:val="auto"/>
              </w:rPr>
            </w:pPr>
            <w:r>
              <w:rPr>
                <w:rFonts w:ascii="Arial" w:cs="Arial" w:eastAsia="Arial" w:hAnsi="Arial"/>
                <w:sz w:val="8"/>
                <w:szCs w:val="8"/>
                <w:color w:val="auto"/>
              </w:rPr>
              <w:t>and</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tcPr>
          <w:p>
            <w:pPr>
              <w:jc w:val="center"/>
              <w:ind w:right="220"/>
              <w:spacing w:after="0" w:line="90" w:lineRule="exact"/>
              <w:rPr>
                <w:sz w:val="20"/>
                <w:szCs w:val="20"/>
                <w:color w:val="auto"/>
              </w:rPr>
            </w:pPr>
            <w:r>
              <w:rPr>
                <w:rFonts w:ascii="Arial" w:cs="Arial" w:eastAsia="Arial" w:hAnsi="Arial"/>
                <w:sz w:val="8"/>
                <w:szCs w:val="8"/>
                <w:color w:val="auto"/>
                <w:w w:val="89"/>
              </w:rPr>
              <w:t>and</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89"/>
              </w:rPr>
              <w:t>and</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00"/>
              <w:spacing w:after="0" w:line="90" w:lineRule="exact"/>
              <w:rPr>
                <w:sz w:val="20"/>
                <w:szCs w:val="20"/>
                <w:color w:val="auto"/>
              </w:rPr>
            </w:pPr>
            <w:r>
              <w:rPr>
                <w:rFonts w:ascii="Arial" w:cs="Arial" w:eastAsia="Arial" w:hAnsi="Arial"/>
                <w:sz w:val="8"/>
                <w:szCs w:val="8"/>
                <w:color w:val="auto"/>
                <w:w w:val="91"/>
              </w:rPr>
              <w:t>recognized 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8"/>
                <w:szCs w:val="8"/>
                <w:color w:val="auto"/>
                <w:w w:val="96"/>
              </w:rPr>
              <w:t>Bancompartir</w:t>
            </w: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w w:val="96"/>
              </w:rPr>
              <w:t>Subsidiaries</w:t>
            </w:r>
          </w:p>
        </w:tc>
        <w:tc>
          <w:tcPr>
            <w:tcW w:w="80" w:type="dxa"/>
            <w:vAlign w:val="bottom"/>
          </w:tcPr>
          <w:p>
            <w:pPr>
              <w:spacing w:after="0"/>
              <w:rPr>
                <w:sz w:val="8"/>
                <w:szCs w:val="8"/>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color w:val="auto"/>
              </w:rPr>
              <w:t>Multicaja</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Tenpo</w:t>
            </w:r>
          </w:p>
        </w:tc>
        <w:tc>
          <w:tcPr>
            <w:tcW w:w="620" w:type="dxa"/>
            <w:vAlign w:val="bottom"/>
            <w:gridSpan w:val="2"/>
          </w:tcPr>
          <w:p>
            <w:pPr>
              <w:ind w:left="120"/>
              <w:spacing w:after="0"/>
              <w:rPr>
                <w:sz w:val="20"/>
                <w:szCs w:val="20"/>
                <w:color w:val="auto"/>
              </w:rPr>
            </w:pPr>
            <w:r>
              <w:rPr>
                <w:rFonts w:ascii="Arial" w:cs="Arial" w:eastAsia="Arial" w:hAnsi="Arial"/>
                <w:sz w:val="8"/>
                <w:szCs w:val="8"/>
                <w:color w:val="auto"/>
              </w:rPr>
              <w:t>Culqi</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w w:val="92"/>
              </w:rPr>
              <w:t>Bancompartir</w:t>
            </w:r>
          </w:p>
        </w:tc>
        <w:tc>
          <w:tcPr>
            <w:tcW w:w="660" w:type="dxa"/>
            <w:vAlign w:val="bottom"/>
            <w:gridSpan w:val="2"/>
          </w:tcPr>
          <w:p>
            <w:pPr>
              <w:ind w:left="40"/>
              <w:spacing w:after="0"/>
              <w:rPr>
                <w:sz w:val="20"/>
                <w:szCs w:val="20"/>
                <w:color w:val="auto"/>
              </w:rPr>
            </w:pPr>
            <w:r>
              <w:rPr>
                <w:rFonts w:ascii="Arial" w:cs="Arial" w:eastAsia="Arial" w:hAnsi="Arial"/>
                <w:sz w:val="8"/>
                <w:szCs w:val="8"/>
                <w:color w:val="auto"/>
              </w:rPr>
              <w:t>Subsidiaries</w:t>
            </w:r>
          </w:p>
        </w:tc>
        <w:tc>
          <w:tcPr>
            <w:tcW w:w="620" w:type="dxa"/>
            <w:vAlign w:val="bottom"/>
            <w:gridSpan w:val="2"/>
          </w:tcPr>
          <w:p>
            <w:pPr>
              <w:ind w:left="60"/>
              <w:spacing w:after="0"/>
              <w:rPr>
                <w:sz w:val="20"/>
                <w:szCs w:val="20"/>
                <w:color w:val="auto"/>
              </w:rPr>
            </w:pPr>
            <w:r>
              <w:rPr>
                <w:rFonts w:ascii="Arial" w:cs="Arial" w:eastAsia="Arial" w:hAnsi="Arial"/>
                <w:sz w:val="8"/>
                <w:szCs w:val="8"/>
                <w:color w:val="auto"/>
              </w:rPr>
              <w:t>Multicaja</w:t>
            </w:r>
          </w:p>
        </w:tc>
        <w:tc>
          <w:tcPr>
            <w:tcW w:w="620" w:type="dxa"/>
            <w:vAlign w:val="bottom"/>
            <w:gridSpan w:val="2"/>
          </w:tcPr>
          <w:p>
            <w:pPr>
              <w:jc w:val="center"/>
              <w:ind w:right="180"/>
              <w:spacing w:after="0"/>
              <w:rPr>
                <w:sz w:val="20"/>
                <w:szCs w:val="20"/>
                <w:color w:val="auto"/>
              </w:rPr>
            </w:pPr>
            <w:r>
              <w:rPr>
                <w:rFonts w:ascii="Arial" w:cs="Arial" w:eastAsia="Arial" w:hAnsi="Arial"/>
                <w:sz w:val="8"/>
                <w:szCs w:val="8"/>
                <w:color w:val="auto"/>
                <w:w w:val="87"/>
              </w:rPr>
              <w:t>Tenpo</w:t>
            </w:r>
          </w:p>
        </w:tc>
        <w:tc>
          <w:tcPr>
            <w:tcW w:w="640" w:type="dxa"/>
            <w:vAlign w:val="bottom"/>
            <w:gridSpan w:val="2"/>
          </w:tcPr>
          <w:p>
            <w:pPr>
              <w:jc w:val="center"/>
              <w:ind w:right="220"/>
              <w:spacing w:after="0"/>
              <w:rPr>
                <w:sz w:val="20"/>
                <w:szCs w:val="20"/>
                <w:color w:val="auto"/>
              </w:rPr>
            </w:pPr>
            <w:r>
              <w:rPr>
                <w:rFonts w:ascii="Arial" w:cs="Arial" w:eastAsia="Arial" w:hAnsi="Arial"/>
                <w:sz w:val="8"/>
                <w:szCs w:val="8"/>
                <w:color w:val="auto"/>
                <w:w w:val="98"/>
              </w:rPr>
              <w:t>Culqi</w:t>
            </w:r>
          </w:p>
        </w:tc>
        <w:tc>
          <w:tcPr>
            <w:tcW w:w="660" w:type="dxa"/>
            <w:vAlign w:val="bottom"/>
            <w:gridSpan w:val="2"/>
          </w:tcPr>
          <w:p>
            <w:pPr>
              <w:jc w:val="center"/>
              <w:ind w:right="200"/>
              <w:spacing w:after="0"/>
              <w:rPr>
                <w:sz w:val="20"/>
                <w:szCs w:val="20"/>
                <w:color w:val="auto"/>
              </w:rPr>
            </w:pPr>
            <w:r>
              <w:rPr>
                <w:rFonts w:ascii="Arial" w:cs="Arial" w:eastAsia="Arial" w:hAnsi="Arial"/>
                <w:sz w:val="8"/>
                <w:szCs w:val="8"/>
                <w:color w:val="auto"/>
                <w:w w:val="96"/>
              </w:rPr>
              <w:t>Bancompartir</w:t>
            </w:r>
          </w:p>
        </w:tc>
        <w:tc>
          <w:tcPr>
            <w:tcW w:w="680" w:type="dxa"/>
            <w:vAlign w:val="bottom"/>
            <w:gridSpan w:val="2"/>
          </w:tcPr>
          <w:p>
            <w:pPr>
              <w:ind w:left="40"/>
              <w:spacing w:after="0"/>
              <w:rPr>
                <w:sz w:val="20"/>
                <w:szCs w:val="20"/>
                <w:color w:val="auto"/>
              </w:rPr>
            </w:pPr>
            <w:r>
              <w:rPr>
                <w:rFonts w:ascii="Arial" w:cs="Arial" w:eastAsia="Arial" w:hAnsi="Arial"/>
                <w:sz w:val="8"/>
                <w:szCs w:val="8"/>
                <w:color w:val="auto"/>
              </w:rPr>
              <w:t>Subsidiaries</w:t>
            </w:r>
          </w:p>
        </w:tc>
        <w:tc>
          <w:tcPr>
            <w:tcW w:w="620" w:type="dxa"/>
            <w:vAlign w:val="bottom"/>
            <w:gridSpan w:val="2"/>
          </w:tcPr>
          <w:p>
            <w:pPr>
              <w:ind w:left="40"/>
              <w:spacing w:after="0"/>
              <w:rPr>
                <w:sz w:val="20"/>
                <w:szCs w:val="20"/>
                <w:color w:val="auto"/>
              </w:rPr>
            </w:pPr>
            <w:r>
              <w:rPr>
                <w:rFonts w:ascii="Arial" w:cs="Arial" w:eastAsia="Arial" w:hAnsi="Arial"/>
                <w:sz w:val="8"/>
                <w:szCs w:val="8"/>
                <w:color w:val="auto"/>
              </w:rPr>
              <w:t>Multicaja</w:t>
            </w:r>
          </w:p>
        </w:tc>
        <w:tc>
          <w:tcPr>
            <w:tcW w:w="640" w:type="dxa"/>
            <w:vAlign w:val="bottom"/>
            <w:gridSpan w:val="2"/>
          </w:tcPr>
          <w:p>
            <w:pPr>
              <w:ind w:left="100"/>
              <w:spacing w:after="0"/>
              <w:rPr>
                <w:sz w:val="20"/>
                <w:szCs w:val="20"/>
                <w:color w:val="auto"/>
              </w:rPr>
            </w:pPr>
            <w:r>
              <w:rPr>
                <w:rFonts w:ascii="Arial" w:cs="Arial" w:eastAsia="Arial" w:hAnsi="Arial"/>
                <w:sz w:val="8"/>
                <w:szCs w:val="8"/>
                <w:color w:val="auto"/>
              </w:rPr>
              <w:t>Tenpo</w:t>
            </w:r>
          </w:p>
        </w:tc>
        <w:tc>
          <w:tcPr>
            <w:tcW w:w="520" w:type="dxa"/>
            <w:vAlign w:val="bottom"/>
            <w:gridSpan w:val="2"/>
          </w:tcPr>
          <w:p>
            <w:pPr>
              <w:ind w:left="120"/>
              <w:spacing w:after="0"/>
              <w:rPr>
                <w:sz w:val="20"/>
                <w:szCs w:val="20"/>
                <w:color w:val="auto"/>
              </w:rPr>
            </w:pPr>
            <w:r>
              <w:rPr>
                <w:rFonts w:ascii="Arial" w:cs="Arial" w:eastAsia="Arial" w:hAnsi="Arial"/>
                <w:sz w:val="8"/>
                <w:szCs w:val="8"/>
                <w:color w:val="auto"/>
              </w:rPr>
              <w:t>Culqi</w:t>
            </w:r>
          </w:p>
        </w:tc>
        <w:tc>
          <w:tcPr>
            <w:tcW w:w="120" w:type="dxa"/>
            <w:vAlign w:val="bottom"/>
          </w:tcPr>
          <w:p>
            <w:pPr>
              <w:spacing w:after="0"/>
              <w:rPr>
                <w:sz w:val="8"/>
                <w:szCs w:val="8"/>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8"/>
                <w:szCs w:val="8"/>
                <w:color w:val="auto"/>
              </w:rPr>
              <w:t>acquisition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color w:val="auto"/>
                <w:w w:val="98"/>
              </w:rPr>
              <w:t>S/(000)</w:t>
            </w:r>
          </w:p>
        </w:tc>
        <w:tc>
          <w:tcPr>
            <w:tcW w:w="180" w:type="dxa"/>
            <w:vAlign w:val="bottom"/>
          </w:tcPr>
          <w:p>
            <w:pPr>
              <w:spacing w:after="0"/>
              <w:rPr>
                <w:sz w:val="6"/>
                <w:szCs w:val="6"/>
                <w:color w:val="auto"/>
              </w:rPr>
            </w:pPr>
          </w:p>
        </w:tc>
        <w:tc>
          <w:tcPr>
            <w:tcW w:w="460" w:type="dxa"/>
            <w:vAlign w:val="bottom"/>
            <w:tcBorders>
              <w:top w:val="single" w:sz="8" w:color="auto"/>
            </w:tcBorders>
          </w:tcPr>
          <w:p>
            <w:pPr>
              <w:jc w:val="right"/>
              <w:ind w:right="58"/>
              <w:spacing w:after="0" w:line="79" w:lineRule="exact"/>
              <w:rPr>
                <w:sz w:val="20"/>
                <w:szCs w:val="20"/>
                <w:color w:val="auto"/>
              </w:rPr>
            </w:pPr>
            <w:r>
              <w:rPr>
                <w:rFonts w:ascii="Arial" w:cs="Arial" w:eastAsia="Arial" w:hAnsi="Arial"/>
                <w:sz w:val="8"/>
                <w:szCs w:val="8"/>
                <w:color w:val="auto"/>
              </w:rPr>
              <w:t>S/(000)</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jc w:val="right"/>
              <w:ind w:right="5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0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2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60" w:type="dxa"/>
            <w:vAlign w:val="bottom"/>
            <w:tcBorders>
              <w:top w:val="single" w:sz="8" w:color="auto"/>
            </w:tcBorders>
          </w:tcPr>
          <w:p>
            <w:pPr>
              <w:jc w:val="right"/>
              <w:ind w:right="5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80" w:type="dxa"/>
            <w:vAlign w:val="bottom"/>
            <w:tcBorders>
              <w:top w:val="single" w:sz="8" w:color="auto"/>
            </w:tcBorders>
          </w:tcPr>
          <w:p>
            <w:pPr>
              <w:jc w:val="right"/>
              <w:ind w:right="78"/>
              <w:spacing w:after="0" w:line="79" w:lineRule="exact"/>
              <w:rPr>
                <w:sz w:val="20"/>
                <w:szCs w:val="20"/>
                <w:color w:val="auto"/>
              </w:rPr>
            </w:pPr>
            <w:r>
              <w:rPr>
                <w:rFonts w:ascii="Arial" w:cs="Arial" w:eastAsia="Arial" w:hAnsi="Arial"/>
                <w:sz w:val="8"/>
                <w:szCs w:val="8"/>
                <w:color w:val="auto"/>
              </w:rPr>
              <w:t>S/(000)</w:t>
            </w:r>
          </w:p>
        </w:tc>
        <w:tc>
          <w:tcPr>
            <w:tcW w:w="180" w:type="dxa"/>
            <w:vAlign w:val="bottom"/>
          </w:tcPr>
          <w:p>
            <w:pPr>
              <w:spacing w:after="0"/>
              <w:rPr>
                <w:sz w:val="6"/>
                <w:szCs w:val="6"/>
                <w:color w:val="auto"/>
              </w:rPr>
            </w:pPr>
          </w:p>
        </w:tc>
        <w:tc>
          <w:tcPr>
            <w:tcW w:w="440" w:type="dxa"/>
            <w:vAlign w:val="bottom"/>
            <w:tcBorders>
              <w:top w:val="single" w:sz="8" w:color="auto"/>
            </w:tcBorders>
          </w:tcPr>
          <w:p>
            <w:pPr>
              <w:jc w:val="right"/>
              <w:ind w:right="58"/>
              <w:spacing w:after="0" w:line="79" w:lineRule="exact"/>
              <w:rPr>
                <w:sz w:val="20"/>
                <w:szCs w:val="20"/>
                <w:color w:val="auto"/>
              </w:rPr>
            </w:pPr>
            <w:r>
              <w:rPr>
                <w:rFonts w:ascii="Arial" w:cs="Arial" w:eastAsia="Arial" w:hAnsi="Arial"/>
                <w:sz w:val="8"/>
                <w:szCs w:val="8"/>
                <w:color w:val="auto"/>
              </w:rPr>
              <w:t>S/(000)</w:t>
            </w:r>
          </w:p>
        </w:tc>
        <w:tc>
          <w:tcPr>
            <w:tcW w:w="180" w:type="dxa"/>
            <w:vAlign w:val="bottom"/>
          </w:tcPr>
          <w:p>
            <w:pPr>
              <w:spacing w:after="0"/>
              <w:rPr>
                <w:sz w:val="6"/>
                <w:szCs w:val="6"/>
                <w:color w:val="auto"/>
              </w:rPr>
            </w:pPr>
          </w:p>
        </w:tc>
        <w:tc>
          <w:tcPr>
            <w:tcW w:w="4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color w:val="auto"/>
                <w:w w:val="91"/>
              </w:rPr>
              <w:t>S/(000)</w:t>
            </w:r>
          </w:p>
        </w:tc>
        <w:tc>
          <w:tcPr>
            <w:tcW w:w="200" w:type="dxa"/>
            <w:vAlign w:val="bottom"/>
          </w:tcPr>
          <w:p>
            <w:pPr>
              <w:spacing w:after="0"/>
              <w:rPr>
                <w:sz w:val="6"/>
                <w:szCs w:val="6"/>
                <w:color w:val="auto"/>
              </w:rPr>
            </w:pPr>
          </w:p>
        </w:tc>
        <w:tc>
          <w:tcPr>
            <w:tcW w:w="4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color w:val="auto"/>
                <w:w w:val="98"/>
              </w:rPr>
              <w:t>S/(000)</w:t>
            </w:r>
          </w:p>
        </w:tc>
        <w:tc>
          <w:tcPr>
            <w:tcW w:w="220" w:type="dxa"/>
            <w:vAlign w:val="bottom"/>
          </w:tcPr>
          <w:p>
            <w:pPr>
              <w:spacing w:after="0"/>
              <w:rPr>
                <w:sz w:val="6"/>
                <w:szCs w:val="6"/>
                <w:color w:val="auto"/>
              </w:rPr>
            </w:pPr>
          </w:p>
        </w:tc>
        <w:tc>
          <w:tcPr>
            <w:tcW w:w="4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color w:val="auto"/>
                <w:w w:val="98"/>
              </w:rPr>
              <w:t>S/(000)</w:t>
            </w:r>
          </w:p>
        </w:tc>
        <w:tc>
          <w:tcPr>
            <w:tcW w:w="200" w:type="dxa"/>
            <w:vAlign w:val="bottom"/>
          </w:tcPr>
          <w:p>
            <w:pPr>
              <w:spacing w:after="0"/>
              <w:rPr>
                <w:sz w:val="6"/>
                <w:szCs w:val="6"/>
                <w:color w:val="auto"/>
              </w:rPr>
            </w:pPr>
          </w:p>
        </w:tc>
        <w:tc>
          <w:tcPr>
            <w:tcW w:w="480" w:type="dxa"/>
            <w:vAlign w:val="bottom"/>
            <w:tcBorders>
              <w:top w:val="single" w:sz="8" w:color="auto"/>
            </w:tcBorders>
          </w:tcPr>
          <w:p>
            <w:pPr>
              <w:jc w:val="right"/>
              <w:ind w:right="7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2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color w:val="auto"/>
              </w:rPr>
              <w:t>S/(000)</w:t>
            </w:r>
          </w:p>
        </w:tc>
        <w:tc>
          <w:tcPr>
            <w:tcW w:w="200" w:type="dxa"/>
            <w:vAlign w:val="bottom"/>
          </w:tcPr>
          <w:p>
            <w:pPr>
              <w:spacing w:after="0"/>
              <w:rPr>
                <w:sz w:val="6"/>
                <w:szCs w:val="6"/>
                <w:color w:val="auto"/>
              </w:rPr>
            </w:pPr>
          </w:p>
        </w:tc>
        <w:tc>
          <w:tcPr>
            <w:tcW w:w="42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color w:val="auto"/>
              </w:rPr>
              <w:t>S/(000)</w:t>
            </w:r>
          </w:p>
        </w:tc>
        <w:tc>
          <w:tcPr>
            <w:tcW w:w="220" w:type="dxa"/>
            <w:vAlign w:val="bottom"/>
          </w:tcPr>
          <w:p>
            <w:pPr>
              <w:spacing w:after="0"/>
              <w:rPr>
                <w:sz w:val="6"/>
                <w:szCs w:val="6"/>
                <w:color w:val="auto"/>
              </w:rPr>
            </w:pPr>
          </w:p>
        </w:tc>
        <w:tc>
          <w:tcPr>
            <w:tcW w:w="42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color w:val="auto"/>
              </w:rPr>
              <w:t>S/(000)</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Assets</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20" w:type="dxa"/>
            <w:vAlign w:val="bottom"/>
            <w:gridSpan w:val="2"/>
          </w:tcPr>
          <w:p>
            <w:pPr>
              <w:spacing w:after="0" w:line="90" w:lineRule="exact"/>
              <w:rPr>
                <w:sz w:val="20"/>
                <w:szCs w:val="20"/>
                <w:color w:val="auto"/>
              </w:rPr>
            </w:pPr>
            <w:r>
              <w:rPr>
                <w:rFonts w:ascii="Arial" w:cs="Arial" w:eastAsia="Arial" w:hAnsi="Arial"/>
                <w:sz w:val="8"/>
                <w:szCs w:val="8"/>
                <w:color w:val="auto"/>
              </w:rPr>
              <w:t>Cash</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30,985</w:t>
            </w:r>
          </w:p>
        </w:tc>
        <w:tc>
          <w:tcPr>
            <w:tcW w:w="5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55,160</w:t>
            </w:r>
          </w:p>
        </w:tc>
        <w:tc>
          <w:tcPr>
            <w:tcW w:w="72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3,633</w:t>
            </w:r>
          </w:p>
        </w:tc>
        <w:tc>
          <w:tcPr>
            <w:tcW w:w="400" w:type="dxa"/>
            <w:vAlign w:val="bottom"/>
          </w:tcPr>
          <w:p>
            <w:pPr>
              <w:jc w:val="right"/>
              <w:spacing w:after="0" w:line="90" w:lineRule="exact"/>
              <w:rPr>
                <w:sz w:val="20"/>
                <w:szCs w:val="20"/>
                <w:color w:val="auto"/>
              </w:rPr>
            </w:pPr>
            <w:r>
              <w:rPr>
                <w:rFonts w:ascii="Arial" w:cs="Arial" w:eastAsia="Arial" w:hAnsi="Arial"/>
                <w:sz w:val="8"/>
                <w:szCs w:val="8"/>
                <w:color w:val="auto"/>
              </w:rPr>
              <w:t>1,938</w:t>
            </w:r>
          </w:p>
        </w:tc>
        <w:tc>
          <w:tcPr>
            <w:tcW w:w="200" w:type="dxa"/>
            <w:vAlign w:val="bottom"/>
          </w:tcPr>
          <w:p>
            <w:pPr>
              <w:spacing w:after="0"/>
              <w:rPr>
                <w:sz w:val="7"/>
                <w:szCs w:val="7"/>
                <w:color w:val="auto"/>
              </w:rPr>
            </w:pP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1,016</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30,985</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55,160</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3,633</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1,938</w:t>
            </w: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1,016</w:t>
            </w:r>
          </w:p>
        </w:tc>
        <w:tc>
          <w:tcPr>
            <w:tcW w:w="72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rPr>
              <w:t>92,732</w:t>
            </w:r>
          </w:p>
        </w:tc>
        <w:tc>
          <w:tcPr>
            <w:tcW w:w="0" w:type="dxa"/>
            <w:vAlign w:val="bottom"/>
          </w:tcPr>
          <w:p>
            <w:pPr>
              <w:spacing w:after="0"/>
              <w:rPr>
                <w:sz w:val="1"/>
                <w:szCs w:val="1"/>
                <w:color w:val="auto"/>
              </w:rPr>
            </w:pPr>
          </w:p>
        </w:tc>
      </w:tr>
      <w:tr>
        <w:trPr>
          <w:trHeight w:val="90"/>
        </w:trPr>
        <w:tc>
          <w:tcPr>
            <w:tcW w:w="7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Investments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153,188</w:t>
            </w:r>
          </w:p>
        </w:tc>
        <w:tc>
          <w:tcPr>
            <w:tcW w:w="5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24,739</w:t>
            </w:r>
          </w:p>
        </w:tc>
        <w:tc>
          <w:tcPr>
            <w:tcW w:w="72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153,188</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24,739</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177,927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20" w:type="dxa"/>
            <w:vAlign w:val="bottom"/>
            <w:gridSpan w:val="2"/>
          </w:tcPr>
          <w:p>
            <w:pPr>
              <w:spacing w:after="0" w:line="90" w:lineRule="exact"/>
              <w:rPr>
                <w:sz w:val="20"/>
                <w:szCs w:val="20"/>
                <w:color w:val="auto"/>
              </w:rPr>
            </w:pPr>
            <w:r>
              <w:rPr>
                <w:rFonts w:ascii="Arial" w:cs="Arial" w:eastAsia="Arial" w:hAnsi="Arial"/>
                <w:sz w:val="8"/>
                <w:szCs w:val="8"/>
                <w:color w:val="auto"/>
              </w:rPr>
              <w:t>Loans, net</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706,621</w:t>
            </w:r>
          </w:p>
        </w:tc>
        <w:tc>
          <w:tcPr>
            <w:tcW w:w="5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(54,765)</w:t>
            </w:r>
          </w:p>
        </w:tc>
        <w:tc>
          <w:tcPr>
            <w:tcW w:w="66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651,856</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spacing w:after="0" w:line="90" w:lineRule="exact"/>
              <w:rPr>
                <w:sz w:val="20"/>
                <w:szCs w:val="20"/>
                <w:color w:val="auto"/>
              </w:rPr>
            </w:pPr>
            <w:r>
              <w:rPr>
                <w:rFonts w:ascii="Arial" w:cs="Arial" w:eastAsia="Arial" w:hAnsi="Arial"/>
                <w:sz w:val="8"/>
                <w:szCs w:val="8"/>
                <w:color w:val="auto"/>
              </w:rPr>
              <w:t>651,856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Right-of-use</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assets, net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6,578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5,206</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6,578</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5,206</w:t>
            </w:r>
          </w:p>
        </w:tc>
        <w:tc>
          <w:tcPr>
            <w:tcW w:w="2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8"/>
                <w:szCs w:val="8"/>
                <w:color w:val="auto"/>
              </w:rPr>
              <w:t>11,784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tcPr>
          <w:p>
            <w:pPr>
              <w:spacing w:after="0" w:line="81" w:lineRule="exact"/>
              <w:rPr>
                <w:sz w:val="20"/>
                <w:szCs w:val="20"/>
                <w:color w:val="auto"/>
              </w:rPr>
            </w:pPr>
            <w:r>
              <w:rPr>
                <w:rFonts w:ascii="Arial" w:cs="Arial" w:eastAsia="Arial" w:hAnsi="Arial"/>
                <w:sz w:val="8"/>
                <w:szCs w:val="8"/>
                <w:color w:val="auto"/>
              </w:rPr>
              <w:t>Property, furniture</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ind w:left="80"/>
              <w:spacing w:after="0" w:line="90" w:lineRule="exact"/>
              <w:rPr>
                <w:sz w:val="20"/>
                <w:szCs w:val="20"/>
                <w:color w:val="auto"/>
              </w:rPr>
            </w:pPr>
            <w:r>
              <w:rPr>
                <w:rFonts w:ascii="Arial" w:cs="Arial" w:eastAsia="Arial" w:hAnsi="Arial"/>
                <w:sz w:val="8"/>
                <w:szCs w:val="8"/>
                <w:color w:val="auto"/>
              </w:rPr>
              <w:t>and</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ind w:left="80"/>
              <w:spacing w:after="0" w:line="90" w:lineRule="exact"/>
              <w:rPr>
                <w:sz w:val="20"/>
                <w:szCs w:val="20"/>
                <w:color w:val="auto"/>
              </w:rPr>
            </w:pPr>
            <w:r>
              <w:rPr>
                <w:rFonts w:ascii="Arial" w:cs="Arial" w:eastAsia="Arial" w:hAnsi="Arial"/>
                <w:sz w:val="8"/>
                <w:szCs w:val="8"/>
                <w:color w:val="auto"/>
              </w:rPr>
              <w:t>equipment,</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net, Note 10(a)</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5,969</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3,385</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34</w:t>
            </w:r>
          </w:p>
        </w:tc>
        <w:tc>
          <w:tcPr>
            <w:tcW w:w="400" w:type="dxa"/>
            <w:vAlign w:val="bottom"/>
          </w:tcPr>
          <w:p>
            <w:pPr>
              <w:jc w:val="right"/>
              <w:spacing w:after="0"/>
              <w:rPr>
                <w:sz w:val="20"/>
                <w:szCs w:val="20"/>
                <w:color w:val="auto"/>
              </w:rPr>
            </w:pPr>
            <w:r>
              <w:rPr>
                <w:rFonts w:ascii="Arial" w:cs="Arial" w:eastAsia="Arial" w:hAnsi="Arial"/>
                <w:sz w:val="8"/>
                <w:szCs w:val="8"/>
                <w:color w:val="auto"/>
              </w:rPr>
              <w:t>112</w:t>
            </w:r>
          </w:p>
        </w:tc>
        <w:tc>
          <w:tcPr>
            <w:tcW w:w="20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32</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374</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688</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6,343</w:t>
            </w:r>
          </w:p>
        </w:tc>
        <w:tc>
          <w:tcPr>
            <w:tcW w:w="480" w:type="dxa"/>
            <w:vAlign w:val="bottom"/>
          </w:tcPr>
          <w:p>
            <w:pPr>
              <w:jc w:val="right"/>
              <w:spacing w:after="0"/>
              <w:rPr>
                <w:sz w:val="20"/>
                <w:szCs w:val="20"/>
                <w:color w:val="auto"/>
              </w:rPr>
            </w:pPr>
            <w:r>
              <w:rPr>
                <w:rFonts w:ascii="Arial" w:cs="Arial" w:eastAsia="Arial" w:hAnsi="Arial"/>
                <w:sz w:val="8"/>
                <w:szCs w:val="8"/>
                <w:color w:val="auto"/>
              </w:rPr>
              <w:t>4,073</w:t>
            </w:r>
          </w:p>
        </w:tc>
        <w:tc>
          <w:tcPr>
            <w:tcW w:w="20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34</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112</w:t>
            </w:r>
          </w:p>
        </w:tc>
        <w:tc>
          <w:tcPr>
            <w:tcW w:w="420" w:type="dxa"/>
            <w:vAlign w:val="bottom"/>
          </w:tcPr>
          <w:p>
            <w:pPr>
              <w:jc w:val="right"/>
              <w:spacing w:after="0"/>
              <w:rPr>
                <w:sz w:val="20"/>
                <w:szCs w:val="20"/>
                <w:color w:val="auto"/>
              </w:rPr>
            </w:pPr>
            <w:r>
              <w:rPr>
                <w:rFonts w:ascii="Arial" w:cs="Arial" w:eastAsia="Arial" w:hAnsi="Arial"/>
                <w:sz w:val="8"/>
                <w:szCs w:val="8"/>
                <w:color w:val="auto"/>
              </w:rPr>
              <w:t>32</w:t>
            </w:r>
          </w:p>
        </w:tc>
        <w:tc>
          <w:tcPr>
            <w:tcW w:w="100" w:type="dxa"/>
            <w:vAlign w:val="bottom"/>
          </w:tcPr>
          <w:p>
            <w:pPr>
              <w:spacing w:after="0"/>
              <w:rPr>
                <w:sz w:val="8"/>
                <w:szCs w:val="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8"/>
                <w:szCs w:val="8"/>
                <w:color w:val="auto"/>
              </w:rPr>
              <w:t>10,594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Intangible, Note</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11</w:t>
            </w: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tcPr>
          <w:p>
            <w:pPr>
              <w:ind w:left="40"/>
              <w:spacing w:after="0" w:line="81" w:lineRule="exact"/>
              <w:rPr>
                <w:sz w:val="20"/>
                <w:szCs w:val="20"/>
                <w:color w:val="auto"/>
              </w:rPr>
            </w:pPr>
            <w:r>
              <w:rPr>
                <w:rFonts w:ascii="Arial" w:cs="Arial" w:eastAsia="Arial" w:hAnsi="Arial"/>
                <w:sz w:val="8"/>
                <w:szCs w:val="8"/>
                <w:color w:val="auto"/>
              </w:rPr>
              <w:t>Software and</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licenses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60,450</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2,647</w:t>
            </w:r>
          </w:p>
        </w:tc>
        <w:tc>
          <w:tcPr>
            <w:tcW w:w="18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4,640</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8,322</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60,450</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2,647</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4,640</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8,324</w:t>
            </w:r>
          </w:p>
        </w:tc>
        <w:tc>
          <w:tcPr>
            <w:tcW w:w="720" w:type="dxa"/>
            <w:vAlign w:val="bottom"/>
            <w:gridSpan w:val="3"/>
          </w:tcPr>
          <w:p>
            <w:pPr>
              <w:jc w:val="right"/>
              <w:ind w:right="100"/>
              <w:spacing w:after="0"/>
              <w:rPr>
                <w:sz w:val="20"/>
                <w:szCs w:val="20"/>
                <w:color w:val="auto"/>
              </w:rPr>
            </w:pPr>
            <w:r>
              <w:rPr>
                <w:rFonts w:ascii="Arial" w:cs="Arial" w:eastAsia="Arial" w:hAnsi="Arial"/>
                <w:sz w:val="8"/>
                <w:szCs w:val="8"/>
                <w:color w:val="auto"/>
              </w:rPr>
              <w:t>76,061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shd w:val="clear" w:color="auto" w:fill="CCEEFF"/>
          </w:tcPr>
          <w:p>
            <w:pPr>
              <w:ind w:left="40"/>
              <w:spacing w:after="0" w:line="90" w:lineRule="exact"/>
              <w:rPr>
                <w:sz w:val="20"/>
                <w:szCs w:val="20"/>
                <w:color w:val="auto"/>
              </w:rPr>
            </w:pPr>
            <w:r>
              <w:rPr>
                <w:rFonts w:ascii="Arial" w:cs="Arial" w:eastAsia="Arial" w:hAnsi="Arial"/>
                <w:sz w:val="8"/>
                <w:szCs w:val="8"/>
                <w:color w:val="auto"/>
              </w:rPr>
              <w:t>Brand "Culqi"</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1,164</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1,164</w:t>
            </w:r>
          </w:p>
        </w:tc>
        <w:tc>
          <w:tcPr>
            <w:tcW w:w="6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1,164</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tcPr>
          <w:p>
            <w:pPr>
              <w:ind w:left="40"/>
              <w:spacing w:after="0" w:line="81" w:lineRule="exact"/>
              <w:rPr>
                <w:sz w:val="20"/>
                <w:szCs w:val="20"/>
                <w:color w:val="auto"/>
              </w:rPr>
            </w:pPr>
            <w:r>
              <w:rPr>
                <w:rFonts w:ascii="Arial" w:cs="Arial" w:eastAsia="Arial" w:hAnsi="Arial"/>
                <w:sz w:val="8"/>
                <w:szCs w:val="8"/>
                <w:color w:val="auto"/>
              </w:rPr>
              <w:t>Brand</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"Recarga"</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2,790</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2,790</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2,790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ind w:left="40"/>
              <w:spacing w:after="0" w:line="81" w:lineRule="exact"/>
              <w:rPr>
                <w:sz w:val="20"/>
                <w:szCs w:val="20"/>
                <w:color w:val="auto"/>
              </w:rPr>
            </w:pPr>
            <w:r>
              <w:rPr>
                <w:rFonts w:ascii="Arial" w:cs="Arial" w:eastAsia="Arial" w:hAnsi="Arial"/>
                <w:sz w:val="8"/>
                <w:szCs w:val="8"/>
                <w:color w:val="auto"/>
              </w:rPr>
              <w:t>Client</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relationships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13,376</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2,536</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2,550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13,376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2,536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2,550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8"/>
                <w:szCs w:val="8"/>
                <w:color w:val="auto"/>
              </w:rPr>
              <w:t>18,462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color w:val="auto"/>
              </w:rPr>
              <w:t>PayPal Contract</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7,504</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7,504</w:t>
            </w: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spacing w:after="0" w:line="90" w:lineRule="exact"/>
              <w:rPr>
                <w:sz w:val="20"/>
                <w:szCs w:val="20"/>
                <w:color w:val="auto"/>
              </w:rPr>
            </w:pPr>
            <w:r>
              <w:rPr>
                <w:rFonts w:ascii="Arial" w:cs="Arial" w:eastAsia="Arial" w:hAnsi="Arial"/>
                <w:sz w:val="8"/>
                <w:szCs w:val="8"/>
                <w:color w:val="auto"/>
              </w:rPr>
              <w:t>7,504</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ind w:left="40"/>
              <w:spacing w:after="0" w:line="81" w:lineRule="exact"/>
              <w:rPr>
                <w:sz w:val="20"/>
                <w:szCs w:val="20"/>
                <w:color w:val="auto"/>
              </w:rPr>
            </w:pPr>
            <w:r>
              <w:rPr>
                <w:rFonts w:ascii="Arial" w:cs="Arial" w:eastAsia="Arial" w:hAnsi="Arial"/>
                <w:sz w:val="8"/>
                <w:szCs w:val="8"/>
                <w:color w:val="auto"/>
              </w:rPr>
              <w:t>Fund manager</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contract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4,298</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4,298</w:t>
            </w:r>
          </w:p>
        </w:tc>
        <w:tc>
          <w:tcPr>
            <w:tcW w:w="2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4,298</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tcPr>
          <w:p>
            <w:pPr>
              <w:ind w:left="40"/>
              <w:spacing w:after="0" w:line="81" w:lineRule="exact"/>
              <w:rPr>
                <w:sz w:val="20"/>
                <w:szCs w:val="20"/>
                <w:color w:val="auto"/>
              </w:rPr>
            </w:pPr>
            <w:r>
              <w:rPr>
                <w:rFonts w:ascii="Arial" w:cs="Arial" w:eastAsia="Arial" w:hAnsi="Arial"/>
                <w:sz w:val="8"/>
                <w:szCs w:val="8"/>
                <w:color w:val="auto"/>
              </w:rPr>
              <w:t>Anti-</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ind w:left="80"/>
              <w:spacing w:after="0" w:line="90" w:lineRule="exact"/>
              <w:rPr>
                <w:sz w:val="20"/>
                <w:szCs w:val="20"/>
                <w:color w:val="auto"/>
              </w:rPr>
            </w:pPr>
            <w:r>
              <w:rPr>
                <w:rFonts w:ascii="Arial" w:cs="Arial" w:eastAsia="Arial" w:hAnsi="Arial"/>
                <w:sz w:val="8"/>
                <w:szCs w:val="8"/>
                <w:color w:val="auto"/>
              </w:rPr>
              <w:t>competition</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contract</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5,454</w:t>
            </w:r>
          </w:p>
        </w:tc>
        <w:tc>
          <w:tcPr>
            <w:tcW w:w="200" w:type="dxa"/>
            <w:vAlign w:val="bottom"/>
          </w:tcPr>
          <w:p>
            <w:pPr>
              <w:spacing w:after="0"/>
              <w:rPr>
                <w:sz w:val="8"/>
                <w:szCs w:val="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7,291</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5,454</w:t>
            </w:r>
          </w:p>
        </w:tc>
        <w:tc>
          <w:tcPr>
            <w:tcW w:w="480" w:type="dxa"/>
            <w:vAlign w:val="bottom"/>
          </w:tcPr>
          <w:p>
            <w:pPr>
              <w:jc w:val="right"/>
              <w:spacing w:after="0"/>
              <w:rPr>
                <w:sz w:val="20"/>
                <w:szCs w:val="20"/>
                <w:color w:val="auto"/>
              </w:rPr>
            </w:pPr>
            <w:r>
              <w:rPr>
                <w:rFonts w:ascii="Arial" w:cs="Arial" w:eastAsia="Arial" w:hAnsi="Arial"/>
                <w:sz w:val="8"/>
                <w:szCs w:val="8"/>
                <w:color w:val="auto"/>
              </w:rPr>
              <w:t>7,291</w:t>
            </w:r>
          </w:p>
        </w:tc>
        <w:tc>
          <w:tcPr>
            <w:tcW w:w="20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8"/>
                <w:szCs w:val="8"/>
                <w:color w:val="auto"/>
              </w:rPr>
              <w:t>12,745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Deferred tax</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assets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18,242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541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18,242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541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8"/>
                <w:szCs w:val="8"/>
                <w:color w:val="auto"/>
              </w:rPr>
              <w:t>18,783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line="90" w:lineRule="exact"/>
              <w:rPr>
                <w:sz w:val="20"/>
                <w:szCs w:val="20"/>
                <w:color w:val="auto"/>
              </w:rPr>
            </w:pPr>
            <w:r>
              <w:rPr>
                <w:rFonts w:ascii="Arial" w:cs="Arial" w:eastAsia="Arial" w:hAnsi="Arial"/>
                <w:sz w:val="8"/>
                <w:szCs w:val="8"/>
                <w:color w:val="auto"/>
              </w:rPr>
              <w:t>Other assets</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58,557</w:t>
            </w:r>
          </w:p>
        </w:tc>
        <w:tc>
          <w:tcPr>
            <w:tcW w:w="5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17,784</w:t>
            </w:r>
          </w:p>
        </w:tc>
        <w:tc>
          <w:tcPr>
            <w:tcW w:w="72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17</w:t>
            </w:r>
          </w:p>
        </w:tc>
        <w:tc>
          <w:tcPr>
            <w:tcW w:w="400" w:type="dxa"/>
            <w:vAlign w:val="bottom"/>
          </w:tcPr>
          <w:p>
            <w:pPr>
              <w:jc w:val="right"/>
              <w:spacing w:after="0" w:line="90" w:lineRule="exact"/>
              <w:rPr>
                <w:sz w:val="20"/>
                <w:szCs w:val="20"/>
                <w:color w:val="auto"/>
              </w:rPr>
            </w:pPr>
            <w:r>
              <w:rPr>
                <w:rFonts w:ascii="Arial" w:cs="Arial" w:eastAsia="Arial" w:hAnsi="Arial"/>
                <w:sz w:val="8"/>
                <w:szCs w:val="8"/>
                <w:color w:val="auto"/>
              </w:rPr>
              <w:t>1,204</w:t>
            </w:r>
          </w:p>
        </w:tc>
        <w:tc>
          <w:tcPr>
            <w:tcW w:w="200" w:type="dxa"/>
            <w:vAlign w:val="bottom"/>
          </w:tcPr>
          <w:p>
            <w:pPr>
              <w:spacing w:after="0"/>
              <w:rPr>
                <w:sz w:val="7"/>
                <w:szCs w:val="7"/>
                <w:color w:val="auto"/>
              </w:rPr>
            </w:pP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1,100</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(400)</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58,557</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17,784</w:t>
            </w:r>
          </w:p>
        </w:tc>
        <w:tc>
          <w:tcPr>
            <w:tcW w:w="6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17</w:t>
            </w:r>
          </w:p>
        </w:tc>
        <w:tc>
          <w:tcPr>
            <w:tcW w:w="64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1,204</w:t>
            </w: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700</w:t>
            </w:r>
          </w:p>
        </w:tc>
        <w:tc>
          <w:tcPr>
            <w:tcW w:w="72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rPr>
              <w:t>78,262</w:t>
            </w:r>
          </w:p>
        </w:tc>
        <w:tc>
          <w:tcPr>
            <w:tcW w:w="0" w:type="dxa"/>
            <w:vAlign w:val="bottom"/>
          </w:tcPr>
          <w:p>
            <w:pPr>
              <w:spacing w:after="0"/>
              <w:rPr>
                <w:sz w:val="1"/>
                <w:szCs w:val="1"/>
                <w:color w:val="auto"/>
              </w:rPr>
            </w:pPr>
          </w:p>
        </w:tc>
      </w:tr>
      <w:tr>
        <w:trPr>
          <w:trHeight w:val="90"/>
        </w:trPr>
        <w:tc>
          <w:tcPr>
            <w:tcW w:w="720" w:type="dxa"/>
            <w:vAlign w:val="bottom"/>
            <w:gridSpan w:val="2"/>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2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Liabilities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Deposits and</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obligations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794,893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794,893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794,893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tcPr>
          <w:p>
            <w:pPr>
              <w:spacing w:after="0" w:line="81" w:lineRule="exact"/>
              <w:rPr>
                <w:sz w:val="20"/>
                <w:szCs w:val="20"/>
                <w:color w:val="auto"/>
              </w:rPr>
            </w:pPr>
            <w:r>
              <w:rPr>
                <w:rFonts w:ascii="Arial" w:cs="Arial" w:eastAsia="Arial" w:hAnsi="Arial"/>
                <w:sz w:val="8"/>
                <w:szCs w:val="8"/>
                <w:color w:val="auto"/>
              </w:rPr>
              <w:t>Due to banks and</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correspondents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50,659</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50,659</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8"/>
                <w:szCs w:val="8"/>
                <w:color w:val="auto"/>
              </w:rPr>
              <w:t>50,659</w:t>
            </w:r>
          </w:p>
        </w:tc>
        <w:tc>
          <w:tcPr>
            <w:tcW w:w="0" w:type="dxa"/>
            <w:vAlign w:val="bottom"/>
          </w:tcPr>
          <w:p>
            <w:pPr>
              <w:spacing w:after="0"/>
              <w:rPr>
                <w:sz w:val="1"/>
                <w:szCs w:val="1"/>
                <w:color w:val="auto"/>
              </w:rPr>
            </w:pPr>
          </w:p>
        </w:tc>
      </w:tr>
      <w:tr>
        <w:trPr>
          <w:trHeight w:val="90"/>
        </w:trPr>
        <w:tc>
          <w:tcPr>
            <w:tcW w:w="7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Lease liabilities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6,874</w:t>
            </w:r>
          </w:p>
        </w:tc>
        <w:tc>
          <w:tcPr>
            <w:tcW w:w="5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5,680</w:t>
            </w:r>
          </w:p>
        </w:tc>
        <w:tc>
          <w:tcPr>
            <w:tcW w:w="72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6,874</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5,680</w:t>
            </w:r>
          </w:p>
        </w:tc>
        <w:tc>
          <w:tcPr>
            <w:tcW w:w="2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12,554</w:t>
            </w:r>
          </w:p>
        </w:tc>
        <w:tc>
          <w:tcPr>
            <w:tcW w:w="0" w:type="dxa"/>
            <w:vAlign w:val="bottom"/>
          </w:tcPr>
          <w:p>
            <w:pPr>
              <w:spacing w:after="0"/>
              <w:rPr>
                <w:sz w:val="1"/>
                <w:szCs w:val="1"/>
                <w:color w:val="auto"/>
              </w:rPr>
            </w:pPr>
          </w:p>
        </w:tc>
      </w:tr>
      <w:tr>
        <w:trPr>
          <w:trHeight w:val="81"/>
        </w:trPr>
        <w:tc>
          <w:tcPr>
            <w:tcW w:w="720" w:type="dxa"/>
            <w:vAlign w:val="bottom"/>
            <w:gridSpan w:val="2"/>
          </w:tcPr>
          <w:p>
            <w:pPr>
              <w:spacing w:after="0" w:line="81" w:lineRule="exact"/>
              <w:rPr>
                <w:sz w:val="20"/>
                <w:szCs w:val="20"/>
                <w:color w:val="auto"/>
              </w:rPr>
            </w:pPr>
            <w:r>
              <w:rPr>
                <w:rFonts w:ascii="Arial" w:cs="Arial" w:eastAsia="Arial" w:hAnsi="Arial"/>
                <w:sz w:val="8"/>
                <w:szCs w:val="8"/>
                <w:color w:val="auto"/>
              </w:rPr>
              <w:t>Deferred tax</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ind w:left="80"/>
              <w:spacing w:after="0"/>
              <w:rPr>
                <w:sz w:val="20"/>
                <w:szCs w:val="20"/>
                <w:color w:val="auto"/>
              </w:rPr>
            </w:pPr>
            <w:r>
              <w:rPr>
                <w:rFonts w:ascii="Arial" w:cs="Arial" w:eastAsia="Arial" w:hAnsi="Arial"/>
                <w:sz w:val="8"/>
                <w:szCs w:val="8"/>
                <w:color w:val="auto"/>
              </w:rPr>
              <w:t>liabilities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139</w:t>
            </w: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1,895</w:t>
            </w:r>
          </w:p>
        </w:tc>
        <w:tc>
          <w:tcPr>
            <w:tcW w:w="200" w:type="dxa"/>
            <w:vAlign w:val="bottom"/>
          </w:tcPr>
          <w:p>
            <w:pPr>
              <w:spacing w:after="0"/>
              <w:rPr>
                <w:sz w:val="8"/>
                <w:szCs w:val="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7,924</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715</w:t>
            </w: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4,717</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3,550</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2,034</w:t>
            </w:r>
          </w:p>
        </w:tc>
        <w:tc>
          <w:tcPr>
            <w:tcW w:w="480" w:type="dxa"/>
            <w:vAlign w:val="bottom"/>
          </w:tcPr>
          <w:p>
            <w:pPr>
              <w:jc w:val="right"/>
              <w:spacing w:after="0"/>
              <w:rPr>
                <w:sz w:val="20"/>
                <w:szCs w:val="20"/>
                <w:color w:val="auto"/>
              </w:rPr>
            </w:pPr>
            <w:r>
              <w:rPr>
                <w:rFonts w:ascii="Arial" w:cs="Arial" w:eastAsia="Arial" w:hAnsi="Arial"/>
                <w:sz w:val="8"/>
                <w:szCs w:val="8"/>
                <w:color w:val="auto"/>
              </w:rPr>
              <w:t>7,924</w:t>
            </w:r>
          </w:p>
        </w:tc>
        <w:tc>
          <w:tcPr>
            <w:tcW w:w="20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715</w:t>
            </w: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4,717</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3,550</w:t>
            </w:r>
          </w:p>
        </w:tc>
        <w:tc>
          <w:tcPr>
            <w:tcW w:w="720" w:type="dxa"/>
            <w:vAlign w:val="bottom"/>
            <w:gridSpan w:val="3"/>
          </w:tcPr>
          <w:p>
            <w:pPr>
              <w:jc w:val="right"/>
              <w:ind w:right="100"/>
              <w:spacing w:after="0"/>
              <w:rPr>
                <w:sz w:val="20"/>
                <w:szCs w:val="20"/>
                <w:color w:val="auto"/>
              </w:rPr>
            </w:pPr>
            <w:r>
              <w:rPr>
                <w:rFonts w:ascii="Arial" w:cs="Arial" w:eastAsia="Arial" w:hAnsi="Arial"/>
                <w:sz w:val="8"/>
                <w:szCs w:val="8"/>
                <w:color w:val="auto"/>
              </w:rPr>
              <w:t>18,940</w:t>
            </w:r>
          </w:p>
        </w:tc>
        <w:tc>
          <w:tcPr>
            <w:tcW w:w="0" w:type="dxa"/>
            <w:vAlign w:val="bottom"/>
          </w:tcPr>
          <w:p>
            <w:pPr>
              <w:spacing w:after="0"/>
              <w:rPr>
                <w:sz w:val="1"/>
                <w:szCs w:val="1"/>
                <w:color w:val="auto"/>
              </w:rPr>
            </w:pPr>
          </w:p>
        </w:tc>
      </w:tr>
      <w:tr>
        <w:trPr>
          <w:trHeight w:val="99"/>
        </w:trPr>
        <w:tc>
          <w:tcPr>
            <w:tcW w:w="7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Other liabilities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16,101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24,041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192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142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16,101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24,041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192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142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955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8"/>
                <w:szCs w:val="8"/>
                <w:color w:val="auto"/>
              </w:rPr>
              <w:t>41,431</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vMerge w:val="continue"/>
          </w:tcPr>
          <w:p>
            <w:pPr>
              <w:spacing w:after="0"/>
              <w:rPr>
                <w:sz w:val="6"/>
                <w:szCs w:val="6"/>
                <w:color w:val="auto"/>
              </w:rPr>
            </w:pPr>
          </w:p>
        </w:tc>
        <w:tc>
          <w:tcPr>
            <w:tcW w:w="700" w:type="dxa"/>
            <w:vAlign w:val="bottom"/>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 net assets</w:t>
            </w:r>
          </w:p>
        </w:tc>
        <w:tc>
          <w:tcPr>
            <w:tcW w:w="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shd w:val="clear" w:color="auto" w:fill="CCEEFF"/>
          </w:tcPr>
          <w:p>
            <w:pPr>
              <w:ind w:left="80"/>
              <w:spacing w:after="0" w:line="90" w:lineRule="exact"/>
              <w:rPr>
                <w:sz w:val="20"/>
                <w:szCs w:val="20"/>
                <w:color w:val="auto"/>
              </w:rPr>
            </w:pPr>
            <w:r>
              <w:rPr>
                <w:rFonts w:ascii="Arial" w:cs="Arial" w:eastAsia="Arial" w:hAnsi="Arial"/>
                <w:sz w:val="8"/>
                <w:szCs w:val="8"/>
                <w:b w:val="1"/>
                <w:bCs w:val="1"/>
                <w:color w:val="auto"/>
              </w:rPr>
              <w:t>identified at</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b w:val="1"/>
                <w:bCs w:val="1"/>
                <w:color w:val="auto"/>
              </w:rPr>
              <w:t>fair value</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153,682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76,553</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3,492</w:t>
            </w: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3,112</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1,195</w:t>
            </w:r>
          </w:p>
        </w:tc>
        <w:tc>
          <w:tcPr>
            <w:tcW w:w="66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7"/>
                <w:szCs w:val="7"/>
                <w:color w:val="auto"/>
              </w:rPr>
              <w:t>(32,590</w:t>
            </w:r>
            <w:r>
              <w:rPr>
                <w:rFonts w:ascii="Arial" w:cs="Arial" w:eastAsia="Arial" w:hAnsi="Arial"/>
                <w:sz w:val="13"/>
                <w:szCs w:val="13"/>
                <w:color w:val="auto"/>
                <w:vertAlign w:val="superscript"/>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17,729</w:t>
            </w: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1,932</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12,753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8,627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121,092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94,282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5,424</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15,865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9,822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246,485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50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vMerge w:val="continue"/>
          </w:tcPr>
          <w:p>
            <w:pPr>
              <w:spacing w:after="0"/>
              <w:rPr>
                <w:sz w:val="6"/>
                <w:szCs w:val="6"/>
                <w:color w:val="auto"/>
              </w:rPr>
            </w:pPr>
          </w:p>
        </w:tc>
        <w:tc>
          <w:tcPr>
            <w:tcW w:w="700" w:type="dxa"/>
            <w:vAlign w:val="bottom"/>
            <w:shd w:val="clear" w:color="auto" w:fill="CCEEFF"/>
          </w:tcPr>
          <w:p>
            <w:pPr>
              <w:spacing w:after="0" w:line="79" w:lineRule="exact"/>
              <w:rPr>
                <w:sz w:val="20"/>
                <w:szCs w:val="20"/>
                <w:color w:val="auto"/>
              </w:rPr>
            </w:pPr>
            <w:r>
              <w:rPr>
                <w:rFonts w:ascii="Arial" w:cs="Arial" w:eastAsia="Arial" w:hAnsi="Arial"/>
                <w:sz w:val="8"/>
                <w:szCs w:val="8"/>
                <w:b w:val="1"/>
                <w:bCs w:val="1"/>
                <w:color w:val="auto"/>
              </w:rPr>
              <w:t>Non-controlling</w:t>
            </w:r>
          </w:p>
        </w:tc>
        <w:tc>
          <w:tcPr>
            <w:tcW w:w="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b w:val="1"/>
                <w:bCs w:val="1"/>
                <w:color w:val="auto"/>
              </w:rPr>
              <w:t>interest</w:t>
            </w: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(74,392)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8"/>
                <w:szCs w:val="8"/>
                <w:color w:val="auto"/>
              </w:rPr>
              <w:t>(74,392)</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vMerge w:val="continue"/>
          </w:tcPr>
          <w:p>
            <w:pPr>
              <w:spacing w:after="0"/>
              <w:rPr>
                <w:sz w:val="7"/>
                <w:szCs w:val="7"/>
                <w:color w:val="auto"/>
              </w:rPr>
            </w:pPr>
          </w:p>
        </w:tc>
        <w:tc>
          <w:tcPr>
            <w:tcW w:w="70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Goodwill arising</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color w:val="auto"/>
              </w:rPr>
              <w:t>on acquisition</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209,003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44,628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14,182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25,260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3,518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296,591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vMerge w:val="continue"/>
          </w:tcPr>
          <w:p>
            <w:pPr>
              <w:spacing w:after="0"/>
              <w:rPr>
                <w:sz w:val="6"/>
                <w:szCs w:val="6"/>
                <w:color w:val="auto"/>
              </w:rPr>
            </w:pPr>
          </w:p>
        </w:tc>
        <w:tc>
          <w:tcPr>
            <w:tcW w:w="700" w:type="dxa"/>
            <w:vAlign w:val="bottom"/>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 purchase</w:t>
            </w:r>
          </w:p>
        </w:tc>
        <w:tc>
          <w:tcPr>
            <w:tcW w:w="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8"/>
                <w:szCs w:val="8"/>
                <w:b w:val="1"/>
                <w:bCs w:val="1"/>
                <w:color w:val="auto"/>
              </w:rPr>
              <w:t>consideration</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255,703</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138,910</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19,606</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41,125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13,340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468,684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9525</wp:posOffset>
            </wp:positionV>
            <wp:extent cx="7292340" cy="571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00"/>
          </w:cols>
          <w:pgMar w:left="500" w:top="653" w:right="499" w:bottom="1440" w:gutter="0" w:footer="0" w:header="0"/>
        </w:sectPr>
      </w:pPr>
    </w:p>
    <w:bookmarkStart w:id="25" w:name="page26"/>
    <w:bookmarkEnd w:id="25"/>
    <w:p>
      <w:pPr>
        <w:ind w:right="200"/>
        <w:spacing w:after="0" w:line="276" w:lineRule="auto"/>
        <w:rPr>
          <w:sz w:val="20"/>
          <w:szCs w:val="20"/>
          <w:color w:val="auto"/>
        </w:rPr>
      </w:pPr>
      <w:r>
        <w:rPr>
          <w:rFonts w:ascii="Arial" w:cs="Arial" w:eastAsia="Arial" w:hAnsi="Arial"/>
          <w:sz w:val="12"/>
          <w:szCs w:val="12"/>
          <w:color w:val="auto"/>
        </w:rPr>
        <w:t>All purchases were recorded using the purchase method, as required by the IFRS 3 “Business combinations”, applicable on the date of the transaction. Assets and liabilities were recorded at their estimated market values at the acquisition dates, including intangible assets identified not recorded in the financial statements of each entity.</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acquisition costs incurred by Bancompartir and Ultraserfinco and Subsidiaries amounted to approximately COP 2,040.2 million equivalent to S/2.0 million, acquisition costs incurred by Multicaja and Tenpo amounted to CLP 50.6 million equivalent to approximately S/0.2 million and the acquisition costs of Culqi amounted to S/0.1 million. Also, these costs were recorded in the “Administrative expenses” section of the consolidated statement of income.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non-controlling interest of Bancompartir was measured at fair value, which are estimated considering the consideration paid.</w:t>
      </w:r>
    </w:p>
    <w:p>
      <w:pPr>
        <w:spacing w:after="0" w:line="150" w:lineRule="exact"/>
        <w:rPr>
          <w:sz w:val="20"/>
          <w:szCs w:val="20"/>
          <w:color w:val="auto"/>
        </w:rPr>
      </w:pPr>
    </w:p>
    <w:p>
      <w:pPr>
        <w:ind w:right="320"/>
        <w:spacing w:after="0" w:line="380" w:lineRule="auto"/>
        <w:rPr>
          <w:sz w:val="20"/>
          <w:szCs w:val="20"/>
          <w:color w:val="auto"/>
        </w:rPr>
      </w:pPr>
      <w:r>
        <w:rPr>
          <w:rFonts w:ascii="Arial" w:cs="Arial" w:eastAsia="Arial" w:hAnsi="Arial"/>
          <w:sz w:val="10"/>
          <w:szCs w:val="10"/>
          <w:color w:val="auto"/>
        </w:rPr>
        <w:t>The fair values of the intangible assets identified at the acquisition date were determined using the income approach, based on the present value of earnings attributable to the asset or in saving acquisition costs. Under this approach, the fair value of intangible assets is determined through the future cash flow methodology discounted using the rate of return that considers the relative risk of getting cash flows and the value of money over time.</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methods, based on the income approach, were used by the Management of Credicorp, to estimate the fair values of the intangible assets identified at the acquisition date.</w:t>
      </w:r>
    </w:p>
    <w:p>
      <w:pPr>
        <w:spacing w:after="0" w:line="150" w:lineRule="exact"/>
        <w:rPr>
          <w:sz w:val="20"/>
          <w:szCs w:val="20"/>
          <w:color w:val="auto"/>
        </w:rPr>
      </w:pPr>
    </w:p>
    <w:p>
      <w:pPr>
        <w:ind w:left="160" w:right="80" w:hanging="156"/>
        <w:spacing w:after="0" w:line="263" w:lineRule="auto"/>
        <w:tabs>
          <w:tab w:leader="none" w:pos="1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valuation of the intangible acquired by the anti-competition contract, the Management used the “With-or-without” method, which estimates the net present value of the projected cash flow during the exclusivity of the contract, considering the potential decrease in revenue or the increase in expenses as a result of the competition that sellers could perform when starting a similar business. The difference between both scenarios would correspond to the fair value of this intangible.</w:t>
      </w:r>
    </w:p>
    <w:p>
      <w:pPr>
        <w:spacing w:after="0" w:line="122" w:lineRule="exact"/>
        <w:rPr>
          <w:rFonts w:ascii="Arial" w:cs="Arial" w:eastAsia="Arial" w:hAnsi="Arial"/>
          <w:sz w:val="12"/>
          <w:szCs w:val="12"/>
          <w:color w:val="auto"/>
        </w:rPr>
      </w:pPr>
    </w:p>
    <w:p>
      <w:pPr>
        <w:ind w:left="160" w:hanging="156"/>
        <w:spacing w:after="0"/>
        <w:tabs>
          <w:tab w:leader="none" w:pos="1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the software valuation was applied the method "Replacement cost to new", which estimates the costs that should be incurred to acquire or build an asset with similar characteristics, capacity and functionalities.</w:t>
      </w:r>
    </w:p>
    <w:p>
      <w:pPr>
        <w:spacing w:after="0" w:line="161" w:lineRule="exact"/>
        <w:rPr>
          <w:rFonts w:ascii="Arial" w:cs="Arial" w:eastAsia="Arial" w:hAnsi="Arial"/>
          <w:sz w:val="11"/>
          <w:szCs w:val="11"/>
          <w:color w:val="auto"/>
        </w:rPr>
      </w:pPr>
    </w:p>
    <w:p>
      <w:pPr>
        <w:ind w:left="160" w:hanging="156"/>
        <w:spacing w:after="0"/>
        <w:tabs>
          <w:tab w:leader="none" w:pos="1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“Relief from Royalties” method was applied for brand valuation, which estimates the cash flows that the company saves for the payment of royalties that it would make if it did not count with a brand of its own.</w:t>
      </w:r>
    </w:p>
    <w:p>
      <w:pPr>
        <w:spacing w:after="0" w:line="161" w:lineRule="exact"/>
        <w:rPr>
          <w:rFonts w:ascii="Arial" w:cs="Arial" w:eastAsia="Arial" w:hAnsi="Arial"/>
          <w:sz w:val="11"/>
          <w:szCs w:val="11"/>
          <w:color w:val="auto"/>
        </w:rPr>
      </w:pPr>
    </w:p>
    <w:p>
      <w:pPr>
        <w:ind w:left="160" w:right="160" w:hanging="156"/>
        <w:spacing w:after="0" w:line="276" w:lineRule="auto"/>
        <w:tabs>
          <w:tab w:leader="none" w:pos="1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valuation of the intangibles assets of the Client relationship, fund manager contracts and PayPal contract was used the method of “Multi-Period Excess Earnings Method (MEEM)”, which estimates the residual cash flow of the intangibles assets after discounting returns for all assets that contribute to the flow.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Management's opinion, those methods are generally accepted for the valuation of intangible assets identified in business combination processes.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Considering the acquisition dates, the adjusments made are under review. Therefore, certain amounts reported could incorporate non-significant variations. In Management’s opinion, no substantial changes would occur.</w:t>
      </w:r>
    </w:p>
    <w:p>
      <w:pPr>
        <w:spacing w:after="0" w:line="306"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00"/>
          </w:cols>
          <w:pgMar w:left="640" w:top="653" w:right="259" w:bottom="1440" w:gutter="0" w:footer="0" w:header="0"/>
        </w:sectPr>
      </w:pPr>
    </w:p>
    <w:bookmarkStart w:id="26" w:name="page27"/>
    <w:bookmarkEnd w:id="26"/>
    <w:p>
      <w:pPr>
        <w:spacing w:after="0" w:line="298" w:lineRule="auto"/>
        <w:rPr>
          <w:sz w:val="20"/>
          <w:szCs w:val="20"/>
          <w:color w:val="auto"/>
        </w:rPr>
      </w:pPr>
      <w:r>
        <w:rPr>
          <w:rFonts w:ascii="Arial" w:cs="Arial" w:eastAsia="Arial" w:hAnsi="Arial"/>
          <w:sz w:val="11"/>
          <w:szCs w:val="11"/>
          <w:color w:val="auto"/>
        </w:rPr>
        <w:t>From the effective date of acquisition (December 1, 2019) until December 31, 2019, Bancompartir contribution’s in interest and similar income amounted to approximately S/16.5 million. If the combination had taken place at the beginning of the year, the similar interests and income of the Group would have amounted to approximately S/198.7 million (an increase of S/182.2 million). The income of the other acquired companies is inmaterial for the consolidated financial statements of the Group. Also, for the periods from the date of acquisition and the period from January 1 to December 31, 2019 are immaterial for consolidated financial statements of the Group.</w:t>
      </w:r>
    </w:p>
    <w:p>
      <w:pPr>
        <w:spacing w:after="0" w:line="105" w:lineRule="exact"/>
        <w:rPr>
          <w:sz w:val="20"/>
          <w:szCs w:val="20"/>
          <w:color w:val="auto"/>
        </w:rPr>
      </w:pPr>
    </w:p>
    <w:p>
      <w:pPr>
        <w:ind w:left="220" w:hanging="216"/>
        <w:spacing w:after="0"/>
        <w:tabs>
          <w:tab w:leader="none" w:pos="2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Acquisition of non-controlling interest of Mibanco, Banco de la Microempresa S.A. (Mibanco) -</w:t>
      </w:r>
    </w:p>
    <w:p>
      <w:pPr>
        <w:spacing w:after="0" w:line="150" w:lineRule="exact"/>
        <w:rPr>
          <w:rFonts w:ascii="Arial" w:cs="Arial" w:eastAsia="Arial" w:hAnsi="Arial"/>
          <w:sz w:val="12"/>
          <w:szCs w:val="12"/>
          <w:color w:val="auto"/>
        </w:rPr>
      </w:pPr>
    </w:p>
    <w:p>
      <w:pPr>
        <w:ind w:left="220" w:right="220"/>
        <w:spacing w:after="0" w:line="276" w:lineRule="auto"/>
        <w:rPr>
          <w:rFonts w:ascii="Arial" w:cs="Arial" w:eastAsia="Arial" w:hAnsi="Arial"/>
          <w:sz w:val="12"/>
          <w:szCs w:val="12"/>
          <w:color w:val="auto"/>
        </w:rPr>
      </w:pPr>
      <w:r>
        <w:rPr>
          <w:rFonts w:ascii="Arial" w:cs="Arial" w:eastAsia="Arial" w:hAnsi="Arial"/>
          <w:sz w:val="12"/>
          <w:szCs w:val="12"/>
          <w:color w:val="auto"/>
        </w:rPr>
        <w:t>On April 18, 2018, Credicorp Ltd. through its subsidiaries Grupo Crédito S.A. and Banco de Crédito del Perú S.A. acquired 3.23 percent and 0.06 percent, respectively, of the share capital of Mibanco, which was held by minority shareholders for approximately S/129.0 million and S/2.4 million, respectively.</w:t>
      </w:r>
    </w:p>
    <w:p>
      <w:pPr>
        <w:spacing w:after="0" w:line="114" w:lineRule="exact"/>
        <w:rPr>
          <w:rFonts w:ascii="Arial" w:cs="Arial" w:eastAsia="Arial" w:hAnsi="Arial"/>
          <w:sz w:val="12"/>
          <w:szCs w:val="12"/>
          <w:color w:val="auto"/>
        </w:rPr>
      </w:pPr>
    </w:p>
    <w:p>
      <w:pPr>
        <w:ind w:left="220" w:right="20"/>
        <w:spacing w:after="0" w:line="276" w:lineRule="auto"/>
        <w:rPr>
          <w:rFonts w:ascii="Arial" w:cs="Arial" w:eastAsia="Arial" w:hAnsi="Arial"/>
          <w:sz w:val="12"/>
          <w:szCs w:val="12"/>
          <w:color w:val="auto"/>
        </w:rPr>
      </w:pPr>
      <w:r>
        <w:rPr>
          <w:rFonts w:ascii="Arial" w:cs="Arial" w:eastAsia="Arial" w:hAnsi="Arial"/>
          <w:sz w:val="12"/>
          <w:szCs w:val="12"/>
          <w:color w:val="auto"/>
        </w:rPr>
        <w:t>Additionally, on May 22 and 23, 2018, BCP acquired 1.22 percent and 0.05 percent, respectively, of the share capital of Mibanco, which was held by minority shareholders for approximately S/47.3 million and S/1.9 million, respectively.</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These acquisitions of non-controlling interest were recorded as an equity transaction.</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In view of said acquisitions, Credicorp Ltd. increased its interest in the share capital of Mibanco from 93.18 percent to 97.74 percent.</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Merger by absorption between Credicorp Capital Holding Chile S.A. and Inversiones IMT S.A. -</w:t>
      </w:r>
    </w:p>
    <w:p>
      <w:pPr>
        <w:spacing w:after="0" w:line="150" w:lineRule="exact"/>
        <w:rPr>
          <w:rFonts w:ascii="Arial" w:cs="Arial" w:eastAsia="Arial" w:hAnsi="Arial"/>
          <w:sz w:val="12"/>
          <w:szCs w:val="12"/>
          <w:color w:val="auto"/>
        </w:rPr>
      </w:pPr>
    </w:p>
    <w:p>
      <w:pPr>
        <w:ind w:left="220" w:right="280"/>
        <w:spacing w:after="0" w:line="276" w:lineRule="auto"/>
        <w:rPr>
          <w:rFonts w:ascii="Arial" w:cs="Arial" w:eastAsia="Arial" w:hAnsi="Arial"/>
          <w:sz w:val="12"/>
          <w:szCs w:val="12"/>
          <w:color w:val="auto"/>
        </w:rPr>
      </w:pPr>
      <w:r>
        <w:rPr>
          <w:rFonts w:ascii="Arial" w:cs="Arial" w:eastAsia="Arial" w:hAnsi="Arial"/>
          <w:sz w:val="12"/>
          <w:szCs w:val="12"/>
          <w:color w:val="auto"/>
        </w:rPr>
        <w:t>On February 21, 2018, the Private Investment Fund Series B, administered by Credicorp Capital S.A., sold, ceded and transferred to Credicorp Capital Holding Chile S.A. the 11 shares of Inversiones IMT S.A. which it owned.</w:t>
      </w:r>
    </w:p>
    <w:p>
      <w:pPr>
        <w:spacing w:after="0" w:line="114" w:lineRule="exact"/>
        <w:rPr>
          <w:rFonts w:ascii="Arial" w:cs="Arial" w:eastAsia="Arial" w:hAnsi="Arial"/>
          <w:sz w:val="12"/>
          <w:szCs w:val="12"/>
          <w:color w:val="auto"/>
        </w:rPr>
      </w:pPr>
    </w:p>
    <w:p>
      <w:pPr>
        <w:ind w:left="220" w:right="20"/>
        <w:spacing w:after="0" w:line="276" w:lineRule="auto"/>
        <w:rPr>
          <w:rFonts w:ascii="Arial" w:cs="Arial" w:eastAsia="Arial" w:hAnsi="Arial"/>
          <w:sz w:val="12"/>
          <w:szCs w:val="12"/>
          <w:color w:val="auto"/>
        </w:rPr>
      </w:pPr>
      <w:r>
        <w:rPr>
          <w:rFonts w:ascii="Arial" w:cs="Arial" w:eastAsia="Arial" w:hAnsi="Arial"/>
          <w:sz w:val="12"/>
          <w:szCs w:val="12"/>
          <w:color w:val="auto"/>
        </w:rPr>
        <w:t>As a result of the sale, the entity Credicorp Capital Holding Chile S.A. became the holder of 100.00 percent of the share capital of Inversiones IMT S.A. for an uninterrupted period that exceeded 10 days, which is a cause for corporate dissolution, according to article 103 numeral 2 of the Law regarding Joint Stock Companies, in Chile.</w:t>
      </w:r>
    </w:p>
    <w:p>
      <w:pPr>
        <w:spacing w:after="0" w:line="114" w:lineRule="exact"/>
        <w:rPr>
          <w:rFonts w:ascii="Arial" w:cs="Arial" w:eastAsia="Arial" w:hAnsi="Arial"/>
          <w:sz w:val="12"/>
          <w:szCs w:val="12"/>
          <w:color w:val="auto"/>
        </w:rPr>
      </w:pPr>
    </w:p>
    <w:p>
      <w:pPr>
        <w:ind w:left="220" w:right="60"/>
        <w:spacing w:after="0" w:line="276" w:lineRule="auto"/>
        <w:rPr>
          <w:rFonts w:ascii="Arial" w:cs="Arial" w:eastAsia="Arial" w:hAnsi="Arial"/>
          <w:sz w:val="12"/>
          <w:szCs w:val="12"/>
          <w:color w:val="auto"/>
        </w:rPr>
      </w:pPr>
      <w:r>
        <w:rPr>
          <w:rFonts w:ascii="Arial" w:cs="Arial" w:eastAsia="Arial" w:hAnsi="Arial"/>
          <w:sz w:val="12"/>
          <w:szCs w:val="12"/>
          <w:color w:val="auto"/>
        </w:rPr>
        <w:t>Subsequently, on March 3, 2018, the merger by absorption between Inversiones IMT S.A. (absorbed entity) and Credicorp Capital Holding Chile S.A. (absorbing entity) was made effective; the latter acquiring all the assets, liabilities, rights and obligations of Inversiones IMT S.A., without needing to proceed with the liquidation of the dissolved company.</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Said transaction has not generated a significant impact on the Group’s consolidated financial statements.</w:t>
      </w:r>
    </w:p>
    <w:p>
      <w:pPr>
        <w:spacing w:after="0" w:line="294" w:lineRule="exact"/>
        <w:rPr>
          <w:rFonts w:ascii="Arial" w:cs="Arial" w:eastAsia="Arial" w:hAnsi="Arial"/>
          <w:sz w:val="12"/>
          <w:szCs w:val="12"/>
          <w:color w:val="auto"/>
        </w:rPr>
      </w:pPr>
    </w:p>
    <w:p>
      <w:pPr>
        <w:ind w:left="5260" w:hanging="72"/>
        <w:spacing w:after="0"/>
        <w:tabs>
          <w:tab w:leader="none" w:pos="52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80"/>
          </w:cols>
          <w:pgMar w:left="640" w:top="653" w:right="279" w:bottom="1440" w:gutter="0" w:footer="0" w:header="0"/>
        </w:sectPr>
      </w:pPr>
    </w:p>
    <w:bookmarkStart w:id="27" w:name="page28"/>
    <w:bookmarkEnd w:id="27"/>
    <w:p>
      <w:pPr>
        <w:ind w:left="428" w:hanging="428"/>
        <w:spacing w:after="0"/>
        <w:tabs>
          <w:tab w:leader="none" w:pos="42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significant accounting policies applied in the preparation of Credicorp’s consolidated financial statements are set out below:</w:t>
      </w:r>
    </w:p>
    <w:p>
      <w:pPr>
        <w:spacing w:after="0" w:line="150" w:lineRule="exact"/>
        <w:rPr>
          <w:sz w:val="20"/>
          <w:szCs w:val="20"/>
          <w:color w:val="auto"/>
        </w:rPr>
      </w:pPr>
    </w:p>
    <w:p>
      <w:pPr>
        <w:ind w:left="648" w:hanging="216"/>
        <w:spacing w:after="0"/>
        <w:tabs>
          <w:tab w:leader="none" w:pos="6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Basis of presentation, use of estimates and changes in accounting policies -</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accompanying consolidated financial statements have been prepared in accordance with International Financial Reporting Standards (IFRS) as issued by the International Accounting Standards Board (IASB).</w:t>
      </w:r>
    </w:p>
    <w:p>
      <w:pPr>
        <w:spacing w:after="0" w:line="162" w:lineRule="exact"/>
        <w:rPr>
          <w:sz w:val="20"/>
          <w:szCs w:val="20"/>
          <w:color w:val="auto"/>
        </w:rPr>
      </w:pPr>
    </w:p>
    <w:p>
      <w:pPr>
        <w:jc w:val="both"/>
        <w:ind w:left="428" w:right="20"/>
        <w:spacing w:after="0" w:line="323" w:lineRule="auto"/>
        <w:rPr>
          <w:sz w:val="20"/>
          <w:szCs w:val="20"/>
          <w:color w:val="auto"/>
        </w:rPr>
      </w:pPr>
      <w:r>
        <w:rPr>
          <w:rFonts w:ascii="Arial" w:cs="Arial" w:eastAsia="Arial" w:hAnsi="Arial"/>
          <w:sz w:val="11"/>
          <w:szCs w:val="11"/>
          <w:color w:val="auto"/>
        </w:rPr>
        <w:t>The consolidated financial statements as of December 31, 2019 and 2018,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92" w:lineRule="exact"/>
        <w:rPr>
          <w:sz w:val="20"/>
          <w:szCs w:val="20"/>
          <w:color w:val="auto"/>
        </w:rPr>
      </w:pPr>
    </w:p>
    <w:p>
      <w:pPr>
        <w:ind w:left="428" w:right="80"/>
        <w:spacing w:after="0" w:line="276" w:lineRule="auto"/>
        <w:rPr>
          <w:sz w:val="20"/>
          <w:szCs w:val="20"/>
          <w:color w:val="auto"/>
        </w:rPr>
      </w:pPr>
      <w:r>
        <w:rPr>
          <w:rFonts w:ascii="Arial" w:cs="Arial" w:eastAsia="Arial" w:hAnsi="Arial"/>
          <w:sz w:val="12"/>
          <w:szCs w:val="12"/>
          <w:color w:val="auto"/>
        </w:rPr>
        <w:t>The consolidated financial statements are presented in Soles (S/), which is the functional currency of Credicorp Ltd and subsidiaries, see paragraph (c) below, and values are rounded to thousands of soles, except when otherwise indicated.</w:t>
      </w:r>
    </w:p>
    <w:p>
      <w:pPr>
        <w:spacing w:after="0" w:line="115" w:lineRule="exact"/>
        <w:rPr>
          <w:sz w:val="20"/>
          <w:szCs w:val="20"/>
          <w:color w:val="auto"/>
        </w:rPr>
      </w:pPr>
    </w:p>
    <w:p>
      <w:pPr>
        <w:ind w:left="428" w:right="260"/>
        <w:spacing w:after="0" w:line="276" w:lineRule="auto"/>
        <w:rPr>
          <w:sz w:val="20"/>
          <w:szCs w:val="20"/>
          <w:color w:val="auto"/>
        </w:rPr>
      </w:pPr>
      <w:r>
        <w:rPr>
          <w:rFonts w:ascii="Arial" w:cs="Arial" w:eastAsia="Arial" w:hAnsi="Arial"/>
          <w:sz w:val="12"/>
          <w:szCs w:val="12"/>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15" w:lineRule="exact"/>
        <w:rPr>
          <w:sz w:val="20"/>
          <w:szCs w:val="20"/>
          <w:color w:val="auto"/>
        </w:rPr>
      </w:pPr>
    </w:p>
    <w:p>
      <w:pPr>
        <w:ind w:left="428" w:right="240"/>
        <w:spacing w:after="0" w:line="276" w:lineRule="auto"/>
        <w:rPr>
          <w:sz w:val="20"/>
          <w:szCs w:val="20"/>
          <w:color w:val="auto"/>
        </w:rPr>
      </w:pPr>
      <w:r>
        <w:rPr>
          <w:rFonts w:ascii="Arial" w:cs="Arial" w:eastAsia="Arial" w:hAnsi="Arial"/>
          <w:sz w:val="12"/>
          <w:szCs w:val="12"/>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consolidated financial statements.</w:t>
      </w:r>
    </w:p>
    <w:p>
      <w:pPr>
        <w:spacing w:after="0" w:line="115" w:lineRule="exact"/>
        <w:rPr>
          <w:sz w:val="20"/>
          <w:szCs w:val="20"/>
          <w:color w:val="auto"/>
        </w:rPr>
      </w:pPr>
    </w:p>
    <w:p>
      <w:pPr>
        <w:jc w:val="both"/>
        <w:ind w:left="428" w:right="20"/>
        <w:spacing w:after="0" w:line="263" w:lineRule="auto"/>
        <w:rPr>
          <w:sz w:val="20"/>
          <w:szCs w:val="20"/>
          <w:color w:val="auto"/>
        </w:rPr>
      </w:pPr>
      <w:r>
        <w:rPr>
          <w:rFonts w:ascii="Arial" w:cs="Arial" w:eastAsia="Arial" w:hAnsi="Arial"/>
          <w:sz w:val="12"/>
          <w:szCs w:val="12"/>
          <w:color w:val="auto"/>
        </w:rPr>
        <w:t>The most significant estimates included in the accompanying consolidated financial statements are related to the calculation of the allowance of the expected credit loss on loan portfolio, the valuation of investments, the technical reserves for insurance claims and premiums, the impairment of goodwill , the expected credit loss for investments at fair value through other comprehensive income and investments at amortized cost, the valuation of share-based payment plans and the valuation of derivative financial instruments.</w:t>
      </w:r>
    </w:p>
    <w:p>
      <w:pPr>
        <w:spacing w:after="0" w:line="123" w:lineRule="exact"/>
        <w:rPr>
          <w:sz w:val="20"/>
          <w:szCs w:val="20"/>
          <w:color w:val="auto"/>
        </w:rPr>
      </w:pPr>
    </w:p>
    <w:p>
      <w:pPr>
        <w:ind w:left="428" w:right="300"/>
        <w:spacing w:after="0" w:line="276" w:lineRule="auto"/>
        <w:rPr>
          <w:sz w:val="20"/>
          <w:szCs w:val="20"/>
          <w:color w:val="auto"/>
        </w:rPr>
      </w:pPr>
      <w:r>
        <w:rPr>
          <w:rFonts w:ascii="Arial" w:cs="Arial" w:eastAsia="Arial" w:hAnsi="Arial"/>
          <w:sz w:val="12"/>
          <w:szCs w:val="12"/>
          <w:color w:val="auto"/>
        </w:rPr>
        <w:t>Furthermore, other estimates exist, such as the estimated useful life of intangible assets, property, furniture and equipment and the deferred income tax assets and liabilities. The accounting criteria used for said estimates are described below.</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Group has adopted the following standards and modifications for first time for its annual period that starts on January 1, 2019, as described below:</w:t>
      </w:r>
    </w:p>
    <w:p>
      <w:pPr>
        <w:spacing w:after="0" w:line="150" w:lineRule="exact"/>
        <w:rPr>
          <w:sz w:val="20"/>
          <w:szCs w:val="20"/>
          <w:color w:val="auto"/>
        </w:rPr>
      </w:pPr>
    </w:p>
    <w:p>
      <w:pPr>
        <w:ind w:left="848" w:hanging="199"/>
        <w:spacing w:after="0"/>
        <w:tabs>
          <w:tab w:leader="none" w:pos="848"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IFRS 16 “Leases” -</w:t>
      </w:r>
    </w:p>
    <w:p>
      <w:pPr>
        <w:spacing w:after="0" w:line="150" w:lineRule="exact"/>
        <w:rPr>
          <w:rFonts w:ascii="Arial" w:cs="Arial" w:eastAsia="Arial" w:hAnsi="Arial"/>
          <w:sz w:val="12"/>
          <w:szCs w:val="12"/>
          <w:color w:val="auto"/>
        </w:rPr>
      </w:pPr>
    </w:p>
    <w:p>
      <w:pPr>
        <w:ind w:left="868"/>
        <w:spacing w:after="0" w:line="276" w:lineRule="auto"/>
        <w:rPr>
          <w:rFonts w:ascii="Arial" w:cs="Arial" w:eastAsia="Arial" w:hAnsi="Arial"/>
          <w:sz w:val="12"/>
          <w:szCs w:val="12"/>
          <w:color w:val="auto"/>
        </w:rPr>
      </w:pPr>
      <w:r>
        <w:rPr>
          <w:rFonts w:ascii="Arial" w:cs="Arial" w:eastAsia="Arial" w:hAnsi="Arial"/>
          <w:sz w:val="12"/>
          <w:szCs w:val="12"/>
          <w:color w:val="auto"/>
        </w:rPr>
        <w:t>On January 2016, the IASB issued the IFRS 16, ‘Leases’ to replace the current standards related to the treatment of leases (IAS 17, ‘Leases’ and IFRIC 4, ‘Determining whether an arrangement contains a lease” and other related interpretations, which are valid until December 31, 2018).</w:t>
      </w:r>
    </w:p>
    <w:p>
      <w:pPr>
        <w:spacing w:after="0" w:line="114" w:lineRule="exact"/>
        <w:rPr>
          <w:rFonts w:ascii="Arial" w:cs="Arial" w:eastAsia="Arial" w:hAnsi="Arial"/>
          <w:sz w:val="12"/>
          <w:szCs w:val="12"/>
          <w:color w:val="auto"/>
        </w:rPr>
      </w:pPr>
    </w:p>
    <w:p>
      <w:pPr>
        <w:ind w:left="868"/>
        <w:spacing w:after="0"/>
        <w:rPr>
          <w:rFonts w:ascii="Arial" w:cs="Arial" w:eastAsia="Arial" w:hAnsi="Arial"/>
          <w:sz w:val="12"/>
          <w:szCs w:val="12"/>
          <w:color w:val="auto"/>
        </w:rPr>
      </w:pPr>
      <w:r>
        <w:rPr>
          <w:rFonts w:ascii="Arial" w:cs="Arial" w:eastAsia="Arial" w:hAnsi="Arial"/>
          <w:sz w:val="12"/>
          <w:szCs w:val="12"/>
          <w:color w:val="auto"/>
        </w:rPr>
        <w:t>According with IFRS 16, a contract is, or contains, a lease if the contract transfers the right to control the use of an identified asset for a period of time in exchange for a consideration.</w:t>
      </w:r>
    </w:p>
    <w:p>
      <w:pPr>
        <w:spacing w:after="0" w:line="294" w:lineRule="exact"/>
        <w:rPr>
          <w:rFonts w:ascii="Arial" w:cs="Arial" w:eastAsia="Arial" w:hAnsi="Arial"/>
          <w:sz w:val="12"/>
          <w:szCs w:val="12"/>
          <w:color w:val="auto"/>
        </w:rPr>
      </w:pPr>
    </w:p>
    <w:p>
      <w:pPr>
        <w:ind w:left="5688" w:hanging="72"/>
        <w:spacing w:after="0"/>
        <w:tabs>
          <w:tab w:leader="none" w:pos="5688" w:val="left"/>
        </w:tabs>
        <w:numPr>
          <w:ilvl w:val="1"/>
          <w:numId w:val="14"/>
        </w:numPr>
        <w:rPr>
          <w:rFonts w:ascii="Arial" w:cs="Arial" w:eastAsia="Arial" w:hAnsi="Arial"/>
          <w:sz w:val="12"/>
          <w:szCs w:val="12"/>
          <w:color w:val="auto"/>
        </w:rPr>
      </w:pPr>
      <w:r>
        <w:rPr>
          <w:rFonts w:ascii="Arial" w:cs="Arial" w:eastAsia="Arial" w:hAnsi="Arial"/>
          <w:sz w:val="12"/>
          <w:szCs w:val="1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649" w:right="259" w:bottom="1440" w:gutter="0" w:footer="0" w:header="0"/>
        </w:sectPr>
      </w:pPr>
    </w:p>
    <w:bookmarkStart w:id="28" w:name="page29"/>
    <w:bookmarkEnd w:id="28"/>
    <w:p>
      <w:pPr>
        <w:ind w:left="219"/>
        <w:spacing w:after="0" w:line="276" w:lineRule="auto"/>
        <w:rPr>
          <w:sz w:val="20"/>
          <w:szCs w:val="20"/>
          <w:color w:val="auto"/>
        </w:rPr>
      </w:pPr>
      <w:r>
        <w:rPr>
          <w:rFonts w:ascii="Arial" w:cs="Arial" w:eastAsia="Arial" w:hAnsi="Arial"/>
          <w:sz w:val="12"/>
          <w:szCs w:val="12"/>
          <w:color w:val="auto"/>
        </w:rPr>
        <w:t>IFRS 16 mainly affect the accounting treatment for lessees, and will result in the recognition of almost all lease contracts in the statement of financial position, since the standard eliminates the distinction between finance and operating leases.</w:t>
      </w:r>
    </w:p>
    <w:p>
      <w:pPr>
        <w:spacing w:after="0" w:line="115" w:lineRule="exact"/>
        <w:rPr>
          <w:sz w:val="20"/>
          <w:szCs w:val="20"/>
          <w:color w:val="auto"/>
        </w:rPr>
      </w:pPr>
    </w:p>
    <w:p>
      <w:pPr>
        <w:ind w:left="219" w:right="240"/>
        <w:spacing w:after="0" w:line="276" w:lineRule="auto"/>
        <w:rPr>
          <w:sz w:val="20"/>
          <w:szCs w:val="20"/>
          <w:color w:val="auto"/>
        </w:rPr>
      </w:pPr>
      <w:r>
        <w:rPr>
          <w:rFonts w:ascii="Arial" w:cs="Arial" w:eastAsia="Arial" w:hAnsi="Arial"/>
          <w:sz w:val="12"/>
          <w:szCs w:val="12"/>
          <w:color w:val="auto"/>
        </w:rPr>
        <w:t>Pursuant to the new standard, was required the recognition of an asset (right-of-use of the leased asset) and of a financial liability because of the lease payments. The only exemptions are for short term and low value leases, both could be recorded in a straight line as an expense in the consolidated statement of income.</w:t>
      </w:r>
    </w:p>
    <w:p>
      <w:pPr>
        <w:spacing w:after="0" w:line="115" w:lineRule="exact"/>
        <w:rPr>
          <w:sz w:val="20"/>
          <w:szCs w:val="20"/>
          <w:color w:val="auto"/>
        </w:rPr>
      </w:pPr>
    </w:p>
    <w:p>
      <w:pPr>
        <w:ind w:left="219" w:right="240"/>
        <w:spacing w:after="0" w:line="276" w:lineRule="auto"/>
        <w:rPr>
          <w:sz w:val="20"/>
          <w:szCs w:val="20"/>
          <w:color w:val="auto"/>
        </w:rPr>
      </w:pPr>
      <w:r>
        <w:rPr>
          <w:rFonts w:ascii="Arial" w:cs="Arial" w:eastAsia="Arial" w:hAnsi="Arial"/>
          <w:sz w:val="12"/>
          <w:szCs w:val="12"/>
          <w:color w:val="auto"/>
        </w:rPr>
        <w:t>The consolidated statement of income also is affected, since the total expense is normally higher in the initial years of the lease contract and lower in the final years. Furthermore, the operating costs are replaced with interest and depreciation, therefore key metrics such as earnings before interest, taxes, depreciation and amortization (EBITDA) will change.</w:t>
      </w:r>
    </w:p>
    <w:p>
      <w:pPr>
        <w:spacing w:after="0" w:line="115" w:lineRule="exact"/>
        <w:rPr>
          <w:sz w:val="20"/>
          <w:szCs w:val="20"/>
          <w:color w:val="auto"/>
        </w:rPr>
      </w:pPr>
    </w:p>
    <w:p>
      <w:pPr>
        <w:ind w:left="219"/>
        <w:spacing w:after="0"/>
        <w:rPr>
          <w:sz w:val="20"/>
          <w:szCs w:val="20"/>
          <w:color w:val="auto"/>
        </w:rPr>
      </w:pPr>
      <w:r>
        <w:rPr>
          <w:rFonts w:ascii="Arial" w:cs="Arial" w:eastAsia="Arial" w:hAnsi="Arial"/>
          <w:sz w:val="12"/>
          <w:szCs w:val="12"/>
          <w:color w:val="auto"/>
        </w:rPr>
        <w:t>The principal and interest payments of the lease liabilities are classified in the consolidated statement of cash flows within the financing activities.</w:t>
      </w:r>
    </w:p>
    <w:p>
      <w:pPr>
        <w:spacing w:after="0" w:line="150" w:lineRule="exact"/>
        <w:rPr>
          <w:sz w:val="20"/>
          <w:szCs w:val="20"/>
          <w:color w:val="auto"/>
        </w:rPr>
      </w:pPr>
    </w:p>
    <w:p>
      <w:pPr>
        <w:ind w:left="219"/>
        <w:spacing w:after="0"/>
        <w:rPr>
          <w:sz w:val="20"/>
          <w:szCs w:val="20"/>
          <w:color w:val="auto"/>
        </w:rPr>
      </w:pPr>
      <w:r>
        <w:rPr>
          <w:rFonts w:ascii="Arial" w:cs="Arial" w:eastAsia="Arial" w:hAnsi="Arial"/>
          <w:sz w:val="12"/>
          <w:szCs w:val="12"/>
          <w:color w:val="auto"/>
        </w:rPr>
        <w:t>The accounting treatment for lessors continues with a similar model to IAS 17; therefore, the lessors will continue to perform a classification test to distinguish between financial and operating leases.</w:t>
      </w:r>
    </w:p>
    <w:p>
      <w:pPr>
        <w:spacing w:after="0" w:line="150" w:lineRule="exact"/>
        <w:rPr>
          <w:sz w:val="20"/>
          <w:szCs w:val="20"/>
          <w:color w:val="auto"/>
        </w:rPr>
      </w:pPr>
    </w:p>
    <w:p>
      <w:pPr>
        <w:ind w:left="219" w:right="460"/>
        <w:spacing w:after="0" w:line="323" w:lineRule="auto"/>
        <w:rPr>
          <w:sz w:val="20"/>
          <w:szCs w:val="20"/>
          <w:color w:val="auto"/>
        </w:rPr>
      </w:pPr>
      <w:r>
        <w:rPr>
          <w:rFonts w:ascii="Arial" w:cs="Arial" w:eastAsia="Arial" w:hAnsi="Arial"/>
          <w:sz w:val="11"/>
          <w:szCs w:val="11"/>
          <w:color w:val="auto"/>
        </w:rPr>
        <w:t>The new requirements of the IFRS 16 were applied by adjusting our consolidated statement of financial position as of January 1, 2019, date of initial application, without restating the financial information of the comparative period, in accordance to what is allowed by the transition provisions of the aforementioned standard. On the date of the initial application, the Group has considered the following aspects:</w:t>
      </w:r>
    </w:p>
    <w:p>
      <w:pPr>
        <w:spacing w:after="0" w:line="92" w:lineRule="exact"/>
        <w:rPr>
          <w:sz w:val="20"/>
          <w:szCs w:val="20"/>
          <w:color w:val="auto"/>
        </w:rPr>
      </w:pPr>
    </w:p>
    <w:p>
      <w:pPr>
        <w:ind w:left="379" w:hanging="163"/>
        <w:spacing w:after="0"/>
        <w:tabs>
          <w:tab w:leader="none" w:pos="379"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use of a single discount rate in a lease portfolio with reasonably similar characteristics.</w:t>
      </w:r>
    </w:p>
    <w:p>
      <w:pPr>
        <w:spacing w:after="0" w:line="14" w:lineRule="exact"/>
        <w:rPr>
          <w:rFonts w:ascii="Arial" w:cs="Arial" w:eastAsia="Arial" w:hAnsi="Arial"/>
          <w:sz w:val="12"/>
          <w:szCs w:val="12"/>
          <w:color w:val="auto"/>
        </w:rPr>
      </w:pPr>
    </w:p>
    <w:p>
      <w:pPr>
        <w:ind w:left="379" w:right="340" w:hanging="163"/>
        <w:spacing w:after="0" w:line="250" w:lineRule="auto"/>
        <w:tabs>
          <w:tab w:leader="none" w:pos="379"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Choose not to apply the recognition and measurement requirements established by the IFRS 16 to: (i) leases with a remaining lease term of less than 12 months as of January 1, 2019, and (ii) leases in which the underlying asset is of low value. In these cases, payments will be recognized as an expense in a straight line over the term of the lease.</w:t>
      </w:r>
    </w:p>
    <w:p>
      <w:pPr>
        <w:ind w:left="379" w:hanging="163"/>
        <w:spacing w:after="0"/>
        <w:tabs>
          <w:tab w:leader="none" w:pos="379"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exclusion of the initial direct costs for the measurement of the asset by right of use.</w:t>
      </w:r>
    </w:p>
    <w:p>
      <w:pPr>
        <w:spacing w:after="0" w:line="6" w:lineRule="exact"/>
        <w:rPr>
          <w:rFonts w:ascii="Arial" w:cs="Arial" w:eastAsia="Arial" w:hAnsi="Arial"/>
          <w:sz w:val="12"/>
          <w:szCs w:val="12"/>
          <w:color w:val="auto"/>
        </w:rPr>
      </w:pPr>
    </w:p>
    <w:p>
      <w:pPr>
        <w:ind w:left="379" w:hanging="163"/>
        <w:spacing w:after="0"/>
        <w:tabs>
          <w:tab w:leader="none" w:pos="379" w:val="left"/>
        </w:tabs>
        <w:numPr>
          <w:ilvl w:val="0"/>
          <w:numId w:val="15"/>
        </w:numPr>
        <w:rPr>
          <w:rFonts w:ascii="Arial" w:cs="Arial" w:eastAsia="Arial" w:hAnsi="Arial"/>
          <w:sz w:val="11"/>
          <w:szCs w:val="11"/>
          <w:color w:val="auto"/>
        </w:rPr>
      </w:pPr>
      <w:r>
        <w:rPr>
          <w:rFonts w:ascii="Arial" w:cs="Arial" w:eastAsia="Arial" w:hAnsi="Arial"/>
          <w:sz w:val="11"/>
          <w:szCs w:val="11"/>
          <w:color w:val="auto"/>
        </w:rPr>
        <w:t>For the contracts concluded before the transition date, the Group relied on its assessment carried out applying IAS 17 and IFRIC 4; that is, not to reevaluate again if a contract is, or contains, an operating lease.</w:t>
      </w:r>
    </w:p>
    <w:p>
      <w:pPr>
        <w:spacing w:after="0" w:line="153" w:lineRule="exact"/>
        <w:rPr>
          <w:sz w:val="20"/>
          <w:szCs w:val="20"/>
          <w:color w:val="auto"/>
        </w:rPr>
      </w:pPr>
    </w:p>
    <w:p>
      <w:pPr>
        <w:ind w:left="219" w:right="620"/>
        <w:spacing w:after="0" w:line="276" w:lineRule="auto"/>
        <w:rPr>
          <w:sz w:val="20"/>
          <w:szCs w:val="20"/>
          <w:color w:val="auto"/>
        </w:rPr>
      </w:pPr>
      <w:r>
        <w:rPr>
          <w:rFonts w:ascii="Arial" w:cs="Arial" w:eastAsia="Arial" w:hAnsi="Arial"/>
          <w:sz w:val="12"/>
          <w:szCs w:val="12"/>
          <w:color w:val="auto"/>
        </w:rPr>
        <w:t>In that regard, as of January 1, 2019, the Group has recorded right-of-use assets for approximately S/855.5 million, lease liabilities for approximately S/852.8 million and deferred charges for prepayments for approximately S/2.7 million. There was no net impact on the retained earnings.</w:t>
      </w:r>
    </w:p>
    <w:p>
      <w:pPr>
        <w:spacing w:after="0" w:line="115" w:lineRule="exact"/>
        <w:rPr>
          <w:sz w:val="20"/>
          <w:szCs w:val="20"/>
          <w:color w:val="auto"/>
        </w:rPr>
      </w:pPr>
    </w:p>
    <w:p>
      <w:pPr>
        <w:ind w:left="199" w:hanging="199"/>
        <w:spacing w:after="0"/>
        <w:tabs>
          <w:tab w:leader="none" w:pos="199"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Prepayment features with negative compensation- amendments to IFRS 9 “Financial instruments” -</w:t>
      </w:r>
    </w:p>
    <w:p>
      <w:pPr>
        <w:spacing w:after="0" w:line="150" w:lineRule="exact"/>
        <w:rPr>
          <w:rFonts w:ascii="Arial" w:cs="Arial" w:eastAsia="Arial" w:hAnsi="Arial"/>
          <w:sz w:val="12"/>
          <w:szCs w:val="12"/>
          <w:color w:val="auto"/>
        </w:rPr>
      </w:pPr>
    </w:p>
    <w:p>
      <w:pPr>
        <w:ind w:left="219" w:right="160"/>
        <w:spacing w:after="0" w:line="276" w:lineRule="auto"/>
        <w:rPr>
          <w:rFonts w:ascii="Arial" w:cs="Arial" w:eastAsia="Arial" w:hAnsi="Arial"/>
          <w:sz w:val="12"/>
          <w:szCs w:val="12"/>
          <w:color w:val="auto"/>
        </w:rPr>
      </w:pPr>
      <w:r>
        <w:rPr>
          <w:rFonts w:ascii="Arial" w:cs="Arial" w:eastAsia="Arial" w:hAnsi="Arial"/>
          <w:sz w:val="12"/>
          <w:szCs w:val="12"/>
          <w:color w:val="auto"/>
        </w:rPr>
        <w:t>The narrow-scope amendments made to IFRS 9 Financial Instruments in October 2017 enable entities to measure certain pre-payable financial assets with negative compensation at amortized cost. These assets, which include some loan and debt securities, would otherwise have to be measured at fair value through profit or loss.</w:t>
      </w:r>
    </w:p>
    <w:p>
      <w:pPr>
        <w:spacing w:after="0" w:line="114" w:lineRule="exact"/>
        <w:rPr>
          <w:rFonts w:ascii="Arial" w:cs="Arial" w:eastAsia="Arial" w:hAnsi="Arial"/>
          <w:sz w:val="12"/>
          <w:szCs w:val="12"/>
          <w:color w:val="auto"/>
        </w:rPr>
      </w:pPr>
    </w:p>
    <w:p>
      <w:pPr>
        <w:ind w:left="219"/>
        <w:spacing w:after="0"/>
        <w:rPr>
          <w:rFonts w:ascii="Arial" w:cs="Arial" w:eastAsia="Arial" w:hAnsi="Arial"/>
          <w:sz w:val="12"/>
          <w:szCs w:val="12"/>
          <w:color w:val="auto"/>
        </w:rPr>
      </w:pPr>
      <w:r>
        <w:rPr>
          <w:rFonts w:ascii="Arial" w:cs="Arial" w:eastAsia="Arial" w:hAnsi="Arial"/>
          <w:sz w:val="11"/>
          <w:szCs w:val="11"/>
          <w:color w:val="auto"/>
        </w:rPr>
        <w:t>To qualify for amortized cost measurement, the negative compensation must be ‘reasonable compensation for early termination of the contract’ and the asset must be held within a ‘held to collect’ business model.</w:t>
      </w:r>
    </w:p>
    <w:p>
      <w:pPr>
        <w:spacing w:after="0" w:line="305" w:lineRule="exact"/>
        <w:rPr>
          <w:rFonts w:ascii="Arial" w:cs="Arial" w:eastAsia="Arial" w:hAnsi="Arial"/>
          <w:sz w:val="12"/>
          <w:szCs w:val="12"/>
          <w:color w:val="auto"/>
        </w:rPr>
      </w:pPr>
    </w:p>
    <w:p>
      <w:pPr>
        <w:ind w:left="5039" w:hanging="72"/>
        <w:spacing w:after="0"/>
        <w:tabs>
          <w:tab w:leader="none" w:pos="5039" w:val="left"/>
        </w:tabs>
        <w:numPr>
          <w:ilvl w:val="1"/>
          <w:numId w:val="16"/>
        </w:numPr>
        <w:rPr>
          <w:rFonts w:ascii="Arial" w:cs="Arial" w:eastAsia="Arial" w:hAnsi="Arial"/>
          <w:sz w:val="12"/>
          <w:szCs w:val="12"/>
          <w:color w:val="auto"/>
        </w:rPr>
      </w:pPr>
      <w:r>
        <w:rPr>
          <w:rFonts w:ascii="Arial" w:cs="Arial" w:eastAsia="Arial" w:hAnsi="Arial"/>
          <w:sz w:val="12"/>
          <w:szCs w:val="1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9525</wp:posOffset>
            </wp:positionV>
            <wp:extent cx="7292340" cy="571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779"/>
          </w:cols>
          <w:pgMar w:left="861" w:top="653" w:right="259" w:bottom="1440" w:gutter="0" w:footer="0" w:header="0"/>
        </w:sectPr>
      </w:pPr>
    </w:p>
    <w:bookmarkStart w:id="29" w:name="page30"/>
    <w:bookmarkEnd w:id="29"/>
    <w:p>
      <w:pPr>
        <w:ind w:left="199" w:hanging="199"/>
        <w:spacing w:after="0"/>
        <w:tabs>
          <w:tab w:leader="none" w:pos="199" w:val="left"/>
        </w:tabs>
        <w:numPr>
          <w:ilvl w:val="0"/>
          <w:numId w:val="17"/>
        </w:numPr>
        <w:rPr>
          <w:rFonts w:ascii="Arial" w:cs="Arial" w:eastAsia="Arial" w:hAnsi="Arial"/>
          <w:sz w:val="12"/>
          <w:szCs w:val="12"/>
          <w:color w:val="auto"/>
        </w:rPr>
      </w:pPr>
      <w:r>
        <w:rPr>
          <w:rFonts w:ascii="Arial" w:cs="Arial" w:eastAsia="Arial" w:hAnsi="Arial"/>
          <w:sz w:val="12"/>
          <w:szCs w:val="12"/>
          <w:color w:val="auto"/>
        </w:rPr>
        <w:t>Long-term Interests in Associates and Joint Ventures – Amendments to IAS 28 “Investments in Associates and Join Ventures” -</w:t>
      </w:r>
    </w:p>
    <w:p>
      <w:pPr>
        <w:spacing w:after="0" w:line="150" w:lineRule="exact"/>
        <w:rPr>
          <w:rFonts w:ascii="Arial" w:cs="Arial" w:eastAsia="Arial" w:hAnsi="Arial"/>
          <w:sz w:val="12"/>
          <w:szCs w:val="12"/>
          <w:color w:val="auto"/>
        </w:rPr>
      </w:pPr>
    </w:p>
    <w:p>
      <w:pPr>
        <w:ind w:left="219" w:right="60"/>
        <w:spacing w:after="0" w:line="276" w:lineRule="auto"/>
        <w:rPr>
          <w:rFonts w:ascii="Arial" w:cs="Arial" w:eastAsia="Arial" w:hAnsi="Arial"/>
          <w:sz w:val="12"/>
          <w:szCs w:val="12"/>
          <w:color w:val="auto"/>
        </w:rPr>
      </w:pPr>
      <w:r>
        <w:rPr>
          <w:rFonts w:ascii="Arial" w:cs="Arial" w:eastAsia="Arial" w:hAnsi="Arial"/>
          <w:sz w:val="12"/>
          <w:szCs w:val="12"/>
          <w:color w:val="auto"/>
        </w:rPr>
        <w:t>The amendments clarify the accounting record of long-term interests in an associate or joint venture, which in substance form part of the net investment in the associate or joint venture, but to which equity accounting is not applied. Entities must record for such interests under IFRS 9 Financial Instruments before applying the loss allocation and impairment requirements in IAS 28.</w:t>
      </w:r>
    </w:p>
    <w:p>
      <w:pPr>
        <w:spacing w:after="0" w:line="114" w:lineRule="exact"/>
        <w:rPr>
          <w:rFonts w:ascii="Arial" w:cs="Arial" w:eastAsia="Arial" w:hAnsi="Arial"/>
          <w:sz w:val="12"/>
          <w:szCs w:val="12"/>
          <w:color w:val="auto"/>
        </w:rPr>
      </w:pPr>
    </w:p>
    <w:p>
      <w:pPr>
        <w:ind w:left="199" w:hanging="199"/>
        <w:spacing w:after="0"/>
        <w:tabs>
          <w:tab w:leader="none" w:pos="199" w:val="left"/>
        </w:tabs>
        <w:numPr>
          <w:ilvl w:val="0"/>
          <w:numId w:val="17"/>
        </w:numPr>
        <w:rPr>
          <w:rFonts w:ascii="Arial" w:cs="Arial" w:eastAsia="Arial" w:hAnsi="Arial"/>
          <w:sz w:val="12"/>
          <w:szCs w:val="12"/>
          <w:color w:val="auto"/>
        </w:rPr>
      </w:pPr>
      <w:r>
        <w:rPr>
          <w:rFonts w:ascii="Arial" w:cs="Arial" w:eastAsia="Arial" w:hAnsi="Arial"/>
          <w:sz w:val="12"/>
          <w:szCs w:val="12"/>
          <w:color w:val="auto"/>
        </w:rPr>
        <w:t>Plan Amendment, Curtailment or Settlement - Amendments to IAS 19 “Employee Benefits” -</w:t>
      </w:r>
    </w:p>
    <w:p>
      <w:pPr>
        <w:spacing w:after="0" w:line="150" w:lineRule="exact"/>
        <w:rPr>
          <w:rFonts w:ascii="Arial" w:cs="Arial" w:eastAsia="Arial" w:hAnsi="Arial"/>
          <w:sz w:val="12"/>
          <w:szCs w:val="12"/>
          <w:color w:val="auto"/>
        </w:rPr>
      </w:pPr>
    </w:p>
    <w:p>
      <w:pPr>
        <w:ind w:left="219"/>
        <w:spacing w:after="0"/>
        <w:rPr>
          <w:rFonts w:ascii="Arial" w:cs="Arial" w:eastAsia="Arial" w:hAnsi="Arial"/>
          <w:sz w:val="12"/>
          <w:szCs w:val="12"/>
          <w:color w:val="auto"/>
        </w:rPr>
      </w:pPr>
      <w:r>
        <w:rPr>
          <w:rFonts w:ascii="Arial" w:cs="Arial" w:eastAsia="Arial" w:hAnsi="Arial"/>
          <w:sz w:val="12"/>
          <w:szCs w:val="12"/>
          <w:color w:val="auto"/>
        </w:rPr>
        <w:t>The amendments to IAS 19 clarify the accounting for defined benefit plan amendments, curtailments and settlements. They confirm that entities must:</w:t>
      </w:r>
    </w:p>
    <w:p>
      <w:pPr>
        <w:spacing w:after="0" w:line="150" w:lineRule="exact"/>
        <w:rPr>
          <w:rFonts w:ascii="Arial" w:cs="Arial" w:eastAsia="Arial" w:hAnsi="Arial"/>
          <w:sz w:val="12"/>
          <w:szCs w:val="12"/>
          <w:color w:val="auto"/>
        </w:rPr>
      </w:pPr>
    </w:p>
    <w:p>
      <w:pPr>
        <w:ind w:left="359" w:hanging="143"/>
        <w:spacing w:after="0"/>
        <w:tabs>
          <w:tab w:leader="none" w:pos="359" w:val="left"/>
        </w:tabs>
        <w:numPr>
          <w:ilvl w:val="1"/>
          <w:numId w:val="17"/>
        </w:numPr>
        <w:rPr>
          <w:rFonts w:ascii="Arial" w:cs="Arial" w:eastAsia="Arial" w:hAnsi="Arial"/>
          <w:sz w:val="11"/>
          <w:szCs w:val="11"/>
          <w:color w:val="auto"/>
        </w:rPr>
      </w:pPr>
      <w:r>
        <w:rPr>
          <w:rFonts w:ascii="Arial" w:cs="Arial" w:eastAsia="Arial" w:hAnsi="Arial"/>
          <w:sz w:val="11"/>
          <w:szCs w:val="11"/>
          <w:color w:val="auto"/>
        </w:rPr>
        <w:t>Calculate the current service cost and net interest for the remainder of the reporting period after a plan amendment, curtailment or settlement by using the updated assumptions from the date of the change.</w:t>
      </w:r>
    </w:p>
    <w:p>
      <w:pPr>
        <w:spacing w:after="0" w:line="26" w:lineRule="exact"/>
        <w:rPr>
          <w:rFonts w:ascii="Arial" w:cs="Arial" w:eastAsia="Arial" w:hAnsi="Arial"/>
          <w:sz w:val="11"/>
          <w:szCs w:val="11"/>
          <w:color w:val="auto"/>
        </w:rPr>
      </w:pPr>
    </w:p>
    <w:p>
      <w:pPr>
        <w:ind w:left="359" w:hanging="143"/>
        <w:spacing w:after="0" w:line="250" w:lineRule="auto"/>
        <w:tabs>
          <w:tab w:leader="none" w:pos="359" w:val="left"/>
        </w:tabs>
        <w:numPr>
          <w:ilvl w:val="1"/>
          <w:numId w:val="17"/>
        </w:numPr>
        <w:rPr>
          <w:rFonts w:ascii="Arial" w:cs="Arial" w:eastAsia="Arial" w:hAnsi="Arial"/>
          <w:sz w:val="12"/>
          <w:szCs w:val="12"/>
          <w:color w:val="auto"/>
        </w:rPr>
      </w:pPr>
      <w:r>
        <w:rPr>
          <w:rFonts w:ascii="Arial" w:cs="Arial" w:eastAsia="Arial" w:hAnsi="Arial"/>
          <w:sz w:val="12"/>
          <w:szCs w:val="12"/>
          <w:color w:val="auto"/>
        </w:rPr>
        <w:t>Any reduction in a surplus should be recognized immediately in profit or loss either as part of past service cost, or as a gain or loss on settlement. In other words, a reduction in a surplus must be recognized in profit or loss even if that surplus was not previously recognized because of the impact of the asset ceiling.</w:t>
      </w:r>
    </w:p>
    <w:p>
      <w:pPr>
        <w:ind w:left="359" w:hanging="143"/>
        <w:spacing w:after="0"/>
        <w:tabs>
          <w:tab w:leader="none" w:pos="359" w:val="left"/>
        </w:tabs>
        <w:numPr>
          <w:ilvl w:val="1"/>
          <w:numId w:val="17"/>
        </w:numPr>
        <w:rPr>
          <w:rFonts w:ascii="Arial" w:cs="Arial" w:eastAsia="Arial" w:hAnsi="Arial"/>
          <w:sz w:val="12"/>
          <w:szCs w:val="12"/>
          <w:color w:val="auto"/>
        </w:rPr>
      </w:pPr>
      <w:r>
        <w:rPr>
          <w:rFonts w:ascii="Arial" w:cs="Arial" w:eastAsia="Arial" w:hAnsi="Arial"/>
          <w:sz w:val="12"/>
          <w:szCs w:val="12"/>
          <w:color w:val="auto"/>
        </w:rPr>
        <w:t>Separately recognize any changes in the asset ceiling through other comprehensive income.</w:t>
      </w:r>
    </w:p>
    <w:p>
      <w:pPr>
        <w:spacing w:after="0" w:line="141" w:lineRule="exact"/>
        <w:rPr>
          <w:rFonts w:ascii="Arial" w:cs="Arial" w:eastAsia="Arial" w:hAnsi="Arial"/>
          <w:sz w:val="12"/>
          <w:szCs w:val="12"/>
          <w:color w:val="auto"/>
        </w:rPr>
      </w:pPr>
    </w:p>
    <w:p>
      <w:pPr>
        <w:ind w:left="199" w:hanging="199"/>
        <w:spacing w:after="0"/>
        <w:tabs>
          <w:tab w:leader="none" w:pos="199"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IFRIC 23 “Uncertainty over income tax treatments” -</w:t>
      </w:r>
    </w:p>
    <w:p>
      <w:pPr>
        <w:spacing w:after="0" w:line="150" w:lineRule="exact"/>
        <w:rPr>
          <w:rFonts w:ascii="Arial" w:cs="Arial" w:eastAsia="Arial" w:hAnsi="Arial"/>
          <w:sz w:val="12"/>
          <w:szCs w:val="12"/>
          <w:color w:val="auto"/>
        </w:rPr>
      </w:pPr>
    </w:p>
    <w:p>
      <w:pPr>
        <w:ind w:left="219"/>
        <w:spacing w:after="0"/>
        <w:rPr>
          <w:rFonts w:ascii="Arial" w:cs="Arial" w:eastAsia="Arial" w:hAnsi="Arial"/>
          <w:sz w:val="12"/>
          <w:szCs w:val="12"/>
          <w:color w:val="auto"/>
        </w:rPr>
      </w:pPr>
      <w:r>
        <w:rPr>
          <w:rFonts w:ascii="Arial" w:cs="Arial" w:eastAsia="Arial" w:hAnsi="Arial"/>
          <w:sz w:val="12"/>
          <w:szCs w:val="12"/>
          <w:color w:val="auto"/>
        </w:rPr>
        <w:t>The interpretation explains how to recognize and measure deferred and current income tax assets and liabilities when there is uncertainty over a tax treatment. In particular, it discusses:</w:t>
      </w:r>
    </w:p>
    <w:p>
      <w:pPr>
        <w:spacing w:after="0" w:line="150" w:lineRule="exact"/>
        <w:rPr>
          <w:rFonts w:ascii="Arial" w:cs="Arial" w:eastAsia="Arial" w:hAnsi="Arial"/>
          <w:sz w:val="12"/>
          <w:szCs w:val="12"/>
          <w:color w:val="auto"/>
        </w:rPr>
      </w:pPr>
    </w:p>
    <w:p>
      <w:pPr>
        <w:ind w:left="379" w:right="180" w:hanging="163"/>
        <w:spacing w:after="0" w:line="258" w:lineRule="auto"/>
        <w:tabs>
          <w:tab w:leader="none" w:pos="379" w:val="left"/>
        </w:tabs>
        <w:numPr>
          <w:ilvl w:val="1"/>
          <w:numId w:val="17"/>
        </w:numPr>
        <w:rPr>
          <w:rFonts w:ascii="Arial" w:cs="Arial" w:eastAsia="Arial" w:hAnsi="Arial"/>
          <w:sz w:val="12"/>
          <w:szCs w:val="12"/>
          <w:color w:val="auto"/>
        </w:rPr>
      </w:pPr>
      <w:r>
        <w:rPr>
          <w:rFonts w:ascii="Arial" w:cs="Arial" w:eastAsia="Arial" w:hAnsi="Arial"/>
          <w:sz w:val="12"/>
          <w:szCs w:val="12"/>
          <w:color w:val="auto"/>
        </w:rPr>
        <w:t>How to determine the appropriate obligation or right, and that each uncertain tax treatment should be considered separately or together as a group, depending on which approach better predicts the resolution of the uncertainty.</w:t>
      </w:r>
    </w:p>
    <w:p>
      <w:pPr>
        <w:ind w:left="379" w:hanging="163"/>
        <w:spacing w:after="0"/>
        <w:tabs>
          <w:tab w:leader="none" w:pos="379" w:val="left"/>
        </w:tabs>
        <w:numPr>
          <w:ilvl w:val="1"/>
          <w:numId w:val="17"/>
        </w:numPr>
        <w:rPr>
          <w:rFonts w:ascii="Arial" w:cs="Arial" w:eastAsia="Arial" w:hAnsi="Arial"/>
          <w:sz w:val="12"/>
          <w:szCs w:val="12"/>
          <w:color w:val="auto"/>
        </w:rPr>
      </w:pPr>
      <w:r>
        <w:rPr>
          <w:rFonts w:ascii="Arial" w:cs="Arial" w:eastAsia="Arial" w:hAnsi="Arial"/>
          <w:sz w:val="12"/>
          <w:szCs w:val="12"/>
          <w:color w:val="auto"/>
        </w:rPr>
        <w:t>That the entity should assume a tax authority will examine the uncertain tax treatments and have full knowledge of all related information, that is, that detection risk should be ignored.</w:t>
      </w:r>
    </w:p>
    <w:p>
      <w:pPr>
        <w:spacing w:after="0" w:line="6" w:lineRule="exact"/>
        <w:rPr>
          <w:rFonts w:ascii="Arial" w:cs="Arial" w:eastAsia="Arial" w:hAnsi="Arial"/>
          <w:sz w:val="12"/>
          <w:szCs w:val="12"/>
          <w:color w:val="auto"/>
        </w:rPr>
      </w:pPr>
    </w:p>
    <w:p>
      <w:pPr>
        <w:ind w:left="379" w:hanging="163"/>
        <w:spacing w:after="0"/>
        <w:tabs>
          <w:tab w:leader="none" w:pos="379" w:val="left"/>
        </w:tabs>
        <w:numPr>
          <w:ilvl w:val="1"/>
          <w:numId w:val="17"/>
        </w:numPr>
        <w:rPr>
          <w:rFonts w:ascii="Arial" w:cs="Arial" w:eastAsia="Arial" w:hAnsi="Arial"/>
          <w:sz w:val="12"/>
          <w:szCs w:val="12"/>
          <w:color w:val="auto"/>
        </w:rPr>
      </w:pPr>
      <w:r>
        <w:rPr>
          <w:rFonts w:ascii="Arial" w:cs="Arial" w:eastAsia="Arial" w:hAnsi="Arial"/>
          <w:sz w:val="12"/>
          <w:szCs w:val="12"/>
          <w:color w:val="auto"/>
        </w:rPr>
        <w:t>That the entity should reflect the effect of the uncertainty in its income tax accounting when it is not probable that the tax authorities will accept the treatment.</w:t>
      </w:r>
    </w:p>
    <w:p>
      <w:pPr>
        <w:spacing w:after="0" w:line="6" w:lineRule="exact"/>
        <w:rPr>
          <w:rFonts w:ascii="Arial" w:cs="Arial" w:eastAsia="Arial" w:hAnsi="Arial"/>
          <w:sz w:val="12"/>
          <w:szCs w:val="12"/>
          <w:color w:val="auto"/>
        </w:rPr>
      </w:pPr>
    </w:p>
    <w:p>
      <w:pPr>
        <w:ind w:left="379" w:hanging="163"/>
        <w:spacing w:after="0"/>
        <w:tabs>
          <w:tab w:leader="none" w:pos="379" w:val="left"/>
        </w:tabs>
        <w:numPr>
          <w:ilvl w:val="1"/>
          <w:numId w:val="17"/>
        </w:numPr>
        <w:rPr>
          <w:rFonts w:ascii="Arial" w:cs="Arial" w:eastAsia="Arial" w:hAnsi="Arial"/>
          <w:sz w:val="11"/>
          <w:szCs w:val="11"/>
          <w:color w:val="auto"/>
        </w:rPr>
      </w:pPr>
      <w:r>
        <w:rPr>
          <w:rFonts w:ascii="Arial" w:cs="Arial" w:eastAsia="Arial" w:hAnsi="Arial"/>
          <w:sz w:val="11"/>
          <w:szCs w:val="11"/>
          <w:color w:val="auto"/>
        </w:rPr>
        <w:t>That the impact of the uncertainty should be measured using either the most likely amount or the expected value method, depending on which method better predicts the resolution of the uncertainty, and</w:t>
      </w:r>
    </w:p>
    <w:p>
      <w:pPr>
        <w:spacing w:after="0" w:line="17" w:lineRule="exact"/>
        <w:rPr>
          <w:rFonts w:ascii="Arial" w:cs="Arial" w:eastAsia="Arial" w:hAnsi="Arial"/>
          <w:sz w:val="11"/>
          <w:szCs w:val="11"/>
          <w:color w:val="auto"/>
        </w:rPr>
      </w:pPr>
    </w:p>
    <w:p>
      <w:pPr>
        <w:ind w:left="379" w:hanging="163"/>
        <w:spacing w:after="0"/>
        <w:tabs>
          <w:tab w:leader="none" w:pos="379" w:val="left"/>
        </w:tabs>
        <w:numPr>
          <w:ilvl w:val="1"/>
          <w:numId w:val="17"/>
        </w:numPr>
        <w:rPr>
          <w:rFonts w:ascii="Arial" w:cs="Arial" w:eastAsia="Arial" w:hAnsi="Arial"/>
          <w:sz w:val="12"/>
          <w:szCs w:val="12"/>
          <w:color w:val="auto"/>
        </w:rPr>
      </w:pPr>
      <w:r>
        <w:rPr>
          <w:rFonts w:ascii="Arial" w:cs="Arial" w:eastAsia="Arial" w:hAnsi="Arial"/>
          <w:sz w:val="12"/>
          <w:szCs w:val="12"/>
          <w:color w:val="auto"/>
        </w:rPr>
        <w:t>That the judgments and estimates made must be reassessed whenever circumstances have changed or there is new information that affects the judgments.</w:t>
      </w:r>
    </w:p>
    <w:p>
      <w:pPr>
        <w:spacing w:after="0" w:line="141" w:lineRule="exact"/>
        <w:rPr>
          <w:sz w:val="20"/>
          <w:szCs w:val="20"/>
          <w:color w:val="auto"/>
        </w:rPr>
      </w:pPr>
    </w:p>
    <w:p>
      <w:pPr>
        <w:ind w:left="219"/>
        <w:spacing w:after="0"/>
        <w:rPr>
          <w:sz w:val="20"/>
          <w:szCs w:val="20"/>
          <w:color w:val="auto"/>
        </w:rPr>
      </w:pPr>
      <w:r>
        <w:rPr>
          <w:rFonts w:ascii="Arial" w:cs="Arial" w:eastAsia="Arial" w:hAnsi="Arial"/>
          <w:sz w:val="12"/>
          <w:szCs w:val="12"/>
          <w:color w:val="auto"/>
        </w:rPr>
        <w:t>While there are no new disclosure requirements, entities are reminded of the general requirement to provide information about judgments and estimates made in preparing the financial statements.</w:t>
      </w:r>
    </w:p>
    <w:p>
      <w:pPr>
        <w:spacing w:after="0" w:line="150" w:lineRule="exact"/>
        <w:rPr>
          <w:sz w:val="20"/>
          <w:szCs w:val="20"/>
          <w:color w:val="auto"/>
        </w:rPr>
      </w:pPr>
    </w:p>
    <w:p>
      <w:pPr>
        <w:ind w:left="219"/>
        <w:spacing w:after="0"/>
        <w:rPr>
          <w:sz w:val="20"/>
          <w:szCs w:val="20"/>
          <w:color w:val="auto"/>
        </w:rPr>
      </w:pPr>
      <w:r>
        <w:rPr>
          <w:rFonts w:ascii="Arial" w:cs="Arial" w:eastAsia="Arial" w:hAnsi="Arial"/>
          <w:sz w:val="12"/>
          <w:szCs w:val="12"/>
          <w:color w:val="auto"/>
        </w:rPr>
        <w:t>The entry into force of this interpretation has not had any significant impact on the consolidated financial statements of the Group.</w:t>
      </w:r>
    </w:p>
    <w:p>
      <w:pPr>
        <w:spacing w:after="0" w:line="294" w:lineRule="exact"/>
        <w:rPr>
          <w:sz w:val="20"/>
          <w:szCs w:val="20"/>
          <w:color w:val="auto"/>
        </w:rPr>
      </w:pPr>
    </w:p>
    <w:p>
      <w:pPr>
        <w:ind w:left="4959"/>
        <w:spacing w:after="0"/>
        <w:rPr>
          <w:sz w:val="20"/>
          <w:szCs w:val="20"/>
          <w:color w:val="auto"/>
        </w:rPr>
      </w:pPr>
      <w:r>
        <w:rPr>
          <w:rFonts w:ascii="Arial" w:cs="Arial" w:eastAsia="Arial" w:hAnsi="Arial"/>
          <w:sz w:val="12"/>
          <w:szCs w:val="1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9525</wp:posOffset>
            </wp:positionV>
            <wp:extent cx="7292340" cy="571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759"/>
          </w:cols>
          <w:pgMar w:left="861" w:top="653" w:right="279" w:bottom="1440" w:gutter="0" w:footer="0" w:header="0"/>
        </w:sectPr>
      </w:pPr>
    </w:p>
    <w:bookmarkStart w:id="30" w:name="page31"/>
    <w:bookmarkEnd w:id="30"/>
    <w:p>
      <w:pPr>
        <w:ind w:left="420" w:hanging="19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Annual improvements to the IFRS (2015 - 2017 Cycle) -</w:t>
      </w:r>
    </w:p>
    <w:p>
      <w:pPr>
        <w:spacing w:after="0" w:line="150"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2"/>
          <w:szCs w:val="12"/>
          <w:color w:val="auto"/>
        </w:rPr>
        <w:t>The following improvements were completed in December 2017:</w:t>
      </w:r>
    </w:p>
    <w:p>
      <w:pPr>
        <w:spacing w:after="0" w:line="150" w:lineRule="exact"/>
        <w:rPr>
          <w:rFonts w:ascii="Arial" w:cs="Arial" w:eastAsia="Arial" w:hAnsi="Arial"/>
          <w:sz w:val="12"/>
          <w:szCs w:val="12"/>
          <w:color w:val="auto"/>
        </w:rPr>
      </w:pPr>
    </w:p>
    <w:p>
      <w:pPr>
        <w:ind w:left="600" w:hanging="163"/>
        <w:spacing w:after="0"/>
        <w:tabs>
          <w:tab w:leader="none" w:pos="60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IFRS 3 “Business Combinations” - clarified that obtaining control of a business that is a joint operation is a business combination achieved in stages.</w:t>
      </w:r>
    </w:p>
    <w:p>
      <w:pPr>
        <w:spacing w:after="0" w:line="14" w:lineRule="exact"/>
        <w:rPr>
          <w:rFonts w:ascii="Arial" w:cs="Arial" w:eastAsia="Arial" w:hAnsi="Arial"/>
          <w:sz w:val="12"/>
          <w:szCs w:val="12"/>
          <w:color w:val="auto"/>
        </w:rPr>
      </w:pPr>
    </w:p>
    <w:p>
      <w:pPr>
        <w:ind w:left="600" w:hanging="163"/>
        <w:spacing w:after="0"/>
        <w:tabs>
          <w:tab w:leader="none" w:pos="60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IFRS 11 “Joint Arragements” - clarified that the party obtaining joint control of a business that is a joint operation should not measure again its previously held interest in the joint operation.</w:t>
      </w:r>
    </w:p>
    <w:p>
      <w:pPr>
        <w:spacing w:after="0" w:line="6" w:lineRule="exact"/>
        <w:rPr>
          <w:rFonts w:ascii="Arial" w:cs="Arial" w:eastAsia="Arial" w:hAnsi="Arial"/>
          <w:sz w:val="12"/>
          <w:szCs w:val="12"/>
          <w:color w:val="auto"/>
        </w:rPr>
      </w:pPr>
    </w:p>
    <w:p>
      <w:pPr>
        <w:ind w:left="600" w:right="220" w:hanging="163"/>
        <w:spacing w:after="0" w:line="250" w:lineRule="auto"/>
        <w:tabs>
          <w:tab w:leader="none" w:pos="60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IAS 12 “Income taxes” - clarified that the income tax consequences of dividends on financial instruments classified as equity should be recognized according to where the past transactions or events that generated distributable profits were recognized.</w:t>
      </w:r>
    </w:p>
    <w:p>
      <w:pPr>
        <w:ind w:left="600" w:hanging="163"/>
        <w:spacing w:after="0"/>
        <w:tabs>
          <w:tab w:leader="none" w:pos="60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IAS 23 “Borrowing costs” - clarified that if a specific borrowing remains outstanding after the related qualifying asset is ready for its intended use or sale, it becomes part of general borrowings.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modifications indicated above, except IFRS 16, had no impact on the amounts recognized in previous or current periods and are not expected to significantly affect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Group have applied the following standards and modifications for first time for its annual report that have started on January 1, 2018:</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(vii) IFRS 9 “Financial Instruments” -</w:t>
      </w:r>
    </w:p>
    <w:p>
      <w:pPr>
        <w:spacing w:after="0" w:line="150" w:lineRule="exact"/>
        <w:rPr>
          <w:sz w:val="20"/>
          <w:szCs w:val="20"/>
          <w:color w:val="auto"/>
        </w:rPr>
      </w:pPr>
    </w:p>
    <w:p>
      <w:pPr>
        <w:ind w:left="440" w:right="60"/>
        <w:spacing w:after="0" w:line="276" w:lineRule="auto"/>
        <w:rPr>
          <w:sz w:val="20"/>
          <w:szCs w:val="20"/>
          <w:color w:val="auto"/>
        </w:rPr>
      </w:pPr>
      <w:r>
        <w:rPr>
          <w:rFonts w:ascii="Arial" w:cs="Arial" w:eastAsia="Arial" w:hAnsi="Arial"/>
          <w:sz w:val="12"/>
          <w:szCs w:val="12"/>
          <w:color w:val="auto"/>
        </w:rPr>
        <w:t>In July 2014, the IASB issued the complete version of IFRS 9, which combines the phases of classification and measurement, impairment and hedging accounting to replace IAS 39 “Financial instruments: Measurement and Recognition”.</w:t>
      </w:r>
    </w:p>
    <w:p>
      <w:pPr>
        <w:spacing w:after="0" w:line="115"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IFRS 9 establishes three categories of classification and measurement for financial assets: amortized cost, fair value through other comprehensive income and fair value through profit or loss. This classification is used by the entity's business model to manage the financial assets and the characteristics of the contractual cash flows of the financial assets.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 respect to financial liabilities, the majority of classification and measurement requirements included in IFRS 9 are similar to those in IAS 39.</w:t>
      </w:r>
    </w:p>
    <w:p>
      <w:pPr>
        <w:spacing w:after="0" w:line="150" w:lineRule="exact"/>
        <w:rPr>
          <w:sz w:val="20"/>
          <w:szCs w:val="20"/>
          <w:color w:val="auto"/>
        </w:rPr>
      </w:pPr>
    </w:p>
    <w:p>
      <w:pPr>
        <w:ind w:left="440" w:right="460"/>
        <w:spacing w:after="0" w:line="276" w:lineRule="auto"/>
        <w:rPr>
          <w:sz w:val="20"/>
          <w:szCs w:val="20"/>
          <w:color w:val="auto"/>
        </w:rPr>
      </w:pPr>
      <w:r>
        <w:rPr>
          <w:rFonts w:ascii="Arial" w:cs="Arial" w:eastAsia="Arial" w:hAnsi="Arial"/>
          <w:sz w:val="12"/>
          <w:szCs w:val="12"/>
          <w:color w:val="auto"/>
        </w:rPr>
        <w:t>IFRS 9 introduces a new impairment model based on expected credit losses involving three stages approach whereby financial assets go through these stages when their credit quality changes. This model differs significantly from the model under IAS 39 related to credit losses incurred, which results in the early recognition of credit losses.</w:t>
      </w:r>
    </w:p>
    <w:p>
      <w:pPr>
        <w:spacing w:after="0" w:line="115" w:lineRule="exact"/>
        <w:rPr>
          <w:sz w:val="20"/>
          <w:szCs w:val="20"/>
          <w:color w:val="auto"/>
        </w:rPr>
      </w:pPr>
    </w:p>
    <w:p>
      <w:pPr>
        <w:ind w:left="440" w:right="140"/>
        <w:spacing w:after="0" w:line="276" w:lineRule="auto"/>
        <w:rPr>
          <w:sz w:val="20"/>
          <w:szCs w:val="20"/>
          <w:color w:val="auto"/>
        </w:rPr>
      </w:pPr>
      <w:r>
        <w:rPr>
          <w:rFonts w:ascii="Arial" w:cs="Arial" w:eastAsia="Arial" w:hAnsi="Arial"/>
          <w:sz w:val="12"/>
          <w:szCs w:val="12"/>
          <w:color w:val="auto"/>
        </w:rPr>
        <w:t>In addition, the current model of hedge accounting according to IFRS 9 simplifies hedge accounting, aligns the accounting of the hedging relationships more closely with the risk management activities of an entity and permits hedge accounting to be applied more widely to a greater variety of hedging instruments and risks suitable for hedge accounting.</w:t>
      </w:r>
    </w:p>
    <w:p>
      <w:pPr>
        <w:spacing w:after="0" w:line="115" w:lineRule="exact"/>
        <w:rPr>
          <w:sz w:val="20"/>
          <w:szCs w:val="20"/>
          <w:color w:val="auto"/>
        </w:rPr>
      </w:pPr>
    </w:p>
    <w:p>
      <w:pPr>
        <w:ind w:left="440" w:right="240"/>
        <w:spacing w:after="0" w:line="276" w:lineRule="auto"/>
        <w:rPr>
          <w:sz w:val="20"/>
          <w:szCs w:val="20"/>
          <w:color w:val="auto"/>
        </w:rPr>
      </w:pPr>
      <w:r>
        <w:rPr>
          <w:rFonts w:ascii="Arial" w:cs="Arial" w:eastAsia="Arial" w:hAnsi="Arial"/>
          <w:sz w:val="12"/>
          <w:szCs w:val="12"/>
          <w:color w:val="auto"/>
        </w:rPr>
        <w:t>The new classification, measurement and impairment requirements were applied adjusting our consolidated statement of financial position at January 1, 2018, date of initial application, without restating the financial information for the comparative period, as permitted by the aforementioned accounting standard.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initial recognition and subsequent measurement are explained in Note 3(f) and the determination of impairment is explained in Note 3(i).</w:t>
      </w:r>
    </w:p>
    <w:p>
      <w:pPr>
        <w:spacing w:after="0" w:line="294"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00"/>
          </w:cols>
          <w:pgMar w:left="640" w:top="653" w:right="259" w:bottom="1440" w:gutter="0" w:footer="0" w:header="0"/>
        </w:sectPr>
      </w:pPr>
    </w:p>
    <w:bookmarkStart w:id="31" w:name="page32"/>
    <w:bookmarkEnd w:id="31"/>
    <w:p>
      <w:pPr>
        <w:ind w:left="216" w:hanging="216"/>
        <w:spacing w:after="0"/>
        <w:tabs>
          <w:tab w:leader="none" w:pos="216" w:val="left"/>
        </w:tabs>
        <w:numPr>
          <w:ilvl w:val="0"/>
          <w:numId w:val="19"/>
        </w:numPr>
        <w:rPr>
          <w:rFonts w:ascii="Arial" w:cs="Arial" w:eastAsia="Arial" w:hAnsi="Arial"/>
          <w:sz w:val="12"/>
          <w:szCs w:val="12"/>
          <w:color w:val="7030A0"/>
        </w:rPr>
      </w:pPr>
      <w:r>
        <w:rPr>
          <w:rFonts w:ascii="Arial" w:cs="Arial" w:eastAsia="Arial" w:hAnsi="Arial"/>
          <w:sz w:val="12"/>
          <w:szCs w:val="12"/>
          <w:color w:val="auto"/>
        </w:rPr>
        <w:t>Classification and measurement of the financial instruments</w:t>
      </w:r>
    </w:p>
    <w:p>
      <w:pPr>
        <w:spacing w:after="0" w:line="150" w:lineRule="exact"/>
        <w:rPr>
          <w:rFonts w:ascii="Arial" w:cs="Arial" w:eastAsia="Arial" w:hAnsi="Arial"/>
          <w:sz w:val="12"/>
          <w:szCs w:val="12"/>
          <w:color w:val="7030A0"/>
        </w:rPr>
      </w:pPr>
    </w:p>
    <w:p>
      <w:pPr>
        <w:ind w:left="196"/>
        <w:spacing w:after="0"/>
        <w:rPr>
          <w:rFonts w:ascii="Arial" w:cs="Arial" w:eastAsia="Arial" w:hAnsi="Arial"/>
          <w:sz w:val="12"/>
          <w:szCs w:val="12"/>
          <w:color w:val="7030A0"/>
        </w:rPr>
      </w:pPr>
      <w:r>
        <w:rPr>
          <w:rFonts w:ascii="Arial" w:cs="Arial" w:eastAsia="Arial" w:hAnsi="Arial"/>
          <w:sz w:val="12"/>
          <w:szCs w:val="12"/>
          <w:color w:val="auto"/>
        </w:rPr>
        <w:t>The following table presents the measurement categories and the carrying value of the financial instruments under IAS 39 and IFRS 9 as of January 1, 2018:</w:t>
      </w:r>
    </w:p>
    <w:p>
      <w:pPr>
        <w:spacing w:after="0" w:line="152" w:lineRule="exact"/>
        <w:rPr>
          <w:sz w:val="20"/>
          <w:szCs w:val="20"/>
          <w:color w:val="auto"/>
        </w:rPr>
      </w:pPr>
    </w:p>
    <w:tbl>
      <w:tblPr>
        <w:tblLayout w:type="fixed"/>
        <w:tblInd w:w="216"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Borders>
              <w:bottom w:val="single" w:sz="8" w:color="auto"/>
            </w:tcBorders>
            <w:gridSpan w:val="2"/>
          </w:tcPr>
          <w:p>
            <w:pPr>
              <w:ind w:left="1600"/>
              <w:spacing w:after="0"/>
              <w:rPr>
                <w:sz w:val="20"/>
                <w:szCs w:val="20"/>
                <w:color w:val="auto"/>
              </w:rPr>
            </w:pPr>
            <w:r>
              <w:rPr>
                <w:rFonts w:ascii="Arial" w:cs="Arial" w:eastAsia="Arial" w:hAnsi="Arial"/>
                <w:sz w:val="10"/>
                <w:szCs w:val="10"/>
                <w:b w:val="1"/>
                <w:bCs w:val="1"/>
                <w:color w:val="auto"/>
              </w:rPr>
              <w:t>IAS 39</w:t>
            </w: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Borders>
              <w:bottom w:val="single" w:sz="8" w:color="auto"/>
            </w:tcBorders>
            <w:gridSpan w:val="2"/>
          </w:tcPr>
          <w:p>
            <w:pPr>
              <w:ind w:left="1720"/>
              <w:spacing w:after="0"/>
              <w:rPr>
                <w:sz w:val="20"/>
                <w:szCs w:val="20"/>
                <w:color w:val="auto"/>
              </w:rPr>
            </w:pPr>
            <w:r>
              <w:rPr>
                <w:rFonts w:ascii="Arial" w:cs="Arial" w:eastAsia="Arial" w:hAnsi="Arial"/>
                <w:sz w:val="10"/>
                <w:szCs w:val="10"/>
                <w:b w:val="1"/>
                <w:bCs w:val="1"/>
                <w:color w:val="auto"/>
              </w:rPr>
              <w:t>IFRS 9</w:t>
            </w: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74"/>
        </w:trPr>
        <w:tc>
          <w:tcPr>
            <w:tcW w:w="2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Carrying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jc w:val="right"/>
              <w:ind w:right="332"/>
              <w:spacing w:after="0" w:line="74" w:lineRule="exact"/>
              <w:rPr>
                <w:sz w:val="20"/>
                <w:szCs w:val="20"/>
                <w:color w:val="auto"/>
              </w:rPr>
            </w:pPr>
            <w:r>
              <w:rPr>
                <w:rFonts w:ascii="Arial" w:cs="Arial" w:eastAsia="Arial" w:hAnsi="Arial"/>
                <w:sz w:val="8"/>
                <w:szCs w:val="8"/>
                <w:b w:val="1"/>
                <w:bCs w:val="1"/>
                <w:color w:val="auto"/>
              </w:rPr>
              <w:t>Carrying</w:t>
            </w:r>
          </w:p>
        </w:tc>
        <w:tc>
          <w:tcPr>
            <w:tcW w:w="100" w:type="dxa"/>
            <w:vAlign w:val="bottom"/>
            <w:gridSpan w:val="2"/>
          </w:tcPr>
          <w:p>
            <w:pPr>
              <w:spacing w:after="0"/>
              <w:rPr>
                <w:sz w:val="6"/>
                <w:szCs w:val="6"/>
                <w:color w:val="auto"/>
              </w:rPr>
            </w:pPr>
          </w:p>
        </w:tc>
      </w:tr>
      <w:tr>
        <w:trPr>
          <w:trHeight w:val="114"/>
        </w:trPr>
        <w:tc>
          <w:tcPr>
            <w:tcW w:w="2560" w:type="dxa"/>
            <w:vAlign w:val="bottom"/>
          </w:tcPr>
          <w:p>
            <w:pPr>
              <w:spacing w:after="0" w:line="114" w:lineRule="exact"/>
              <w:rPr>
                <w:sz w:val="20"/>
                <w:szCs w:val="20"/>
                <w:color w:val="auto"/>
              </w:rPr>
            </w:pPr>
            <w:r>
              <w:rPr>
                <w:rFonts w:ascii="Arial" w:cs="Arial" w:eastAsia="Arial" w:hAnsi="Arial"/>
                <w:sz w:val="10"/>
                <w:szCs w:val="10"/>
                <w:b w:val="1"/>
                <w:bCs w:val="1"/>
                <w:color w:val="auto"/>
              </w:rPr>
              <w:t>Financial assets</w:t>
            </w:r>
          </w:p>
        </w:tc>
        <w:tc>
          <w:tcPr>
            <w:tcW w:w="100" w:type="dxa"/>
            <w:vAlign w:val="bottom"/>
          </w:tcPr>
          <w:p>
            <w:pPr>
              <w:spacing w:after="0"/>
              <w:rPr>
                <w:sz w:val="9"/>
                <w:szCs w:val="9"/>
                <w:color w:val="auto"/>
              </w:rPr>
            </w:pPr>
          </w:p>
        </w:tc>
        <w:tc>
          <w:tcPr>
            <w:tcW w:w="2360" w:type="dxa"/>
            <w:vAlign w:val="bottom"/>
            <w:gridSpan w:val="2"/>
          </w:tcPr>
          <w:p>
            <w:pPr>
              <w:ind w:left="940"/>
              <w:spacing w:after="0" w:line="114" w:lineRule="exact"/>
              <w:rPr>
                <w:sz w:val="20"/>
                <w:szCs w:val="20"/>
                <w:color w:val="auto"/>
              </w:rPr>
            </w:pPr>
            <w:r>
              <w:rPr>
                <w:rFonts w:ascii="Arial" w:cs="Arial" w:eastAsia="Arial" w:hAnsi="Arial"/>
                <w:sz w:val="10"/>
                <w:szCs w:val="10"/>
                <w:b w:val="1"/>
                <w:bCs w:val="1"/>
                <w:color w:val="auto"/>
              </w:rPr>
              <w:t>Category</w:t>
            </w:r>
          </w:p>
        </w:tc>
        <w:tc>
          <w:tcPr>
            <w:tcW w:w="12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2"/>
              </w:rPr>
              <w:t>amount</w:t>
            </w:r>
          </w:p>
        </w:tc>
        <w:tc>
          <w:tcPr>
            <w:tcW w:w="100" w:type="dxa"/>
            <w:vAlign w:val="bottom"/>
          </w:tcPr>
          <w:p>
            <w:pPr>
              <w:spacing w:after="0"/>
              <w:rPr>
                <w:sz w:val="9"/>
                <w:szCs w:val="9"/>
                <w:color w:val="auto"/>
              </w:rPr>
            </w:pPr>
          </w:p>
        </w:tc>
        <w:tc>
          <w:tcPr>
            <w:tcW w:w="2640" w:type="dxa"/>
            <w:vAlign w:val="bottom"/>
            <w:gridSpan w:val="2"/>
          </w:tcPr>
          <w:p>
            <w:pPr>
              <w:ind w:left="1120"/>
              <w:spacing w:after="0" w:line="114" w:lineRule="exact"/>
              <w:rPr>
                <w:sz w:val="20"/>
                <w:szCs w:val="20"/>
                <w:color w:val="auto"/>
              </w:rPr>
            </w:pPr>
            <w:r>
              <w:rPr>
                <w:rFonts w:ascii="Arial" w:cs="Arial" w:eastAsia="Arial" w:hAnsi="Arial"/>
                <w:sz w:val="10"/>
                <w:szCs w:val="10"/>
                <w:b w:val="1"/>
                <w:bCs w:val="1"/>
                <w:color w:val="auto"/>
              </w:rPr>
              <w:t>Category</w:t>
            </w:r>
          </w:p>
        </w:tc>
        <w:tc>
          <w:tcPr>
            <w:tcW w:w="1220" w:type="dxa"/>
            <w:vAlign w:val="bottom"/>
            <w:gridSpan w:val="3"/>
          </w:tcPr>
          <w:p>
            <w:pPr>
              <w:ind w:left="400"/>
              <w:spacing w:after="0" w:line="114" w:lineRule="exact"/>
              <w:rPr>
                <w:sz w:val="20"/>
                <w:szCs w:val="20"/>
                <w:color w:val="auto"/>
              </w:rPr>
            </w:pPr>
            <w:r>
              <w:rPr>
                <w:rFonts w:ascii="Arial" w:cs="Arial" w:eastAsia="Arial" w:hAnsi="Arial"/>
                <w:sz w:val="10"/>
                <w:szCs w:val="10"/>
                <w:b w:val="1"/>
                <w:bCs w:val="1"/>
                <w:color w:val="auto"/>
              </w:rPr>
              <w:t>amount</w:t>
            </w:r>
          </w:p>
        </w:tc>
      </w:tr>
      <w:tr>
        <w:trPr>
          <w:trHeight w:val="88"/>
        </w:trPr>
        <w:tc>
          <w:tcPr>
            <w:tcW w:w="2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top w:val="single" w:sz="8" w:color="auto"/>
            </w:tcBorders>
          </w:tcPr>
          <w:p>
            <w:pPr>
              <w:jc w:val="right"/>
              <w:ind w:right="33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top w:val="single" w:sz="8" w:color="auto"/>
            </w:tcBorders>
          </w:tcPr>
          <w:p>
            <w:pPr>
              <w:jc w:val="right"/>
              <w:ind w:right="31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gridSpan w:val="2"/>
          </w:tcPr>
          <w:p>
            <w:pPr>
              <w:spacing w:after="0"/>
              <w:rPr>
                <w:sz w:val="7"/>
                <w:szCs w:val="7"/>
                <w:color w:val="auto"/>
              </w:rPr>
            </w:pPr>
          </w:p>
        </w:tc>
      </w:tr>
      <w:tr>
        <w:trPr>
          <w:trHeight w:val="99"/>
        </w:trPr>
        <w:tc>
          <w:tcPr>
            <w:tcW w:w="25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Cash and due from banks</w:t>
            </w:r>
          </w:p>
        </w:tc>
        <w:tc>
          <w:tcPr>
            <w:tcW w:w="24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23,221,987</w:t>
            </w:r>
          </w:p>
        </w:tc>
        <w:tc>
          <w:tcPr>
            <w:tcW w:w="274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23,221,987</w:t>
            </w: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87"/>
        </w:trPr>
        <w:tc>
          <w:tcPr>
            <w:tcW w:w="25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91"/>
              </w:rPr>
              <w:t>Cash collateral, reverse repurchase agreements and securities</w:t>
            </w:r>
          </w:p>
        </w:tc>
        <w:tc>
          <w:tcPr>
            <w:tcW w:w="2460" w:type="dxa"/>
            <w:vAlign w:val="bottom"/>
            <w:gridSpan w:val="3"/>
            <w:shd w:val="clear" w:color="auto" w:fill="CCEEFF"/>
          </w:tcPr>
          <w:p>
            <w:pPr>
              <w:ind w:left="100"/>
              <w:spacing w:after="0" w:line="87" w:lineRule="exact"/>
              <w:rPr>
                <w:sz w:val="20"/>
                <w:szCs w:val="20"/>
                <w:color w:val="auto"/>
              </w:rPr>
            </w:pPr>
            <w:r>
              <w:rPr>
                <w:rFonts w:ascii="Arial" w:cs="Arial" w:eastAsia="Arial" w:hAnsi="Arial"/>
                <w:sz w:val="10"/>
                <w:szCs w:val="10"/>
                <w:color w:val="auto"/>
              </w:rPr>
              <w:t>Loans and receivables</w:t>
            </w: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gridSpan w:val="3"/>
            <w:shd w:val="clear" w:color="auto" w:fill="CCEEFF"/>
          </w:tcPr>
          <w:p>
            <w:pPr>
              <w:ind w:left="100"/>
              <w:spacing w:after="0" w:line="87" w:lineRule="exact"/>
              <w:rPr>
                <w:sz w:val="20"/>
                <w:szCs w:val="20"/>
                <w:color w:val="auto"/>
              </w:rPr>
            </w:pPr>
            <w:r>
              <w:rPr>
                <w:rFonts w:ascii="Arial" w:cs="Arial" w:eastAsia="Arial" w:hAnsi="Arial"/>
                <w:sz w:val="10"/>
                <w:szCs w:val="10"/>
                <w:color w:val="auto"/>
              </w:rPr>
              <w:t>Amortized cost</w:t>
            </w:r>
          </w:p>
        </w:tc>
        <w:tc>
          <w:tcPr>
            <w:tcW w:w="1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112"/>
        </w:trPr>
        <w:tc>
          <w:tcPr>
            <w:tcW w:w="256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borrowings</w:t>
            </w:r>
          </w:p>
        </w:tc>
        <w:tc>
          <w:tcPr>
            <w:tcW w:w="100" w:type="dxa"/>
            <w:vAlign w:val="bottom"/>
            <w:shd w:val="clear" w:color="auto" w:fill="CCEEFF"/>
          </w:tcPr>
          <w:p>
            <w:pPr>
              <w:spacing w:after="0"/>
              <w:rPr>
                <w:sz w:val="9"/>
                <w:szCs w:val="9"/>
                <w:color w:val="auto"/>
              </w:rPr>
            </w:pPr>
          </w:p>
        </w:tc>
        <w:tc>
          <w:tcPr>
            <w:tcW w:w="2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7,480,420</w:t>
            </w:r>
          </w:p>
        </w:tc>
        <w:tc>
          <w:tcPr>
            <w:tcW w:w="10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7,480,420</w:t>
            </w:r>
          </w:p>
        </w:tc>
        <w:tc>
          <w:tcPr>
            <w:tcW w:w="80" w:type="dxa"/>
            <w:vAlign w:val="bottom"/>
            <w:shd w:val="clear" w:color="auto" w:fill="CCEEFF"/>
          </w:tcPr>
          <w:p>
            <w:pPr>
              <w:spacing w:after="0"/>
              <w:rPr>
                <w:sz w:val="9"/>
                <w:szCs w:val="9"/>
                <w:color w:val="auto"/>
              </w:rPr>
            </w:pPr>
          </w:p>
        </w:tc>
      </w:tr>
      <w:tr>
        <w:trPr>
          <w:trHeight w:val="99"/>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24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At fair value through profit or loss</w:t>
            </w:r>
          </w:p>
        </w:tc>
        <w:tc>
          <w:tcPr>
            <w:tcW w:w="12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4,024,737</w:t>
            </w:r>
          </w:p>
        </w:tc>
        <w:tc>
          <w:tcPr>
            <w:tcW w:w="274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At fair value through profit or loss</w:t>
            </w:r>
          </w:p>
        </w:tc>
        <w:tc>
          <w:tcPr>
            <w:tcW w:w="11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5,613,356</w:t>
            </w: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87"/>
        </w:trPr>
        <w:tc>
          <w:tcPr>
            <w:tcW w:w="2560" w:type="dxa"/>
            <w:vAlign w:val="bottom"/>
            <w:shd w:val="clear" w:color="auto" w:fill="CCEEFF"/>
          </w:tcPr>
          <w:p>
            <w:pPr>
              <w:spacing w:after="0"/>
              <w:rPr>
                <w:sz w:val="7"/>
                <w:szCs w:val="7"/>
                <w:color w:val="auto"/>
              </w:rPr>
            </w:pPr>
          </w:p>
        </w:tc>
        <w:tc>
          <w:tcPr>
            <w:tcW w:w="2460" w:type="dxa"/>
            <w:vAlign w:val="bottom"/>
            <w:gridSpan w:val="3"/>
            <w:shd w:val="clear" w:color="auto" w:fill="CCEEFF"/>
          </w:tcPr>
          <w:p>
            <w:pPr>
              <w:ind w:left="100"/>
              <w:spacing w:after="0" w:line="87" w:lineRule="exact"/>
              <w:rPr>
                <w:sz w:val="20"/>
                <w:szCs w:val="20"/>
                <w:color w:val="auto"/>
              </w:rPr>
            </w:pPr>
            <w:r>
              <w:rPr>
                <w:rFonts w:ascii="Arial" w:cs="Arial" w:eastAsia="Arial" w:hAnsi="Arial"/>
                <w:sz w:val="10"/>
                <w:szCs w:val="10"/>
                <w:color w:val="auto"/>
              </w:rPr>
              <w:t>Available-for-sale</w:t>
            </w: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gridSpan w:val="3"/>
            <w:shd w:val="clear" w:color="auto" w:fill="CCEEFF"/>
          </w:tcPr>
          <w:p>
            <w:pPr>
              <w:ind w:left="100"/>
              <w:spacing w:after="0" w:line="87" w:lineRule="exact"/>
              <w:rPr>
                <w:sz w:val="20"/>
                <w:szCs w:val="20"/>
                <w:color w:val="auto"/>
              </w:rPr>
            </w:pPr>
            <w:r>
              <w:rPr>
                <w:rFonts w:ascii="Arial" w:cs="Arial" w:eastAsia="Arial" w:hAnsi="Arial"/>
                <w:sz w:val="10"/>
                <w:szCs w:val="10"/>
                <w:color w:val="auto"/>
              </w:rPr>
              <w:t>At fair value through other comprehensive income</w:t>
            </w:r>
          </w:p>
        </w:tc>
        <w:tc>
          <w:tcPr>
            <w:tcW w:w="1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112"/>
        </w:trPr>
        <w:tc>
          <w:tcPr>
            <w:tcW w:w="2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24,423,891</w:t>
            </w:r>
          </w:p>
        </w:tc>
        <w:tc>
          <w:tcPr>
            <w:tcW w:w="10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100"/>
              <w:spacing w:after="0" w:line="112" w:lineRule="exact"/>
              <w:rPr>
                <w:sz w:val="20"/>
                <w:szCs w:val="20"/>
                <w:color w:val="auto"/>
              </w:rPr>
            </w:pPr>
            <w:r>
              <w:rPr>
                <w:rFonts w:ascii="Arial" w:cs="Arial" w:eastAsia="Arial" w:hAnsi="Arial"/>
                <w:sz w:val="10"/>
                <w:szCs w:val="10"/>
                <w:color w:val="auto"/>
              </w:rPr>
              <w:t>(Debt instruments)</w:t>
            </w:r>
          </w:p>
        </w:tc>
        <w:tc>
          <w:tcPr>
            <w:tcW w:w="11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22,181,733</w:t>
            </w:r>
          </w:p>
        </w:tc>
        <w:tc>
          <w:tcPr>
            <w:tcW w:w="80" w:type="dxa"/>
            <w:vAlign w:val="bottom"/>
            <w:shd w:val="clear" w:color="auto" w:fill="CCEEFF"/>
          </w:tcPr>
          <w:p>
            <w:pPr>
              <w:spacing w:after="0"/>
              <w:rPr>
                <w:sz w:val="9"/>
                <w:szCs w:val="9"/>
                <w:color w:val="auto"/>
              </w:rPr>
            </w:pPr>
          </w:p>
        </w:tc>
      </w:tr>
      <w:tr>
        <w:trPr>
          <w:trHeight w:val="87"/>
        </w:trPr>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gridSpan w:val="3"/>
          </w:tcPr>
          <w:p>
            <w:pPr>
              <w:ind w:left="100"/>
              <w:spacing w:after="0" w:line="87" w:lineRule="exact"/>
              <w:rPr>
                <w:sz w:val="20"/>
                <w:szCs w:val="20"/>
                <w:color w:val="auto"/>
              </w:rPr>
            </w:pPr>
            <w:r>
              <w:rPr>
                <w:rFonts w:ascii="Arial" w:cs="Arial" w:eastAsia="Arial" w:hAnsi="Arial"/>
                <w:sz w:val="10"/>
                <w:szCs w:val="10"/>
                <w:color w:val="auto"/>
              </w:rPr>
              <w:t>At fair value through other comprehensive income</w:t>
            </w: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12"/>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(Designated equity instruments)</w:t>
            </w:r>
          </w:p>
        </w:tc>
        <w:tc>
          <w:tcPr>
            <w:tcW w:w="114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653,539</w:t>
            </w:r>
          </w:p>
        </w:tc>
        <w:tc>
          <w:tcPr>
            <w:tcW w:w="80" w:type="dxa"/>
            <w:vAlign w:val="bottom"/>
          </w:tcPr>
          <w:p>
            <w:pPr>
              <w:spacing w:after="0"/>
              <w:rPr>
                <w:sz w:val="9"/>
                <w:szCs w:val="9"/>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rPr>
                <w:sz w:val="8"/>
                <w:szCs w:val="8"/>
                <w:color w:val="auto"/>
              </w:rPr>
            </w:pP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Held-to-maturity</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4,413,373</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4,411,637</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Loans, net</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95,977,277</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95,770,509</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87"/>
        </w:trPr>
        <w:tc>
          <w:tcPr>
            <w:tcW w:w="2560" w:type="dxa"/>
            <w:vAlign w:val="bottom"/>
          </w:tcPr>
          <w:p>
            <w:pPr>
              <w:spacing w:after="0" w:line="87" w:lineRule="exact"/>
              <w:rPr>
                <w:sz w:val="20"/>
                <w:szCs w:val="20"/>
                <w:color w:val="auto"/>
              </w:rPr>
            </w:pPr>
            <w:r>
              <w:rPr>
                <w:rFonts w:ascii="Arial" w:cs="Arial" w:eastAsia="Arial" w:hAnsi="Arial"/>
                <w:sz w:val="10"/>
                <w:szCs w:val="10"/>
                <w:color w:val="auto"/>
                <w:w w:val="93"/>
              </w:rPr>
              <w:t>Financial assets designated at fair value through profit or loss</w:t>
            </w:r>
          </w:p>
        </w:tc>
        <w:tc>
          <w:tcPr>
            <w:tcW w:w="2460" w:type="dxa"/>
            <w:vAlign w:val="bottom"/>
            <w:gridSpan w:val="3"/>
          </w:tcPr>
          <w:p>
            <w:pPr>
              <w:ind w:left="100"/>
              <w:spacing w:after="0" w:line="87" w:lineRule="exact"/>
              <w:rPr>
                <w:sz w:val="20"/>
                <w:szCs w:val="20"/>
                <w:color w:val="auto"/>
              </w:rPr>
            </w:pPr>
            <w:r>
              <w:rPr>
                <w:rFonts w:ascii="Arial" w:cs="Arial" w:eastAsia="Arial" w:hAnsi="Arial"/>
                <w:sz w:val="10"/>
                <w:szCs w:val="10"/>
                <w:color w:val="auto"/>
              </w:rPr>
              <w:t>At fair value through profit or loss</w:t>
            </w: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gridSpan w:val="3"/>
          </w:tcPr>
          <w:p>
            <w:pPr>
              <w:ind w:left="100"/>
              <w:spacing w:after="0" w:line="87" w:lineRule="exact"/>
              <w:rPr>
                <w:sz w:val="20"/>
                <w:szCs w:val="20"/>
                <w:color w:val="auto"/>
              </w:rPr>
            </w:pPr>
            <w:r>
              <w:rPr>
                <w:rFonts w:ascii="Arial" w:cs="Arial" w:eastAsia="Arial" w:hAnsi="Arial"/>
                <w:sz w:val="10"/>
                <w:szCs w:val="10"/>
                <w:color w:val="auto"/>
              </w:rPr>
              <w:t>At fair value through profit or loss</w:t>
            </w: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12"/>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tcPr>
          <w:p>
            <w:pPr>
              <w:ind w:left="120"/>
              <w:spacing w:after="0" w:line="112" w:lineRule="exact"/>
              <w:rPr>
                <w:sz w:val="20"/>
                <w:szCs w:val="20"/>
                <w:color w:val="auto"/>
              </w:rPr>
            </w:pPr>
            <w:r>
              <w:rPr>
                <w:rFonts w:ascii="Arial" w:cs="Arial" w:eastAsia="Arial" w:hAnsi="Arial"/>
                <w:sz w:val="10"/>
                <w:szCs w:val="10"/>
                <w:color w:val="auto"/>
              </w:rPr>
              <w:t>(Designated upon initial recognition)</w:t>
            </w:r>
          </w:p>
        </w:tc>
        <w:tc>
          <w:tcPr>
            <w:tcW w:w="12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537,685</w:t>
            </w:r>
          </w:p>
        </w:tc>
        <w:tc>
          <w:tcPr>
            <w:tcW w:w="100" w:type="dxa"/>
            <w:vAlign w:val="bottom"/>
          </w:tcPr>
          <w:p>
            <w:pPr>
              <w:spacing w:after="0"/>
              <w:rPr>
                <w:sz w:val="9"/>
                <w:szCs w:val="9"/>
                <w:color w:val="auto"/>
              </w:rPr>
            </w:pPr>
          </w:p>
        </w:tc>
        <w:tc>
          <w:tcPr>
            <w:tcW w:w="264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(Designated upon initial recognition)</w:t>
            </w:r>
          </w:p>
        </w:tc>
        <w:tc>
          <w:tcPr>
            <w:tcW w:w="114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537,685</w:t>
            </w:r>
          </w:p>
        </w:tc>
        <w:tc>
          <w:tcPr>
            <w:tcW w:w="80" w:type="dxa"/>
            <w:vAlign w:val="bottom"/>
          </w:tcPr>
          <w:p>
            <w:pPr>
              <w:spacing w:after="0"/>
              <w:rPr>
                <w:sz w:val="9"/>
                <w:szCs w:val="9"/>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Premiums and other policies receivable</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656,829</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649,135</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Accounts receivable from reinsurers and coinsurers</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715,695</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715,553</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Due from customers on acceptances</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532,034</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532,034</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Derivatives receivable</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At fair value for trading or for hedging purposes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701,826</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At fair value for trading or for hedging purposes</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701,826</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Other assets</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Loans and receivables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1,759,125</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1,759,125</w:t>
            </w:r>
          </w:p>
        </w:tc>
        <w:tc>
          <w:tcPr>
            <w:tcW w:w="80" w:type="dxa"/>
            <w:vAlign w:val="bottom"/>
          </w:tcPr>
          <w:p>
            <w:pPr>
              <w:spacing w:after="0"/>
              <w:rPr>
                <w:sz w:val="8"/>
                <w:szCs w:val="8"/>
                <w:color w:val="auto"/>
              </w:rPr>
            </w:pPr>
          </w:p>
        </w:tc>
      </w:tr>
      <w:tr>
        <w:trPr>
          <w:trHeight w:val="88"/>
        </w:trPr>
        <w:tc>
          <w:tcPr>
            <w:tcW w:w="2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5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2560" w:type="dxa"/>
            <w:vAlign w:val="bottom"/>
          </w:tcPr>
          <w:p>
            <w:pPr>
              <w:spacing w:after="0"/>
              <w:rPr>
                <w:sz w:val="8"/>
                <w:szCs w:val="8"/>
                <w:color w:val="auto"/>
              </w:rPr>
            </w:pP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b w:val="1"/>
                <w:bCs w:val="1"/>
                <w:color w:val="auto"/>
              </w:rPr>
              <w:t>Total financial assets</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164,444,879</w:t>
            </w: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164,228,539</w:t>
            </w:r>
          </w:p>
        </w:tc>
        <w:tc>
          <w:tcPr>
            <w:tcW w:w="80" w:type="dxa"/>
            <w:vAlign w:val="bottom"/>
          </w:tcPr>
          <w:p>
            <w:pPr>
              <w:spacing w:after="0"/>
              <w:rPr>
                <w:sz w:val="8"/>
                <w:szCs w:val="8"/>
                <w:color w:val="auto"/>
              </w:rPr>
            </w:pPr>
          </w:p>
        </w:tc>
      </w:tr>
      <w:tr>
        <w:trPr>
          <w:trHeight w:val="88"/>
        </w:trPr>
        <w:tc>
          <w:tcPr>
            <w:tcW w:w="2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5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r>
      <w:tr>
        <w:trPr>
          <w:trHeight w:val="108"/>
        </w:trPr>
        <w:tc>
          <w:tcPr>
            <w:tcW w:w="256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Financial liabilities</w:t>
            </w:r>
          </w:p>
        </w:tc>
        <w:tc>
          <w:tcPr>
            <w:tcW w:w="100" w:type="dxa"/>
            <w:vAlign w:val="bottom"/>
            <w:tcBorders>
              <w:bottom w:val="single" w:sz="8" w:color="CCEEFF"/>
            </w:tcBorders>
          </w:tcPr>
          <w:p>
            <w:pPr>
              <w:spacing w:after="0"/>
              <w:rPr>
                <w:sz w:val="9"/>
                <w:szCs w:val="9"/>
                <w:color w:val="auto"/>
              </w:rPr>
            </w:pPr>
          </w:p>
        </w:tc>
        <w:tc>
          <w:tcPr>
            <w:tcW w:w="22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5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r>
      <w:tr>
        <w:trPr>
          <w:trHeight w:val="88"/>
        </w:trPr>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Liabilities</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130,842,331</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130,956,515</w:t>
            </w:r>
          </w:p>
        </w:tc>
        <w:tc>
          <w:tcPr>
            <w:tcW w:w="80" w:type="dxa"/>
            <w:vAlign w:val="bottom"/>
          </w:tcPr>
          <w:p>
            <w:pPr>
              <w:spacing w:after="0"/>
              <w:rPr>
                <w:sz w:val="8"/>
                <w:szCs w:val="8"/>
                <w:color w:val="auto"/>
              </w:rPr>
            </w:pPr>
          </w:p>
        </w:tc>
      </w:tr>
      <w:tr>
        <w:trPr>
          <w:trHeight w:val="99"/>
        </w:trPr>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560" w:type="dxa"/>
            <w:vAlign w:val="bottom"/>
          </w:tcPr>
          <w:p>
            <w:pPr>
              <w:spacing w:after="0" w:line="99" w:lineRule="exact"/>
              <w:rPr>
                <w:sz w:val="20"/>
                <w:szCs w:val="20"/>
                <w:color w:val="auto"/>
              </w:rPr>
            </w:pPr>
            <w:r>
              <w:rPr>
                <w:rFonts w:ascii="Arial" w:cs="Arial" w:eastAsia="Arial" w:hAnsi="Arial"/>
                <w:sz w:val="10"/>
                <w:szCs w:val="10"/>
                <w:color w:val="auto"/>
              </w:rPr>
              <w:t>Liabilities</w:t>
            </w: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At fair value</w:t>
            </w:r>
          </w:p>
        </w:tc>
        <w:tc>
          <w:tcPr>
            <w:tcW w:w="12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8,791,390</w:t>
            </w:r>
          </w:p>
        </w:tc>
        <w:tc>
          <w:tcPr>
            <w:tcW w:w="274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At fair value</w:t>
            </w:r>
          </w:p>
        </w:tc>
        <w:tc>
          <w:tcPr>
            <w:tcW w:w="11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8,791,390</w:t>
            </w:r>
          </w:p>
        </w:tc>
        <w:tc>
          <w:tcPr>
            <w:tcW w:w="80" w:type="dxa"/>
            <w:vAlign w:val="bottom"/>
          </w:tcPr>
          <w:p>
            <w:pPr>
              <w:spacing w:after="0"/>
              <w:rPr>
                <w:sz w:val="8"/>
                <w:szCs w:val="8"/>
                <w:color w:val="auto"/>
              </w:rPr>
            </w:pPr>
          </w:p>
        </w:tc>
      </w:tr>
      <w:tr>
        <w:trPr>
          <w:trHeight w:val="88"/>
        </w:trPr>
        <w:tc>
          <w:tcPr>
            <w:tcW w:w="2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5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2560" w:type="dxa"/>
            <w:vAlign w:val="bottom"/>
          </w:tcPr>
          <w:p>
            <w:pPr>
              <w:spacing w:after="0"/>
              <w:rPr>
                <w:sz w:val="8"/>
                <w:szCs w:val="8"/>
                <w:color w:val="auto"/>
              </w:rPr>
            </w:pPr>
          </w:p>
        </w:tc>
        <w:tc>
          <w:tcPr>
            <w:tcW w:w="2460" w:type="dxa"/>
            <w:vAlign w:val="bottom"/>
            <w:gridSpan w:val="3"/>
          </w:tcPr>
          <w:p>
            <w:pPr>
              <w:ind w:left="100"/>
              <w:spacing w:after="0" w:line="99" w:lineRule="exact"/>
              <w:rPr>
                <w:sz w:val="20"/>
                <w:szCs w:val="20"/>
                <w:color w:val="auto"/>
              </w:rPr>
            </w:pPr>
            <w:r>
              <w:rPr>
                <w:rFonts w:ascii="Arial" w:cs="Arial" w:eastAsia="Arial" w:hAnsi="Arial"/>
                <w:sz w:val="10"/>
                <w:szCs w:val="10"/>
                <w:b w:val="1"/>
                <w:bCs w:val="1"/>
                <w:color w:val="auto"/>
              </w:rPr>
              <w:t>Total financial liabilities</w:t>
            </w:r>
          </w:p>
        </w:tc>
        <w:tc>
          <w:tcPr>
            <w:tcW w:w="11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139,633,721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color w:val="auto"/>
              </w:rPr>
              <w:t>139,747,905</w:t>
            </w:r>
          </w:p>
        </w:tc>
        <w:tc>
          <w:tcPr>
            <w:tcW w:w="80" w:type="dxa"/>
            <w:vAlign w:val="bottom"/>
          </w:tcPr>
          <w:p>
            <w:pPr>
              <w:spacing w:after="0"/>
              <w:rPr>
                <w:sz w:val="8"/>
                <w:szCs w:val="8"/>
                <w:color w:val="auto"/>
              </w:rPr>
            </w:pPr>
          </w:p>
        </w:tc>
      </w:tr>
    </w:tbl>
    <w:p>
      <w:pPr>
        <w:spacing w:after="0" w:line="279" w:lineRule="exact"/>
        <w:rPr>
          <w:sz w:val="20"/>
          <w:szCs w:val="20"/>
          <w:color w:val="auto"/>
        </w:rPr>
      </w:pPr>
    </w:p>
    <w:p>
      <w:pPr>
        <w:jc w:val="center"/>
        <w:ind w:right="-195"/>
        <w:spacing w:after="0"/>
        <w:rPr>
          <w:sz w:val="20"/>
          <w:szCs w:val="20"/>
          <w:color w:val="auto"/>
        </w:rPr>
      </w:pPr>
      <w:r>
        <w:rPr>
          <w:rFonts w:ascii="Arial" w:cs="Arial" w:eastAsia="Arial" w:hAnsi="Arial"/>
          <w:sz w:val="12"/>
          <w:szCs w:val="1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436"/>
          </w:cols>
          <w:pgMar w:left="644" w:top="797" w:right="819" w:bottom="1440" w:gutter="0" w:footer="0" w:header="0"/>
        </w:sectPr>
      </w:pPr>
    </w:p>
    <w:bookmarkStart w:id="32" w:name="page33"/>
    <w:bookmarkEnd w:id="32"/>
    <w:p>
      <w:pPr>
        <w:ind w:left="216" w:hanging="216"/>
        <w:spacing w:after="0"/>
        <w:tabs>
          <w:tab w:leader="none" w:pos="216"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Reconciliation of balances of the statement of financial position from IAS 39 to IFRS 9 at January 1, 2018</w:t>
      </w:r>
    </w:p>
    <w:p>
      <w:pPr>
        <w:spacing w:after="0" w:line="150"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1"/>
          <w:szCs w:val="11"/>
          <w:color w:val="auto"/>
        </w:rPr>
        <w:t>The following table presents the detail of the reconciliation of balances of financial assets under IAS 39 to IFRS 9, distinguishing between the impacts due to category change and impairment remeasurement:</w:t>
      </w:r>
    </w:p>
    <w:p>
      <w:pPr>
        <w:spacing w:after="0" w:line="140" w:lineRule="exact"/>
        <w:rPr>
          <w:sz w:val="20"/>
          <w:szCs w:val="20"/>
          <w:color w:val="auto"/>
        </w:rPr>
      </w:pPr>
    </w:p>
    <w:tbl>
      <w:tblPr>
        <w:tblLayout w:type="fixed"/>
        <w:tblInd w:w="216"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Impairment</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50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Financial assets</w:t>
            </w:r>
          </w:p>
        </w:tc>
        <w:tc>
          <w:tcPr>
            <w:tcW w:w="1340" w:type="dxa"/>
            <w:vAlign w:val="bottom"/>
            <w:gridSpan w:val="2"/>
          </w:tcPr>
          <w:p>
            <w:pPr>
              <w:ind w:left="420"/>
              <w:spacing w:after="0" w:line="114" w:lineRule="exact"/>
              <w:rPr>
                <w:sz w:val="20"/>
                <w:szCs w:val="20"/>
                <w:color w:val="auto"/>
              </w:rPr>
            </w:pPr>
            <w:r>
              <w:rPr>
                <w:rFonts w:ascii="Arial" w:cs="Arial" w:eastAsia="Arial" w:hAnsi="Arial"/>
                <w:sz w:val="10"/>
                <w:szCs w:val="10"/>
                <w:b w:val="1"/>
                <w:bCs w:val="1"/>
                <w:color w:val="auto"/>
              </w:rPr>
              <w:t>IAS 39</w:t>
            </w:r>
          </w:p>
        </w:tc>
        <w:tc>
          <w:tcPr>
            <w:tcW w:w="13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Change of category</w:t>
            </w:r>
          </w:p>
        </w:tc>
        <w:tc>
          <w:tcPr>
            <w:tcW w:w="1320" w:type="dxa"/>
            <w:vAlign w:val="bottom"/>
            <w:gridSpan w:val="2"/>
          </w:tcPr>
          <w:p>
            <w:pPr>
              <w:jc w:val="right"/>
              <w:ind w:right="680"/>
              <w:spacing w:after="0" w:line="114" w:lineRule="exact"/>
              <w:rPr>
                <w:sz w:val="20"/>
                <w:szCs w:val="20"/>
                <w:color w:val="auto"/>
              </w:rPr>
            </w:pPr>
            <w:r>
              <w:rPr>
                <w:rFonts w:ascii="Arial" w:cs="Arial" w:eastAsia="Arial" w:hAnsi="Arial"/>
                <w:sz w:val="10"/>
                <w:szCs w:val="10"/>
                <w:b w:val="1"/>
                <w:bCs w:val="1"/>
                <w:color w:val="auto"/>
                <w:w w:val="83"/>
              </w:rPr>
              <w:t>remeasurement</w:t>
            </w:r>
          </w:p>
        </w:tc>
        <w:tc>
          <w:tcPr>
            <w:tcW w:w="1220" w:type="dxa"/>
            <w:vAlign w:val="bottom"/>
            <w:gridSpan w:val="2"/>
          </w:tcPr>
          <w:p>
            <w:pPr>
              <w:ind w:left="420"/>
              <w:spacing w:after="0" w:line="114" w:lineRule="exact"/>
              <w:rPr>
                <w:sz w:val="20"/>
                <w:szCs w:val="20"/>
                <w:color w:val="auto"/>
              </w:rPr>
            </w:pPr>
            <w:r>
              <w:rPr>
                <w:rFonts w:ascii="Arial" w:cs="Arial" w:eastAsia="Arial" w:hAnsi="Arial"/>
                <w:sz w:val="10"/>
                <w:szCs w:val="10"/>
                <w:b w:val="1"/>
                <w:bCs w:val="1"/>
                <w:color w:val="auto"/>
              </w:rPr>
              <w:t>IFRS 9</w:t>
            </w:r>
          </w:p>
        </w:tc>
      </w:tr>
      <w:tr>
        <w:trPr>
          <w:trHeight w:val="88"/>
        </w:trPr>
        <w:tc>
          <w:tcPr>
            <w:tcW w:w="4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top w:val="single" w:sz="8" w:color="auto"/>
            </w:tcBorders>
          </w:tcPr>
          <w:p>
            <w:pPr>
              <w:ind w:left="420"/>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11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1120" w:type="dxa"/>
            <w:vAlign w:val="bottom"/>
            <w:tcBorders>
              <w:top w:val="single" w:sz="8" w:color="auto"/>
            </w:tcBorders>
          </w:tcPr>
          <w:p>
            <w:pPr>
              <w:jc w:val="right"/>
              <w:ind w:right="37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1120" w:type="dxa"/>
            <w:vAlign w:val="bottom"/>
            <w:tcBorders>
              <w:top w:val="single" w:sz="8" w:color="auto"/>
            </w:tcBorders>
          </w:tcPr>
          <w:p>
            <w:pPr>
              <w:ind w:left="420"/>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r>
      <w:tr>
        <w:trPr>
          <w:trHeight w:val="99"/>
        </w:trPr>
        <w:tc>
          <w:tcPr>
            <w:tcW w:w="50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Cash and due from banks</w:t>
            </w:r>
          </w:p>
        </w:tc>
        <w:tc>
          <w:tcPr>
            <w:tcW w:w="13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23,221,987</w:t>
            </w: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23,221,987</w:t>
            </w:r>
          </w:p>
        </w:tc>
      </w:tr>
      <w:tr>
        <w:trPr>
          <w:trHeight w:val="99"/>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Cash collateral, reverse repurchase agreements and securities borrowings</w:t>
            </w:r>
          </w:p>
        </w:tc>
        <w:tc>
          <w:tcPr>
            <w:tcW w:w="13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7,480,420</w:t>
            </w: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7,480,420</w:t>
            </w:r>
          </w:p>
        </w:tc>
      </w:tr>
      <w:tr>
        <w:trPr>
          <w:trHeight w:val="99"/>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At fair value through profit or loss :</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Opening balance under IAS 39</w:t>
            </w:r>
          </w:p>
        </w:tc>
        <w:tc>
          <w:tcPr>
            <w:tcW w:w="13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4,024,737</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Addition: From investments available for sale (*)</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1,588,619</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Closing balance under IFRS 9</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5,613,356</w:t>
            </w:r>
          </w:p>
        </w:tc>
      </w:tr>
      <w:tr>
        <w:trPr>
          <w:trHeight w:val="99"/>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At fair value through other comprehensive income (debt):</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Opening balance under IAS 39</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Addition: From investments available for sale</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22,181,733</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Closing balance under IFRS 9</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22,181,733</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At fair value through other comprehensive income (Designated equity instruments)</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653,539</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653,539</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Available for sale:</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Opening balance under IAS 39</w:t>
            </w:r>
          </w:p>
        </w:tc>
        <w:tc>
          <w:tcPr>
            <w:tcW w:w="13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24,423,891</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Subtraction: Reclassification to investments at fair value through profit or loss (*)</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(1,588,619)</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Subtraction: Reclassification to investments at fair value through other comprehensive income (debt)</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(22,181,733)</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w w:val="93"/>
              </w:rPr>
              <w:t>Subtraction: Reclassification to investments at fair value through other comprehensive income (Designated - equity)</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(653,539)</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Closing balance under IFRS 9</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r>
      <w:tr>
        <w:trPr>
          <w:trHeight w:val="99"/>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Amortized cost:</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Opening balance under IAS 39</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Addition: From investments held-to-maturity (IAS 39)</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4,413,373</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Remeasurement: Expected loss (IFRS 9)</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(1,736)</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Closing balance under IFRS 9</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4,411,637</w:t>
            </w:r>
          </w:p>
        </w:tc>
      </w:tr>
      <w:tr>
        <w:trPr>
          <w:trHeight w:val="99"/>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Held-to-maturity:</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Opening balance under IAS 39</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4,413,373</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0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10"/>
                <w:szCs w:val="10"/>
                <w:color w:val="auto"/>
              </w:rPr>
              <w:t>Subtraction: Reclassification to investments at amortized cost</w:t>
            </w: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(4,413,373)</w:t>
            </w: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ind w:left="220"/>
              <w:spacing w:after="0" w:line="99" w:lineRule="exact"/>
              <w:rPr>
                <w:sz w:val="20"/>
                <w:szCs w:val="20"/>
                <w:color w:val="auto"/>
              </w:rPr>
            </w:pPr>
            <w:r>
              <w:rPr>
                <w:rFonts w:ascii="Arial" w:cs="Arial" w:eastAsia="Arial" w:hAnsi="Arial"/>
                <w:sz w:val="10"/>
                <w:szCs w:val="10"/>
                <w:color w:val="auto"/>
              </w:rPr>
              <w:t>Closing balance under IFRS 9</w:t>
            </w: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Loans, net</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95,977,277</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(206,768)</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95,770,509</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Financial assets designated at fair value through profit or loss</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537,685</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537,685</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Premiums and other policies receivable</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656,829</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(7,694)</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649,135</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Accounts receivable from reinsurers and coinsurers</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715,695</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(142)</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715,553</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Due from customers on acceptances</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532,034</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532,034</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5020" w:type="dxa"/>
            <w:vAlign w:val="bottom"/>
            <w:gridSpan w:val="2"/>
          </w:tcPr>
          <w:p>
            <w:pPr>
              <w:spacing w:after="0" w:line="99" w:lineRule="exact"/>
              <w:rPr>
                <w:sz w:val="20"/>
                <w:szCs w:val="20"/>
                <w:color w:val="auto"/>
              </w:rPr>
            </w:pPr>
            <w:r>
              <w:rPr>
                <w:rFonts w:ascii="Arial" w:cs="Arial" w:eastAsia="Arial" w:hAnsi="Arial"/>
                <w:sz w:val="10"/>
                <w:szCs w:val="10"/>
                <w:color w:val="auto"/>
              </w:rPr>
              <w:t>Derivative receivables</w:t>
            </w:r>
          </w:p>
        </w:tc>
        <w:tc>
          <w:tcPr>
            <w:tcW w:w="13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701,826</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701,826</w:t>
            </w:r>
          </w:p>
        </w:tc>
      </w:tr>
      <w:tr>
        <w:trPr>
          <w:trHeight w:val="99"/>
        </w:trPr>
        <w:tc>
          <w:tcPr>
            <w:tcW w:w="4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8"/>
        </w:trPr>
        <w:tc>
          <w:tcPr>
            <w:tcW w:w="5020" w:type="dxa"/>
            <w:vAlign w:val="bottom"/>
            <w:gridSpan w:val="2"/>
          </w:tcPr>
          <w:p>
            <w:pPr>
              <w:spacing w:after="0" w:line="108" w:lineRule="exact"/>
              <w:rPr>
                <w:sz w:val="20"/>
                <w:szCs w:val="20"/>
                <w:color w:val="auto"/>
              </w:rPr>
            </w:pPr>
            <w:r>
              <w:rPr>
                <w:rFonts w:ascii="Arial" w:cs="Arial" w:eastAsia="Arial" w:hAnsi="Arial"/>
                <w:sz w:val="10"/>
                <w:szCs w:val="10"/>
                <w:color w:val="auto"/>
              </w:rPr>
              <w:t>Other assets</w:t>
            </w:r>
          </w:p>
        </w:tc>
        <w:tc>
          <w:tcPr>
            <w:tcW w:w="1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1,759,125</w:t>
            </w:r>
          </w:p>
        </w:tc>
        <w:tc>
          <w:tcPr>
            <w:tcW w:w="1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1,759,125</w:t>
            </w:r>
          </w:p>
        </w:tc>
      </w:tr>
      <w:tr>
        <w:trPr>
          <w:trHeight w:val="97"/>
        </w:trPr>
        <w:tc>
          <w:tcPr>
            <w:tcW w:w="5020" w:type="dxa"/>
            <w:vAlign w:val="bottom"/>
            <w:tcBorders>
              <w:top w:val="single" w:sz="8" w:color="CCEEFF"/>
            </w:tcBorders>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164,444,879</w:t>
            </w:r>
          </w:p>
        </w:tc>
        <w:tc>
          <w:tcPr>
            <w:tcW w:w="20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(216,340)</w:t>
            </w:r>
          </w:p>
        </w:tc>
        <w:tc>
          <w:tcPr>
            <w:tcW w:w="20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164,228,539</w:t>
            </w:r>
          </w:p>
        </w:tc>
        <w:tc>
          <w:tcPr>
            <w:tcW w:w="100" w:type="dxa"/>
            <w:vAlign w:val="bottom"/>
            <w:tcBorders>
              <w:top w:val="single" w:sz="8" w:color="CCEEFF"/>
            </w:tcBorders>
            <w:shd w:val="clear" w:color="auto" w:fill="CCEEFF"/>
          </w:tcPr>
          <w:p>
            <w:pPr>
              <w:spacing w:after="0"/>
              <w:rPr>
                <w:sz w:val="8"/>
                <w:szCs w:val="8"/>
                <w:color w:val="auto"/>
              </w:rPr>
            </w:pPr>
          </w:p>
        </w:tc>
      </w:tr>
    </w:tbl>
    <w:p>
      <w:pPr>
        <w:spacing w:after="0" w:line="279" w:lineRule="exact"/>
        <w:rPr>
          <w:sz w:val="20"/>
          <w:szCs w:val="20"/>
          <w:color w:val="auto"/>
        </w:rPr>
      </w:pPr>
    </w:p>
    <w:p>
      <w:pPr>
        <w:jc w:val="center"/>
        <w:ind w:right="-195"/>
        <w:spacing w:after="0"/>
        <w:rPr>
          <w:sz w:val="20"/>
          <w:szCs w:val="20"/>
          <w:color w:val="auto"/>
        </w:rPr>
      </w:pPr>
      <w:r>
        <w:rPr>
          <w:rFonts w:ascii="Arial" w:cs="Arial" w:eastAsia="Arial" w:hAnsi="Arial"/>
          <w:sz w:val="12"/>
          <w:szCs w:val="1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436"/>
          </w:cols>
          <w:pgMar w:left="644" w:top="653" w:right="819" w:bottom="1440" w:gutter="0" w:footer="0" w:header="0"/>
        </w:sectPr>
      </w:pPr>
    </w:p>
    <w:bookmarkStart w:id="33" w:name="page34"/>
    <w:bookmarkEnd w:id="33"/>
    <w:p>
      <w:pPr>
        <w:ind w:left="440" w:right="160" w:hanging="219"/>
        <w:spacing w:after="0" w:line="263" w:lineRule="auto"/>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combined application of the tests regarding the characteristics of the contractual cash flows and business models at January 1, 2018, resulted in certain investments classified as “Available for sale” under IAS 39, having to be reclassified in the category “At fair value through profit of loss” under IFRS 9. These financial assets maintained unrealized gains in the statement of changes in equity, net of income tax, of approximately S/314.4 million in the item “Net unrealized gains (losses)”, which were reclassified to the item “Retained earnings”.</w:t>
      </w:r>
    </w:p>
    <w:p>
      <w:pPr>
        <w:spacing w:after="0" w:line="123" w:lineRule="exact"/>
        <w:rPr>
          <w:sz w:val="20"/>
          <w:szCs w:val="20"/>
          <w:color w:val="auto"/>
        </w:rPr>
      </w:pPr>
    </w:p>
    <w:p>
      <w:pPr>
        <w:ind w:left="220" w:right="100"/>
        <w:spacing w:after="0" w:line="276" w:lineRule="auto"/>
        <w:rPr>
          <w:sz w:val="20"/>
          <w:szCs w:val="20"/>
          <w:color w:val="auto"/>
        </w:rPr>
      </w:pPr>
      <w:r>
        <w:rPr>
          <w:rFonts w:ascii="Arial" w:cs="Arial" w:eastAsia="Arial" w:hAnsi="Arial"/>
          <w:sz w:val="12"/>
          <w:szCs w:val="12"/>
          <w:color w:val="auto"/>
        </w:rPr>
        <w:t>The classification and measurement of the financial liabilities have not had changes due to the application of IFRS 9, except for the provision of credit loss for indirect loans which required an additional provision of S/114.2 million.</w:t>
      </w:r>
    </w:p>
    <w:p>
      <w:pPr>
        <w:spacing w:after="0" w:line="115" w:lineRule="exact"/>
        <w:rPr>
          <w:sz w:val="20"/>
          <w:szCs w:val="20"/>
          <w:color w:val="auto"/>
        </w:rPr>
      </w:pPr>
    </w:p>
    <w:p>
      <w:pPr>
        <w:ind w:left="440" w:hanging="219"/>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Reconciliation of the balances of the provision for impairment under IAS 39 and IFRS 9 as of January 1, 2018:</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Impairment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400" w:type="dxa"/>
            <w:vAlign w:val="bottom"/>
          </w:tcPr>
          <w:p>
            <w:pPr>
              <w:spacing w:after="0"/>
              <w:rPr>
                <w:sz w:val="13"/>
                <w:szCs w:val="13"/>
                <w:color w:val="auto"/>
              </w:rPr>
            </w:pPr>
          </w:p>
        </w:tc>
        <w:tc>
          <w:tcPr>
            <w:tcW w:w="1360" w:type="dxa"/>
            <w:vAlign w:val="bottom"/>
            <w:gridSpan w:val="2"/>
          </w:tcPr>
          <w:p>
            <w:pPr>
              <w:ind w:left="400"/>
              <w:spacing w:after="0"/>
              <w:rPr>
                <w:sz w:val="20"/>
                <w:szCs w:val="20"/>
                <w:color w:val="auto"/>
              </w:rPr>
            </w:pPr>
            <w:r>
              <w:rPr>
                <w:rFonts w:ascii="Arial" w:cs="Arial" w:eastAsia="Arial" w:hAnsi="Arial"/>
                <w:sz w:val="12"/>
                <w:szCs w:val="12"/>
                <w:b w:val="1"/>
                <w:bCs w:val="1"/>
                <w:color w:val="auto"/>
              </w:rPr>
              <w:t>IAS 39</w:t>
            </w:r>
          </w:p>
        </w:tc>
        <w:tc>
          <w:tcPr>
            <w:tcW w:w="13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87"/>
              </w:rPr>
              <w:t>remeasurement</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IFRS 9</w:t>
            </w: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160" w:type="dxa"/>
            <w:vAlign w:val="bottom"/>
            <w:tcBorders>
              <w:top w:val="single" w:sz="8" w:color="auto"/>
            </w:tcBorders>
          </w:tcPr>
          <w:p>
            <w:pPr>
              <w:ind w:left="4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right"/>
              <w:ind w:right="3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120" w:type="dxa"/>
            <w:vAlign w:val="bottom"/>
            <w:tcBorders>
              <w:top w:val="single" w:sz="8" w:color="auto"/>
            </w:tcBorders>
          </w:tcPr>
          <w:p>
            <w:pPr>
              <w:ind w:left="38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Financial asset:</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100"/>
              <w:spacing w:after="0"/>
              <w:rPr>
                <w:sz w:val="20"/>
                <w:szCs w:val="20"/>
                <w:color w:val="auto"/>
              </w:rPr>
            </w:pPr>
            <w:r>
              <w:rPr>
                <w:rFonts w:ascii="Arial" w:cs="Arial" w:eastAsia="Arial" w:hAnsi="Arial"/>
                <w:sz w:val="12"/>
                <w:szCs w:val="12"/>
                <w:color w:val="auto"/>
              </w:rPr>
              <w:t>Investment at amortized cost</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1,736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4,500,498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206,768</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4,707,266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100"/>
              <w:spacing w:after="0"/>
              <w:rPr>
                <w:sz w:val="20"/>
                <w:szCs w:val="20"/>
                <w:color w:val="auto"/>
              </w:rPr>
            </w:pPr>
            <w:r>
              <w:rPr>
                <w:rFonts w:ascii="Arial" w:cs="Arial" w:eastAsia="Arial" w:hAnsi="Arial"/>
                <w:sz w:val="12"/>
                <w:szCs w:val="12"/>
                <w:color w:val="auto"/>
              </w:rPr>
              <w:t>Premiums and other policies receivable</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12,255</w:t>
            </w:r>
          </w:p>
        </w:tc>
        <w:tc>
          <w:tcPr>
            <w:tcW w:w="1140" w:type="dxa"/>
            <w:vAlign w:val="bottom"/>
          </w:tcPr>
          <w:p>
            <w:pPr>
              <w:jc w:val="right"/>
              <w:spacing w:after="0"/>
              <w:rPr>
                <w:sz w:val="20"/>
                <w:szCs w:val="20"/>
                <w:color w:val="auto"/>
              </w:rPr>
            </w:pPr>
            <w:r>
              <w:rPr>
                <w:rFonts w:ascii="Arial" w:cs="Arial" w:eastAsia="Arial" w:hAnsi="Arial"/>
                <w:sz w:val="12"/>
                <w:szCs w:val="12"/>
                <w:color w:val="auto"/>
              </w:rPr>
              <w:t>7,694</w:t>
            </w:r>
          </w:p>
        </w:tc>
        <w:tc>
          <w:tcPr>
            <w:tcW w:w="20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19,949</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 from reinsurers and coinsurers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financial assets</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4,521,468</w:t>
            </w:r>
          </w:p>
        </w:tc>
        <w:tc>
          <w:tcPr>
            <w:tcW w:w="20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216,340</w:t>
            </w:r>
          </w:p>
        </w:tc>
        <w:tc>
          <w:tcPr>
            <w:tcW w:w="20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4,737,808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tcPr>
          <w:p>
            <w:pPr>
              <w:spacing w:after="0"/>
              <w:rPr>
                <w:sz w:val="20"/>
                <w:szCs w:val="20"/>
                <w:color w:val="auto"/>
              </w:rPr>
            </w:pPr>
            <w:r>
              <w:rPr>
                <w:rFonts w:ascii="Arial" w:cs="Arial" w:eastAsia="Arial" w:hAnsi="Arial"/>
                <w:sz w:val="12"/>
                <w:szCs w:val="12"/>
                <w:b w:val="1"/>
                <w:bCs w:val="1"/>
                <w:color w:val="auto"/>
              </w:rPr>
              <w:t>Financial liabilities:</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Provision for credit losses on indirect loans</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442,510</w:t>
            </w:r>
          </w:p>
        </w:tc>
        <w:tc>
          <w:tcPr>
            <w:tcW w:w="2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114,184</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556,694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2"/>
                <w:szCs w:val="12"/>
                <w:b w:val="1"/>
                <w:bCs w:val="1"/>
                <w:color w:val="auto"/>
              </w:rPr>
              <w:t>Total financial liabilities</w:t>
            </w: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442,510</w:t>
            </w:r>
          </w:p>
        </w:tc>
        <w:tc>
          <w:tcPr>
            <w:tcW w:w="20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114,184</w:t>
            </w:r>
          </w:p>
        </w:tc>
        <w:tc>
          <w:tcPr>
            <w:tcW w:w="1120" w:type="dxa"/>
            <w:vAlign w:val="bottom"/>
          </w:tcPr>
          <w:p>
            <w:pPr>
              <w:jc w:val="right"/>
              <w:spacing w:after="0"/>
              <w:rPr>
                <w:sz w:val="20"/>
                <w:szCs w:val="20"/>
                <w:color w:val="auto"/>
              </w:rPr>
            </w:pPr>
            <w:r>
              <w:rPr>
                <w:rFonts w:ascii="Arial" w:cs="Arial" w:eastAsia="Arial" w:hAnsi="Arial"/>
                <w:sz w:val="12"/>
                <w:szCs w:val="12"/>
                <w:color w:val="auto"/>
              </w:rPr>
              <w:t>556,694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Also, a provision for investments at fair value through other comprehensive income for approximately S/48.8 million was recorded in the account “Net unrealized gains (losses)” in consolidated statement of changes in equity.</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(viii)IFRS 15 “IFRS 15 “Revenue from contracts with customers”</w:t>
      </w:r>
    </w:p>
    <w:p>
      <w:pPr>
        <w:spacing w:after="0" w:line="150" w:lineRule="exact"/>
        <w:rPr>
          <w:sz w:val="20"/>
          <w:szCs w:val="20"/>
          <w:color w:val="auto"/>
        </w:rPr>
      </w:pPr>
    </w:p>
    <w:p>
      <w:pPr>
        <w:ind w:left="440" w:hanging="219"/>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Amendments to IFRS 2: Classification and measurement of share-based payment</w:t>
      </w:r>
    </w:p>
    <w:p>
      <w:pPr>
        <w:spacing w:after="0" w:line="150" w:lineRule="exact"/>
        <w:rPr>
          <w:rFonts w:ascii="Arial" w:cs="Arial" w:eastAsia="Arial" w:hAnsi="Arial"/>
          <w:sz w:val="12"/>
          <w:szCs w:val="12"/>
          <w:color w:val="auto"/>
        </w:rPr>
      </w:pPr>
    </w:p>
    <w:p>
      <w:pPr>
        <w:ind w:left="440" w:hanging="219"/>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Annual improvements to the IFRS (2014 - 2016 Cycle)</w:t>
      </w:r>
    </w:p>
    <w:p>
      <w:pPr>
        <w:spacing w:after="0" w:line="150" w:lineRule="exact"/>
        <w:rPr>
          <w:rFonts w:ascii="Arial" w:cs="Arial" w:eastAsia="Arial" w:hAnsi="Arial"/>
          <w:sz w:val="12"/>
          <w:szCs w:val="12"/>
          <w:color w:val="auto"/>
        </w:rPr>
      </w:pPr>
    </w:p>
    <w:p>
      <w:pPr>
        <w:ind w:left="440" w:hanging="219"/>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Amendments to IAS 40: “Transfers of Investment Property”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modifications indicated previously, except of IFRS 9, had no significant impact on the amounts recorded until December 31, 2017 and not affected significantly the period of 2018, except of IFRS 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a.1) Changes in accounting policies -</w:t>
      </w:r>
    </w:p>
    <w:p>
      <w:pPr>
        <w:spacing w:after="0" w:line="150" w:lineRule="exact"/>
        <w:rPr>
          <w:sz w:val="20"/>
          <w:szCs w:val="20"/>
          <w:color w:val="auto"/>
        </w:rPr>
      </w:pPr>
    </w:p>
    <w:p>
      <w:pPr>
        <w:ind w:left="220" w:right="300"/>
        <w:spacing w:after="0" w:line="276" w:lineRule="auto"/>
        <w:rPr>
          <w:sz w:val="20"/>
          <w:szCs w:val="20"/>
          <w:color w:val="auto"/>
        </w:rPr>
      </w:pPr>
      <w:r>
        <w:rPr>
          <w:rFonts w:ascii="Arial" w:cs="Arial" w:eastAsia="Arial" w:hAnsi="Arial"/>
          <w:sz w:val="12"/>
          <w:szCs w:val="12"/>
          <w:color w:val="auto"/>
        </w:rPr>
        <w:t>As of December 31, 2018, the technical reserves for premiums corresponding to income were determined as the present value of the future cash flows estimated by these contracts, using the rate of return on investments calculated at the time of purchase of said financial assets , that is, a historical rate was used as the discount rate.</w:t>
      </w:r>
    </w:p>
    <w:p>
      <w:pPr>
        <w:spacing w:after="0" w:line="259"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20"/>
          </w:cols>
          <w:pgMar w:left="640" w:top="653"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2"/>
          <w:szCs w:val="12"/>
          <w:color w:val="auto"/>
        </w:rPr>
        <w:t>In 2019, the Group adopted the following changes regarding the valuation and recognition of mathematical income reserves:</w:t>
      </w:r>
    </w:p>
    <w:p>
      <w:pPr>
        <w:spacing w:after="0" w:line="150" w:lineRule="exact"/>
        <w:rPr>
          <w:sz w:val="20"/>
          <w:szCs w:val="20"/>
          <w:color w:val="auto"/>
        </w:rPr>
      </w:pPr>
    </w:p>
    <w:p>
      <w:pPr>
        <w:ind w:left="440" w:hanging="219"/>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 of criteria in the discount rates used, and thus reflect the effect of market interest rates in the measurement of insurance liabilities,</w:t>
      </w:r>
    </w:p>
    <w:p>
      <w:pPr>
        <w:spacing w:after="0" w:line="150" w:lineRule="exact"/>
        <w:rPr>
          <w:rFonts w:ascii="Arial" w:cs="Arial" w:eastAsia="Arial" w:hAnsi="Arial"/>
          <w:sz w:val="12"/>
          <w:szCs w:val="12"/>
          <w:color w:val="auto"/>
        </w:rPr>
      </w:pPr>
    </w:p>
    <w:p>
      <w:pPr>
        <w:ind w:left="440" w:right="160" w:hanging="219"/>
        <w:spacing w:after="0" w:line="276" w:lineRule="auto"/>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Because the financial assets that have a direct effect on the income liabilities are measured at fair value through other comprehensive income, it was decided to recognize in the consolidated statement of comprehensive income the proportion corresponding to the income liabilities of the unrealized results that generate the assets and that have a direct effect on said income liabilities.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These situations were treated as a change in accounting policies in accordance with the provisions of IFRS 4 - Insurance Contracts</w:t>
      </w:r>
    </w:p>
    <w:p>
      <w:pPr>
        <w:spacing w:after="0" w:line="150" w:lineRule="exact"/>
        <w:rPr>
          <w:sz w:val="20"/>
          <w:szCs w:val="20"/>
          <w:color w:val="auto"/>
        </w:rPr>
      </w:pPr>
    </w:p>
    <w:p>
      <w:pPr>
        <w:jc w:val="both"/>
        <w:ind w:left="220" w:right="140"/>
        <w:spacing w:after="0" w:line="263" w:lineRule="auto"/>
        <w:rPr>
          <w:sz w:val="20"/>
          <w:szCs w:val="20"/>
          <w:color w:val="auto"/>
        </w:rPr>
      </w:pPr>
      <w:r>
        <w:rPr>
          <w:rFonts w:ascii="Arial" w:cs="Arial" w:eastAsia="Arial" w:hAnsi="Arial"/>
          <w:sz w:val="12"/>
          <w:szCs w:val="12"/>
          <w:color w:val="auto"/>
        </w:rPr>
        <w:t>These changes in accounting policy generated a greater income reserve amounting to S/666.6 million, which was recognized in the consolidated statement of comprehensive income for the year, under the heading Insurance reserves of the consolidated statement of changes in equity, considering that the effect was not material in previous years, in accordance with the provisions of IAS 8 - Accounting Policies, Changes in Accounting Estimates and Errors.</w:t>
      </w:r>
    </w:p>
    <w:p>
      <w:pPr>
        <w:spacing w:after="0" w:line="123" w:lineRule="exact"/>
        <w:rPr>
          <w:sz w:val="20"/>
          <w:szCs w:val="20"/>
          <w:color w:val="auto"/>
        </w:rPr>
      </w:pPr>
    </w:p>
    <w:p>
      <w:pPr>
        <w:ind w:left="220" w:right="9500" w:hanging="216"/>
        <w:spacing w:after="0" w:line="601" w:lineRule="auto"/>
        <w:tabs>
          <w:tab w:leader="none" w:pos="2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Basis of consolidation - Investment in subsidiaries -</w:t>
      </w:r>
    </w:p>
    <w:p>
      <w:pPr>
        <w:ind w:left="220"/>
        <w:spacing w:after="0"/>
        <w:rPr>
          <w:rFonts w:ascii="Arial" w:cs="Arial" w:eastAsia="Arial" w:hAnsi="Arial"/>
          <w:sz w:val="10"/>
          <w:szCs w:val="10"/>
          <w:color w:val="auto"/>
        </w:rPr>
      </w:pPr>
      <w:r>
        <w:rPr>
          <w:rFonts w:ascii="Arial" w:cs="Arial" w:eastAsia="Arial" w:hAnsi="Arial"/>
          <w:sz w:val="12"/>
          <w:szCs w:val="12"/>
          <w:color w:val="auto"/>
        </w:rPr>
        <w:t>The consolidated financial statements comprise the financial statements of Credicorp and its Subsidiaries for all the years presented.</w:t>
      </w:r>
    </w:p>
    <w:p>
      <w:pPr>
        <w:spacing w:after="0" w:line="150" w:lineRule="exact"/>
        <w:rPr>
          <w:rFonts w:ascii="Arial" w:cs="Arial" w:eastAsia="Arial" w:hAnsi="Arial"/>
          <w:sz w:val="10"/>
          <w:szCs w:val="10"/>
          <w:color w:val="auto"/>
        </w:rPr>
      </w:pPr>
    </w:p>
    <w:p>
      <w:pPr>
        <w:ind w:left="220" w:right="20"/>
        <w:spacing w:after="0" w:line="276" w:lineRule="auto"/>
        <w:rPr>
          <w:rFonts w:ascii="Arial" w:cs="Arial" w:eastAsia="Arial" w:hAnsi="Arial"/>
          <w:sz w:val="10"/>
          <w:szCs w:val="10"/>
          <w:color w:val="auto"/>
        </w:rPr>
      </w:pPr>
      <w:r>
        <w:rPr>
          <w:rFonts w:ascii="Arial" w:cs="Arial" w:eastAsia="Arial" w:hAnsi="Arial"/>
          <w:sz w:val="12"/>
          <w:szCs w:val="12"/>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14" w:lineRule="exact"/>
        <w:rPr>
          <w:rFonts w:ascii="Arial" w:cs="Arial" w:eastAsia="Arial" w:hAnsi="Arial"/>
          <w:sz w:val="10"/>
          <w:szCs w:val="10"/>
          <w:color w:val="auto"/>
        </w:rPr>
      </w:pPr>
    </w:p>
    <w:p>
      <w:pPr>
        <w:ind w:left="440" w:hanging="219"/>
        <w:spacing w:after="0"/>
        <w:tabs>
          <w:tab w:leader="none" w:pos="4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Power over the investee (i.e. existing rights that give it the current ability to direct the relevant activities of the investee),</w:t>
      </w:r>
    </w:p>
    <w:p>
      <w:pPr>
        <w:spacing w:after="0" w:line="14" w:lineRule="exact"/>
        <w:rPr>
          <w:rFonts w:ascii="Arial" w:cs="Arial" w:eastAsia="Arial" w:hAnsi="Arial"/>
          <w:sz w:val="12"/>
          <w:szCs w:val="12"/>
          <w:color w:val="auto"/>
        </w:rPr>
      </w:pPr>
    </w:p>
    <w:p>
      <w:pPr>
        <w:ind w:left="440" w:hanging="219"/>
        <w:spacing w:after="0"/>
        <w:tabs>
          <w:tab w:leader="none" w:pos="4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Exposure, or rights, to variable returns from its involvement with the investee, and</w:t>
      </w:r>
    </w:p>
    <w:p>
      <w:pPr>
        <w:spacing w:after="0" w:line="6" w:lineRule="exact"/>
        <w:rPr>
          <w:rFonts w:ascii="Arial" w:cs="Arial" w:eastAsia="Arial" w:hAnsi="Arial"/>
          <w:sz w:val="12"/>
          <w:szCs w:val="12"/>
          <w:color w:val="auto"/>
        </w:rPr>
      </w:pPr>
    </w:p>
    <w:p>
      <w:pPr>
        <w:ind w:left="440" w:hanging="219"/>
        <w:spacing w:after="0"/>
        <w:tabs>
          <w:tab w:leader="none" w:pos="4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ability to use its power over the investee to affect its returns.</w:t>
      </w:r>
    </w:p>
    <w:p>
      <w:pPr>
        <w:spacing w:after="0" w:line="141"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15" w:lineRule="exact"/>
        <w:rPr>
          <w:sz w:val="20"/>
          <w:szCs w:val="20"/>
          <w:color w:val="auto"/>
        </w:rPr>
      </w:pPr>
    </w:p>
    <w:p>
      <w:pPr>
        <w:ind w:left="440" w:hanging="21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contractual arrangement with the other vote holders of the investee.</w:t>
      </w:r>
    </w:p>
    <w:p>
      <w:pPr>
        <w:spacing w:after="0" w:line="14" w:lineRule="exact"/>
        <w:rPr>
          <w:rFonts w:ascii="Arial" w:cs="Arial" w:eastAsia="Arial" w:hAnsi="Arial"/>
          <w:sz w:val="12"/>
          <w:szCs w:val="12"/>
          <w:color w:val="auto"/>
        </w:rPr>
      </w:pPr>
    </w:p>
    <w:p>
      <w:pPr>
        <w:ind w:left="440" w:hanging="21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Rights arising from other contractual arrangements.</w:t>
      </w:r>
    </w:p>
    <w:p>
      <w:pPr>
        <w:spacing w:after="0" w:line="6" w:lineRule="exact"/>
        <w:rPr>
          <w:rFonts w:ascii="Arial" w:cs="Arial" w:eastAsia="Arial" w:hAnsi="Arial"/>
          <w:sz w:val="12"/>
          <w:szCs w:val="12"/>
          <w:color w:val="auto"/>
        </w:rPr>
      </w:pPr>
    </w:p>
    <w:p>
      <w:pPr>
        <w:ind w:left="440" w:hanging="21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Group’s voting rights and potential voting rights.</w:t>
      </w:r>
    </w:p>
    <w:p>
      <w:pPr>
        <w:spacing w:after="0" w:line="141" w:lineRule="exact"/>
        <w:rPr>
          <w:sz w:val="20"/>
          <w:szCs w:val="20"/>
          <w:color w:val="auto"/>
        </w:rPr>
      </w:pPr>
    </w:p>
    <w:p>
      <w:pPr>
        <w:ind w:left="220" w:right="180"/>
        <w:spacing w:after="0" w:line="323" w:lineRule="auto"/>
        <w:rPr>
          <w:sz w:val="20"/>
          <w:szCs w:val="20"/>
          <w:color w:val="auto"/>
        </w:rPr>
      </w:pPr>
      <w:r>
        <w:rPr>
          <w:rFonts w:ascii="Arial" w:cs="Arial" w:eastAsia="Arial" w:hAnsi="Arial"/>
          <w:sz w:val="11"/>
          <w:szCs w:val="11"/>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92" w:lineRule="exact"/>
        <w:rPr>
          <w:sz w:val="20"/>
          <w:szCs w:val="20"/>
          <w:color w:val="auto"/>
        </w:rPr>
      </w:pPr>
    </w:p>
    <w:p>
      <w:pPr>
        <w:ind w:left="220" w:right="340"/>
        <w:spacing w:after="0" w:line="323" w:lineRule="auto"/>
        <w:rPr>
          <w:sz w:val="20"/>
          <w:szCs w:val="20"/>
          <w:color w:val="auto"/>
        </w:rPr>
      </w:pPr>
      <w:r>
        <w:rPr>
          <w:rFonts w:ascii="Arial" w:cs="Arial" w:eastAsia="Arial" w:hAnsi="Arial"/>
          <w:sz w:val="11"/>
          <w:szCs w:val="11"/>
          <w:color w:val="auto"/>
        </w:rPr>
        <w:t>Profit or loss for the period and each component of the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w:t>
      </w:r>
    </w:p>
    <w:p>
      <w:pPr>
        <w:spacing w:after="0" w:line="236"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All intra-group assets and liabilities, equity, income, expenses and cash flows relating to transactions between members of the Group are eliminated in full on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Assets in custody or managed by the Group, such as investment funds and private pension funds (AFP funds) and others, are not part of the Group’s consolidated financial statements, Note 3(ab).</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Transactions with non-controlling interest -</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 change in the ownership interest of a subsidiary, without a loss of control, is accounted for as an equity transaction and any resulting difference between the price paid and the price for which non-controlling interests are adjusted is recognized directly in the consolidated statement of changes in net equity.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Group does not record any additional goodwill after the purchase of the non-controlling interest, nor does it recognize a gain or loss from the sale of the non-controlling interest.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Loss of control -</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Investments in associates -</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Group’s investments in its associates are recognized initially at cost and are subsequently accounted for using the equity method. They are included in “Other assets” in the consolidated statement of financial position; the returns resulting from the use of the equity method of accounting are included in “Net gain on securities” of the consolidated statement of income.</w:t>
      </w: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9525</wp:posOffset>
            </wp:positionV>
            <wp:extent cx="7292340" cy="571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20"/>
          </w:cols>
          <w:pgMar w:left="860" w:top="653" w:right="219" w:bottom="1440" w:gutter="0" w:footer="0" w:header="0"/>
        </w:sectPr>
      </w:pPr>
    </w:p>
    <w:bookmarkStart w:id="36" w:name="page37"/>
    <w:bookmarkEnd w:id="36"/>
    <w:p>
      <w:pPr>
        <w:ind w:right="280"/>
        <w:spacing w:after="0" w:line="276" w:lineRule="auto"/>
        <w:rPr>
          <w:sz w:val="20"/>
          <w:szCs w:val="20"/>
          <w:color w:val="auto"/>
        </w:rPr>
      </w:pPr>
      <w:r>
        <w:rPr>
          <w:rFonts w:ascii="Arial" w:cs="Arial" w:eastAsia="Arial" w:hAnsi="Arial"/>
          <w:sz w:val="12"/>
          <w:szCs w:val="12"/>
          <w:color w:val="auto"/>
        </w:rPr>
        <w:t>At December 31, 2019 and 2018,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0"/>
                <w:szCs w:val="10"/>
                <w:b w:val="1"/>
                <w:bCs w:val="1"/>
                <w:color w:val="auto"/>
              </w:rPr>
              <w:t>Activity and</w:t>
            </w:r>
          </w:p>
        </w:tc>
        <w:tc>
          <w:tcPr>
            <w:tcW w:w="118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4"/>
              </w:rPr>
              <w:t>Percentage of</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country of</w:t>
            </w:r>
          </w:p>
        </w:tc>
        <w:tc>
          <w:tcPr>
            <w:tcW w:w="1180" w:type="dxa"/>
            <w:vAlign w:val="bottom"/>
            <w:gridSpan w:val="4"/>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interest (direct</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4"/>
        </w:trPr>
        <w:tc>
          <w:tcPr>
            <w:tcW w:w="3160" w:type="dxa"/>
            <w:vAlign w:val="bottom"/>
          </w:tcPr>
          <w:p>
            <w:pPr>
              <w:spacing w:after="0" w:line="114" w:lineRule="exact"/>
              <w:rPr>
                <w:sz w:val="20"/>
                <w:szCs w:val="20"/>
                <w:color w:val="auto"/>
              </w:rPr>
            </w:pPr>
            <w:r>
              <w:rPr>
                <w:rFonts w:ascii="Arial" w:cs="Arial" w:eastAsia="Arial" w:hAnsi="Arial"/>
                <w:sz w:val="10"/>
                <w:szCs w:val="10"/>
                <w:b w:val="1"/>
                <w:bCs w:val="1"/>
                <w:color w:val="auto"/>
              </w:rPr>
              <w:t>Entity</w:t>
            </w:r>
          </w:p>
        </w:tc>
        <w:tc>
          <w:tcPr>
            <w:tcW w:w="80" w:type="dxa"/>
            <w:vAlign w:val="bottom"/>
          </w:tcPr>
          <w:p>
            <w:pPr>
              <w:spacing w:after="0"/>
              <w:rPr>
                <w:sz w:val="9"/>
                <w:szCs w:val="9"/>
                <w:color w:val="auto"/>
              </w:rPr>
            </w:pPr>
          </w:p>
        </w:tc>
        <w:tc>
          <w:tcPr>
            <w:tcW w:w="72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incorporation</w:t>
            </w:r>
          </w:p>
        </w:tc>
        <w:tc>
          <w:tcPr>
            <w:tcW w:w="1180" w:type="dxa"/>
            <w:vAlign w:val="bottom"/>
            <w:gridSpan w:val="4"/>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and indirect)</w:t>
            </w:r>
          </w:p>
        </w:tc>
        <w:tc>
          <w:tcPr>
            <w:tcW w:w="820" w:type="dxa"/>
            <w:vAlign w:val="bottom"/>
            <w:gridSpan w:val="3"/>
          </w:tcPr>
          <w:p>
            <w:pPr>
              <w:ind w:left="540"/>
              <w:spacing w:after="0" w:line="114" w:lineRule="exact"/>
              <w:rPr>
                <w:sz w:val="20"/>
                <w:szCs w:val="20"/>
                <w:color w:val="auto"/>
              </w:rPr>
            </w:pPr>
            <w:r>
              <w:rPr>
                <w:rFonts w:ascii="Arial" w:cs="Arial" w:eastAsia="Arial" w:hAnsi="Arial"/>
                <w:sz w:val="10"/>
                <w:szCs w:val="10"/>
                <w:b w:val="1"/>
                <w:bCs w:val="1"/>
                <w:color w:val="auto"/>
                <w:w w:val="79"/>
              </w:rPr>
              <w:t>Assets</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4"/>
          </w:tcPr>
          <w:p>
            <w:pPr>
              <w:jc w:val="right"/>
              <w:ind w:right="640"/>
              <w:spacing w:after="0" w:line="114" w:lineRule="exact"/>
              <w:rPr>
                <w:sz w:val="20"/>
                <w:szCs w:val="20"/>
                <w:color w:val="auto"/>
              </w:rPr>
            </w:pPr>
            <w:r>
              <w:rPr>
                <w:rFonts w:ascii="Arial" w:cs="Arial" w:eastAsia="Arial" w:hAnsi="Arial"/>
                <w:sz w:val="10"/>
                <w:szCs w:val="10"/>
                <w:b w:val="1"/>
                <w:bCs w:val="1"/>
                <w:color w:val="auto"/>
              </w:rPr>
              <w:t>Liabilities</w:t>
            </w:r>
          </w:p>
        </w:tc>
        <w:tc>
          <w:tcPr>
            <w:tcW w:w="780" w:type="dxa"/>
            <w:vAlign w:val="bottom"/>
            <w:gridSpan w:val="3"/>
          </w:tcPr>
          <w:p>
            <w:pPr>
              <w:ind w:left="480"/>
              <w:spacing w:after="0" w:line="114" w:lineRule="exact"/>
              <w:rPr>
                <w:sz w:val="20"/>
                <w:szCs w:val="20"/>
                <w:color w:val="auto"/>
              </w:rPr>
            </w:pPr>
            <w:r>
              <w:rPr>
                <w:rFonts w:ascii="Arial" w:cs="Arial" w:eastAsia="Arial" w:hAnsi="Arial"/>
                <w:sz w:val="10"/>
                <w:szCs w:val="10"/>
                <w:b w:val="1"/>
                <w:bCs w:val="1"/>
                <w:color w:val="auto"/>
                <w:w w:val="91"/>
              </w:rPr>
              <w:t>Equity</w:t>
            </w: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Net income (loss)</w:t>
            </w:r>
          </w:p>
        </w:tc>
      </w:tr>
      <w:tr>
        <w:trPr>
          <w:trHeight w:val="97"/>
        </w:trPr>
        <w:tc>
          <w:tcPr>
            <w:tcW w:w="3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80" w:type="dxa"/>
            <w:vAlign w:val="bottom"/>
            <w:tcBorders>
              <w:top w:val="single" w:sz="8" w:color="auto"/>
              <w:bottom w:val="single" w:sz="8" w:color="auto"/>
            </w:tcBorders>
          </w:tcPr>
          <w:p>
            <w:pPr>
              <w:ind w:left="20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ind w:left="12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60" w:type="dxa"/>
            <w:vAlign w:val="bottom"/>
            <w:tcBorders>
              <w:top w:val="single" w:sz="8" w:color="auto"/>
              <w:bottom w:val="single" w:sz="8" w:color="auto"/>
            </w:tcBorders>
          </w:tcPr>
          <w:p>
            <w:pPr>
              <w:ind w:left="18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ind w:left="20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20" w:type="dxa"/>
            <w:vAlign w:val="bottom"/>
            <w:tcBorders>
              <w:top w:val="single" w:sz="8" w:color="auto"/>
              <w:bottom w:val="single" w:sz="8" w:color="auto"/>
            </w:tcBorders>
          </w:tcPr>
          <w:p>
            <w:pPr>
              <w:ind w:left="18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ind w:left="10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480" w:type="dxa"/>
            <w:vAlign w:val="bottom"/>
            <w:tcBorders>
              <w:top w:val="single" w:sz="8" w:color="auto"/>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8"/>
                <w:szCs w:val="8"/>
                <w:color w:val="auto"/>
              </w:rPr>
            </w:pPr>
          </w:p>
        </w:tc>
      </w:tr>
      <w:tr>
        <w:trPr>
          <w:trHeight w:val="88"/>
        </w:trPr>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ind w:right="72"/>
              <w:spacing w:after="0" w:line="8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7"/>
                <w:szCs w:val="7"/>
                <w:color w:val="auto"/>
              </w:rPr>
            </w:pPr>
          </w:p>
        </w:tc>
        <w:tc>
          <w:tcPr>
            <w:tcW w:w="400" w:type="dxa"/>
            <w:vAlign w:val="bottom"/>
          </w:tcPr>
          <w:p>
            <w:pPr>
              <w:jc w:val="right"/>
              <w:ind w:right="72"/>
              <w:spacing w:after="0" w:line="8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7"/>
                <w:szCs w:val="7"/>
                <w:color w:val="auto"/>
              </w:rPr>
            </w:pPr>
          </w:p>
        </w:tc>
        <w:tc>
          <w:tcPr>
            <w:tcW w:w="580" w:type="dxa"/>
            <w:vAlign w:val="bottom"/>
          </w:tcPr>
          <w:p>
            <w:pPr>
              <w:ind w:left="18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ind w:left="12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60" w:type="dxa"/>
            <w:vAlign w:val="bottom"/>
          </w:tcPr>
          <w:p>
            <w:pPr>
              <w:ind w:left="18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80" w:type="dxa"/>
            <w:vAlign w:val="bottom"/>
          </w:tcPr>
          <w:p>
            <w:pPr>
              <w:ind w:left="20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20" w:type="dxa"/>
            <w:vAlign w:val="bottom"/>
          </w:tcPr>
          <w:p>
            <w:pPr>
              <w:ind w:left="16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480" w:type="dxa"/>
            <w:vAlign w:val="bottom"/>
          </w:tcPr>
          <w:p>
            <w:pPr>
              <w:ind w:left="140"/>
              <w:spacing w:after="0" w:line="88" w:lineRule="exact"/>
              <w:rPr>
                <w:sz w:val="20"/>
                <w:szCs w:val="20"/>
                <w:color w:val="auto"/>
              </w:rPr>
            </w:pPr>
            <w:r>
              <w:rPr>
                <w:rFonts w:ascii="Arial" w:cs="Arial" w:eastAsia="Arial" w:hAnsi="Arial"/>
                <w:sz w:val="10"/>
                <w:szCs w:val="10"/>
                <w:b w:val="1"/>
                <w:bCs w:val="1"/>
                <w:color w:val="auto"/>
                <w:w w:val="97"/>
              </w:rPr>
              <w:t>S/(000)</w:t>
            </w:r>
          </w:p>
        </w:tc>
        <w:tc>
          <w:tcPr>
            <w:tcW w:w="180" w:type="dxa"/>
            <w:vAlign w:val="bottom"/>
          </w:tcPr>
          <w:p>
            <w:pPr>
              <w:spacing w:after="0"/>
              <w:rPr>
                <w:sz w:val="7"/>
                <w:szCs w:val="7"/>
                <w:color w:val="auto"/>
              </w:rPr>
            </w:pPr>
          </w:p>
        </w:tc>
        <w:tc>
          <w:tcPr>
            <w:tcW w:w="480" w:type="dxa"/>
            <w:vAlign w:val="bottom"/>
          </w:tcPr>
          <w:p>
            <w:pPr>
              <w:ind w:left="140"/>
              <w:spacing w:after="0" w:line="88" w:lineRule="exact"/>
              <w:rPr>
                <w:sz w:val="20"/>
                <w:szCs w:val="20"/>
                <w:color w:val="auto"/>
              </w:rPr>
            </w:pPr>
            <w:r>
              <w:rPr>
                <w:rFonts w:ascii="Arial" w:cs="Arial" w:eastAsia="Arial" w:hAnsi="Arial"/>
                <w:sz w:val="10"/>
                <w:szCs w:val="10"/>
                <w:b w:val="1"/>
                <w:bCs w:val="1"/>
                <w:color w:val="auto"/>
                <w:w w:val="97"/>
              </w:rPr>
              <w:t>S/(000)</w:t>
            </w:r>
          </w:p>
        </w:tc>
        <w:tc>
          <w:tcPr>
            <w:tcW w:w="100" w:type="dxa"/>
            <w:vAlign w:val="bottom"/>
          </w:tcPr>
          <w:p>
            <w:pPr>
              <w:spacing w:after="0"/>
              <w:rPr>
                <w:sz w:val="7"/>
                <w:szCs w:val="7"/>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Grupo Crédito S.A. and Subsidiaries (i)</w:t>
            </w:r>
          </w:p>
        </w:tc>
        <w:tc>
          <w:tcPr>
            <w:tcW w:w="80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Holding, Peru</w:t>
            </w:r>
          </w:p>
        </w:tc>
        <w:tc>
          <w:tcPr>
            <w:tcW w:w="6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100.00</w:t>
            </w:r>
          </w:p>
        </w:tc>
        <w:tc>
          <w:tcPr>
            <w:tcW w:w="5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100.00</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165,072,249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w w:val="89"/>
              </w:rPr>
              <w:t>156,578,928</w:t>
            </w:r>
          </w:p>
        </w:tc>
        <w:tc>
          <w:tcPr>
            <w:tcW w:w="7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w w:val="97"/>
              </w:rPr>
              <w:t>142,514,228</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136,996,483</w:t>
            </w:r>
          </w:p>
        </w:tc>
        <w:tc>
          <w:tcPr>
            <w:tcW w:w="7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w w:val="99"/>
              </w:rPr>
              <w:t>22,558,021</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83"/>
              </w:rPr>
              <w:t>19,582,445</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3,638,334</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2,544,847</w:t>
            </w:r>
          </w:p>
        </w:tc>
        <w:tc>
          <w:tcPr>
            <w:tcW w:w="100" w:type="dxa"/>
            <w:vAlign w:val="bottom"/>
            <w:shd w:val="clear" w:color="auto" w:fill="CCEEFF"/>
          </w:tcPr>
          <w:p>
            <w:pPr>
              <w:spacing w:after="0"/>
              <w:rPr>
                <w:sz w:val="8"/>
                <w:szCs w:val="8"/>
                <w:color w:val="auto"/>
              </w:rPr>
            </w:pPr>
          </w:p>
        </w:tc>
      </w:tr>
      <w:tr>
        <w:trPr>
          <w:trHeight w:val="87"/>
        </w:trPr>
        <w:tc>
          <w:tcPr>
            <w:tcW w:w="3160" w:type="dxa"/>
            <w:vAlign w:val="bottom"/>
          </w:tcPr>
          <w:p>
            <w:pPr>
              <w:spacing w:after="0" w:line="87" w:lineRule="exact"/>
              <w:rPr>
                <w:sz w:val="20"/>
                <w:szCs w:val="20"/>
                <w:color w:val="auto"/>
              </w:rPr>
            </w:pPr>
            <w:r>
              <w:rPr>
                <w:rFonts w:ascii="Arial" w:cs="Arial" w:eastAsia="Arial" w:hAnsi="Arial"/>
                <w:sz w:val="10"/>
                <w:szCs w:val="10"/>
                <w:color w:val="auto"/>
              </w:rPr>
              <w:t>Pacífico Compañía de Seguros y Reaseguros S.A.</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2"/>
        </w:trPr>
        <w:tc>
          <w:tcPr>
            <w:tcW w:w="3160" w:type="dxa"/>
            <w:vAlign w:val="bottom"/>
          </w:tcPr>
          <w:p>
            <w:pPr>
              <w:ind w:left="120"/>
              <w:spacing w:after="0" w:line="112" w:lineRule="exact"/>
              <w:rPr>
                <w:sz w:val="20"/>
                <w:szCs w:val="20"/>
                <w:color w:val="auto"/>
              </w:rPr>
            </w:pPr>
            <w:r>
              <w:rPr>
                <w:rFonts w:ascii="Arial" w:cs="Arial" w:eastAsia="Arial" w:hAnsi="Arial"/>
                <w:sz w:val="10"/>
                <w:szCs w:val="10"/>
                <w:color w:val="auto"/>
              </w:rPr>
              <w:t>and Subsidiaries (ii)</w:t>
            </w:r>
          </w:p>
        </w:tc>
        <w:tc>
          <w:tcPr>
            <w:tcW w:w="800" w:type="dxa"/>
            <w:vAlign w:val="bottom"/>
            <w:gridSpan w:val="3"/>
          </w:tcPr>
          <w:p>
            <w:pPr>
              <w:ind w:left="80"/>
              <w:spacing w:after="0" w:line="112" w:lineRule="exact"/>
              <w:rPr>
                <w:sz w:val="20"/>
                <w:szCs w:val="20"/>
                <w:color w:val="auto"/>
              </w:rPr>
            </w:pPr>
            <w:r>
              <w:rPr>
                <w:rFonts w:ascii="Arial" w:cs="Arial" w:eastAsia="Arial" w:hAnsi="Arial"/>
                <w:sz w:val="10"/>
                <w:szCs w:val="10"/>
                <w:color w:val="auto"/>
                <w:w w:val="99"/>
              </w:rPr>
              <w:t>Insurance, Peru</w:t>
            </w:r>
          </w:p>
        </w:tc>
        <w:tc>
          <w:tcPr>
            <w:tcW w:w="6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98.79</w:t>
            </w:r>
          </w:p>
        </w:tc>
        <w:tc>
          <w:tcPr>
            <w:tcW w:w="5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98.79</w:t>
            </w:r>
          </w:p>
        </w:tc>
        <w:tc>
          <w:tcPr>
            <w:tcW w:w="580" w:type="dxa"/>
            <w:vAlign w:val="bottom"/>
          </w:tcPr>
          <w:p>
            <w:pPr>
              <w:jc w:val="right"/>
              <w:spacing w:after="0" w:line="112" w:lineRule="exact"/>
              <w:rPr>
                <w:sz w:val="20"/>
                <w:szCs w:val="20"/>
                <w:color w:val="auto"/>
              </w:rPr>
            </w:pPr>
            <w:r>
              <w:rPr>
                <w:rFonts w:ascii="Arial" w:cs="Arial" w:eastAsia="Arial" w:hAnsi="Arial"/>
                <w:sz w:val="10"/>
                <w:szCs w:val="10"/>
                <w:color w:val="auto"/>
              </w:rPr>
              <w:t>13,783,515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w w:val="99"/>
              </w:rPr>
              <w:t>12,222,763</w:t>
            </w:r>
          </w:p>
        </w:tc>
        <w:tc>
          <w:tcPr>
            <w:tcW w:w="7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10,963,533</w:t>
            </w:r>
          </w:p>
        </w:tc>
        <w:tc>
          <w:tcPr>
            <w:tcW w:w="7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9,590,768</w:t>
            </w:r>
          </w:p>
        </w:tc>
        <w:tc>
          <w:tcPr>
            <w:tcW w:w="7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2,819,982</w:t>
            </w:r>
          </w:p>
        </w:tc>
        <w:tc>
          <w:tcPr>
            <w:tcW w:w="8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0"/>
                <w:szCs w:val="10"/>
                <w:color w:val="auto"/>
                <w:w w:val="94"/>
              </w:rPr>
              <w:t>2,631,995</w:t>
            </w:r>
          </w:p>
        </w:tc>
        <w:tc>
          <w:tcPr>
            <w:tcW w:w="180" w:type="dxa"/>
            <w:vAlign w:val="bottom"/>
          </w:tcPr>
          <w:p>
            <w:pPr>
              <w:spacing w:after="0"/>
              <w:rPr>
                <w:sz w:val="9"/>
                <w:szCs w:val="9"/>
                <w:color w:val="auto"/>
              </w:rPr>
            </w:pPr>
          </w:p>
        </w:tc>
        <w:tc>
          <w:tcPr>
            <w:tcW w:w="6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381,492</w:t>
            </w:r>
          </w:p>
        </w:tc>
        <w:tc>
          <w:tcPr>
            <w:tcW w:w="5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353,292</w:t>
            </w:r>
          </w:p>
        </w:tc>
      </w:tr>
      <w:tr>
        <w:trPr>
          <w:trHeight w:val="87"/>
        </w:trPr>
        <w:tc>
          <w:tcPr>
            <w:tcW w:w="3160" w:type="dxa"/>
            <w:vAlign w:val="bottom"/>
            <w:shd w:val="clear" w:color="auto" w:fill="CCEEFF"/>
          </w:tcPr>
          <w:p>
            <w:pPr>
              <w:spacing w:after="0"/>
              <w:rPr>
                <w:sz w:val="7"/>
                <w:szCs w:val="7"/>
                <w:color w:val="auto"/>
              </w:rPr>
            </w:pPr>
          </w:p>
        </w:tc>
        <w:tc>
          <w:tcPr>
            <w:tcW w:w="800" w:type="dxa"/>
            <w:vAlign w:val="bottom"/>
            <w:gridSpan w:val="3"/>
            <w:shd w:val="clear" w:color="auto" w:fill="CCEEFF"/>
          </w:tcPr>
          <w:p>
            <w:pPr>
              <w:ind w:left="80"/>
              <w:spacing w:after="0" w:line="87" w:lineRule="exact"/>
              <w:rPr>
                <w:sz w:val="20"/>
                <w:szCs w:val="20"/>
                <w:color w:val="auto"/>
              </w:rPr>
            </w:pPr>
            <w:r>
              <w:rPr>
                <w:rFonts w:ascii="Arial" w:cs="Arial" w:eastAsia="Arial" w:hAnsi="Arial"/>
                <w:sz w:val="10"/>
                <w:szCs w:val="10"/>
                <w:color w:val="auto"/>
              </w:rPr>
              <w:t>Capital</w:t>
            </w: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9"/>
        </w:trPr>
        <w:tc>
          <w:tcPr>
            <w:tcW w:w="3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Markets,</w:t>
            </w: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3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Cayman</w:t>
            </w: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2"/>
        </w:trPr>
        <w:tc>
          <w:tcPr>
            <w:tcW w:w="316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Atlantic Security Holding Corporation and Subsidiaries (iii)</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ind w:left="120"/>
              <w:spacing w:after="0" w:line="112" w:lineRule="exact"/>
              <w:rPr>
                <w:sz w:val="20"/>
                <w:szCs w:val="20"/>
                <w:color w:val="auto"/>
              </w:rPr>
            </w:pPr>
            <w:r>
              <w:rPr>
                <w:rFonts w:ascii="Arial" w:cs="Arial" w:eastAsia="Arial" w:hAnsi="Arial"/>
                <w:sz w:val="10"/>
                <w:szCs w:val="10"/>
                <w:color w:val="auto"/>
              </w:rPr>
              <w:t>Islands</w:t>
            </w:r>
          </w:p>
        </w:tc>
        <w:tc>
          <w:tcPr>
            <w:tcW w:w="6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6,076,928</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6,607,494</w:t>
            </w:r>
          </w:p>
        </w:tc>
        <w:tc>
          <w:tcPr>
            <w:tcW w:w="74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4,986,657</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5,395,262</w:t>
            </w: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1,090,271</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94"/>
              </w:rPr>
              <w:t>1,212,232</w:t>
            </w:r>
          </w:p>
        </w:tc>
        <w:tc>
          <w:tcPr>
            <w:tcW w:w="1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601,629</w:t>
            </w:r>
          </w:p>
        </w:tc>
        <w:tc>
          <w:tcPr>
            <w:tcW w:w="5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351,425</w:t>
            </w:r>
          </w:p>
        </w:tc>
      </w:tr>
      <w:tr>
        <w:trPr>
          <w:trHeight w:val="87"/>
        </w:trPr>
        <w:tc>
          <w:tcPr>
            <w:tcW w:w="3160" w:type="dxa"/>
            <w:vAlign w:val="bottom"/>
          </w:tcPr>
          <w:p>
            <w:pPr>
              <w:spacing w:after="0"/>
              <w:rPr>
                <w:sz w:val="7"/>
                <w:szCs w:val="7"/>
                <w:color w:val="auto"/>
              </w:rPr>
            </w:pPr>
          </w:p>
        </w:tc>
        <w:tc>
          <w:tcPr>
            <w:tcW w:w="800" w:type="dxa"/>
            <w:vAlign w:val="bottom"/>
            <w:gridSpan w:val="3"/>
          </w:tcPr>
          <w:p>
            <w:pPr>
              <w:ind w:left="80"/>
              <w:spacing w:after="0" w:line="87" w:lineRule="exact"/>
              <w:rPr>
                <w:sz w:val="20"/>
                <w:szCs w:val="20"/>
                <w:color w:val="auto"/>
              </w:rPr>
            </w:pPr>
            <w:r>
              <w:rPr>
                <w:rFonts w:ascii="Arial" w:cs="Arial" w:eastAsia="Arial" w:hAnsi="Arial"/>
                <w:sz w:val="10"/>
                <w:szCs w:val="10"/>
                <w:color w:val="auto"/>
              </w:rPr>
              <w:t>Capital Markets</w:t>
            </w: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9"/>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and asset</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120"/>
              <w:spacing w:after="0" w:line="99" w:lineRule="exact"/>
              <w:rPr>
                <w:sz w:val="20"/>
                <w:szCs w:val="20"/>
                <w:color w:val="auto"/>
              </w:rPr>
            </w:pPr>
            <w:r>
              <w:rPr>
                <w:rFonts w:ascii="Arial" w:cs="Arial" w:eastAsia="Arial" w:hAnsi="Arial"/>
                <w:sz w:val="10"/>
                <w:szCs w:val="10"/>
                <w:color w:val="auto"/>
                <w:w w:val="94"/>
              </w:rPr>
              <w:t>management,</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2"/>
        </w:trPr>
        <w:tc>
          <w:tcPr>
            <w:tcW w:w="3160" w:type="dxa"/>
            <w:vAlign w:val="bottom"/>
          </w:tcPr>
          <w:p>
            <w:pPr>
              <w:spacing w:after="0" w:line="112" w:lineRule="exact"/>
              <w:rPr>
                <w:sz w:val="20"/>
                <w:szCs w:val="20"/>
                <w:color w:val="auto"/>
              </w:rPr>
            </w:pPr>
            <w:r>
              <w:rPr>
                <w:rFonts w:ascii="Arial" w:cs="Arial" w:eastAsia="Arial" w:hAnsi="Arial"/>
                <w:sz w:val="10"/>
                <w:szCs w:val="10"/>
                <w:color w:val="auto"/>
              </w:rPr>
              <w:t>Credicorp Capital Ltd. and Subsidiaries (iv)</w:t>
            </w:r>
          </w:p>
        </w:tc>
        <w:tc>
          <w:tcPr>
            <w:tcW w:w="8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color w:val="auto"/>
              </w:rPr>
              <w:t>Bermuda</w:t>
            </w:r>
          </w:p>
        </w:tc>
        <w:tc>
          <w:tcPr>
            <w:tcW w:w="6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tcPr>
          <w:p>
            <w:pPr>
              <w:jc w:val="right"/>
              <w:spacing w:after="0" w:line="112" w:lineRule="exact"/>
              <w:rPr>
                <w:sz w:val="20"/>
                <w:szCs w:val="20"/>
                <w:color w:val="auto"/>
              </w:rPr>
            </w:pPr>
            <w:r>
              <w:rPr>
                <w:rFonts w:ascii="Arial" w:cs="Arial" w:eastAsia="Arial" w:hAnsi="Arial"/>
                <w:sz w:val="10"/>
                <w:szCs w:val="10"/>
                <w:color w:val="auto"/>
              </w:rPr>
              <w:t>4,807,905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3,393,325</w:t>
            </w:r>
          </w:p>
        </w:tc>
        <w:tc>
          <w:tcPr>
            <w:tcW w:w="7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3,832,287</w:t>
            </w:r>
          </w:p>
        </w:tc>
        <w:tc>
          <w:tcPr>
            <w:tcW w:w="7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2,695,499</w:t>
            </w:r>
          </w:p>
        </w:tc>
        <w:tc>
          <w:tcPr>
            <w:tcW w:w="7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975,618</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697,826</w:t>
            </w:r>
          </w:p>
        </w:tc>
        <w:tc>
          <w:tcPr>
            <w:tcW w:w="6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41,634</w:t>
            </w:r>
          </w:p>
        </w:tc>
        <w:tc>
          <w:tcPr>
            <w:tcW w:w="5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35,191</w:t>
            </w:r>
          </w:p>
        </w:tc>
      </w:tr>
      <w:tr>
        <w:trPr>
          <w:trHeight w:val="87"/>
        </w:trPr>
        <w:tc>
          <w:tcPr>
            <w:tcW w:w="3160" w:type="dxa"/>
            <w:vAlign w:val="bottom"/>
            <w:shd w:val="clear" w:color="auto" w:fill="CCEEFF"/>
          </w:tcPr>
          <w:p>
            <w:pPr>
              <w:spacing w:after="0"/>
              <w:rPr>
                <w:sz w:val="7"/>
                <w:szCs w:val="7"/>
                <w:color w:val="auto"/>
              </w:rPr>
            </w:pPr>
          </w:p>
        </w:tc>
        <w:tc>
          <w:tcPr>
            <w:tcW w:w="800" w:type="dxa"/>
            <w:vAlign w:val="bottom"/>
            <w:gridSpan w:val="3"/>
            <w:shd w:val="clear" w:color="auto" w:fill="CCEEFF"/>
          </w:tcPr>
          <w:p>
            <w:pPr>
              <w:ind w:left="80"/>
              <w:spacing w:after="0" w:line="87" w:lineRule="exact"/>
              <w:rPr>
                <w:sz w:val="20"/>
                <w:szCs w:val="20"/>
                <w:color w:val="auto"/>
              </w:rPr>
            </w:pPr>
            <w:r>
              <w:rPr>
                <w:rFonts w:ascii="Arial" w:cs="Arial" w:eastAsia="Arial" w:hAnsi="Arial"/>
                <w:sz w:val="10"/>
                <w:szCs w:val="10"/>
                <w:color w:val="auto"/>
                <w:w w:val="97"/>
              </w:rPr>
              <w:t>Special purpose</w:t>
            </w: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9"/>
        </w:trPr>
        <w:tc>
          <w:tcPr>
            <w:tcW w:w="3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Entity,</w:t>
            </w: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2"/>
        </w:trPr>
        <w:tc>
          <w:tcPr>
            <w:tcW w:w="316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CCR Inc.(v)</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ind w:left="120"/>
              <w:spacing w:after="0" w:line="112" w:lineRule="exact"/>
              <w:rPr>
                <w:sz w:val="20"/>
                <w:szCs w:val="20"/>
                <w:color w:val="auto"/>
              </w:rPr>
            </w:pPr>
            <w:r>
              <w:rPr>
                <w:rFonts w:ascii="Arial" w:cs="Arial" w:eastAsia="Arial" w:hAnsi="Arial"/>
                <w:sz w:val="10"/>
                <w:szCs w:val="10"/>
                <w:color w:val="auto"/>
              </w:rPr>
              <w:t>Bahamas</w:t>
            </w:r>
          </w:p>
        </w:tc>
        <w:tc>
          <w:tcPr>
            <w:tcW w:w="6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386,146</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543,113</w:t>
            </w:r>
          </w:p>
        </w:tc>
        <w:tc>
          <w:tcPr>
            <w:tcW w:w="74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385,253</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543,896</w:t>
            </w: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893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(783)</w:t>
            </w:r>
          </w:p>
        </w:tc>
        <w:tc>
          <w:tcPr>
            <w:tcW w:w="6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1,676</w:t>
            </w:r>
          </w:p>
        </w:tc>
        <w:tc>
          <w:tcPr>
            <w:tcW w:w="5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2,179</w:t>
            </w:r>
          </w:p>
        </w:tc>
      </w:tr>
    </w:tbl>
    <w:p>
      <w:pPr>
        <w:spacing w:after="0" w:line="135" w:lineRule="exact"/>
        <w:rPr>
          <w:sz w:val="20"/>
          <w:szCs w:val="20"/>
          <w:color w:val="auto"/>
        </w:rPr>
      </w:pPr>
    </w:p>
    <w:p>
      <w:pPr>
        <w:ind w:left="220" w:right="460" w:hanging="216"/>
        <w:spacing w:after="0" w:line="276" w:lineRule="auto"/>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main activity of Grupo Crédito is to invest in shares listed in the Peruvian-Stock Exchange and in unlisted shares of Peruvian companies. Below, we present the individual or consolidated figures of their financial statements are presented in accordance with IFRS and before eliminations for consolidation purposes: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Activity and</w:t>
            </w:r>
          </w:p>
        </w:tc>
        <w:tc>
          <w:tcPr>
            <w:tcW w:w="1160" w:type="dxa"/>
            <w:vAlign w:val="bottom"/>
            <w:gridSpan w:val="4"/>
          </w:tcPr>
          <w:p>
            <w:pPr>
              <w:jc w:val="right"/>
              <w:ind w:right="380"/>
              <w:spacing w:after="0"/>
              <w:rPr>
                <w:sz w:val="20"/>
                <w:szCs w:val="20"/>
                <w:color w:val="auto"/>
              </w:rPr>
            </w:pPr>
            <w:r>
              <w:rPr>
                <w:rFonts w:ascii="Arial" w:cs="Arial" w:eastAsia="Arial" w:hAnsi="Arial"/>
                <w:sz w:val="10"/>
                <w:szCs w:val="10"/>
                <w:b w:val="1"/>
                <w:bCs w:val="1"/>
                <w:color w:val="auto"/>
              </w:rPr>
              <w:t>Percentage of</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country of</w:t>
            </w:r>
          </w:p>
        </w:tc>
        <w:tc>
          <w:tcPr>
            <w:tcW w:w="1160" w:type="dxa"/>
            <w:vAlign w:val="bottom"/>
            <w:gridSpan w:val="4"/>
          </w:tcPr>
          <w:p>
            <w:pPr>
              <w:jc w:val="right"/>
              <w:ind w:right="380"/>
              <w:spacing w:after="0" w:line="99" w:lineRule="exact"/>
              <w:rPr>
                <w:sz w:val="20"/>
                <w:szCs w:val="20"/>
                <w:color w:val="auto"/>
              </w:rPr>
            </w:pPr>
            <w:r>
              <w:rPr>
                <w:rFonts w:ascii="Arial" w:cs="Arial" w:eastAsia="Arial" w:hAnsi="Arial"/>
                <w:sz w:val="10"/>
                <w:szCs w:val="10"/>
                <w:b w:val="1"/>
                <w:bCs w:val="1"/>
                <w:color w:val="auto"/>
              </w:rPr>
              <w:t>interest (direct</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4"/>
        </w:trPr>
        <w:tc>
          <w:tcPr>
            <w:tcW w:w="33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Entity</w:t>
            </w:r>
          </w:p>
        </w:tc>
        <w:tc>
          <w:tcPr>
            <w:tcW w:w="6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99"/>
              </w:rPr>
              <w:t>incorporation</w:t>
            </w:r>
          </w:p>
        </w:tc>
        <w:tc>
          <w:tcPr>
            <w:tcW w:w="1160" w:type="dxa"/>
            <w:vAlign w:val="bottom"/>
            <w:gridSpan w:val="4"/>
          </w:tcPr>
          <w:p>
            <w:pPr>
              <w:jc w:val="right"/>
              <w:ind w:right="400"/>
              <w:spacing w:after="0" w:line="114" w:lineRule="exact"/>
              <w:rPr>
                <w:sz w:val="20"/>
                <w:szCs w:val="20"/>
                <w:color w:val="auto"/>
              </w:rPr>
            </w:pPr>
            <w:r>
              <w:rPr>
                <w:rFonts w:ascii="Arial" w:cs="Arial" w:eastAsia="Arial" w:hAnsi="Arial"/>
                <w:sz w:val="10"/>
                <w:szCs w:val="10"/>
                <w:b w:val="1"/>
                <w:bCs w:val="1"/>
                <w:color w:val="auto"/>
              </w:rPr>
              <w:t>and indirect)</w:t>
            </w:r>
          </w:p>
        </w:tc>
        <w:tc>
          <w:tcPr>
            <w:tcW w:w="840" w:type="dxa"/>
            <w:vAlign w:val="bottom"/>
            <w:gridSpan w:val="3"/>
          </w:tcPr>
          <w:p>
            <w:pPr>
              <w:ind w:left="540"/>
              <w:spacing w:after="0" w:line="114" w:lineRule="exact"/>
              <w:rPr>
                <w:sz w:val="20"/>
                <w:szCs w:val="20"/>
                <w:color w:val="auto"/>
              </w:rPr>
            </w:pPr>
            <w:r>
              <w:rPr>
                <w:rFonts w:ascii="Arial" w:cs="Arial" w:eastAsia="Arial" w:hAnsi="Arial"/>
                <w:sz w:val="10"/>
                <w:szCs w:val="10"/>
                <w:b w:val="1"/>
                <w:bCs w:val="1"/>
                <w:color w:val="auto"/>
                <w:w w:val="85"/>
              </w:rPr>
              <w:t>Assets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4"/>
          </w:tcPr>
          <w:p>
            <w:pPr>
              <w:ind w:left="460"/>
              <w:spacing w:after="0" w:line="114" w:lineRule="exact"/>
              <w:rPr>
                <w:sz w:val="20"/>
                <w:szCs w:val="20"/>
                <w:color w:val="auto"/>
              </w:rPr>
            </w:pPr>
            <w:r>
              <w:rPr>
                <w:rFonts w:ascii="Arial" w:cs="Arial" w:eastAsia="Arial" w:hAnsi="Arial"/>
                <w:sz w:val="10"/>
                <w:szCs w:val="10"/>
                <w:b w:val="1"/>
                <w:bCs w:val="1"/>
                <w:color w:val="auto"/>
              </w:rPr>
              <w:t>Liabilities</w:t>
            </w:r>
          </w:p>
        </w:tc>
        <w:tc>
          <w:tcPr>
            <w:tcW w:w="760" w:type="dxa"/>
            <w:vAlign w:val="bottom"/>
            <w:gridSpan w:val="3"/>
          </w:tcPr>
          <w:p>
            <w:pPr>
              <w:ind w:left="460"/>
              <w:spacing w:after="0" w:line="114" w:lineRule="exact"/>
              <w:rPr>
                <w:sz w:val="20"/>
                <w:szCs w:val="20"/>
                <w:color w:val="auto"/>
              </w:rPr>
            </w:pPr>
            <w:r>
              <w:rPr>
                <w:rFonts w:ascii="Arial" w:cs="Arial" w:eastAsia="Arial" w:hAnsi="Arial"/>
                <w:sz w:val="10"/>
                <w:szCs w:val="10"/>
                <w:b w:val="1"/>
                <w:bCs w:val="1"/>
                <w:color w:val="auto"/>
                <w:w w:val="91"/>
              </w:rPr>
              <w:t>Equity</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tcPr>
          <w:p>
            <w:pPr>
              <w:ind w:left="220"/>
              <w:spacing w:after="0" w:line="114" w:lineRule="exact"/>
              <w:rPr>
                <w:sz w:val="20"/>
                <w:szCs w:val="20"/>
                <w:color w:val="auto"/>
              </w:rPr>
            </w:pPr>
            <w:r>
              <w:rPr>
                <w:rFonts w:ascii="Arial" w:cs="Arial" w:eastAsia="Arial" w:hAnsi="Arial"/>
                <w:sz w:val="10"/>
                <w:szCs w:val="10"/>
                <w:b w:val="1"/>
                <w:bCs w:val="1"/>
                <w:color w:val="auto"/>
              </w:rPr>
              <w:t>Net income (loss)</w:t>
            </w:r>
          </w:p>
        </w:tc>
      </w:tr>
      <w:tr>
        <w:trPr>
          <w:trHeight w:val="97"/>
        </w:trPr>
        <w:tc>
          <w:tcPr>
            <w:tcW w:w="3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80" w:type="dxa"/>
            <w:vAlign w:val="bottom"/>
            <w:tcBorders>
              <w:top w:val="single" w:sz="8" w:color="auto"/>
              <w:bottom w:val="single" w:sz="8" w:color="auto"/>
            </w:tcBorders>
          </w:tcPr>
          <w:p>
            <w:pPr>
              <w:ind w:left="20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ind w:left="12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80" w:type="dxa"/>
            <w:vAlign w:val="bottom"/>
            <w:tcBorders>
              <w:top w:val="single" w:sz="8" w:color="auto"/>
              <w:bottom w:val="single" w:sz="8" w:color="auto"/>
            </w:tcBorders>
          </w:tcPr>
          <w:p>
            <w:pPr>
              <w:ind w:left="20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ind w:left="20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520" w:type="dxa"/>
            <w:vAlign w:val="bottom"/>
            <w:tcBorders>
              <w:top w:val="single" w:sz="8" w:color="auto"/>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100"/>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480" w:type="dxa"/>
            <w:vAlign w:val="bottom"/>
            <w:tcBorders>
              <w:top w:val="single" w:sz="8" w:color="auto"/>
              <w:bottom w:val="single" w:sz="8" w:color="auto"/>
            </w:tcBorders>
          </w:tcPr>
          <w:p>
            <w:pPr>
              <w:ind w:left="140"/>
              <w:spacing w:after="0" w:line="97"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8"/>
                <w:szCs w:val="8"/>
                <w:color w:val="auto"/>
              </w:rPr>
            </w:pPr>
          </w:p>
        </w:tc>
      </w:tr>
      <w:tr>
        <w:trPr>
          <w:trHeight w:val="88"/>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52"/>
              <w:spacing w:after="0" w:line="8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7"/>
                <w:szCs w:val="7"/>
                <w:color w:val="auto"/>
              </w:rPr>
            </w:pPr>
          </w:p>
        </w:tc>
        <w:tc>
          <w:tcPr>
            <w:tcW w:w="400" w:type="dxa"/>
            <w:vAlign w:val="bottom"/>
          </w:tcPr>
          <w:p>
            <w:pPr>
              <w:jc w:val="right"/>
              <w:ind w:right="52"/>
              <w:spacing w:after="0" w:line="8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7"/>
                <w:szCs w:val="7"/>
                <w:color w:val="auto"/>
              </w:rPr>
            </w:pPr>
          </w:p>
        </w:tc>
        <w:tc>
          <w:tcPr>
            <w:tcW w:w="580" w:type="dxa"/>
            <w:vAlign w:val="bottom"/>
          </w:tcPr>
          <w:p>
            <w:pPr>
              <w:ind w:left="20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ind w:left="12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80" w:type="dxa"/>
            <w:vAlign w:val="bottom"/>
          </w:tcPr>
          <w:p>
            <w:pPr>
              <w:ind w:left="20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80" w:type="dxa"/>
            <w:vAlign w:val="bottom"/>
          </w:tcPr>
          <w:p>
            <w:pPr>
              <w:ind w:left="18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20" w:type="dxa"/>
            <w:vAlign w:val="bottom"/>
          </w:tcPr>
          <w:p>
            <w:pPr>
              <w:ind w:left="16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ind w:left="10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480" w:type="dxa"/>
            <w:vAlign w:val="bottom"/>
          </w:tcPr>
          <w:p>
            <w:pPr>
              <w:ind w:left="140"/>
              <w:spacing w:after="0" w:line="88" w:lineRule="exact"/>
              <w:rPr>
                <w:sz w:val="20"/>
                <w:szCs w:val="20"/>
                <w:color w:val="auto"/>
              </w:rPr>
            </w:pPr>
            <w:r>
              <w:rPr>
                <w:rFonts w:ascii="Arial" w:cs="Arial" w:eastAsia="Arial" w:hAnsi="Arial"/>
                <w:sz w:val="10"/>
                <w:szCs w:val="10"/>
                <w:b w:val="1"/>
                <w:bCs w:val="1"/>
                <w:color w:val="auto"/>
                <w:w w:val="97"/>
              </w:rPr>
              <w:t>S/(000)</w:t>
            </w:r>
          </w:p>
        </w:tc>
        <w:tc>
          <w:tcPr>
            <w:tcW w:w="180" w:type="dxa"/>
            <w:vAlign w:val="bottom"/>
          </w:tcPr>
          <w:p>
            <w:pPr>
              <w:spacing w:after="0"/>
              <w:rPr>
                <w:sz w:val="7"/>
                <w:szCs w:val="7"/>
                <w:color w:val="auto"/>
              </w:rPr>
            </w:pPr>
          </w:p>
        </w:tc>
        <w:tc>
          <w:tcPr>
            <w:tcW w:w="480" w:type="dxa"/>
            <w:vAlign w:val="bottom"/>
          </w:tcPr>
          <w:p>
            <w:pPr>
              <w:ind w:left="140"/>
              <w:spacing w:after="0" w:line="88" w:lineRule="exact"/>
              <w:rPr>
                <w:sz w:val="20"/>
                <w:szCs w:val="20"/>
                <w:color w:val="auto"/>
              </w:rPr>
            </w:pPr>
            <w:r>
              <w:rPr>
                <w:rFonts w:ascii="Arial" w:cs="Arial" w:eastAsia="Arial" w:hAnsi="Arial"/>
                <w:sz w:val="10"/>
                <w:szCs w:val="10"/>
                <w:b w:val="1"/>
                <w:bCs w:val="1"/>
                <w:color w:val="auto"/>
                <w:w w:val="97"/>
              </w:rPr>
              <w:t>S/(000)</w:t>
            </w:r>
          </w:p>
        </w:tc>
        <w:tc>
          <w:tcPr>
            <w:tcW w:w="100" w:type="dxa"/>
            <w:vAlign w:val="bottom"/>
          </w:tcPr>
          <w:p>
            <w:pPr>
              <w:spacing w:after="0"/>
              <w:rPr>
                <w:sz w:val="7"/>
                <w:szCs w:val="7"/>
                <w:color w:val="auto"/>
              </w:rPr>
            </w:pPr>
          </w:p>
        </w:tc>
      </w:tr>
      <w:tr>
        <w:trPr>
          <w:trHeight w:val="87"/>
        </w:trPr>
        <w:tc>
          <w:tcPr>
            <w:tcW w:w="3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shd w:val="clear" w:color="auto" w:fill="CCEEFF"/>
          </w:tcPr>
          <w:p>
            <w:pPr>
              <w:ind w:left="20"/>
              <w:spacing w:after="0" w:line="87" w:lineRule="exact"/>
              <w:rPr>
                <w:sz w:val="20"/>
                <w:szCs w:val="20"/>
                <w:color w:val="auto"/>
              </w:rPr>
            </w:pPr>
            <w:r>
              <w:rPr>
                <w:rFonts w:ascii="Arial" w:cs="Arial" w:eastAsia="Arial" w:hAnsi="Arial"/>
                <w:sz w:val="10"/>
                <w:szCs w:val="10"/>
                <w:color w:val="auto"/>
              </w:rPr>
              <w:t>Banking,</w:t>
            </w: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12"/>
        </w:trPr>
        <w:tc>
          <w:tcPr>
            <w:tcW w:w="330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Banco de Crédito del Perú and Subsidiaries (a)</w:t>
            </w:r>
          </w:p>
        </w:tc>
        <w:tc>
          <w:tcPr>
            <w:tcW w:w="6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0"/>
                <w:szCs w:val="10"/>
                <w:color w:val="auto"/>
              </w:rPr>
              <w:t>Peru</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97.71</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97.71</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152,426,848</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w w:val="86"/>
              </w:rPr>
              <w:t>144,768,951</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133,456,760</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127,683,654</w:t>
            </w: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w w:val="99"/>
              </w:rPr>
              <w:t>18,970,088</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87"/>
              </w:rPr>
              <w:t>17,085,297</w:t>
            </w:r>
          </w:p>
        </w:tc>
        <w:tc>
          <w:tcPr>
            <w:tcW w:w="1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3,641,935</w:t>
            </w:r>
          </w:p>
        </w:tc>
        <w:tc>
          <w:tcPr>
            <w:tcW w:w="4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3,391,015</w:t>
            </w:r>
          </w:p>
        </w:tc>
        <w:tc>
          <w:tcPr>
            <w:tcW w:w="100" w:type="dxa"/>
            <w:vAlign w:val="bottom"/>
            <w:shd w:val="clear" w:color="auto" w:fill="CCEEFF"/>
          </w:tcPr>
          <w:p>
            <w:pPr>
              <w:spacing w:after="0"/>
              <w:rPr>
                <w:sz w:val="9"/>
                <w:szCs w:val="9"/>
                <w:color w:val="auto"/>
              </w:rPr>
            </w:pPr>
          </w:p>
        </w:tc>
      </w:tr>
      <w:tr>
        <w:trPr>
          <w:trHeight w:val="87"/>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ind w:left="20"/>
              <w:spacing w:after="0" w:line="87" w:lineRule="exact"/>
              <w:rPr>
                <w:sz w:val="20"/>
                <w:szCs w:val="20"/>
                <w:color w:val="auto"/>
              </w:rPr>
            </w:pPr>
            <w:r>
              <w:rPr>
                <w:rFonts w:ascii="Arial" w:cs="Arial" w:eastAsia="Arial" w:hAnsi="Arial"/>
                <w:sz w:val="10"/>
                <w:szCs w:val="10"/>
                <w:color w:val="auto"/>
              </w:rPr>
              <w:t>Banking,</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2"/>
        </w:trPr>
        <w:tc>
          <w:tcPr>
            <w:tcW w:w="330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Inversiones Credicorp Bolivia S.A. and Subsidiaries (b)</w:t>
            </w:r>
          </w:p>
        </w:tc>
        <w:tc>
          <w:tcPr>
            <w:tcW w:w="66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Bolivia</w:t>
            </w:r>
          </w:p>
        </w:tc>
        <w:tc>
          <w:tcPr>
            <w:tcW w:w="5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99.96</w:t>
            </w:r>
          </w:p>
        </w:tc>
        <w:tc>
          <w:tcPr>
            <w:tcW w:w="5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99.96</w:t>
            </w:r>
          </w:p>
        </w:tc>
        <w:tc>
          <w:tcPr>
            <w:tcW w:w="580" w:type="dxa"/>
            <w:vAlign w:val="bottom"/>
          </w:tcPr>
          <w:p>
            <w:pPr>
              <w:jc w:val="right"/>
              <w:spacing w:after="0" w:line="112" w:lineRule="exact"/>
              <w:rPr>
                <w:sz w:val="20"/>
                <w:szCs w:val="20"/>
                <w:color w:val="auto"/>
              </w:rPr>
            </w:pPr>
            <w:r>
              <w:rPr>
                <w:rFonts w:ascii="Arial" w:cs="Arial" w:eastAsia="Arial" w:hAnsi="Arial"/>
                <w:sz w:val="10"/>
                <w:szCs w:val="10"/>
                <w:color w:val="auto"/>
              </w:rPr>
              <w:t>10,552,154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w w:val="95"/>
              </w:rPr>
              <w:t>10,020,148</w:t>
            </w:r>
          </w:p>
        </w:tc>
        <w:tc>
          <w:tcPr>
            <w:tcW w:w="7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9,773,372</w:t>
            </w:r>
          </w:p>
        </w:tc>
        <w:tc>
          <w:tcPr>
            <w:tcW w:w="7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9,239,568</w:t>
            </w:r>
          </w:p>
        </w:tc>
        <w:tc>
          <w:tcPr>
            <w:tcW w:w="7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778,782</w:t>
            </w:r>
          </w:p>
        </w:tc>
        <w:tc>
          <w:tcPr>
            <w:tcW w:w="60" w:type="dxa"/>
            <w:vAlign w:val="bottom"/>
          </w:tcPr>
          <w:p>
            <w:pPr>
              <w:spacing w:after="0"/>
              <w:rPr>
                <w:sz w:val="9"/>
                <w:szCs w:val="9"/>
                <w:color w:val="auto"/>
              </w:rPr>
            </w:pPr>
          </w:p>
        </w:tc>
        <w:tc>
          <w:tcPr>
            <w:tcW w:w="6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780,580</w:t>
            </w:r>
          </w:p>
        </w:tc>
        <w:tc>
          <w:tcPr>
            <w:tcW w:w="66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94,666</w:t>
            </w:r>
          </w:p>
        </w:tc>
        <w:tc>
          <w:tcPr>
            <w:tcW w:w="5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99,402</w:t>
            </w:r>
          </w:p>
        </w:tc>
      </w:tr>
      <w:tr>
        <w:trPr>
          <w:trHeight w:val="87"/>
        </w:trPr>
        <w:tc>
          <w:tcPr>
            <w:tcW w:w="3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shd w:val="clear" w:color="auto" w:fill="CCEEFF"/>
          </w:tcPr>
          <w:p>
            <w:pPr>
              <w:ind w:left="20"/>
              <w:spacing w:after="0" w:line="87" w:lineRule="exact"/>
              <w:rPr>
                <w:sz w:val="20"/>
                <w:szCs w:val="20"/>
                <w:color w:val="auto"/>
              </w:rPr>
            </w:pPr>
            <w:r>
              <w:rPr>
                <w:rFonts w:ascii="Arial" w:cs="Arial" w:eastAsia="Arial" w:hAnsi="Arial"/>
                <w:sz w:val="10"/>
                <w:szCs w:val="10"/>
                <w:color w:val="auto"/>
              </w:rPr>
              <w:t>Private</w:t>
            </w: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9"/>
        </w:trPr>
        <w:tc>
          <w:tcPr>
            <w:tcW w:w="3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pension fund</w:t>
            </w: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3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administrator,</w:t>
            </w: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2"/>
        </w:trPr>
        <w:tc>
          <w:tcPr>
            <w:tcW w:w="330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Prima AFP (c)</w:t>
            </w:r>
          </w:p>
        </w:tc>
        <w:tc>
          <w:tcPr>
            <w:tcW w:w="6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0"/>
                <w:szCs w:val="10"/>
                <w:color w:val="auto"/>
              </w:rPr>
              <w:t>Peru</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100.00</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982,591</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874,649</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284,643</w:t>
            </w:r>
          </w:p>
        </w:tc>
        <w:tc>
          <w:tcPr>
            <w:tcW w:w="7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241,307</w:t>
            </w:r>
          </w:p>
        </w:tc>
        <w:tc>
          <w:tcPr>
            <w:tcW w:w="7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697,948</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633,342</w:t>
            </w:r>
          </w:p>
        </w:tc>
        <w:tc>
          <w:tcPr>
            <w:tcW w:w="66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196,590</w:t>
            </w:r>
          </w:p>
        </w:tc>
        <w:tc>
          <w:tcPr>
            <w:tcW w:w="5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139,586</w:t>
            </w:r>
          </w:p>
        </w:tc>
      </w:tr>
      <w:tr>
        <w:trPr>
          <w:trHeight w:val="87"/>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ind w:left="20"/>
              <w:spacing w:after="0" w:line="87" w:lineRule="exact"/>
              <w:rPr>
                <w:sz w:val="20"/>
                <w:szCs w:val="20"/>
                <w:color w:val="auto"/>
              </w:rPr>
            </w:pPr>
            <w:r>
              <w:rPr>
                <w:rFonts w:ascii="Arial" w:cs="Arial" w:eastAsia="Arial" w:hAnsi="Arial"/>
                <w:sz w:val="10"/>
                <w:szCs w:val="10"/>
                <w:color w:val="auto"/>
              </w:rPr>
              <w:t>Holding,</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22"/>
        </w:trPr>
        <w:tc>
          <w:tcPr>
            <w:tcW w:w="3300" w:type="dxa"/>
            <w:vAlign w:val="bottom"/>
            <w:gridSpan w:val="2"/>
          </w:tcPr>
          <w:p>
            <w:pPr>
              <w:ind w:left="40"/>
              <w:spacing w:after="0"/>
              <w:rPr>
                <w:sz w:val="20"/>
                <w:szCs w:val="20"/>
                <w:color w:val="auto"/>
              </w:rPr>
            </w:pPr>
            <w:r>
              <w:rPr>
                <w:rFonts w:ascii="Arial" w:cs="Arial" w:eastAsia="Arial" w:hAnsi="Arial"/>
                <w:sz w:val="10"/>
                <w:szCs w:val="10"/>
                <w:color w:val="auto"/>
              </w:rPr>
              <w:t>Krealo SpA and Subsidiaries (d)</w:t>
            </w:r>
          </w:p>
        </w:tc>
        <w:tc>
          <w:tcPr>
            <w:tcW w:w="660" w:type="dxa"/>
            <w:vAlign w:val="bottom"/>
            <w:gridSpan w:val="2"/>
          </w:tcPr>
          <w:p>
            <w:pPr>
              <w:ind w:left="20"/>
              <w:spacing w:after="0"/>
              <w:rPr>
                <w:sz w:val="20"/>
                <w:szCs w:val="20"/>
                <w:color w:val="auto"/>
              </w:rPr>
            </w:pPr>
            <w:r>
              <w:rPr>
                <w:rFonts w:ascii="Arial" w:cs="Arial" w:eastAsia="Arial" w:hAnsi="Arial"/>
                <w:sz w:val="10"/>
                <w:szCs w:val="10"/>
                <w:color w:val="auto"/>
              </w:rPr>
              <w:t>Chile</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100.00</w:t>
            </w: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72,847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41,765</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31,082</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(6,476)</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r>
    </w:tbl>
    <w:p>
      <w:pPr>
        <w:spacing w:after="0" w:line="287" w:lineRule="exact"/>
        <w:rPr>
          <w:sz w:val="20"/>
          <w:szCs w:val="20"/>
          <w:color w:val="auto"/>
        </w:rPr>
      </w:pPr>
    </w:p>
    <w:p>
      <w:pPr>
        <w:ind w:left="440" w:right="300" w:hanging="219"/>
        <w:spacing w:after="0" w:line="276" w:lineRule="auto"/>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14" w:lineRule="exact"/>
        <w:rPr>
          <w:rFonts w:ascii="Arial" w:cs="Arial" w:eastAsia="Arial" w:hAnsi="Arial"/>
          <w:sz w:val="12"/>
          <w:szCs w:val="12"/>
          <w:color w:val="auto"/>
        </w:rPr>
      </w:pPr>
    </w:p>
    <w:p>
      <w:pPr>
        <w:ind w:left="440"/>
        <w:spacing w:after="0" w:line="263" w:lineRule="auto"/>
        <w:rPr>
          <w:rFonts w:ascii="Arial" w:cs="Arial" w:eastAsia="Arial" w:hAnsi="Arial"/>
          <w:sz w:val="12"/>
          <w:szCs w:val="12"/>
          <w:color w:val="auto"/>
        </w:rPr>
      </w:pPr>
      <w:r>
        <w:rPr>
          <w:rFonts w:ascii="Arial" w:cs="Arial" w:eastAsia="Arial" w:hAnsi="Arial"/>
          <w:sz w:val="12"/>
          <w:szCs w:val="12"/>
          <w:color w:val="auto"/>
        </w:rPr>
        <w:t>Its main Subsidiary is Mibanco, Banco de la Microempresa S.A. (hereinafter “MiBanco”), a banking entity in Peru oriented towards the micro and small business sector. At December 31, 2019, the assets, liabilities, equity and net income of Mibanco amount to approximately S/13,741.7 million, S/11,655.7 million, S/2,086.0 million and S/401.0 million, respectively (S/13,220.3 million, S/11,321.8 million, S/1,898.5 million, and S/462.1 million, respectively at December 31, 2018).</w:t>
      </w:r>
    </w:p>
    <w:p>
      <w:pPr>
        <w:spacing w:after="0" w:line="266" w:lineRule="exact"/>
        <w:rPr>
          <w:rFonts w:ascii="Arial" w:cs="Arial" w:eastAsia="Arial" w:hAnsi="Arial"/>
          <w:sz w:val="12"/>
          <w:szCs w:val="12"/>
          <w:color w:val="auto"/>
        </w:rPr>
      </w:pPr>
    </w:p>
    <w:p>
      <w:pPr>
        <w:ind w:left="5260" w:hanging="72"/>
        <w:spacing w:after="0"/>
        <w:tabs>
          <w:tab w:leader="none" w:pos="5260" w:val="left"/>
        </w:tabs>
        <w:numPr>
          <w:ilvl w:val="1"/>
          <w:numId w:val="28"/>
        </w:numPr>
        <w:rPr>
          <w:rFonts w:ascii="Arial" w:cs="Arial" w:eastAsia="Arial" w:hAnsi="Arial"/>
          <w:sz w:val="12"/>
          <w:szCs w:val="12"/>
          <w:color w:val="auto"/>
        </w:rPr>
      </w:pPr>
      <w:r>
        <w:rPr>
          <w:rFonts w:ascii="Arial" w:cs="Arial" w:eastAsia="Arial" w:hAnsi="Arial"/>
          <w:sz w:val="12"/>
          <w:szCs w:val="12"/>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37" w:name="page38"/>
    <w:bookmarkEnd w:id="37"/>
    <w:p>
      <w:pPr>
        <w:jc w:val="both"/>
        <w:ind w:left="436" w:hanging="219"/>
        <w:spacing w:after="0" w:line="263" w:lineRule="auto"/>
        <w:tabs>
          <w:tab w:leader="none" w:pos="436" w:val="left"/>
        </w:tabs>
        <w:numPr>
          <w:ilvl w:val="1"/>
          <w:numId w:val="29"/>
        </w:numPr>
        <w:rPr>
          <w:rFonts w:ascii="Arial" w:cs="Arial" w:eastAsia="Arial" w:hAnsi="Arial"/>
          <w:sz w:val="12"/>
          <w:szCs w:val="12"/>
          <w:color w:val="auto"/>
        </w:rPr>
      </w:pPr>
      <w:r>
        <w:rPr>
          <w:rFonts w:ascii="Arial" w:cs="Arial" w:eastAsia="Arial" w:hAnsi="Arial"/>
          <w:sz w:val="12"/>
          <w:szCs w:val="12"/>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22" w:lineRule="exact"/>
        <w:rPr>
          <w:rFonts w:ascii="Arial" w:cs="Arial" w:eastAsia="Arial" w:hAnsi="Arial"/>
          <w:sz w:val="12"/>
          <w:szCs w:val="12"/>
          <w:color w:val="auto"/>
        </w:rPr>
      </w:pPr>
    </w:p>
    <w:p>
      <w:pPr>
        <w:ind w:left="436"/>
        <w:spacing w:after="0" w:line="323" w:lineRule="auto"/>
        <w:rPr>
          <w:rFonts w:ascii="Arial" w:cs="Arial" w:eastAsia="Arial" w:hAnsi="Arial"/>
          <w:sz w:val="12"/>
          <w:szCs w:val="12"/>
          <w:color w:val="auto"/>
        </w:rPr>
      </w:pPr>
      <w:r>
        <w:rPr>
          <w:rFonts w:ascii="Arial" w:cs="Arial" w:eastAsia="Arial" w:hAnsi="Arial"/>
          <w:sz w:val="11"/>
          <w:szCs w:val="11"/>
          <w:color w:val="auto"/>
        </w:rPr>
        <w:t>Its principal Subsidiary is Banco de Crédito de Bolivia (hereinafter “BCB”), a commercial bank which operates in Bolivia. At December 31, 2019, the assets, liabilities, equity and net profit of BCB were approximately S/10,480.9 million, S/9,743.9 million, S/737.0 million and S/79.0 million, respectively (S/9,956.9 million, S/ 9,265.8 million, S/691.1 million and S/78.3 million, respectively at December 31, 2018).</w:t>
      </w:r>
    </w:p>
    <w:p>
      <w:pPr>
        <w:spacing w:after="0" w:line="91" w:lineRule="exact"/>
        <w:rPr>
          <w:rFonts w:ascii="Arial" w:cs="Arial" w:eastAsia="Arial" w:hAnsi="Arial"/>
          <w:sz w:val="12"/>
          <w:szCs w:val="12"/>
          <w:color w:val="auto"/>
        </w:rPr>
      </w:pPr>
    </w:p>
    <w:p>
      <w:pPr>
        <w:ind w:left="436" w:hanging="219"/>
        <w:spacing w:after="0"/>
        <w:tabs>
          <w:tab w:leader="none" w:pos="436" w:val="left"/>
        </w:tabs>
        <w:numPr>
          <w:ilvl w:val="1"/>
          <w:numId w:val="29"/>
        </w:numPr>
        <w:rPr>
          <w:rFonts w:ascii="Arial" w:cs="Arial" w:eastAsia="Arial" w:hAnsi="Arial"/>
          <w:sz w:val="12"/>
          <w:szCs w:val="12"/>
          <w:color w:val="auto"/>
        </w:rPr>
      </w:pPr>
      <w:r>
        <w:rPr>
          <w:rFonts w:ascii="Arial" w:cs="Arial" w:eastAsia="Arial" w:hAnsi="Arial"/>
          <w:sz w:val="12"/>
          <w:szCs w:val="12"/>
          <w:color w:val="auto"/>
        </w:rPr>
        <w:t>Prima AFP is a private pension fund and its activities are regulated by the SBS.</w:t>
      </w:r>
    </w:p>
    <w:p>
      <w:pPr>
        <w:spacing w:after="0" w:line="150" w:lineRule="exact"/>
        <w:rPr>
          <w:rFonts w:ascii="Arial" w:cs="Arial" w:eastAsia="Arial" w:hAnsi="Arial"/>
          <w:sz w:val="12"/>
          <w:szCs w:val="12"/>
          <w:color w:val="auto"/>
        </w:rPr>
      </w:pPr>
    </w:p>
    <w:p>
      <w:pPr>
        <w:ind w:left="436" w:hanging="219"/>
        <w:spacing w:after="0"/>
        <w:tabs>
          <w:tab w:leader="none" w:pos="436" w:val="left"/>
        </w:tabs>
        <w:numPr>
          <w:ilvl w:val="1"/>
          <w:numId w:val="29"/>
        </w:numPr>
        <w:rPr>
          <w:rFonts w:ascii="Arial" w:cs="Arial" w:eastAsia="Arial" w:hAnsi="Arial"/>
          <w:sz w:val="11"/>
          <w:szCs w:val="11"/>
          <w:color w:val="auto"/>
        </w:rPr>
      </w:pPr>
      <w:r>
        <w:rPr>
          <w:rFonts w:ascii="Arial" w:cs="Arial" w:eastAsia="Arial" w:hAnsi="Arial"/>
          <w:sz w:val="11"/>
          <w:szCs w:val="11"/>
          <w:color w:val="auto"/>
        </w:rPr>
        <w:t>Krealo SpA (hereinafter “Krealo") was established in January 2019; and is oriented to make capital investments outside the country. On July 1, 2019, Krealo acquired Tenpo SpA and Multicaja Prepago S.A.</w:t>
      </w:r>
    </w:p>
    <w:p>
      <w:pPr>
        <w:spacing w:after="0" w:line="161" w:lineRule="exact"/>
        <w:rPr>
          <w:rFonts w:ascii="Arial" w:cs="Arial" w:eastAsia="Arial" w:hAnsi="Arial"/>
          <w:sz w:val="11"/>
          <w:szCs w:val="11"/>
          <w:color w:val="auto"/>
        </w:rPr>
      </w:pPr>
    </w:p>
    <w:p>
      <w:pPr>
        <w:ind w:left="216" w:right="40" w:hanging="216"/>
        <w:spacing w:after="0" w:line="380" w:lineRule="auto"/>
        <w:tabs>
          <w:tab w:leader="none" w:pos="216" w:val="left"/>
        </w:tabs>
        <w:numPr>
          <w:ilvl w:val="0"/>
          <w:numId w:val="30"/>
        </w:numPr>
        <w:rPr>
          <w:rFonts w:ascii="Arial" w:cs="Arial" w:eastAsia="Arial" w:hAnsi="Arial"/>
          <w:sz w:val="10"/>
          <w:szCs w:val="10"/>
          <w:color w:val="auto"/>
        </w:rPr>
      </w:pPr>
      <w:r>
        <w:rPr>
          <w:rFonts w:ascii="Arial" w:cs="Arial" w:eastAsia="Arial" w:hAnsi="Arial"/>
          <w:sz w:val="10"/>
          <w:szCs w:val="10"/>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and Crediseguro Seguros Generales, and it has Pacífico EPS as an associate, which are dynamic participants in the business of multiple and health insurance, respectively.</w:t>
      </w:r>
    </w:p>
    <w:p>
      <w:pPr>
        <w:spacing w:after="0" w:line="68" w:lineRule="exact"/>
        <w:rPr>
          <w:rFonts w:ascii="Arial" w:cs="Arial" w:eastAsia="Arial" w:hAnsi="Arial"/>
          <w:sz w:val="10"/>
          <w:szCs w:val="10"/>
          <w:color w:val="auto"/>
        </w:rPr>
      </w:pPr>
    </w:p>
    <w:p>
      <w:pPr>
        <w:ind w:left="216" w:right="60" w:hanging="216"/>
        <w:spacing w:after="0" w:line="276" w:lineRule="auto"/>
        <w:tabs>
          <w:tab w:leader="none" w:pos="216" w:val="left"/>
        </w:tabs>
        <w:numPr>
          <w:ilvl w:val="0"/>
          <w:numId w:val="30"/>
        </w:numPr>
        <w:rPr>
          <w:rFonts w:ascii="Arial" w:cs="Arial" w:eastAsia="Arial" w:hAnsi="Arial"/>
          <w:sz w:val="12"/>
          <w:szCs w:val="12"/>
          <w:color w:val="auto"/>
        </w:rPr>
      </w:pPr>
      <w:r>
        <w:rPr>
          <w:rFonts w:ascii="Arial" w:cs="Arial" w:eastAsia="Arial" w:hAnsi="Arial"/>
          <w:sz w:val="12"/>
          <w:szCs w:val="12"/>
          <w:color w:val="auto"/>
        </w:rPr>
        <w:t>Its most important Subsidiary is Atlantic Security Bank (ASB), which is incorporated in the Cayman Islands and operates through branches and offices in Grand Cayman and the Republic of Panama; its main activities are private and institutional banking services and trustee administration, mainly for BCP’s Peruvian customers.</w:t>
      </w:r>
    </w:p>
    <w:p>
      <w:pPr>
        <w:spacing w:after="0" w:line="114" w:lineRule="exact"/>
        <w:rPr>
          <w:rFonts w:ascii="Arial" w:cs="Arial" w:eastAsia="Arial" w:hAnsi="Arial"/>
          <w:sz w:val="12"/>
          <w:szCs w:val="12"/>
          <w:color w:val="auto"/>
        </w:rPr>
      </w:pPr>
    </w:p>
    <w:p>
      <w:pPr>
        <w:ind w:left="216" w:right="200" w:hanging="216"/>
        <w:spacing w:after="0" w:line="263" w:lineRule="auto"/>
        <w:tabs>
          <w:tab w:leader="none" w:pos="216" w:val="left"/>
        </w:tabs>
        <w:numPr>
          <w:ilvl w:val="0"/>
          <w:numId w:val="30"/>
        </w:numPr>
        <w:rPr>
          <w:rFonts w:ascii="Arial" w:cs="Arial" w:eastAsia="Arial" w:hAnsi="Arial"/>
          <w:sz w:val="12"/>
          <w:szCs w:val="12"/>
          <w:color w:val="auto"/>
        </w:rPr>
      </w:pPr>
      <w:r>
        <w:rPr>
          <w:rFonts w:ascii="Arial" w:cs="Arial" w:eastAsia="Arial" w:hAnsi="Arial"/>
          <w:sz w:val="12"/>
          <w:szCs w:val="12"/>
          <w:color w:val="auto"/>
        </w:rPr>
        <w:t>Credicorp Capital Ltd. was formed in 2012, and its main subsidiaries are Credicorp Capital Holding Peru (owner of Credicorp Capital Perú S.A.A.), Credicorp Holding Colombia (owner of Credicorp Capital Colombia, Ultraserfinco S.A. and Banco Compartir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19" w:lineRule="exact"/>
        <w:rPr>
          <w:sz w:val="20"/>
          <w:szCs w:val="20"/>
          <w:color w:val="auto"/>
        </w:rPr>
      </w:pPr>
    </w:p>
    <w:tbl>
      <w:tblPr>
        <w:tblLayout w:type="fixed"/>
        <w:tblInd w:w="216"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5"/>
              </w:rPr>
              <w:t>Percentage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1"/>
              </w:rPr>
              <w:t>interest (direct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800" w:type="dxa"/>
            <w:vAlign w:val="bottom"/>
            <w:gridSpan w:val="2"/>
          </w:tcPr>
          <w:p>
            <w:pPr>
              <w:spacing w:after="0"/>
              <w:rPr>
                <w:sz w:val="20"/>
                <w:szCs w:val="20"/>
                <w:color w:val="auto"/>
              </w:rPr>
            </w:pPr>
            <w:r>
              <w:rPr>
                <w:rFonts w:ascii="Arial" w:cs="Arial" w:eastAsia="Arial" w:hAnsi="Arial"/>
                <w:sz w:val="12"/>
                <w:szCs w:val="12"/>
                <w:b w:val="1"/>
                <w:bCs w:val="1"/>
                <w:color w:val="auto"/>
              </w:rPr>
              <w:t>Entity</w:t>
            </w: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4"/>
              </w:rPr>
              <w:t>and indirect)</w:t>
            </w:r>
          </w:p>
        </w:tc>
        <w:tc>
          <w:tcPr>
            <w:tcW w:w="840" w:type="dxa"/>
            <w:vAlign w:val="bottom"/>
            <w:gridSpan w:val="3"/>
          </w:tcPr>
          <w:p>
            <w:pPr>
              <w:ind w:left="500"/>
              <w:spacing w:after="0"/>
              <w:rPr>
                <w:sz w:val="20"/>
                <w:szCs w:val="20"/>
                <w:color w:val="auto"/>
              </w:rPr>
            </w:pPr>
            <w:r>
              <w:rPr>
                <w:rFonts w:ascii="Arial" w:cs="Arial" w:eastAsia="Arial" w:hAnsi="Arial"/>
                <w:sz w:val="12"/>
                <w:szCs w:val="12"/>
                <w:b w:val="1"/>
                <w:bCs w:val="1"/>
                <w:color w:val="auto"/>
                <w:w w:val="81"/>
              </w:rPr>
              <w:t>Assets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Liabilities</w:t>
            </w:r>
          </w:p>
        </w:tc>
        <w:tc>
          <w:tcPr>
            <w:tcW w:w="134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Equity</w:t>
            </w:r>
          </w:p>
        </w:tc>
        <w:tc>
          <w:tcPr>
            <w:tcW w:w="120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7"/>
              </w:rPr>
              <w:t>Net income (loss)</w:t>
            </w:r>
          </w:p>
        </w:tc>
      </w:tr>
      <w:tr>
        <w:trPr>
          <w:trHeight w:val="142"/>
        </w:trPr>
        <w:tc>
          <w:tcPr>
            <w:tcW w:w="2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2"/>
                <w:szCs w:val="12"/>
                <w:color w:val="auto"/>
              </w:rPr>
            </w:pPr>
          </w:p>
        </w:tc>
      </w:tr>
      <w:tr>
        <w:trPr>
          <w:trHeight w:val="133"/>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6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9"/>
              </w:rPr>
              <w:t>Credicorp Holding Colombia S.A.S. and Subsidiaries</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2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3,400,683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6"/>
              </w:rPr>
              <w:t>2,037,411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2,692,520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1,761,112</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708,163</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276,299</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22,964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19,945</w:t>
            </w: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Credicorp Capital Holding Chile and Subsidiaries (b)</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100.00</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100.00</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1,161,991</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933,822</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1,017,072</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762,192</w:t>
            </w:r>
          </w:p>
        </w:tc>
        <w:tc>
          <w:tcPr>
            <w:tcW w:w="500" w:type="dxa"/>
            <w:vAlign w:val="bottom"/>
          </w:tcPr>
          <w:p>
            <w:pPr>
              <w:jc w:val="right"/>
              <w:spacing w:after="0"/>
              <w:rPr>
                <w:sz w:val="20"/>
                <w:szCs w:val="20"/>
                <w:color w:val="auto"/>
              </w:rPr>
            </w:pPr>
            <w:r>
              <w:rPr>
                <w:rFonts w:ascii="Arial" w:cs="Arial" w:eastAsia="Arial" w:hAnsi="Arial"/>
                <w:sz w:val="12"/>
                <w:szCs w:val="12"/>
                <w:color w:val="auto"/>
              </w:rPr>
              <w:t>144,919</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171,630</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(5,222)</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(36,663)</w:t>
            </w:r>
          </w:p>
        </w:tc>
      </w:tr>
      <w:tr>
        <w:trPr>
          <w:trHeight w:val="135"/>
        </w:trPr>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8"/>
              </w:rPr>
              <w:t>Credicorp Capital Holding Perú S.A. and Subsidiaries</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2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228,421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339,220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114,913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141,943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113,508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197,277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24,452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42,684</w:t>
            </w:r>
          </w:p>
        </w:tc>
      </w:tr>
    </w:tbl>
    <w:p>
      <w:pPr>
        <w:spacing w:after="0" w:line="135" w:lineRule="exact"/>
        <w:rPr>
          <w:sz w:val="20"/>
          <w:szCs w:val="20"/>
          <w:color w:val="auto"/>
        </w:rPr>
      </w:pPr>
    </w:p>
    <w:p>
      <w:pPr>
        <w:ind w:left="436" w:right="200" w:hanging="219"/>
        <w:spacing w:after="0" w:line="276" w:lineRule="auto"/>
        <w:tabs>
          <w:tab w:leader="none" w:pos="436" w:val="left"/>
        </w:tabs>
        <w:numPr>
          <w:ilvl w:val="1"/>
          <w:numId w:val="31"/>
        </w:numPr>
        <w:rPr>
          <w:rFonts w:ascii="Arial" w:cs="Arial" w:eastAsia="Arial" w:hAnsi="Arial"/>
          <w:sz w:val="12"/>
          <w:szCs w:val="12"/>
          <w:color w:val="auto"/>
        </w:rPr>
      </w:pPr>
      <w:r>
        <w:rPr>
          <w:rFonts w:ascii="Arial" w:cs="Arial" w:eastAsia="Arial" w:hAnsi="Arial"/>
          <w:sz w:val="12"/>
          <w:szCs w:val="12"/>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 Its main subsidiary is Credicorp Capital Colombia S.A.</w:t>
      </w:r>
    </w:p>
    <w:p>
      <w:pPr>
        <w:spacing w:after="0" w:line="114" w:lineRule="exact"/>
        <w:rPr>
          <w:rFonts w:ascii="Arial" w:cs="Arial" w:eastAsia="Arial" w:hAnsi="Arial"/>
          <w:sz w:val="12"/>
          <w:szCs w:val="12"/>
          <w:color w:val="auto"/>
        </w:rPr>
      </w:pPr>
    </w:p>
    <w:p>
      <w:pPr>
        <w:ind w:left="436" w:right="200" w:hanging="219"/>
        <w:spacing w:after="0" w:line="276" w:lineRule="auto"/>
        <w:tabs>
          <w:tab w:leader="none" w:pos="436" w:val="left"/>
        </w:tabs>
        <w:numPr>
          <w:ilvl w:val="1"/>
          <w:numId w:val="31"/>
        </w:numPr>
        <w:rPr>
          <w:rFonts w:ascii="Arial" w:cs="Arial" w:eastAsia="Arial" w:hAnsi="Arial"/>
          <w:sz w:val="12"/>
          <w:szCs w:val="12"/>
          <w:color w:val="auto"/>
        </w:rPr>
      </w:pPr>
      <w:r>
        <w:rPr>
          <w:rFonts w:ascii="Arial" w:cs="Arial" w:eastAsia="Arial" w:hAnsi="Arial"/>
          <w:sz w:val="12"/>
          <w:szCs w:val="12"/>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14" w:lineRule="exact"/>
        <w:rPr>
          <w:rFonts w:ascii="Arial" w:cs="Arial" w:eastAsia="Arial" w:hAnsi="Arial"/>
          <w:sz w:val="12"/>
          <w:szCs w:val="12"/>
          <w:color w:val="auto"/>
        </w:rPr>
      </w:pPr>
    </w:p>
    <w:p>
      <w:pPr>
        <w:ind w:left="436" w:hanging="219"/>
        <w:spacing w:after="0" w:line="323" w:lineRule="auto"/>
        <w:tabs>
          <w:tab w:leader="none" w:pos="436" w:val="left"/>
        </w:tabs>
        <w:numPr>
          <w:ilvl w:val="1"/>
          <w:numId w:val="31"/>
        </w:numPr>
        <w:rPr>
          <w:rFonts w:ascii="Arial" w:cs="Arial" w:eastAsia="Arial" w:hAnsi="Arial"/>
          <w:sz w:val="11"/>
          <w:szCs w:val="11"/>
          <w:color w:val="auto"/>
        </w:rPr>
      </w:pPr>
      <w:r>
        <w:rPr>
          <w:rFonts w:ascii="Arial" w:cs="Arial" w:eastAsia="Arial" w:hAnsi="Arial"/>
          <w:sz w:val="11"/>
          <w:szCs w:val="11"/>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91" w:lineRule="exact"/>
        <w:rPr>
          <w:rFonts w:ascii="Arial" w:cs="Arial" w:eastAsia="Arial" w:hAnsi="Arial"/>
          <w:sz w:val="11"/>
          <w:szCs w:val="11"/>
          <w:color w:val="auto"/>
        </w:rPr>
      </w:pPr>
    </w:p>
    <w:p>
      <w:pPr>
        <w:ind w:left="216" w:hanging="216"/>
        <w:spacing w:after="0"/>
        <w:tabs>
          <w:tab w:leader="none" w:pos="216" w:val="left"/>
        </w:tabs>
        <w:numPr>
          <w:ilvl w:val="0"/>
          <w:numId w:val="32"/>
        </w:numPr>
        <w:rPr>
          <w:rFonts w:ascii="Arial" w:cs="Arial" w:eastAsia="Arial" w:hAnsi="Arial"/>
          <w:sz w:val="12"/>
          <w:szCs w:val="12"/>
          <w:color w:val="auto"/>
        </w:rPr>
      </w:pPr>
      <w:r>
        <w:rPr>
          <w:rFonts w:ascii="Arial" w:cs="Arial" w:eastAsia="Arial" w:hAnsi="Arial"/>
          <w:sz w:val="12"/>
          <w:szCs w:val="12"/>
          <w:color w:val="auto"/>
        </w:rPr>
        <w:t>CCR Inc. was incorporated in 2000, its main activity is to manage loans granted to BCP by foreign financial entities, See Note 17(a)(iii). These loans are collateralized by transactions performed by BCP.</w:t>
      </w:r>
    </w:p>
    <w:p>
      <w:pPr>
        <w:spacing w:after="0" w:line="294" w:lineRule="exact"/>
        <w:rPr>
          <w:rFonts w:ascii="Arial" w:cs="Arial" w:eastAsia="Arial" w:hAnsi="Arial"/>
          <w:sz w:val="12"/>
          <w:szCs w:val="12"/>
          <w:color w:val="auto"/>
        </w:rPr>
      </w:pPr>
    </w:p>
    <w:p>
      <w:pPr>
        <w:ind w:left="5256" w:hanging="72"/>
        <w:spacing w:after="0"/>
        <w:tabs>
          <w:tab w:leader="none" w:pos="5256" w:val="left"/>
        </w:tabs>
        <w:numPr>
          <w:ilvl w:val="2"/>
          <w:numId w:val="32"/>
        </w:numPr>
        <w:rPr>
          <w:rFonts w:ascii="Arial" w:cs="Arial" w:eastAsia="Arial" w:hAnsi="Arial"/>
          <w:sz w:val="12"/>
          <w:szCs w:val="12"/>
          <w:color w:val="auto"/>
        </w:rPr>
      </w:pPr>
      <w:r>
        <w:rPr>
          <w:rFonts w:ascii="Arial" w:cs="Arial" w:eastAsia="Arial" w:hAnsi="Arial"/>
          <w:sz w:val="12"/>
          <w:szCs w:val="12"/>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96"/>
          </w:cols>
          <w:pgMar w:left="644" w:top="653" w:right="359" w:bottom="1440" w:gutter="0" w:footer="0" w:header="0"/>
        </w:sectPr>
      </w:pPr>
    </w:p>
    <w:bookmarkStart w:id="38" w:name="page39"/>
    <w:bookmarkEnd w:id="38"/>
    <w:p>
      <w:pPr>
        <w:ind w:left="212" w:hanging="212"/>
        <w:spacing w:after="0"/>
        <w:tabs>
          <w:tab w:leader="none" w:pos="212" w:val="left"/>
        </w:tabs>
        <w:numPr>
          <w:ilvl w:val="0"/>
          <w:numId w:val="33"/>
        </w:numPr>
        <w:rPr>
          <w:rFonts w:ascii="Arial" w:cs="Arial" w:eastAsia="Arial" w:hAnsi="Arial"/>
          <w:sz w:val="12"/>
          <w:szCs w:val="12"/>
          <w:color w:val="auto"/>
        </w:rPr>
      </w:pPr>
      <w:r>
        <w:rPr>
          <w:rFonts w:ascii="Arial" w:cs="Arial" w:eastAsia="Arial" w:hAnsi="Arial"/>
          <w:sz w:val="12"/>
          <w:szCs w:val="12"/>
          <w:color w:val="auto"/>
        </w:rPr>
        <w:t>Functional, presentation and foreign currency transactions -</w:t>
      </w:r>
    </w:p>
    <w:p>
      <w:pPr>
        <w:spacing w:after="0" w:line="150" w:lineRule="exact"/>
        <w:rPr>
          <w:rFonts w:ascii="Arial" w:cs="Arial" w:eastAsia="Arial" w:hAnsi="Arial"/>
          <w:sz w:val="12"/>
          <w:szCs w:val="12"/>
          <w:color w:val="auto"/>
        </w:rPr>
      </w:pPr>
    </w:p>
    <w:p>
      <w:pPr>
        <w:ind w:left="432" w:hanging="216"/>
        <w:spacing w:after="0"/>
        <w:tabs>
          <w:tab w:leader="none" w:pos="432" w:val="left"/>
        </w:tabs>
        <w:numPr>
          <w:ilvl w:val="1"/>
          <w:numId w:val="33"/>
        </w:numPr>
        <w:rPr>
          <w:rFonts w:ascii="Arial" w:cs="Arial" w:eastAsia="Arial" w:hAnsi="Arial"/>
          <w:sz w:val="12"/>
          <w:szCs w:val="12"/>
          <w:color w:val="auto"/>
        </w:rPr>
      </w:pPr>
      <w:r>
        <w:rPr>
          <w:rFonts w:ascii="Arial" w:cs="Arial" w:eastAsia="Arial" w:hAnsi="Arial"/>
          <w:sz w:val="12"/>
          <w:szCs w:val="12"/>
          <w:color w:val="auto"/>
        </w:rPr>
        <w:t>Functional and presentation currency -</w:t>
      </w:r>
    </w:p>
    <w:p>
      <w:pPr>
        <w:spacing w:after="0" w:line="150" w:lineRule="exact"/>
        <w:rPr>
          <w:rFonts w:ascii="Arial" w:cs="Arial" w:eastAsia="Arial" w:hAnsi="Arial"/>
          <w:sz w:val="12"/>
          <w:szCs w:val="12"/>
          <w:color w:val="auto"/>
        </w:rPr>
      </w:pPr>
    </w:p>
    <w:p>
      <w:pPr>
        <w:ind w:left="432" w:right="20"/>
        <w:spacing w:after="0" w:line="263" w:lineRule="auto"/>
        <w:rPr>
          <w:rFonts w:ascii="Arial" w:cs="Arial" w:eastAsia="Arial" w:hAnsi="Arial"/>
          <w:sz w:val="12"/>
          <w:szCs w:val="12"/>
          <w:color w:val="auto"/>
        </w:rPr>
      </w:pPr>
      <w:r>
        <w:rPr>
          <w:rFonts w:ascii="Arial" w:cs="Arial" w:eastAsia="Arial" w:hAnsi="Arial"/>
          <w:sz w:val="12"/>
          <w:szCs w:val="12"/>
          <w:color w:val="auto"/>
        </w:rPr>
        <w:t>Credicorp and its Subsidiaries which operate in Peru consider the sol as their functional and presentation currency since it reflects the nature of the economic events and relevant circumstances f or most of the Group´s entities, given the fact their major transactions and/operations, such as: loans granted, financing obtained, sale of insurance premiums, interests and similar income, interest and similar expenses, as well as a significant percentage of their purchases; they are agreed and settled in soles.</w:t>
      </w:r>
    </w:p>
    <w:p>
      <w:pPr>
        <w:spacing w:after="0" w:line="122" w:lineRule="exact"/>
        <w:rPr>
          <w:rFonts w:ascii="Arial" w:cs="Arial" w:eastAsia="Arial" w:hAnsi="Arial"/>
          <w:sz w:val="12"/>
          <w:szCs w:val="12"/>
          <w:color w:val="auto"/>
        </w:rPr>
      </w:pPr>
    </w:p>
    <w:p>
      <w:pPr>
        <w:ind w:left="432" w:hanging="216"/>
        <w:spacing w:after="0"/>
        <w:tabs>
          <w:tab w:leader="none" w:pos="432" w:val="left"/>
        </w:tabs>
        <w:numPr>
          <w:ilvl w:val="1"/>
          <w:numId w:val="33"/>
        </w:numPr>
        <w:rPr>
          <w:rFonts w:ascii="Arial" w:cs="Arial" w:eastAsia="Arial" w:hAnsi="Arial"/>
          <w:sz w:val="12"/>
          <w:szCs w:val="12"/>
          <w:color w:val="auto"/>
        </w:rPr>
      </w:pPr>
      <w:r>
        <w:rPr>
          <w:rFonts w:ascii="Arial" w:cs="Arial" w:eastAsia="Arial" w:hAnsi="Arial"/>
          <w:sz w:val="12"/>
          <w:szCs w:val="12"/>
          <w:color w:val="auto"/>
        </w:rPr>
        <w:t>Transactions and balances in foreign currency -</w:t>
      </w:r>
    </w:p>
    <w:p>
      <w:pPr>
        <w:spacing w:after="0" w:line="150" w:lineRule="exact"/>
        <w:rPr>
          <w:rFonts w:ascii="Arial" w:cs="Arial" w:eastAsia="Arial" w:hAnsi="Arial"/>
          <w:sz w:val="12"/>
          <w:szCs w:val="12"/>
          <w:color w:val="auto"/>
        </w:rPr>
      </w:pPr>
    </w:p>
    <w:p>
      <w:pPr>
        <w:ind w:left="432" w:right="440"/>
        <w:spacing w:after="0" w:line="380" w:lineRule="auto"/>
        <w:rPr>
          <w:rFonts w:ascii="Arial" w:cs="Arial" w:eastAsia="Arial" w:hAnsi="Arial"/>
          <w:sz w:val="12"/>
          <w:szCs w:val="12"/>
          <w:color w:val="auto"/>
        </w:rPr>
      </w:pPr>
      <w:r>
        <w:rPr>
          <w:rFonts w:ascii="Arial" w:cs="Arial" w:eastAsia="Arial" w:hAnsi="Arial"/>
          <w:sz w:val="10"/>
          <w:szCs w:val="10"/>
          <w:color w:val="auto"/>
        </w:rPr>
        <w:t>Foreign currency transactions are those entered into in currencies other than the functional currency. These transactions are initially recorded by Group entities at the exchange rates of their functional currencies at the transaction dates. Monetary assets and liabilities denominated in foreign currency are adjusted at the exchange rate of the functional currency prevailing at the date of the consolidated statement of financial position.</w:t>
      </w:r>
    </w:p>
    <w:p>
      <w:pPr>
        <w:spacing w:after="0" w:line="68" w:lineRule="exact"/>
        <w:rPr>
          <w:rFonts w:ascii="Arial" w:cs="Arial" w:eastAsia="Arial" w:hAnsi="Arial"/>
          <w:sz w:val="12"/>
          <w:szCs w:val="12"/>
          <w:color w:val="auto"/>
        </w:rPr>
      </w:pPr>
    </w:p>
    <w:p>
      <w:pPr>
        <w:ind w:left="432" w:right="20"/>
        <w:spacing w:after="0" w:line="263" w:lineRule="auto"/>
        <w:rPr>
          <w:rFonts w:ascii="Arial" w:cs="Arial" w:eastAsia="Arial" w:hAnsi="Arial"/>
          <w:sz w:val="12"/>
          <w:szCs w:val="12"/>
          <w:color w:val="auto"/>
        </w:rPr>
      </w:pPr>
      <w:r>
        <w:rPr>
          <w:rFonts w:ascii="Arial" w:cs="Arial" w:eastAsia="Arial" w:hAnsi="Arial"/>
          <w:sz w:val="12"/>
          <w:szCs w:val="12"/>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“Net gain from exchange differences”. Non-monetary assets and liabilities acquired in foreign currency are recorded at the exchange rate prevailing at the initial transaction date and are not subsequently adjusted.</w:t>
      </w:r>
    </w:p>
    <w:p>
      <w:pPr>
        <w:spacing w:after="0" w:line="122" w:lineRule="exact"/>
        <w:rPr>
          <w:rFonts w:ascii="Arial" w:cs="Arial" w:eastAsia="Arial" w:hAnsi="Arial"/>
          <w:sz w:val="12"/>
          <w:szCs w:val="12"/>
          <w:color w:val="auto"/>
        </w:rPr>
      </w:pPr>
    </w:p>
    <w:p>
      <w:pPr>
        <w:ind w:left="432" w:hanging="216"/>
        <w:spacing w:after="0"/>
        <w:tabs>
          <w:tab w:leader="none" w:pos="432" w:val="left"/>
        </w:tabs>
        <w:numPr>
          <w:ilvl w:val="1"/>
          <w:numId w:val="33"/>
        </w:numPr>
        <w:rPr>
          <w:rFonts w:ascii="Arial" w:cs="Arial" w:eastAsia="Arial" w:hAnsi="Arial"/>
          <w:sz w:val="12"/>
          <w:szCs w:val="12"/>
          <w:color w:val="auto"/>
        </w:rPr>
      </w:pPr>
      <w:r>
        <w:rPr>
          <w:rFonts w:ascii="Arial" w:cs="Arial" w:eastAsia="Arial" w:hAnsi="Arial"/>
          <w:sz w:val="12"/>
          <w:szCs w:val="12"/>
          <w:color w:val="auto"/>
        </w:rPr>
        <w:t>Group entities with functional currency other than the presentation currency -</w:t>
      </w:r>
    </w:p>
    <w:p>
      <w:pPr>
        <w:spacing w:after="0" w:line="150" w:lineRule="exact"/>
        <w:rPr>
          <w:rFonts w:ascii="Arial" w:cs="Arial" w:eastAsia="Arial" w:hAnsi="Arial"/>
          <w:sz w:val="12"/>
          <w:szCs w:val="12"/>
          <w:color w:val="auto"/>
        </w:rPr>
      </w:pPr>
    </w:p>
    <w:p>
      <w:pPr>
        <w:ind w:left="432" w:right="20"/>
        <w:spacing w:after="0" w:line="276" w:lineRule="auto"/>
        <w:rPr>
          <w:rFonts w:ascii="Arial" w:cs="Arial" w:eastAsia="Arial" w:hAnsi="Arial"/>
          <w:sz w:val="12"/>
          <w:szCs w:val="12"/>
          <w:color w:val="auto"/>
        </w:rPr>
      </w:pPr>
      <w:r>
        <w:rPr>
          <w:rFonts w:ascii="Arial" w:cs="Arial" w:eastAsia="Arial" w:hAnsi="Arial"/>
          <w:sz w:val="12"/>
          <w:szCs w:val="12"/>
          <w:color w:val="auto"/>
        </w:rPr>
        <w:t>Given that the Group’s entities in Colombia, Chile, Cayman Islands, Panama and Bolivia have a functional currency different from the sol, the balances were translated into Soles for consolidation purposes in accordance with IAS 21, “The Effects of Changes in Foreign Exchange Rates” as follows:</w:t>
      </w:r>
    </w:p>
    <w:p>
      <w:pPr>
        <w:spacing w:after="0" w:line="114" w:lineRule="exact"/>
        <w:rPr>
          <w:rFonts w:ascii="Arial" w:cs="Arial" w:eastAsia="Arial" w:hAnsi="Arial"/>
          <w:sz w:val="12"/>
          <w:szCs w:val="12"/>
          <w:color w:val="auto"/>
        </w:rPr>
      </w:pPr>
    </w:p>
    <w:p>
      <w:pPr>
        <w:ind w:left="652" w:hanging="219"/>
        <w:spacing w:after="0"/>
        <w:tabs>
          <w:tab w:leader="none" w:pos="652" w:val="left"/>
        </w:tabs>
        <w:numPr>
          <w:ilvl w:val="2"/>
          <w:numId w:val="33"/>
        </w:numPr>
        <w:rPr>
          <w:rFonts w:ascii="Arial" w:cs="Arial" w:eastAsia="Arial" w:hAnsi="Arial"/>
          <w:sz w:val="12"/>
          <w:szCs w:val="12"/>
          <w:color w:val="auto"/>
        </w:rPr>
      </w:pPr>
      <w:r>
        <w:rPr>
          <w:rFonts w:ascii="Arial" w:cs="Arial" w:eastAsia="Arial" w:hAnsi="Arial"/>
          <w:sz w:val="12"/>
          <w:szCs w:val="12"/>
          <w:color w:val="auto"/>
        </w:rPr>
        <w:t>Assets and liabilities, at the closing rate prevailing at the date of each consolidated statement of financial position.</w:t>
      </w:r>
    </w:p>
    <w:p>
      <w:pPr>
        <w:spacing w:after="0" w:line="14" w:lineRule="exact"/>
        <w:rPr>
          <w:rFonts w:ascii="Arial" w:cs="Arial" w:eastAsia="Arial" w:hAnsi="Arial"/>
          <w:sz w:val="12"/>
          <w:szCs w:val="12"/>
          <w:color w:val="auto"/>
        </w:rPr>
      </w:pPr>
    </w:p>
    <w:p>
      <w:pPr>
        <w:ind w:left="652" w:hanging="219"/>
        <w:spacing w:after="0"/>
        <w:tabs>
          <w:tab w:leader="none" w:pos="652" w:val="left"/>
        </w:tabs>
        <w:numPr>
          <w:ilvl w:val="2"/>
          <w:numId w:val="33"/>
        </w:numPr>
        <w:rPr>
          <w:rFonts w:ascii="Arial" w:cs="Arial" w:eastAsia="Arial" w:hAnsi="Arial"/>
          <w:sz w:val="12"/>
          <w:szCs w:val="12"/>
          <w:color w:val="auto"/>
        </w:rPr>
      </w:pPr>
      <w:r>
        <w:rPr>
          <w:rFonts w:ascii="Arial" w:cs="Arial" w:eastAsia="Arial" w:hAnsi="Arial"/>
          <w:sz w:val="12"/>
          <w:szCs w:val="12"/>
          <w:color w:val="auto"/>
        </w:rPr>
        <w:t>Income and expense, at the average exchange rate for each month of the year.</w:t>
      </w:r>
    </w:p>
    <w:p>
      <w:pPr>
        <w:spacing w:after="0" w:line="141" w:lineRule="exact"/>
        <w:rPr>
          <w:sz w:val="20"/>
          <w:szCs w:val="20"/>
          <w:color w:val="auto"/>
        </w:rPr>
      </w:pPr>
    </w:p>
    <w:p>
      <w:pPr>
        <w:ind w:left="432"/>
        <w:spacing w:after="0"/>
        <w:rPr>
          <w:sz w:val="20"/>
          <w:szCs w:val="20"/>
          <w:color w:val="auto"/>
        </w:rPr>
      </w:pPr>
      <w:r>
        <w:rPr>
          <w:rFonts w:ascii="Arial" w:cs="Arial" w:eastAsia="Arial" w:hAnsi="Arial"/>
          <w:sz w:val="12"/>
          <w:szCs w:val="12"/>
          <w:color w:val="auto"/>
        </w:rPr>
        <w:t>All resulting exchange differences were recognized within “Exchange differences on translation of foreign operations” in the consolidated statement of comprehensive income.</w:t>
      </w:r>
    </w:p>
    <w:p>
      <w:pPr>
        <w:spacing w:after="0" w:line="150" w:lineRule="exact"/>
        <w:rPr>
          <w:sz w:val="20"/>
          <w:szCs w:val="20"/>
          <w:color w:val="auto"/>
        </w:rPr>
      </w:pPr>
    </w:p>
    <w:p>
      <w:pPr>
        <w:ind w:left="212" w:right="8060" w:hanging="212"/>
        <w:spacing w:after="0" w:line="501" w:lineRule="auto"/>
        <w:tabs>
          <w:tab w:leader="none" w:pos="212"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Recognition of income and expenses from banking activities - Effective interest rate method:</w:t>
      </w:r>
    </w:p>
    <w:p>
      <w:pPr>
        <w:ind w:left="212"/>
        <w:spacing w:after="0" w:line="276" w:lineRule="auto"/>
        <w:rPr>
          <w:rFonts w:ascii="Arial" w:cs="Arial" w:eastAsia="Arial" w:hAnsi="Arial"/>
          <w:sz w:val="12"/>
          <w:szCs w:val="12"/>
          <w:color w:val="auto"/>
        </w:rPr>
      </w:pPr>
      <w:r>
        <w:rPr>
          <w:rFonts w:ascii="Arial" w:cs="Arial" w:eastAsia="Arial" w:hAnsi="Arial"/>
          <w:sz w:val="12"/>
          <w:szCs w:val="12"/>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14" w:lineRule="exact"/>
        <w:rPr>
          <w:rFonts w:ascii="Arial" w:cs="Arial" w:eastAsia="Arial" w:hAnsi="Arial"/>
          <w:sz w:val="12"/>
          <w:szCs w:val="12"/>
          <w:color w:val="auto"/>
        </w:rPr>
      </w:pPr>
    </w:p>
    <w:p>
      <w:pPr>
        <w:ind w:left="212" w:right="40"/>
        <w:spacing w:after="0" w:line="263" w:lineRule="auto"/>
        <w:rPr>
          <w:rFonts w:ascii="Arial" w:cs="Arial" w:eastAsia="Arial" w:hAnsi="Arial"/>
          <w:sz w:val="12"/>
          <w:szCs w:val="12"/>
          <w:color w:val="auto"/>
        </w:rPr>
      </w:pPr>
      <w:r>
        <w:rPr>
          <w:rFonts w:ascii="Arial" w:cs="Arial" w:eastAsia="Arial" w:hAnsi="Arial"/>
          <w:sz w:val="12"/>
          <w:szCs w:val="12"/>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are not included.</w:t>
      </w:r>
    </w:p>
    <w:p>
      <w:pPr>
        <w:spacing w:after="0" w:line="266" w:lineRule="exact"/>
        <w:rPr>
          <w:rFonts w:ascii="Arial" w:cs="Arial" w:eastAsia="Arial" w:hAnsi="Arial"/>
          <w:sz w:val="12"/>
          <w:szCs w:val="12"/>
          <w:color w:val="auto"/>
        </w:rPr>
      </w:pPr>
    </w:p>
    <w:p>
      <w:pPr>
        <w:ind w:left="5472" w:hanging="72"/>
        <w:spacing w:after="0"/>
        <w:tabs>
          <w:tab w:leader="none" w:pos="5472" w:val="left"/>
        </w:tabs>
        <w:numPr>
          <w:ilvl w:val="1"/>
          <w:numId w:val="34"/>
        </w:numPr>
        <w:rPr>
          <w:rFonts w:ascii="Arial" w:cs="Arial" w:eastAsia="Arial" w:hAnsi="Arial"/>
          <w:sz w:val="12"/>
          <w:szCs w:val="12"/>
          <w:color w:val="auto"/>
        </w:rPr>
      </w:pPr>
      <w:r>
        <w:rPr>
          <w:rFonts w:ascii="Arial" w:cs="Arial" w:eastAsia="Arial" w:hAnsi="Arial"/>
          <w:sz w:val="12"/>
          <w:szCs w:val="12"/>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52"/>
          </w:cols>
          <w:pgMar w:left="428" w:top="653" w:right="219" w:bottom="1440" w:gutter="0" w:footer="0" w:header="0"/>
        </w:sectPr>
      </w:pPr>
    </w:p>
    <w:bookmarkStart w:id="39" w:name="page40"/>
    <w:bookmarkEnd w:id="39"/>
    <w:p>
      <w:pPr>
        <w:ind w:left="212"/>
        <w:spacing w:after="0"/>
        <w:rPr>
          <w:sz w:val="20"/>
          <w:szCs w:val="20"/>
          <w:color w:val="auto"/>
        </w:rPr>
      </w:pPr>
      <w:r>
        <w:rPr>
          <w:rFonts w:ascii="Arial" w:cs="Arial" w:eastAsia="Arial" w:hAnsi="Arial"/>
          <w:sz w:val="12"/>
          <w:szCs w:val="12"/>
          <w:color w:val="auto"/>
        </w:rPr>
        <w:t>Interest income and expenses:</w:t>
      </w:r>
    </w:p>
    <w:p>
      <w:pPr>
        <w:spacing w:after="0" w:line="150" w:lineRule="exact"/>
        <w:rPr>
          <w:sz w:val="20"/>
          <w:szCs w:val="20"/>
          <w:color w:val="auto"/>
        </w:rPr>
      </w:pPr>
    </w:p>
    <w:p>
      <w:pPr>
        <w:ind w:left="212"/>
        <w:spacing w:after="0"/>
        <w:rPr>
          <w:sz w:val="20"/>
          <w:szCs w:val="20"/>
          <w:color w:val="auto"/>
        </w:rPr>
      </w:pPr>
      <w:r>
        <w:rPr>
          <w:rFonts w:ascii="Arial" w:cs="Arial" w:eastAsia="Arial" w:hAnsi="Arial"/>
          <w:sz w:val="12"/>
          <w:szCs w:val="12"/>
          <w:color w:val="auto"/>
        </w:rPr>
        <w:t>The Group calculates interest income by applying the EIR to the gross carrying amount of those financial assets that are not impaired.</w:t>
      </w:r>
    </w:p>
    <w:p>
      <w:pPr>
        <w:spacing w:after="0" w:line="150" w:lineRule="exact"/>
        <w:rPr>
          <w:sz w:val="20"/>
          <w:szCs w:val="20"/>
          <w:color w:val="auto"/>
        </w:rPr>
      </w:pPr>
    </w:p>
    <w:p>
      <w:pPr>
        <w:ind w:left="212" w:right="60"/>
        <w:spacing w:after="0" w:line="323" w:lineRule="auto"/>
        <w:rPr>
          <w:sz w:val="20"/>
          <w:szCs w:val="20"/>
          <w:color w:val="auto"/>
        </w:rPr>
      </w:pPr>
      <w:r>
        <w:rPr>
          <w:rFonts w:ascii="Arial" w:cs="Arial" w:eastAsia="Arial" w:hAnsi="Arial"/>
          <w:sz w:val="11"/>
          <w:szCs w:val="11"/>
          <w:color w:val="auto"/>
        </w:rPr>
        <w:t>When a financial asset becomes impaired and, therefore, is considered in Stage 3 (as set out in Note 3(i) impairment of financial assets), the Group calculates interest income by applying the interest rate effective at the carrying amount of the asset, net of its provision for credit loss. If the evidence that the criteria for the recognition of the financial asset in Stage 3 are no longer met, the Group recalculates interest income in gross terms.</w:t>
      </w:r>
    </w:p>
    <w:p>
      <w:pPr>
        <w:spacing w:after="0" w:line="92" w:lineRule="exact"/>
        <w:rPr>
          <w:sz w:val="20"/>
          <w:szCs w:val="20"/>
          <w:color w:val="auto"/>
        </w:rPr>
      </w:pPr>
    </w:p>
    <w:p>
      <w:pPr>
        <w:ind w:left="212" w:right="100"/>
        <w:spacing w:after="0" w:line="276" w:lineRule="auto"/>
        <w:rPr>
          <w:sz w:val="20"/>
          <w:szCs w:val="20"/>
          <w:color w:val="auto"/>
        </w:rPr>
      </w:pPr>
      <w:r>
        <w:rPr>
          <w:rFonts w:ascii="Arial" w:cs="Arial" w:eastAsia="Arial" w:hAnsi="Arial"/>
          <w:sz w:val="12"/>
          <w:szCs w:val="12"/>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consolidated statement of income.</w:t>
      </w:r>
    </w:p>
    <w:p>
      <w:pPr>
        <w:spacing w:after="0" w:line="115" w:lineRule="exact"/>
        <w:rPr>
          <w:sz w:val="20"/>
          <w:szCs w:val="20"/>
          <w:color w:val="auto"/>
        </w:rPr>
      </w:pPr>
    </w:p>
    <w:p>
      <w:pPr>
        <w:ind w:left="212"/>
        <w:spacing w:after="0"/>
        <w:rPr>
          <w:sz w:val="20"/>
          <w:szCs w:val="20"/>
          <w:color w:val="auto"/>
        </w:rPr>
      </w:pPr>
      <w:r>
        <w:rPr>
          <w:rFonts w:ascii="Arial" w:cs="Arial" w:eastAsia="Arial" w:hAnsi="Arial"/>
          <w:sz w:val="12"/>
          <w:szCs w:val="12"/>
          <w:color w:val="auto"/>
        </w:rPr>
        <w:t>Dividends:</w:t>
      </w:r>
    </w:p>
    <w:p>
      <w:pPr>
        <w:spacing w:after="0" w:line="150" w:lineRule="exact"/>
        <w:rPr>
          <w:sz w:val="20"/>
          <w:szCs w:val="20"/>
          <w:color w:val="auto"/>
        </w:rPr>
      </w:pPr>
    </w:p>
    <w:p>
      <w:pPr>
        <w:ind w:left="212"/>
        <w:spacing w:after="0"/>
        <w:rPr>
          <w:sz w:val="20"/>
          <w:szCs w:val="20"/>
          <w:color w:val="auto"/>
        </w:rPr>
      </w:pPr>
      <w:r>
        <w:rPr>
          <w:rFonts w:ascii="Arial" w:cs="Arial" w:eastAsia="Arial" w:hAnsi="Arial"/>
          <w:sz w:val="12"/>
          <w:szCs w:val="12"/>
          <w:color w:val="auto"/>
        </w:rPr>
        <w:t>Dividends are recorded as income when they are declared.</w:t>
      </w:r>
    </w:p>
    <w:p>
      <w:pPr>
        <w:spacing w:after="0" w:line="150" w:lineRule="exact"/>
        <w:rPr>
          <w:sz w:val="20"/>
          <w:szCs w:val="20"/>
          <w:color w:val="auto"/>
        </w:rPr>
      </w:pPr>
    </w:p>
    <w:p>
      <w:pPr>
        <w:ind w:left="212"/>
        <w:spacing w:after="0"/>
        <w:rPr>
          <w:sz w:val="20"/>
          <w:szCs w:val="20"/>
          <w:color w:val="auto"/>
        </w:rPr>
      </w:pPr>
      <w:r>
        <w:rPr>
          <w:rFonts w:ascii="Arial" w:cs="Arial" w:eastAsia="Arial" w:hAnsi="Arial"/>
          <w:sz w:val="12"/>
          <w:szCs w:val="12"/>
          <w:color w:val="auto"/>
        </w:rPr>
        <w:t>Commissions and fees:</w:t>
      </w:r>
    </w:p>
    <w:p>
      <w:pPr>
        <w:spacing w:after="0" w:line="150" w:lineRule="exact"/>
        <w:rPr>
          <w:sz w:val="20"/>
          <w:szCs w:val="20"/>
          <w:color w:val="auto"/>
        </w:rPr>
      </w:pPr>
    </w:p>
    <w:p>
      <w:pPr>
        <w:ind w:left="212" w:right="300"/>
        <w:spacing w:after="0" w:line="276" w:lineRule="auto"/>
        <w:rPr>
          <w:sz w:val="20"/>
          <w:szCs w:val="20"/>
          <w:color w:val="auto"/>
        </w:rPr>
      </w:pPr>
      <w:r>
        <w:rPr>
          <w:rFonts w:ascii="Arial" w:cs="Arial" w:eastAsia="Arial" w:hAnsi="Arial"/>
          <w:sz w:val="12"/>
          <w:szCs w:val="12"/>
          <w:color w:val="auto"/>
        </w:rPr>
        <w:t>Commission income (which is not an integral part of the EIR) and fees are recorded as they accrue. Commissions and fees include, among others, the commission charged for the banking service in general such as account maintenance, shipping, transfers, loan syndication fees and contingent credit fees.</w:t>
      </w:r>
    </w:p>
    <w:p>
      <w:pPr>
        <w:spacing w:after="0" w:line="115" w:lineRule="exact"/>
        <w:rPr>
          <w:sz w:val="20"/>
          <w:szCs w:val="20"/>
          <w:color w:val="auto"/>
        </w:rPr>
      </w:pPr>
    </w:p>
    <w:p>
      <w:pPr>
        <w:ind w:left="212"/>
        <w:spacing w:after="0"/>
        <w:rPr>
          <w:sz w:val="20"/>
          <w:szCs w:val="20"/>
          <w:color w:val="auto"/>
        </w:rPr>
      </w:pPr>
      <w:r>
        <w:rPr>
          <w:rFonts w:ascii="Arial" w:cs="Arial" w:eastAsia="Arial" w:hAnsi="Arial"/>
          <w:sz w:val="12"/>
          <w:szCs w:val="12"/>
          <w:color w:val="auto"/>
        </w:rPr>
        <w:t>Other income and expenses:</w:t>
      </w:r>
    </w:p>
    <w:p>
      <w:pPr>
        <w:spacing w:after="0" w:line="150" w:lineRule="exact"/>
        <w:rPr>
          <w:sz w:val="20"/>
          <w:szCs w:val="20"/>
          <w:color w:val="auto"/>
        </w:rPr>
      </w:pPr>
    </w:p>
    <w:p>
      <w:pPr>
        <w:ind w:left="212"/>
        <w:spacing w:after="0"/>
        <w:rPr>
          <w:sz w:val="20"/>
          <w:szCs w:val="20"/>
          <w:color w:val="auto"/>
        </w:rPr>
      </w:pPr>
      <w:r>
        <w:rPr>
          <w:rFonts w:ascii="Arial" w:cs="Arial" w:eastAsia="Arial" w:hAnsi="Arial"/>
          <w:sz w:val="12"/>
          <w:szCs w:val="12"/>
          <w:color w:val="auto"/>
        </w:rPr>
        <w:t>All other income and expenses are recorded in the period in which the performance obligation is satisfied.</w:t>
      </w:r>
    </w:p>
    <w:p>
      <w:pPr>
        <w:spacing w:after="0" w:line="150" w:lineRule="exact"/>
        <w:rPr>
          <w:sz w:val="20"/>
          <w:szCs w:val="20"/>
          <w:color w:val="auto"/>
        </w:rPr>
      </w:pPr>
    </w:p>
    <w:p>
      <w:pPr>
        <w:ind w:left="212" w:right="9840" w:hanging="212"/>
        <w:spacing w:after="0" w:line="546" w:lineRule="auto"/>
        <w:tabs>
          <w:tab w:leader="none" w:pos="212"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Insurance activities - Product classification:</w:t>
      </w:r>
    </w:p>
    <w:p>
      <w:pPr>
        <w:ind w:left="212"/>
        <w:spacing w:after="0" w:line="276" w:lineRule="auto"/>
        <w:rPr>
          <w:rFonts w:ascii="Arial" w:cs="Arial" w:eastAsia="Arial" w:hAnsi="Arial"/>
          <w:sz w:val="11"/>
          <w:szCs w:val="11"/>
          <w:color w:val="auto"/>
        </w:rPr>
      </w:pPr>
      <w:r>
        <w:rPr>
          <w:rFonts w:ascii="Arial" w:cs="Arial" w:eastAsia="Arial" w:hAnsi="Arial"/>
          <w:sz w:val="12"/>
          <w:szCs w:val="12"/>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14" w:lineRule="exact"/>
        <w:rPr>
          <w:rFonts w:ascii="Arial" w:cs="Arial" w:eastAsia="Arial" w:hAnsi="Arial"/>
          <w:sz w:val="11"/>
          <w:szCs w:val="11"/>
          <w:color w:val="auto"/>
        </w:rPr>
      </w:pPr>
    </w:p>
    <w:p>
      <w:pPr>
        <w:ind w:left="212"/>
        <w:spacing w:after="0" w:line="276" w:lineRule="auto"/>
        <w:rPr>
          <w:rFonts w:ascii="Arial" w:cs="Arial" w:eastAsia="Arial" w:hAnsi="Arial"/>
          <w:sz w:val="11"/>
          <w:szCs w:val="11"/>
          <w:color w:val="auto"/>
        </w:rPr>
      </w:pPr>
      <w:r>
        <w:rPr>
          <w:rFonts w:ascii="Arial" w:cs="Arial" w:eastAsia="Arial" w:hAnsi="Arial"/>
          <w:sz w:val="12"/>
          <w:szCs w:val="12"/>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14" w:lineRule="exact"/>
        <w:rPr>
          <w:rFonts w:ascii="Arial" w:cs="Arial" w:eastAsia="Arial" w:hAnsi="Arial"/>
          <w:sz w:val="11"/>
          <w:szCs w:val="11"/>
          <w:color w:val="auto"/>
        </w:rPr>
      </w:pPr>
    </w:p>
    <w:p>
      <w:pPr>
        <w:ind w:left="212"/>
        <w:spacing w:after="0" w:line="276" w:lineRule="auto"/>
        <w:rPr>
          <w:rFonts w:ascii="Arial" w:cs="Arial" w:eastAsia="Arial" w:hAnsi="Arial"/>
          <w:sz w:val="11"/>
          <w:szCs w:val="11"/>
          <w:color w:val="auto"/>
        </w:rPr>
      </w:pPr>
      <w:r>
        <w:rPr>
          <w:rFonts w:ascii="Arial" w:cs="Arial" w:eastAsia="Arial" w:hAnsi="Arial"/>
          <w:sz w:val="12"/>
          <w:szCs w:val="12"/>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259" w:lineRule="exact"/>
        <w:rPr>
          <w:rFonts w:ascii="Arial" w:cs="Arial" w:eastAsia="Arial" w:hAnsi="Arial"/>
          <w:sz w:val="11"/>
          <w:szCs w:val="11"/>
          <w:color w:val="auto"/>
        </w:rPr>
      </w:pPr>
    </w:p>
    <w:p>
      <w:pPr>
        <w:ind w:left="5472" w:hanging="72"/>
        <w:spacing w:after="0"/>
        <w:tabs>
          <w:tab w:leader="none" w:pos="5472" w:val="left"/>
        </w:tabs>
        <w:numPr>
          <w:ilvl w:val="1"/>
          <w:numId w:val="35"/>
        </w:numPr>
        <w:rPr>
          <w:rFonts w:ascii="Arial" w:cs="Arial" w:eastAsia="Arial" w:hAnsi="Arial"/>
          <w:sz w:val="12"/>
          <w:szCs w:val="12"/>
          <w:color w:val="auto"/>
        </w:rPr>
      </w:pPr>
      <w:r>
        <w:rPr>
          <w:rFonts w:ascii="Arial" w:cs="Arial" w:eastAsia="Arial" w:hAnsi="Arial"/>
          <w:sz w:val="12"/>
          <w:szCs w:val="12"/>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32"/>
          </w:cols>
          <w:pgMar w:left="428" w:top="653" w:right="33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t>Reinsurance:</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Group cedes insurance risk in the normal course of its operations for most of its businesses. Reinsurance assets represent balances due from reinsurance companies. Reinsurance ceded is placed on both a proportional and non-proportional basis.</w:t>
      </w:r>
    </w:p>
    <w:p>
      <w:pPr>
        <w:spacing w:after="0" w:line="115"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Amounts recoverable from reinsurers are estimated in a manner consistent with the outstanding claims reserve or settled claims and ceded premiums, associated with the ceded policies and in accordance with the related reinsurance contracts.</w:t>
      </w:r>
    </w:p>
    <w:p>
      <w:pPr>
        <w:spacing w:after="0" w:line="115"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measurable impact on the amounts that the Group will receive from the reinsurer. The impairment loss is recorded in the consolidated statement of income.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Ceded reinsurance arrangements do not relieve the Group from its obligations to policyholders.</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Reinsurance liabilities represent balances due to reinsurance companies. Amounts payable are estimated in a manner consistent with the related reinsurance contract.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Premiums and claims are presented as gross amounts for reinsurance ceded. Reinsurance assets or liabilities are written off when contractual rights are terminated or expire or when the contract is transferred to a third party.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Reinsurance contracts that do not transfer significant insurance risk are not material to the insurance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Insurance receivables: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Insurance receivables are recognized when they are enforceable and measured on initial recognition at the fair value of the consideration received or receivable. Subsequent to initial recognition, insurance receivables are measured at amortized cost.</w:t>
      </w:r>
    </w:p>
    <w:p>
      <w:pPr>
        <w:spacing w:after="0" w:line="115"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As of December 31, 2019 and 2018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“Investment Link” assets:</w:t>
      </w:r>
    </w:p>
    <w:p>
      <w:pPr>
        <w:spacing w:after="0" w:line="150" w:lineRule="exact"/>
        <w:rPr>
          <w:sz w:val="20"/>
          <w:szCs w:val="20"/>
          <w:color w:val="auto"/>
        </w:rPr>
      </w:pPr>
    </w:p>
    <w:p>
      <w:pPr>
        <w:ind w:right="380"/>
        <w:spacing w:after="0" w:line="298" w:lineRule="auto"/>
        <w:rPr>
          <w:sz w:val="20"/>
          <w:szCs w:val="20"/>
          <w:color w:val="auto"/>
        </w:rPr>
      </w:pPr>
      <w:r>
        <w:rPr>
          <w:rFonts w:ascii="Arial" w:cs="Arial" w:eastAsia="Arial" w:hAnsi="Arial"/>
          <w:sz w:val="11"/>
          <w:szCs w:val="11"/>
          <w:color w:val="auto"/>
        </w:rPr>
        <w:t>“Investment Link” assets represent financial instruments held for purposes of funding a group of life insurance contracts and for which investment gains and losses are allocated directly to the policyholders who bear the investment and reinvestment risk. Each account has specific characteristics and the assets are carried at fair value. The balances of each account are legally segregated and are not subject to claims that arise out of any other business of the Group. The liabilities linked to these contracts are equal in amount to the assets that support them, net of the commissions that the Group charges for the management of these contracts.</w:t>
      </w:r>
    </w:p>
    <w:p>
      <w:pPr>
        <w:spacing w:after="0" w:line="249"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Deferred acquisition costs (DAC):</w:t>
      </w:r>
    </w:p>
    <w:p>
      <w:pPr>
        <w:spacing w:after="0" w:line="150"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These comprise the direct costs that originate with and are related to traditional life and Investment Link insurance contracts, which are deferred; all other acquisition costs are recognized as an expense when incurred. The direct acquisition costs comprise primarily agent commissions corresponding to the underwriting and policy issuance costs.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Subsequent to initial recognition, these costs are amortized on a straight line basis based on the average expiration period of the related insurance contracts. Amortization is recorded in the consolidated statement of income.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DAC for general insurance and health products are amortized over the period in which the related revenues are earned.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DAC are derecognized when the related contracts are either settled or disposed of.</w:t>
      </w:r>
    </w:p>
    <w:p>
      <w:pPr>
        <w:spacing w:after="0" w:line="15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An impairment review is performed at the date of the consolidated statement of financial position or more frequently when an indication of impairment arises. When the recoverable amounts are less than the carrying value an impairment loss is recognized in the consolidated statement of income. DAC is also considered in the liability adequacy test for each reporting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Reinsurance commissions: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Commissions on reinsurance contracts for ceded premiums are amortized on a straight line basis over the term of the coverage of the related insurance contract.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Insurance contract liabilities:</w:t>
      </w:r>
    </w:p>
    <w:p>
      <w:pPr>
        <w:spacing w:after="0" w:line="150"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Life insurance contract liabilities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Life insurance liabilities are recognized when contracts are entered into.</w:t>
      </w:r>
    </w:p>
    <w:p>
      <w:pPr>
        <w:spacing w:after="0" w:line="150" w:lineRule="exact"/>
        <w:rPr>
          <w:rFonts w:ascii="Arial" w:cs="Arial" w:eastAsia="Arial" w:hAnsi="Arial"/>
          <w:sz w:val="12"/>
          <w:szCs w:val="12"/>
          <w:color w:val="auto"/>
        </w:rPr>
      </w:pPr>
    </w:p>
    <w:p>
      <w:pPr>
        <w:ind w:left="220" w:right="100"/>
        <w:spacing w:after="0" w:line="276" w:lineRule="auto"/>
        <w:rPr>
          <w:rFonts w:ascii="Arial" w:cs="Arial" w:eastAsia="Arial" w:hAnsi="Arial"/>
          <w:sz w:val="12"/>
          <w:szCs w:val="12"/>
          <w:color w:val="auto"/>
        </w:rPr>
      </w:pPr>
      <w:r>
        <w:rPr>
          <w:rFonts w:ascii="Arial" w:cs="Arial" w:eastAsia="Arial" w:hAnsi="Arial"/>
          <w:sz w:val="12"/>
          <w:szCs w:val="12"/>
          <w:color w:val="auto"/>
        </w:rPr>
        <w:t>The technical reserves maintained by the Group include the reserves of all of the business lines, comprising both the mathematical reserves and those of ongoing risk, as well as the reserves for outstanding claims, settled claims, claim settlement costs, claims incurred but not reported, as applicable to each line.</w:t>
      </w:r>
    </w:p>
    <w:p>
      <w:pPr>
        <w:spacing w:after="0" w:line="114" w:lineRule="exact"/>
        <w:rPr>
          <w:rFonts w:ascii="Arial" w:cs="Arial" w:eastAsia="Arial" w:hAnsi="Arial"/>
          <w:sz w:val="12"/>
          <w:szCs w:val="12"/>
          <w:color w:val="auto"/>
        </w:rPr>
      </w:pPr>
    </w:p>
    <w:p>
      <w:pPr>
        <w:ind w:left="220"/>
        <w:spacing w:after="0" w:line="259" w:lineRule="auto"/>
        <w:rPr>
          <w:rFonts w:ascii="Arial" w:cs="Arial" w:eastAsia="Arial" w:hAnsi="Arial"/>
          <w:sz w:val="12"/>
          <w:szCs w:val="12"/>
          <w:color w:val="auto"/>
        </w:rPr>
      </w:pPr>
      <w:r>
        <w:rPr>
          <w:rFonts w:ascii="Arial" w:cs="Arial" w:eastAsia="Arial" w:hAnsi="Arial"/>
          <w:sz w:val="12"/>
          <w:szCs w:val="12"/>
          <w:color w:val="auto"/>
        </w:rPr>
        <w:t>Due to the nature of the business, the mathematical reserves of the pension lines represent the main part of the Group’s reserves, with the line of Life Annuities as the major source of reserves due to the important volume of premiums and as a result of having only single premiums. In order to determine the reserves of this business, the discounted present value of the expected future pensions, calculated on the basis of mortality tables and interest rates. Those are based on the asset portfolio which supports the liabilities. Additionally, the constituted reserves include the amount required to cover the maintenance expenses related to the administration of the payment of future pensions.</w:t>
      </w:r>
    </w:p>
    <w:p>
      <w:pPr>
        <w:spacing w:after="0" w:line="124" w:lineRule="exact"/>
        <w:rPr>
          <w:rFonts w:ascii="Arial" w:cs="Arial" w:eastAsia="Arial" w:hAnsi="Arial"/>
          <w:sz w:val="12"/>
          <w:szCs w:val="12"/>
          <w:color w:val="auto"/>
        </w:rPr>
      </w:pPr>
    </w:p>
    <w:p>
      <w:pPr>
        <w:ind w:left="220"/>
        <w:spacing w:after="0" w:line="323" w:lineRule="auto"/>
        <w:rPr>
          <w:rFonts w:ascii="Arial" w:cs="Arial" w:eastAsia="Arial" w:hAnsi="Arial"/>
          <w:sz w:val="12"/>
          <w:szCs w:val="12"/>
          <w:color w:val="auto"/>
        </w:rPr>
      </w:pPr>
      <w:r>
        <w:rPr>
          <w:rFonts w:ascii="Arial" w:cs="Arial" w:eastAsia="Arial" w:hAnsi="Arial"/>
          <w:sz w:val="11"/>
          <w:szCs w:val="11"/>
          <w:color w:val="auto"/>
        </w:rPr>
        <w:t>The mathematical reserves of the income lines are determined by the sum of the value discounted from future expected pensions to be paid during a defined period or not defined, calculated on the basis of the current mortality and morbidity tables, and the market discount interest rates of the investment portfolio. During the year 2018, the Group adopted new mortality tables that reflect recent changes in the life expectancy.</w:t>
      </w:r>
    </w:p>
    <w:p>
      <w:pPr>
        <w:spacing w:after="0" w:line="235" w:lineRule="exact"/>
        <w:rPr>
          <w:rFonts w:ascii="Arial" w:cs="Arial" w:eastAsia="Arial" w:hAnsi="Arial"/>
          <w:sz w:val="12"/>
          <w:szCs w:val="12"/>
          <w:color w:val="auto"/>
        </w:rPr>
      </w:pPr>
    </w:p>
    <w:p>
      <w:pPr>
        <w:ind w:left="5480" w:hanging="72"/>
        <w:spacing w:after="0"/>
        <w:tabs>
          <w:tab w:leader="none" w:pos="5480" w:val="left"/>
        </w:tabs>
        <w:numPr>
          <w:ilvl w:val="1"/>
          <w:numId w:val="36"/>
        </w:numPr>
        <w:rPr>
          <w:rFonts w:ascii="Arial" w:cs="Arial" w:eastAsia="Arial" w:hAnsi="Arial"/>
          <w:sz w:val="12"/>
          <w:szCs w:val="12"/>
          <w:color w:val="auto"/>
        </w:rPr>
      </w:pPr>
      <w:r>
        <w:rPr>
          <w:rFonts w:ascii="Arial" w:cs="Arial" w:eastAsia="Arial" w:hAnsi="Arial"/>
          <w:sz w:val="12"/>
          <w:szCs w:val="12"/>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40"/>
          </w:cols>
          <w:pgMar w:left="420" w:top="797" w:right="239" w:bottom="1440" w:gutter="0" w:footer="0" w:header="0"/>
        </w:sectPr>
      </w:pPr>
    </w:p>
    <w:bookmarkStart w:id="42" w:name="page43"/>
    <w:bookmarkEnd w:id="42"/>
    <w:p>
      <w:pPr>
        <w:ind w:left="212"/>
        <w:spacing w:after="0"/>
        <w:rPr>
          <w:sz w:val="20"/>
          <w:szCs w:val="20"/>
          <w:color w:val="auto"/>
        </w:rPr>
      </w:pPr>
      <w:r>
        <w:rPr>
          <w:rFonts w:ascii="Arial" w:cs="Arial" w:eastAsia="Arial" w:hAnsi="Arial"/>
          <w:sz w:val="12"/>
          <w:szCs w:val="12"/>
          <w:color w:val="auto"/>
        </w:rPr>
        <w:t>The Group also uses discount rates in measuring income liabilities, in order to reflect the market value in the measurement of insurance liabilities, as follows:</w:t>
      </w:r>
    </w:p>
    <w:p>
      <w:pPr>
        <w:spacing w:after="0" w:line="150" w:lineRule="exact"/>
        <w:rPr>
          <w:sz w:val="20"/>
          <w:szCs w:val="20"/>
          <w:color w:val="auto"/>
        </w:rPr>
      </w:pPr>
    </w:p>
    <w:p>
      <w:pPr>
        <w:ind w:left="372" w:hanging="165"/>
        <w:spacing w:after="0"/>
        <w:tabs>
          <w:tab w:leader="none" w:pos="372" w:val="left"/>
        </w:tabs>
        <w:numPr>
          <w:ilvl w:val="0"/>
          <w:numId w:val="37"/>
        </w:numPr>
        <w:rPr>
          <w:rFonts w:ascii="Arial" w:cs="Arial" w:eastAsia="Arial" w:hAnsi="Arial"/>
          <w:sz w:val="12"/>
          <w:szCs w:val="12"/>
          <w:color w:val="auto"/>
        </w:rPr>
      </w:pPr>
      <w:r>
        <w:rPr>
          <w:rFonts w:ascii="Arial" w:cs="Arial" w:eastAsia="Arial" w:hAnsi="Arial"/>
          <w:sz w:val="12"/>
          <w:szCs w:val="12"/>
          <w:color w:val="auto"/>
        </w:rPr>
        <w:t>Until December 31, 2018, to discount reserves for contracts of insurance, the Group used the average purchase interest rate of the portfolio of its financial assets shuffled by currency (historical rates).</w:t>
      </w:r>
    </w:p>
    <w:p>
      <w:pPr>
        <w:spacing w:after="0" w:line="150" w:lineRule="exact"/>
        <w:rPr>
          <w:rFonts w:ascii="Arial" w:cs="Arial" w:eastAsia="Arial" w:hAnsi="Arial"/>
          <w:sz w:val="12"/>
          <w:szCs w:val="12"/>
          <w:color w:val="auto"/>
        </w:rPr>
      </w:pPr>
    </w:p>
    <w:p>
      <w:pPr>
        <w:ind w:left="372" w:hanging="165"/>
        <w:spacing w:after="0"/>
        <w:tabs>
          <w:tab w:leader="none" w:pos="372"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 of December 31, 2019, the Group uses the average market rate of the portfolio of its financial assets for pension flows shifted by currency (market rates).</w:t>
      </w:r>
    </w:p>
    <w:p>
      <w:pPr>
        <w:spacing w:after="0" w:line="150" w:lineRule="exact"/>
        <w:rPr>
          <w:sz w:val="20"/>
          <w:szCs w:val="20"/>
          <w:color w:val="auto"/>
        </w:rPr>
      </w:pPr>
    </w:p>
    <w:p>
      <w:pPr>
        <w:ind w:left="212" w:right="260"/>
        <w:spacing w:after="0" w:line="380" w:lineRule="auto"/>
        <w:rPr>
          <w:sz w:val="20"/>
          <w:szCs w:val="20"/>
          <w:color w:val="auto"/>
        </w:rPr>
      </w:pPr>
      <w:r>
        <w:rPr>
          <w:rFonts w:ascii="Arial" w:cs="Arial" w:eastAsia="Arial" w:hAnsi="Arial"/>
          <w:sz w:val="10"/>
          <w:szCs w:val="10"/>
          <w:color w:val="auto"/>
        </w:rPr>
        <w:t>Also, given that the financial assets that have a direct effect on the income liabilities are measured at fair value through other comprehensive income, the Group modified the recognition of its income liabilities with the aim of recognizing in the consolidated statement of comprehensive income the proportion that corresponds to income liabilities, of the unrealized results generated by the assets and that have a direct effect in said income liabilities.</w:t>
      </w:r>
    </w:p>
    <w:p>
      <w:pPr>
        <w:spacing w:after="0" w:line="68" w:lineRule="exact"/>
        <w:rPr>
          <w:sz w:val="20"/>
          <w:szCs w:val="20"/>
          <w:color w:val="auto"/>
        </w:rPr>
      </w:pPr>
    </w:p>
    <w:p>
      <w:pPr>
        <w:jc w:val="both"/>
        <w:ind w:left="212" w:right="20"/>
        <w:spacing w:after="0" w:line="259" w:lineRule="auto"/>
        <w:rPr>
          <w:sz w:val="20"/>
          <w:szCs w:val="20"/>
          <w:color w:val="auto"/>
        </w:rPr>
      </w:pPr>
      <w:r>
        <w:rPr>
          <w:rFonts w:ascii="Arial" w:cs="Arial" w:eastAsia="Arial" w:hAnsi="Arial"/>
          <w:sz w:val="12"/>
          <w:szCs w:val="12"/>
          <w:color w:val="auto"/>
        </w:rPr>
        <w:t>On the other hand, in the Individual Life business the Group offers some products which are only risk related and others of risk and savings, the latter being those which comprise the highest percentage of reserves of the line.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125" w:lineRule="exact"/>
        <w:rPr>
          <w:sz w:val="20"/>
          <w:szCs w:val="20"/>
          <w:color w:val="auto"/>
        </w:rPr>
      </w:pPr>
    </w:p>
    <w:p>
      <w:pPr>
        <w:ind w:left="212" w:right="20"/>
        <w:spacing w:after="0" w:line="257" w:lineRule="auto"/>
        <w:rPr>
          <w:sz w:val="20"/>
          <w:szCs w:val="20"/>
          <w:color w:val="auto"/>
        </w:rPr>
      </w:pPr>
      <w:r>
        <w:rPr>
          <w:rFonts w:ascii="Arial" w:cs="Arial" w:eastAsia="Arial" w:hAnsi="Arial"/>
          <w:sz w:val="12"/>
          <w:szCs w:val="12"/>
          <w:color w:val="auto"/>
        </w:rPr>
        <w:t>Life insurance claims reserves include reserves for reported claims and the estimates of the incurred claims buy not reported (IBNR) to the Group. At December 31, 2019 and 2018, reserves for claims occurred and not reported were determined on the basis of the Chain Ladder methodology (a generally accepted actuarial method), whereby the weighted average of past claim development is projected into the future; this projection is based on the ratios of occurrence of accumulated past claims. At December 31, 2019 the adjustments to the liabilities at each reporting date of the consolidated statement of financial position are recorded in the consolidated statement of income (due to the effects of the variations in the mortality tables) and in the consolidated statement of comprehensive income (due to the effect of the discount rate), both effects are included in the consolidated statement of income at December 31, 2018. The liability is derecognized when the contract expires, is discharged or is cancelled.</w:t>
      </w:r>
    </w:p>
    <w:p>
      <w:pPr>
        <w:spacing w:after="0" w:line="126" w:lineRule="exact"/>
        <w:rPr>
          <w:sz w:val="20"/>
          <w:szCs w:val="20"/>
          <w:color w:val="auto"/>
        </w:rPr>
      </w:pPr>
    </w:p>
    <w:p>
      <w:pPr>
        <w:ind w:left="212"/>
        <w:spacing w:after="0" w:line="276" w:lineRule="auto"/>
        <w:rPr>
          <w:sz w:val="20"/>
          <w:szCs w:val="20"/>
          <w:color w:val="auto"/>
        </w:rPr>
      </w:pPr>
      <w:r>
        <w:rPr>
          <w:rFonts w:ascii="Arial" w:cs="Arial" w:eastAsia="Arial" w:hAnsi="Arial"/>
          <w:sz w:val="12"/>
          <w:szCs w:val="12"/>
          <w:color w:val="auto"/>
        </w:rPr>
        <w:t>At each reporting date, an evaluation is carried out as to whether the life insurance liabilities are adequate, net of the related DAC, by means of a liability adequacy test as established by IFRS 4. At December 31, of 2019 and 2018, the Group’s Management concluded that the liabilities are sufficient and, therefore, they have not recognized any additional liability for life insurance contracts.</w:t>
      </w:r>
    </w:p>
    <w:p>
      <w:pPr>
        <w:spacing w:after="0" w:line="115" w:lineRule="exact"/>
        <w:rPr>
          <w:sz w:val="20"/>
          <w:szCs w:val="20"/>
          <w:color w:val="auto"/>
        </w:rPr>
      </w:pPr>
    </w:p>
    <w:p>
      <w:pPr>
        <w:ind w:left="212" w:right="6700" w:hanging="212"/>
        <w:spacing w:after="0" w:line="546" w:lineRule="auto"/>
        <w:tabs>
          <w:tab w:leader="none" w:pos="212" w:val="left"/>
        </w:tabs>
        <w:numPr>
          <w:ilvl w:val="0"/>
          <w:numId w:val="38"/>
        </w:numPr>
        <w:rPr>
          <w:rFonts w:ascii="Arial" w:cs="Arial" w:eastAsia="Arial" w:hAnsi="Arial"/>
          <w:sz w:val="11"/>
          <w:szCs w:val="11"/>
          <w:color w:val="auto"/>
        </w:rPr>
      </w:pPr>
      <w:r>
        <w:rPr>
          <w:rFonts w:ascii="Arial" w:cs="Arial" w:eastAsia="Arial" w:hAnsi="Arial"/>
          <w:sz w:val="11"/>
          <w:szCs w:val="11"/>
          <w:color w:val="auto"/>
        </w:rPr>
        <w:t>Non-life insurance contract liabilities (which comprise general and healthcare insurance) - Non-life insurance contract liabilities are recognized when contracts are entered into.</w:t>
      </w:r>
    </w:p>
    <w:p>
      <w:pPr>
        <w:jc w:val="both"/>
        <w:ind w:left="212" w:right="200"/>
        <w:spacing w:after="0" w:line="263" w:lineRule="auto"/>
        <w:rPr>
          <w:rFonts w:ascii="Arial" w:cs="Arial" w:eastAsia="Arial" w:hAnsi="Arial"/>
          <w:sz w:val="11"/>
          <w:szCs w:val="11"/>
          <w:color w:val="auto"/>
        </w:rPr>
      </w:pPr>
      <w:r>
        <w:rPr>
          <w:rFonts w:ascii="Arial" w:cs="Arial" w:eastAsia="Arial" w:hAnsi="Arial"/>
          <w:sz w:val="12"/>
          <w:szCs w:val="12"/>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w:t>
      </w:r>
    </w:p>
    <w:p>
      <w:pPr>
        <w:spacing w:after="0" w:line="266" w:lineRule="exact"/>
        <w:rPr>
          <w:rFonts w:ascii="Arial" w:cs="Arial" w:eastAsia="Arial" w:hAnsi="Arial"/>
          <w:sz w:val="11"/>
          <w:szCs w:val="11"/>
          <w:color w:val="auto"/>
        </w:rPr>
      </w:pPr>
    </w:p>
    <w:p>
      <w:pPr>
        <w:ind w:left="5472" w:hanging="72"/>
        <w:spacing w:after="0"/>
        <w:tabs>
          <w:tab w:leader="none" w:pos="5472" w:val="left"/>
        </w:tabs>
        <w:numPr>
          <w:ilvl w:val="1"/>
          <w:numId w:val="38"/>
        </w:numPr>
        <w:rPr>
          <w:rFonts w:ascii="Arial" w:cs="Arial" w:eastAsia="Arial" w:hAnsi="Arial"/>
          <w:sz w:val="12"/>
          <w:szCs w:val="12"/>
          <w:color w:val="auto"/>
        </w:rPr>
      </w:pPr>
      <w:r>
        <w:rPr>
          <w:rFonts w:ascii="Arial" w:cs="Arial" w:eastAsia="Arial" w:hAnsi="Arial"/>
          <w:sz w:val="12"/>
          <w:szCs w:val="12"/>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52"/>
          </w:cols>
          <w:pgMar w:left="428" w:top="653" w:right="219" w:bottom="1440" w:gutter="0" w:footer="0" w:header="0"/>
        </w:sectPr>
      </w:pPr>
    </w:p>
    <w:bookmarkStart w:id="43" w:name="page44"/>
    <w:bookmarkEnd w:id="43"/>
    <w:p>
      <w:pPr>
        <w:ind w:left="220"/>
        <w:spacing w:after="0" w:line="263" w:lineRule="auto"/>
        <w:rPr>
          <w:sz w:val="20"/>
          <w:szCs w:val="20"/>
          <w:color w:val="auto"/>
        </w:rPr>
      </w:pPr>
      <w:r>
        <w:rPr>
          <w:rFonts w:ascii="Arial" w:cs="Arial" w:eastAsia="Arial" w:hAnsi="Arial"/>
          <w:sz w:val="12"/>
          <w:szCs w:val="12"/>
          <w:color w:val="auto"/>
        </w:rPr>
        <w:t>Claims occurred but not reported are estimated and included in the provision (liabilities). IBNR reserves are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the historical data. No provision for equalization or catastrophe reserves is recognized. The liabilities are derecognized when the contract expires, is discharged or is cancelled.</w:t>
      </w:r>
    </w:p>
    <w:p>
      <w:pPr>
        <w:spacing w:after="0" w:line="123" w:lineRule="exact"/>
        <w:rPr>
          <w:sz w:val="20"/>
          <w:szCs w:val="20"/>
          <w:color w:val="auto"/>
        </w:rPr>
      </w:pPr>
    </w:p>
    <w:p>
      <w:pPr>
        <w:ind w:left="220" w:right="120"/>
        <w:spacing w:after="0" w:line="276" w:lineRule="auto"/>
        <w:rPr>
          <w:sz w:val="20"/>
          <w:szCs w:val="20"/>
          <w:color w:val="auto"/>
        </w:rPr>
      </w:pPr>
      <w:r>
        <w:rPr>
          <w:rFonts w:ascii="Arial" w:cs="Arial" w:eastAsia="Arial" w:hAnsi="Arial"/>
          <w:sz w:val="12"/>
          <w:szCs w:val="12"/>
          <w:color w:val="auto"/>
        </w:rPr>
        <w:t>Technical reserves for non-life insurance contracts comprise the provision for unearned premiums which represents premiums received for risks that have not yet expired. Generally, the reserve is liberated during the term of the contract and is recognized as premium income.</w:t>
      </w:r>
    </w:p>
    <w:p>
      <w:pPr>
        <w:spacing w:after="0" w:line="115" w:lineRule="exact"/>
        <w:rPr>
          <w:sz w:val="20"/>
          <w:szCs w:val="20"/>
          <w:color w:val="auto"/>
        </w:rPr>
      </w:pPr>
    </w:p>
    <w:p>
      <w:pPr>
        <w:jc w:val="both"/>
        <w:ind w:left="220" w:right="380"/>
        <w:spacing w:after="0" w:line="298" w:lineRule="auto"/>
        <w:rPr>
          <w:sz w:val="20"/>
          <w:szCs w:val="20"/>
          <w:color w:val="auto"/>
        </w:rPr>
      </w:pPr>
      <w:r>
        <w:rPr>
          <w:rFonts w:ascii="Arial" w:cs="Arial" w:eastAsia="Arial" w:hAnsi="Arial"/>
          <w:sz w:val="11"/>
          <w:szCs w:val="11"/>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At December 31, 2019 and 2018, Management determined that the liabilities were adequate; therefore, it has not recorded any additional liabilities for non-life insurance contracts.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Income recognition:</w:t>
      </w:r>
    </w:p>
    <w:p>
      <w:pPr>
        <w:spacing w:after="0" w:line="150"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Gross premiums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Life insurance contracts -</w:t>
      </w:r>
    </w:p>
    <w:p>
      <w:pPr>
        <w:spacing w:after="0" w:line="150" w:lineRule="exact"/>
        <w:rPr>
          <w:rFonts w:ascii="Arial" w:cs="Arial" w:eastAsia="Arial" w:hAnsi="Arial"/>
          <w:sz w:val="12"/>
          <w:szCs w:val="12"/>
          <w:color w:val="auto"/>
        </w:rPr>
      </w:pPr>
    </w:p>
    <w:p>
      <w:pPr>
        <w:ind w:left="220" w:right="1900"/>
        <w:spacing w:after="0" w:line="501" w:lineRule="auto"/>
        <w:rPr>
          <w:rFonts w:ascii="Arial" w:cs="Arial" w:eastAsia="Arial" w:hAnsi="Arial"/>
          <w:sz w:val="12"/>
          <w:szCs w:val="12"/>
          <w:color w:val="auto"/>
        </w:rPr>
      </w:pPr>
      <w:r>
        <w:rPr>
          <w:rFonts w:ascii="Arial" w:cs="Arial" w:eastAsia="Arial" w:hAnsi="Arial"/>
          <w:sz w:val="12"/>
          <w:szCs w:val="12"/>
          <w:color w:val="auto"/>
        </w:rPr>
        <w:t>Gross premiums on life contracts are recognized as revenue when due from the policyholder. For single premium business, revenue is recognized on the date on which the policy is effective. Non-life insurance contracts -</w:t>
      </w:r>
    </w:p>
    <w:p>
      <w:pPr>
        <w:ind w:left="220" w:right="240"/>
        <w:spacing w:after="0" w:line="276" w:lineRule="auto"/>
        <w:rPr>
          <w:rFonts w:ascii="Arial" w:cs="Arial" w:eastAsia="Arial" w:hAnsi="Arial"/>
          <w:sz w:val="12"/>
          <w:szCs w:val="12"/>
          <w:color w:val="auto"/>
        </w:rPr>
      </w:pPr>
      <w:r>
        <w:rPr>
          <w:rFonts w:ascii="Arial" w:cs="Arial" w:eastAsia="Arial" w:hAnsi="Arial"/>
          <w:sz w:val="12"/>
          <w:szCs w:val="12"/>
          <w:color w:val="auto"/>
        </w:rPr>
        <w:t>Gross non-life insurance direct and assumed premiums comprise the total premiums written and are recognized on the date of issue of the policy as a receivable. At the same time, a reserve is recorded for unearned premiums which represent premiums for risks that have not yet expired. Unearned premiums are recognized as income over the contract period which is also the coverage and risk period.</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Fees and commission income -</w:t>
      </w:r>
    </w:p>
    <w:p>
      <w:pPr>
        <w:spacing w:after="0" w:line="150" w:lineRule="exact"/>
        <w:rPr>
          <w:sz w:val="20"/>
          <w:szCs w:val="20"/>
          <w:color w:val="auto"/>
        </w:rPr>
      </w:pPr>
    </w:p>
    <w:p>
      <w:pPr>
        <w:ind w:left="220" w:right="420"/>
        <w:spacing w:after="0" w:line="276" w:lineRule="auto"/>
        <w:rPr>
          <w:sz w:val="20"/>
          <w:szCs w:val="20"/>
          <w:color w:val="auto"/>
        </w:rPr>
      </w:pPr>
      <w:r>
        <w:rPr>
          <w:rFonts w:ascii="Arial" w:cs="Arial" w:eastAsia="Arial" w:hAnsi="Arial"/>
          <w:sz w:val="12"/>
          <w:szCs w:val="12"/>
          <w:color w:val="auto"/>
        </w:rPr>
        <w:t>Investment Link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Recognition of benefits, claims and expenses:</w:t>
      </w:r>
    </w:p>
    <w:p>
      <w:pPr>
        <w:spacing w:after="0" w:line="150"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Benefits and claims -</w:t>
      </w:r>
    </w:p>
    <w:p>
      <w:pPr>
        <w:spacing w:after="0" w:line="150" w:lineRule="exact"/>
        <w:rPr>
          <w:rFonts w:ascii="Arial" w:cs="Arial" w:eastAsia="Arial" w:hAnsi="Arial"/>
          <w:sz w:val="12"/>
          <w:szCs w:val="12"/>
          <w:color w:val="auto"/>
        </w:rPr>
      </w:pPr>
    </w:p>
    <w:p>
      <w:pPr>
        <w:ind w:left="220" w:right="280"/>
        <w:spacing w:after="0" w:line="276" w:lineRule="auto"/>
        <w:rPr>
          <w:rFonts w:ascii="Arial" w:cs="Arial" w:eastAsia="Arial" w:hAnsi="Arial"/>
          <w:sz w:val="12"/>
          <w:szCs w:val="12"/>
          <w:color w:val="auto"/>
        </w:rPr>
      </w:pPr>
      <w:r>
        <w:rPr>
          <w:rFonts w:ascii="Arial" w:cs="Arial" w:eastAsia="Arial" w:hAnsi="Arial"/>
          <w:sz w:val="12"/>
          <w:szCs w:val="12"/>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259" w:lineRule="exact"/>
        <w:rPr>
          <w:rFonts w:ascii="Arial" w:cs="Arial" w:eastAsia="Arial" w:hAnsi="Arial"/>
          <w:sz w:val="12"/>
          <w:szCs w:val="12"/>
          <w:color w:val="auto"/>
        </w:rPr>
      </w:pPr>
    </w:p>
    <w:p>
      <w:pPr>
        <w:ind w:left="5480" w:hanging="72"/>
        <w:spacing w:after="0"/>
        <w:tabs>
          <w:tab w:leader="none" w:pos="5480" w:val="left"/>
        </w:tabs>
        <w:numPr>
          <w:ilvl w:val="1"/>
          <w:numId w:val="40"/>
        </w:numPr>
        <w:rPr>
          <w:rFonts w:ascii="Arial" w:cs="Arial" w:eastAsia="Arial" w:hAnsi="Arial"/>
          <w:sz w:val="12"/>
          <w:szCs w:val="12"/>
          <w:color w:val="auto"/>
        </w:rPr>
      </w:pPr>
      <w:r>
        <w:rPr>
          <w:rFonts w:ascii="Arial" w:cs="Arial" w:eastAsia="Arial" w:hAnsi="Arial"/>
          <w:sz w:val="12"/>
          <w:szCs w:val="12"/>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0"/>
          </w:cols>
          <w:pgMar w:left="420" w:top="653" w:right="259" w:bottom="1440" w:gutter="0" w:footer="0" w:header="0"/>
        </w:sectPr>
      </w:pPr>
    </w:p>
    <w:bookmarkStart w:id="44" w:name="page45"/>
    <w:bookmarkEnd w:id="44"/>
    <w:p>
      <w:pPr>
        <w:ind w:left="428" w:right="120"/>
        <w:spacing w:after="0" w:line="276" w:lineRule="auto"/>
        <w:rPr>
          <w:sz w:val="20"/>
          <w:szCs w:val="20"/>
          <w:color w:val="auto"/>
        </w:rPr>
      </w:pPr>
      <w:r>
        <w:rPr>
          <w:rFonts w:ascii="Arial" w:cs="Arial" w:eastAsia="Arial" w:hAnsi="Arial"/>
          <w:sz w:val="12"/>
          <w:szCs w:val="12"/>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15" w:lineRule="exact"/>
        <w:rPr>
          <w:sz w:val="20"/>
          <w:szCs w:val="20"/>
          <w:color w:val="auto"/>
        </w:rPr>
      </w:pPr>
    </w:p>
    <w:p>
      <w:pPr>
        <w:ind w:left="408" w:hanging="246"/>
        <w:spacing w:after="0"/>
        <w:tabs>
          <w:tab w:leader="none" w:pos="408" w:val="left"/>
        </w:tabs>
        <w:numPr>
          <w:ilvl w:val="1"/>
          <w:numId w:val="41"/>
        </w:numPr>
        <w:rPr>
          <w:rFonts w:ascii="Arial" w:cs="Arial" w:eastAsia="Arial" w:hAnsi="Arial"/>
          <w:sz w:val="12"/>
          <w:szCs w:val="12"/>
          <w:color w:val="auto"/>
        </w:rPr>
      </w:pPr>
      <w:r>
        <w:rPr>
          <w:rFonts w:ascii="Arial" w:cs="Arial" w:eastAsia="Arial" w:hAnsi="Arial"/>
          <w:sz w:val="12"/>
          <w:szCs w:val="12"/>
          <w:color w:val="auto"/>
        </w:rPr>
        <w:t>Ceded premiums -</w:t>
      </w:r>
    </w:p>
    <w:p>
      <w:pPr>
        <w:spacing w:after="0" w:line="150" w:lineRule="exact"/>
        <w:rPr>
          <w:rFonts w:ascii="Arial" w:cs="Arial" w:eastAsia="Arial" w:hAnsi="Arial"/>
          <w:sz w:val="12"/>
          <w:szCs w:val="12"/>
          <w:color w:val="auto"/>
        </w:rPr>
      </w:pPr>
    </w:p>
    <w:p>
      <w:pPr>
        <w:ind w:left="428" w:right="120"/>
        <w:spacing w:after="0" w:line="276" w:lineRule="auto"/>
        <w:rPr>
          <w:rFonts w:ascii="Arial" w:cs="Arial" w:eastAsia="Arial" w:hAnsi="Arial"/>
          <w:sz w:val="12"/>
          <w:szCs w:val="12"/>
          <w:color w:val="auto"/>
        </w:rPr>
      </w:pPr>
      <w:r>
        <w:rPr>
          <w:rFonts w:ascii="Arial" w:cs="Arial" w:eastAsia="Arial" w:hAnsi="Arial"/>
          <w:sz w:val="12"/>
          <w:szCs w:val="12"/>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114" w:lineRule="exact"/>
        <w:rPr>
          <w:rFonts w:ascii="Arial" w:cs="Arial" w:eastAsia="Arial" w:hAnsi="Arial"/>
          <w:sz w:val="12"/>
          <w:szCs w:val="12"/>
          <w:color w:val="auto"/>
        </w:rPr>
      </w:pPr>
    </w:p>
    <w:p>
      <w:pPr>
        <w:ind w:left="408" w:hanging="246"/>
        <w:spacing w:after="0"/>
        <w:tabs>
          <w:tab w:leader="none" w:pos="408" w:val="left"/>
        </w:tabs>
        <w:numPr>
          <w:ilvl w:val="1"/>
          <w:numId w:val="41"/>
        </w:numPr>
        <w:rPr>
          <w:rFonts w:ascii="Arial" w:cs="Arial" w:eastAsia="Arial" w:hAnsi="Arial"/>
          <w:sz w:val="12"/>
          <w:szCs w:val="12"/>
          <w:color w:val="auto"/>
        </w:rPr>
      </w:pPr>
      <w:r>
        <w:rPr>
          <w:rFonts w:ascii="Arial" w:cs="Arial" w:eastAsia="Arial" w:hAnsi="Arial"/>
          <w:sz w:val="12"/>
          <w:szCs w:val="12"/>
          <w:color w:val="auto"/>
        </w:rPr>
        <w:t>Reinsurance claims -</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Reinsurance claims are recognized when the related gross insurance claim is recognized according to the terms of the relevant contract.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Financial instruments: Initial recognition and subsequent measurement -</w:t>
      </w:r>
    </w:p>
    <w:p>
      <w:pPr>
        <w:spacing w:after="0" w:line="150" w:lineRule="exact"/>
        <w:rPr>
          <w:rFonts w:ascii="Arial" w:cs="Arial" w:eastAsia="Arial" w:hAnsi="Arial"/>
          <w:sz w:val="12"/>
          <w:szCs w:val="12"/>
          <w:color w:val="auto"/>
        </w:rPr>
      </w:pPr>
    </w:p>
    <w:p>
      <w:pPr>
        <w:ind w:left="208" w:right="4180"/>
        <w:spacing w:after="0" w:line="501" w:lineRule="auto"/>
        <w:rPr>
          <w:rFonts w:ascii="Arial" w:cs="Arial" w:eastAsia="Arial" w:hAnsi="Arial"/>
          <w:sz w:val="12"/>
          <w:szCs w:val="12"/>
          <w:color w:val="auto"/>
        </w:rPr>
      </w:pPr>
      <w:r>
        <w:rPr>
          <w:rFonts w:ascii="Arial" w:cs="Arial" w:eastAsia="Arial" w:hAnsi="Arial"/>
          <w:sz w:val="12"/>
          <w:szCs w:val="12"/>
          <w:color w:val="auto"/>
        </w:rPr>
        <w:t>A financial instrument is any agreement that originates a financial asset of one entity and a financial liability or equity instrument of another entity. The Group determined the classification of its financial instruments at initial recognition.</w:t>
      </w:r>
    </w:p>
    <w:p>
      <w:pPr>
        <w:ind w:left="208" w:right="340"/>
        <w:spacing w:after="0" w:line="276" w:lineRule="auto"/>
        <w:rPr>
          <w:rFonts w:ascii="Arial" w:cs="Arial" w:eastAsia="Arial" w:hAnsi="Arial"/>
          <w:sz w:val="12"/>
          <w:szCs w:val="12"/>
          <w:color w:val="auto"/>
        </w:rPr>
      </w:pPr>
      <w:r>
        <w:rPr>
          <w:rFonts w:ascii="Arial" w:cs="Arial" w:eastAsia="Arial" w:hAnsi="Arial"/>
          <w:sz w:val="12"/>
          <w:szCs w:val="12"/>
          <w:color w:val="auto"/>
        </w:rPr>
        <w:t>All the financial instruments are initially recognized at fair value plus the incremental costs related to the transaction that are directly attributable to the purchase or issue of the instrument, except in the case of financial assets or liabilities carried at fair value through profit or loss.</w:t>
      </w:r>
    </w:p>
    <w:p>
      <w:pPr>
        <w:spacing w:after="0" w:line="114"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The purchases or sales of financial assets that require the delivery of the assets within a term established according to market regulations or conventions (regular market terms) are recognized on the negotiation date, in other words, the date in which the Group commits to purchase or sell the asset.</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Policy applicable from January 1, 2018 -</w:t>
      </w:r>
    </w:p>
    <w:p>
      <w:pPr>
        <w:spacing w:after="0" w:line="150" w:lineRule="exact"/>
        <w:rPr>
          <w:rFonts w:ascii="Arial" w:cs="Arial" w:eastAsia="Arial" w:hAnsi="Arial"/>
          <w:sz w:val="12"/>
          <w:szCs w:val="12"/>
          <w:color w:val="auto"/>
        </w:rPr>
      </w:pPr>
    </w:p>
    <w:p>
      <w:pPr>
        <w:ind w:left="208" w:right="460"/>
        <w:spacing w:after="0" w:line="276" w:lineRule="auto"/>
        <w:rPr>
          <w:rFonts w:ascii="Arial" w:cs="Arial" w:eastAsia="Arial" w:hAnsi="Arial"/>
          <w:sz w:val="12"/>
          <w:szCs w:val="12"/>
          <w:color w:val="auto"/>
        </w:rPr>
      </w:pPr>
      <w:r>
        <w:rPr>
          <w:rFonts w:ascii="Arial" w:cs="Arial" w:eastAsia="Arial" w:hAnsi="Arial"/>
          <w:sz w:val="12"/>
          <w:szCs w:val="12"/>
          <w:color w:val="auto"/>
        </w:rPr>
        <w:t>At December 31, 2019 and 2018, the Group classified the financial assets in one of the categories defined by IFRS 9: financial assets at fair value through profit or loss, at fair value though other comprehensive income and at amortized cost, based on:</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2"/>
          <w:numId w:val="42"/>
        </w:numPr>
        <w:rPr>
          <w:rFonts w:ascii="Arial" w:cs="Arial" w:eastAsia="Arial" w:hAnsi="Arial"/>
          <w:sz w:val="12"/>
          <w:szCs w:val="12"/>
          <w:color w:val="auto"/>
        </w:rPr>
      </w:pPr>
      <w:r>
        <w:rPr>
          <w:rFonts w:ascii="Arial" w:cs="Arial" w:eastAsia="Arial" w:hAnsi="Arial"/>
          <w:sz w:val="12"/>
          <w:szCs w:val="12"/>
          <w:color w:val="auto"/>
        </w:rPr>
        <w:t>The business model for managing the financial assets and</w:t>
      </w:r>
    </w:p>
    <w:p>
      <w:pPr>
        <w:spacing w:after="0" w:line="14" w:lineRule="exact"/>
        <w:rPr>
          <w:rFonts w:ascii="Arial" w:cs="Arial" w:eastAsia="Arial" w:hAnsi="Arial"/>
          <w:sz w:val="12"/>
          <w:szCs w:val="12"/>
          <w:color w:val="auto"/>
        </w:rPr>
      </w:pPr>
    </w:p>
    <w:p>
      <w:pPr>
        <w:ind w:left="428" w:hanging="212"/>
        <w:spacing w:after="0"/>
        <w:tabs>
          <w:tab w:leader="none" w:pos="428" w:val="left"/>
        </w:tabs>
        <w:numPr>
          <w:ilvl w:val="2"/>
          <w:numId w:val="42"/>
        </w:numPr>
        <w:rPr>
          <w:rFonts w:ascii="Arial" w:cs="Arial" w:eastAsia="Arial" w:hAnsi="Arial"/>
          <w:sz w:val="12"/>
          <w:szCs w:val="12"/>
          <w:color w:val="auto"/>
        </w:rPr>
      </w:pPr>
      <w:r>
        <w:rPr>
          <w:rFonts w:ascii="Arial" w:cs="Arial" w:eastAsia="Arial" w:hAnsi="Arial"/>
          <w:sz w:val="12"/>
          <w:szCs w:val="12"/>
          <w:color w:val="auto"/>
        </w:rPr>
        <w:t>The characteristics of the contractual cash flows of the financial asset.</w:t>
      </w:r>
    </w:p>
    <w:p>
      <w:pPr>
        <w:spacing w:after="0" w:line="14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Business model -</w:t>
      </w:r>
    </w:p>
    <w:p>
      <w:pPr>
        <w:spacing w:after="0" w:line="150" w:lineRule="exact"/>
        <w:rPr>
          <w:sz w:val="20"/>
          <w:szCs w:val="20"/>
          <w:color w:val="auto"/>
        </w:rPr>
      </w:pPr>
    </w:p>
    <w:p>
      <w:pPr>
        <w:ind w:left="208" w:right="120"/>
        <w:spacing w:after="0" w:line="276" w:lineRule="auto"/>
        <w:rPr>
          <w:sz w:val="20"/>
          <w:szCs w:val="20"/>
          <w:color w:val="auto"/>
        </w:rPr>
      </w:pPr>
      <w:r>
        <w:rPr>
          <w:rFonts w:ascii="Arial" w:cs="Arial" w:eastAsia="Arial" w:hAnsi="Arial"/>
          <w:sz w:val="12"/>
          <w:szCs w:val="12"/>
          <w:color w:val="auto"/>
        </w:rPr>
        <w:t>Represents how the financial assets are managed to generate cash flows and it does not depend on the Management’s intention with regard to an individual instrument. Financial assets can be managed for the purpose of: i) obtaining contractual cash flows; ii) obtaining contractual cash flows and sale; or iii) others. In order to evaluate the business models, the Group considers:</w:t>
      </w:r>
    </w:p>
    <w:p>
      <w:pPr>
        <w:spacing w:after="0" w:line="115" w:lineRule="exact"/>
        <w:rPr>
          <w:sz w:val="20"/>
          <w:szCs w:val="20"/>
          <w:color w:val="auto"/>
        </w:rPr>
      </w:pPr>
    </w:p>
    <w:p>
      <w:pPr>
        <w:ind w:left="288" w:hanging="74"/>
        <w:spacing w:after="0"/>
        <w:tabs>
          <w:tab w:leader="none" w:pos="28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risks that affect the performance of the business model, and in particular, the way in which these risks are managed.</w:t>
      </w:r>
    </w:p>
    <w:p>
      <w:pPr>
        <w:spacing w:after="0" w:line="14" w:lineRule="exact"/>
        <w:rPr>
          <w:rFonts w:ascii="Arial" w:cs="Arial" w:eastAsia="Arial" w:hAnsi="Arial"/>
          <w:sz w:val="12"/>
          <w:szCs w:val="12"/>
          <w:color w:val="auto"/>
        </w:rPr>
      </w:pPr>
    </w:p>
    <w:p>
      <w:pPr>
        <w:ind w:left="288" w:hanging="74"/>
        <w:spacing w:after="0"/>
        <w:tabs>
          <w:tab w:leader="none" w:pos="288" w:val="left"/>
        </w:tabs>
        <w:numPr>
          <w:ilvl w:val="0"/>
          <w:numId w:val="43"/>
        </w:numPr>
        <w:rPr>
          <w:rFonts w:ascii="Arial" w:cs="Arial" w:eastAsia="Arial" w:hAnsi="Arial"/>
          <w:sz w:val="12"/>
          <w:szCs w:val="12"/>
          <w:color w:val="auto"/>
        </w:rPr>
      </w:pPr>
      <w:r>
        <w:rPr>
          <w:rFonts w:ascii="Arial" w:cs="Arial" w:eastAsia="Arial" w:hAnsi="Arial"/>
          <w:sz w:val="12"/>
          <w:szCs w:val="12"/>
          <w:color w:val="auto"/>
        </w:rPr>
        <w:t>How the performance of the business model and the financial assets, held within this business model, are evaluated and informed to the key personnel of the Administration of the Group.</w:t>
      </w:r>
    </w:p>
    <w:p>
      <w:pPr>
        <w:spacing w:after="0" w:line="14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If the cash flows after initial recognition are carried out in a manner other than what is expected by the Group, the classification of the remaining financial assets maintained in this business model is not modified.</w:t>
      </w:r>
    </w:p>
    <w:p>
      <w:pPr>
        <w:spacing w:after="0" w:line="294"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53" w:right="23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auto"/>
        </w:rPr>
        <w:t>When the financial asset is maintained in the business models i) and ii), it requires the application of the “Solely Payments of Principal and Interest” test - “SPPI”.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SPPI Test (Solely Payments of Principal and Interest) -</w:t>
      </w:r>
    </w:p>
    <w:p>
      <w:pPr>
        <w:spacing w:after="0" w:line="150"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This test consists in the evaluation of the cash flows generated by a financial instrument in order to verify if the contractual terms of the financial asset give rise on specified dates to cash flows that are solely payments of principal and interest. In order to conform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09"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Financial assets at amortized cost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A financial asset is classified at amortized cost if the following conditions are met:</w:t>
      </w:r>
    </w:p>
    <w:p>
      <w:pPr>
        <w:spacing w:after="0" w:line="150" w:lineRule="exact"/>
        <w:rPr>
          <w:rFonts w:ascii="Arial" w:cs="Arial" w:eastAsia="Arial" w:hAnsi="Arial"/>
          <w:sz w:val="12"/>
          <w:szCs w:val="12"/>
          <w:color w:val="auto"/>
        </w:rPr>
      </w:pPr>
    </w:p>
    <w:p>
      <w:pPr>
        <w:ind w:left="440" w:hanging="216"/>
        <w:spacing w:after="0"/>
        <w:tabs>
          <w:tab w:leader="none" w:pos="4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It is held within a business model the objective of which is to maintain the financial asset to obtain the contractual cash flows, and</w:t>
      </w:r>
    </w:p>
    <w:p>
      <w:pPr>
        <w:spacing w:after="0" w:line="14" w:lineRule="exact"/>
        <w:rPr>
          <w:rFonts w:ascii="Arial" w:cs="Arial" w:eastAsia="Arial" w:hAnsi="Arial"/>
          <w:sz w:val="12"/>
          <w:szCs w:val="12"/>
          <w:color w:val="auto"/>
        </w:rPr>
      </w:pPr>
    </w:p>
    <w:p>
      <w:pPr>
        <w:ind w:left="440" w:hanging="216"/>
        <w:spacing w:after="0"/>
        <w:tabs>
          <w:tab w:leader="none" w:pos="4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The contractual conditions give rise, on specified dates, to cash flows that are solely payments of the principal and interest.</w:t>
      </w:r>
    </w:p>
    <w:p>
      <w:pPr>
        <w:spacing w:after="0" w:line="141" w:lineRule="exact"/>
        <w:rPr>
          <w:sz w:val="20"/>
          <w:szCs w:val="20"/>
          <w:color w:val="auto"/>
        </w:rPr>
      </w:pPr>
    </w:p>
    <w:p>
      <w:pPr>
        <w:ind w:left="220" w:right="40"/>
        <w:spacing w:after="0" w:line="263" w:lineRule="auto"/>
        <w:rPr>
          <w:sz w:val="20"/>
          <w:szCs w:val="20"/>
          <w:color w:val="auto"/>
        </w:rPr>
      </w:pPr>
      <w:r>
        <w:rPr>
          <w:rFonts w:ascii="Arial" w:cs="Arial" w:eastAsia="Arial" w:hAnsi="Arial"/>
          <w:sz w:val="12"/>
          <w:szCs w:val="12"/>
          <w:color w:val="auto"/>
        </w:rPr>
        <w:t>After their initial recognition, the financial assets of this category are valued at amortized cost, using the effective interest rate method, minus any credit loss provision. The amortized cost is calculated considering any discount or premium incurred in the acquisition and professional fees that constitute an integral part of the effective interest rate. The interests income are included in the item “Interest and similar income” of the consolidated income statement.</w:t>
      </w:r>
    </w:p>
    <w:p>
      <w:pPr>
        <w:spacing w:after="0" w:line="123" w:lineRule="exact"/>
        <w:rPr>
          <w:sz w:val="20"/>
          <w:szCs w:val="20"/>
          <w:color w:val="auto"/>
        </w:rPr>
      </w:pPr>
    </w:p>
    <w:p>
      <w:pPr>
        <w:ind w:left="220" w:right="20"/>
        <w:spacing w:after="0" w:line="323" w:lineRule="auto"/>
        <w:rPr>
          <w:sz w:val="20"/>
          <w:szCs w:val="20"/>
          <w:color w:val="auto"/>
        </w:rPr>
      </w:pPr>
      <w:r>
        <w:rPr>
          <w:rFonts w:ascii="Arial" w:cs="Arial" w:eastAsia="Arial" w:hAnsi="Arial"/>
          <w:sz w:val="11"/>
          <w:szCs w:val="11"/>
          <w:color w:val="auto"/>
        </w:rPr>
        <w:t>Financial assets at amortized cost include direct credits that are recorded when the disbursement of the funds in favor of the clients is carried out, and indirect (contingent) credits that are recorded when the documents that support said credit facilities are issued. Furthermore, the Group considers as refinanced or restructured those credits that, due to difficulties in payment on the part of the debtor, change their payment schedule.</w:t>
      </w:r>
    </w:p>
    <w:p>
      <w:pPr>
        <w:spacing w:after="0" w:line="92" w:lineRule="exact"/>
        <w:rPr>
          <w:sz w:val="20"/>
          <w:szCs w:val="20"/>
          <w:color w:val="auto"/>
        </w:rPr>
      </w:pPr>
    </w:p>
    <w:p>
      <w:pPr>
        <w:ind w:left="220" w:right="240"/>
        <w:spacing w:after="0" w:line="276" w:lineRule="auto"/>
        <w:rPr>
          <w:sz w:val="20"/>
          <w:szCs w:val="20"/>
          <w:color w:val="auto"/>
        </w:rPr>
      </w:pPr>
      <w:r>
        <w:rPr>
          <w:rFonts w:ascii="Arial" w:cs="Arial" w:eastAsia="Arial" w:hAnsi="Arial"/>
          <w:sz w:val="12"/>
          <w:szCs w:val="12"/>
          <w:color w:val="auto"/>
        </w:rPr>
        <w:t>The impairment loss is calculated using the expected loss approach and recognized in the consolidated income statement in the item “Net gain on securities” for investments and in the item “Provision for credit losses on loan portfolio” for loans.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balance of the financial assets, measured at amortized cost, is presented net of the provision for credit losses in the consolidated statement of financial position.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accounting treatment of repurchase and reverse repurchase agreements and securities lending and borrowing is explained in Note 3(f)(ix).</w:t>
      </w:r>
    </w:p>
    <w:p>
      <w:pPr>
        <w:spacing w:after="0" w:line="150"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Financial assets at fair value through other comprehensive income -</w:t>
      </w:r>
    </w:p>
    <w:p>
      <w:pPr>
        <w:spacing w:after="0" w:line="150" w:lineRule="exact"/>
        <w:rPr>
          <w:rFonts w:ascii="Arial" w:cs="Arial" w:eastAsia="Arial" w:hAnsi="Arial"/>
          <w:sz w:val="12"/>
          <w:szCs w:val="12"/>
          <w:color w:val="auto"/>
        </w:rPr>
      </w:pPr>
    </w:p>
    <w:p>
      <w:pPr>
        <w:ind w:left="220" w:right="1200"/>
        <w:spacing w:after="0" w:line="501" w:lineRule="auto"/>
        <w:rPr>
          <w:rFonts w:ascii="Arial" w:cs="Arial" w:eastAsia="Arial" w:hAnsi="Arial"/>
          <w:sz w:val="12"/>
          <w:szCs w:val="12"/>
          <w:color w:val="auto"/>
        </w:rPr>
      </w:pPr>
      <w:r>
        <w:rPr>
          <w:rFonts w:ascii="Arial" w:cs="Arial" w:eastAsia="Arial" w:hAnsi="Arial"/>
          <w:sz w:val="12"/>
          <w:szCs w:val="12"/>
          <w:color w:val="auto"/>
        </w:rPr>
        <w:t>The financial assets that the Group maintains in this category are : a) investments in debt instruments, and b) investments in equity instruments, not for trading, irrevocably designated at initial recognition. Investments in debt instruments -</w:t>
      </w:r>
    </w:p>
    <w:p>
      <w:pPr>
        <w:ind w:left="220"/>
        <w:spacing w:after="0"/>
        <w:rPr>
          <w:rFonts w:ascii="Arial" w:cs="Arial" w:eastAsia="Arial" w:hAnsi="Arial"/>
          <w:sz w:val="12"/>
          <w:szCs w:val="12"/>
          <w:color w:val="auto"/>
        </w:rPr>
      </w:pPr>
      <w:r>
        <w:rPr>
          <w:rFonts w:ascii="Arial" w:cs="Arial" w:eastAsia="Arial" w:hAnsi="Arial"/>
          <w:sz w:val="12"/>
          <w:szCs w:val="12"/>
          <w:color w:val="auto"/>
        </w:rPr>
        <w:t>A financial asset is classified and measured at fair value through other comprehensive income when the following conditions are followed:</w:t>
      </w:r>
    </w:p>
    <w:p>
      <w:pPr>
        <w:spacing w:after="0" w:line="294" w:lineRule="exact"/>
        <w:rPr>
          <w:rFonts w:ascii="Arial" w:cs="Arial" w:eastAsia="Arial" w:hAnsi="Arial"/>
          <w:sz w:val="12"/>
          <w:szCs w:val="12"/>
          <w:color w:val="auto"/>
        </w:rPr>
      </w:pPr>
    </w:p>
    <w:p>
      <w:pPr>
        <w:ind w:left="5480" w:hanging="72"/>
        <w:spacing w:after="0"/>
        <w:tabs>
          <w:tab w:leader="none" w:pos="54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0"/>
          </w:cols>
          <w:pgMar w:left="420" w:top="653" w:right="259" w:bottom="1440" w:gutter="0" w:footer="0" w:header="0"/>
        </w:sectPr>
      </w:pPr>
    </w:p>
    <w:bookmarkStart w:id="46" w:name="page47"/>
    <w:bookmarkEnd w:id="46"/>
    <w:p>
      <w:pPr>
        <w:ind w:left="220" w:hanging="216"/>
        <w:spacing w:after="0"/>
        <w:tabs>
          <w:tab w:leader="none" w:pos="2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financial asset is maintained within a business model whose objective is achieved by both collecting contractual cash flows and selling financial assets, and</w:t>
      </w:r>
    </w:p>
    <w:p>
      <w:pPr>
        <w:spacing w:after="0" w:line="14" w:lineRule="exact"/>
        <w:rPr>
          <w:rFonts w:ascii="Arial" w:cs="Arial" w:eastAsia="Arial" w:hAnsi="Arial"/>
          <w:sz w:val="12"/>
          <w:szCs w:val="12"/>
          <w:color w:val="auto"/>
        </w:rPr>
      </w:pPr>
    </w:p>
    <w:p>
      <w:pPr>
        <w:ind w:left="220" w:hanging="216"/>
        <w:spacing w:after="0"/>
        <w:tabs>
          <w:tab w:leader="none" w:pos="2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contractual conditions give rise, on specified dates, to cash flows that are solely payments of principal and interest.</w:t>
      </w:r>
    </w:p>
    <w:p>
      <w:pPr>
        <w:spacing w:after="0" w:line="141"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After their initial recognition, investments in debt instruments are measured at fair value, recording the unrealized gains and losses in the consolidated statement of comprehensive income, net of their corresponding income tax and non-controlling interest, until the investment is sold; upon which the accumulated profit or loss is recognized in the item “Net gain on securities” of the consolidated statement of income.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Interest is recognized in the consolidated statement of income in the item “Interest and similar income” and it is reported as interest income using the effective interest rate method.</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When a debt instrument is designated in a fair value hedging relationship, any change in the fair value due to changes in the hedged risk is recognized in the item “Interest and similar income” of the consolidated statement of income.</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gains or losses due to exchange differences related to the amortized cost of the debt instrument are recognized in the consolidated statement of income, and those related to the difference between the amortized cost and the fair value are recognized as part of the unrealized gain or loss in the consolidated statement of comprehensive income.</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115"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impairment loss of investments in debt instruments is calculated using the expected loss approach and is recognized in the consolidated statement of comprehensive income, charged to the item “Net gain on securities” of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Investments in equity instruments, not for trading, designated upon initial recognition -</w:t>
      </w:r>
    </w:p>
    <w:p>
      <w:pPr>
        <w:spacing w:after="0" w:line="150" w:lineRule="exact"/>
        <w:rPr>
          <w:sz w:val="20"/>
          <w:szCs w:val="20"/>
          <w:color w:val="auto"/>
        </w:rPr>
      </w:pPr>
    </w:p>
    <w:p>
      <w:pPr>
        <w:ind w:right="700"/>
        <w:spacing w:after="0" w:line="276" w:lineRule="auto"/>
        <w:rPr>
          <w:sz w:val="20"/>
          <w:szCs w:val="20"/>
          <w:color w:val="auto"/>
        </w:rPr>
      </w:pPr>
      <w:r>
        <w:rPr>
          <w:rFonts w:ascii="Arial" w:cs="Arial" w:eastAsia="Arial" w:hAnsi="Arial"/>
          <w:sz w:val="12"/>
          <w:szCs w:val="12"/>
          <w:color w:val="auto"/>
        </w:rPr>
        <w:t>At the moment of their initial recognition, the Group can make an irrevocable choice to present the equity instruments, which are not for trading, but for strategic purposes, in the category “At fair value through other comprehensive income”.</w:t>
      </w:r>
    </w:p>
    <w:p>
      <w:pPr>
        <w:spacing w:after="0" w:line="11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After their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of the consolidated statement of changes in equity; in other words, they are not subsequently reclassified to the consolidated statement of income.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a result, the equity instruments classified in this category do not require a loss impairment evaluation.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Dividends are recognized when the collection right has been established and they are recorded in the item “Interest and similar income” of the consolidated statement of income.</w:t>
      </w:r>
    </w:p>
    <w:p>
      <w:pPr>
        <w:spacing w:after="0" w:line="294"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47" w:name="page48"/>
    <w:bookmarkEnd w:id="47"/>
    <w:p>
      <w:pPr>
        <w:ind w:left="220" w:hanging="212"/>
        <w:spacing w:after="0"/>
        <w:tabs>
          <w:tab w:leader="none" w:pos="2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Financial assets at fair value through profit or loss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Financial assets must be classified and measured at fair value through profit or loss, unless they are classified and measured at “Amortized cost” or “At fair value through other comprehensive income”.</w:t>
      </w:r>
    </w:p>
    <w:p>
      <w:pPr>
        <w:spacing w:after="0" w:line="150" w:lineRule="exact"/>
        <w:rPr>
          <w:rFonts w:ascii="Arial" w:cs="Arial" w:eastAsia="Arial" w:hAnsi="Arial"/>
          <w:sz w:val="12"/>
          <w:szCs w:val="12"/>
          <w:color w:val="auto"/>
        </w:rPr>
      </w:pPr>
    </w:p>
    <w:p>
      <w:pPr>
        <w:ind w:left="220"/>
        <w:spacing w:after="0" w:line="276" w:lineRule="auto"/>
        <w:rPr>
          <w:rFonts w:ascii="Arial" w:cs="Arial" w:eastAsia="Arial" w:hAnsi="Arial"/>
          <w:sz w:val="12"/>
          <w:szCs w:val="12"/>
          <w:color w:val="auto"/>
        </w:rPr>
      </w:pPr>
      <w:r>
        <w:rPr>
          <w:rFonts w:ascii="Arial" w:cs="Arial" w:eastAsia="Arial" w:hAnsi="Arial"/>
          <w:sz w:val="12"/>
          <w:szCs w:val="12"/>
          <w:color w:val="auto"/>
        </w:rPr>
        <w:t>The financial assets that the Group maintains in this category are: a) Investments in debt instruments, b) investments in equity instruments for trading purposes, c) financial assets designated at fair value through profit or loss from their initial recognition, and d) derivative financial instruments for trading purposes.</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Debt instruments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Said instruments are classified in this category since: a) they are maintained for trading purposes, or b) their cash flows are not solely payments of principal and interest.</w:t>
      </w:r>
    </w:p>
    <w:p>
      <w:pPr>
        <w:spacing w:after="0" w:line="150" w:lineRule="exact"/>
        <w:rPr>
          <w:rFonts w:ascii="Arial" w:cs="Arial" w:eastAsia="Arial" w:hAnsi="Arial"/>
          <w:sz w:val="12"/>
          <w:szCs w:val="12"/>
          <w:color w:val="auto"/>
        </w:rPr>
      </w:pPr>
    </w:p>
    <w:p>
      <w:pPr>
        <w:ind w:left="220" w:right="120"/>
        <w:spacing w:after="0" w:line="276" w:lineRule="auto"/>
        <w:rPr>
          <w:rFonts w:ascii="Arial" w:cs="Arial" w:eastAsia="Arial" w:hAnsi="Arial"/>
          <w:sz w:val="12"/>
          <w:szCs w:val="12"/>
          <w:color w:val="auto"/>
        </w:rPr>
      </w:pPr>
      <w:r>
        <w:rPr>
          <w:rFonts w:ascii="Arial" w:cs="Arial" w:eastAsia="Arial" w:hAnsi="Arial"/>
          <w:sz w:val="12"/>
          <w:szCs w:val="12"/>
          <w:color w:val="auto"/>
        </w:rPr>
        <w:t>After their initial recognition they are measured at fair value, recording the changes in the item “Net gain on securities” of the consolidated statement of income. Interests accrued are calculated using the contractual interest rate and recorded in the “Interest and similar income” item of the consolidated statement of income.</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Equity instruments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1"/>
          <w:szCs w:val="11"/>
          <w:color w:val="auto"/>
        </w:rPr>
        <w:t>Equity instruments are classified and measured at fair value through profit or loss, unless an irrevocable choice is made, at the time of initial recognition, to designate them at fair value through other comprehensive income.</w:t>
      </w:r>
    </w:p>
    <w:p>
      <w:pPr>
        <w:spacing w:after="0" w:line="161" w:lineRule="exact"/>
        <w:rPr>
          <w:rFonts w:ascii="Arial" w:cs="Arial" w:eastAsia="Arial" w:hAnsi="Arial"/>
          <w:sz w:val="12"/>
          <w:szCs w:val="12"/>
          <w:color w:val="auto"/>
        </w:rPr>
      </w:pPr>
    </w:p>
    <w:p>
      <w:pPr>
        <w:ind w:left="220" w:right="180"/>
        <w:spacing w:after="0" w:line="276" w:lineRule="auto"/>
        <w:rPr>
          <w:rFonts w:ascii="Arial" w:cs="Arial" w:eastAsia="Arial" w:hAnsi="Arial"/>
          <w:sz w:val="12"/>
          <w:szCs w:val="12"/>
          <w:color w:val="auto"/>
        </w:rPr>
      </w:pPr>
      <w:r>
        <w:rPr>
          <w:rFonts w:ascii="Arial" w:cs="Arial" w:eastAsia="Arial" w:hAnsi="Arial"/>
          <w:sz w:val="12"/>
          <w:szCs w:val="12"/>
          <w:color w:val="auto"/>
        </w:rPr>
        <w:t>After their initial recognition, they are measured at fair value, recording the changes in the item “Net gains on securities” of the consolidated statement of income. The profit from dividends is recorded in the item “Interest and similar income” of consolidated statement of income when the right to payment has been recognized.</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Financial assets designated at fair value through profit or loss from initial recognition -</w:t>
      </w:r>
    </w:p>
    <w:p>
      <w:pPr>
        <w:spacing w:after="0" w:line="150" w:lineRule="exact"/>
        <w:rPr>
          <w:rFonts w:ascii="Arial" w:cs="Arial" w:eastAsia="Arial" w:hAnsi="Arial"/>
          <w:sz w:val="12"/>
          <w:szCs w:val="12"/>
          <w:color w:val="auto"/>
        </w:rPr>
      </w:pPr>
    </w:p>
    <w:p>
      <w:pPr>
        <w:ind w:left="220" w:right="80"/>
        <w:spacing w:after="0" w:line="276" w:lineRule="auto"/>
        <w:rPr>
          <w:rFonts w:ascii="Arial" w:cs="Arial" w:eastAsia="Arial" w:hAnsi="Arial"/>
          <w:sz w:val="12"/>
          <w:szCs w:val="12"/>
          <w:color w:val="auto"/>
        </w:rPr>
      </w:pPr>
      <w:r>
        <w:rPr>
          <w:rFonts w:ascii="Arial" w:cs="Arial" w:eastAsia="Arial" w:hAnsi="Arial"/>
          <w:sz w:val="12"/>
          <w:szCs w:val="12"/>
          <w:color w:val="auto"/>
        </w:rPr>
        <w:t>Upon initial recognition, Management can irrevocably designate financial assets as measured at fair value through profit or loss, if doing so eliminates or significantly reduces an incongruence of measurement or recognition that would otherwise arise from the measurement of the assets or liabilities or from the recognition of the profit and losses thereof on different bases.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After initial recognition they are measured at fair value, recording the changes in the consolidated statement of income.</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At December 31, 2019 and 2018, the Group classified the financial liabilities upon initial recognition as measured at amortized cost, except in the case of the financial liabilities at fair value through profit or loss. These liabilities include the derivatives measured at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interest incurred is accrued in the item “Interest and similar income” of the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Furthermore, upon initial recognition, Management can irrevocably designate financial liabilities as measured at fair value through profit or loss when one of the following criteria is complied with:</w:t>
      </w:r>
    </w:p>
    <w:p>
      <w:pPr>
        <w:spacing w:after="0" w:line="150" w:lineRule="exact"/>
        <w:rPr>
          <w:sz w:val="20"/>
          <w:szCs w:val="20"/>
          <w:color w:val="auto"/>
        </w:rPr>
      </w:pPr>
    </w:p>
    <w:p>
      <w:pPr>
        <w:ind w:left="200" w:hanging="156"/>
        <w:spacing w:after="0"/>
        <w:tabs>
          <w:tab w:leader="none" w:pos="2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An incongruence in the measurement is eliminated or significantly reduced, which would otherwise arise from using different criteria to measure assets or liabilities; or</w:t>
      </w:r>
    </w:p>
    <w:p>
      <w:pPr>
        <w:spacing w:after="0" w:line="14" w:lineRule="exact"/>
        <w:rPr>
          <w:rFonts w:ascii="Arial" w:cs="Arial" w:eastAsia="Arial" w:hAnsi="Arial"/>
          <w:sz w:val="12"/>
          <w:szCs w:val="12"/>
          <w:color w:val="auto"/>
        </w:rPr>
      </w:pPr>
    </w:p>
    <w:p>
      <w:pPr>
        <w:ind w:left="200" w:hanging="156"/>
        <w:spacing w:after="0"/>
        <w:tabs>
          <w:tab w:leader="none" w:pos="2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They are part of a group of financial liabilities, which are managed and their yield is evaluated based on fair value, according to a documented investment strategy or risk management; or</w:t>
      </w:r>
    </w:p>
    <w:p>
      <w:pPr>
        <w:spacing w:after="0" w:line="6" w:lineRule="exact"/>
        <w:rPr>
          <w:rFonts w:ascii="Arial" w:cs="Arial" w:eastAsia="Arial" w:hAnsi="Arial"/>
          <w:sz w:val="12"/>
          <w:szCs w:val="12"/>
          <w:color w:val="auto"/>
        </w:rPr>
      </w:pPr>
    </w:p>
    <w:p>
      <w:pPr>
        <w:ind w:left="200" w:hanging="156"/>
        <w:spacing w:after="0"/>
        <w:tabs>
          <w:tab w:leader="none" w:pos="2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financial liability contains one or more embedded derivatives that otherwise significantly modify the required cash flows.</w:t>
      </w:r>
    </w:p>
    <w:p>
      <w:pPr>
        <w:spacing w:after="0" w:line="285" w:lineRule="exact"/>
        <w:rPr>
          <w:rFonts w:ascii="Arial" w:cs="Arial" w:eastAsia="Arial" w:hAnsi="Arial"/>
          <w:sz w:val="12"/>
          <w:szCs w:val="12"/>
          <w:color w:val="auto"/>
        </w:rPr>
      </w:pPr>
    </w:p>
    <w:p>
      <w:pPr>
        <w:ind w:left="5480" w:hanging="72"/>
        <w:spacing w:after="0"/>
        <w:tabs>
          <w:tab w:leader="none" w:pos="5480" w:val="left"/>
        </w:tabs>
        <w:numPr>
          <w:ilvl w:val="1"/>
          <w:numId w:val="48"/>
        </w:numPr>
        <w:rPr>
          <w:rFonts w:ascii="Arial" w:cs="Arial" w:eastAsia="Arial" w:hAnsi="Arial"/>
          <w:sz w:val="12"/>
          <w:szCs w:val="12"/>
          <w:color w:val="auto"/>
        </w:rPr>
      </w:pPr>
      <w:r>
        <w:rPr>
          <w:rFonts w:ascii="Arial" w:cs="Arial" w:eastAsia="Arial" w:hAnsi="Arial"/>
          <w:sz w:val="12"/>
          <w:szCs w:val="1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0"/>
          </w:cols>
          <w:pgMar w:left="420" w:top="653" w:right="25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(iv) Reclassification of financial assets and liabilities -</w:t>
      </w:r>
    </w:p>
    <w:p>
      <w:pPr>
        <w:spacing w:after="0" w:line="150"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2"/>
          <w:szCs w:val="12"/>
          <w:color w:val="auto"/>
        </w:rPr>
        <w:t>From January 1, 2018, the reclassification of financial assets will always take place as long as when the business model that manages financial assets is changed. We expect this change will be less than frequently. These changes are determined by the Group Management as a result of external or internal changes, which must be necessary for the Group's operations and demonstrable against third parties. Therefore, a change in the Group's business model will take place only when it starts or stop carrying out an activity that is significant for its operations. The financial liabilities are never reclassified.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Policy applicable up to December 31, 2017 -</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As of December 31, 2017, the Group classified its financial instruments in one of the categories defined by IAS 39: financial assets and financial liabilities at fair value through profit or loss; loans and receivables; available-for-sale financial investments; held-to-maturity financial investments and other financial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classification of the financial instruments upon their initial recognition depended on the purpose and intention of the Management for which the financial instruments were acquired and their characteristics.</w:t>
      </w:r>
    </w:p>
    <w:p>
      <w:pPr>
        <w:spacing w:after="0" w:line="150"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Financial assets and liabilities at fair value through profit or loss -</w:t>
      </w:r>
    </w:p>
    <w:p>
      <w:pPr>
        <w:spacing w:after="0" w:line="150" w:lineRule="exact"/>
        <w:rPr>
          <w:rFonts w:ascii="Arial" w:cs="Arial" w:eastAsia="Arial" w:hAnsi="Arial"/>
          <w:sz w:val="12"/>
          <w:szCs w:val="12"/>
          <w:color w:val="auto"/>
        </w:rPr>
      </w:pPr>
    </w:p>
    <w:p>
      <w:pPr>
        <w:ind w:left="220"/>
        <w:spacing w:after="0" w:line="323" w:lineRule="auto"/>
        <w:rPr>
          <w:rFonts w:ascii="Arial" w:cs="Arial" w:eastAsia="Arial" w:hAnsi="Arial"/>
          <w:sz w:val="12"/>
          <w:szCs w:val="12"/>
          <w:color w:val="auto"/>
        </w:rPr>
      </w:pPr>
      <w:r>
        <w:rPr>
          <w:rFonts w:ascii="Arial" w:cs="Arial" w:eastAsia="Arial" w:hAnsi="Arial"/>
          <w:sz w:val="11"/>
          <w:szCs w:val="11"/>
          <w:color w:val="auto"/>
        </w:rPr>
        <w:t>Financial assets and liabilities at fair value through profit or loss included financial assets and liabilities held for trading and financial assets and liabilities designated at fair value through profit or loss, the designation of which was upon initial recognition and on an instrument by instrument basis. Derivative financial instruments were also categorized as held for trading unless they had been designated as hedging instruments.</w:t>
      </w:r>
    </w:p>
    <w:p>
      <w:pPr>
        <w:spacing w:after="0" w:line="91" w:lineRule="exact"/>
        <w:rPr>
          <w:rFonts w:ascii="Arial" w:cs="Arial" w:eastAsia="Arial" w:hAnsi="Arial"/>
          <w:sz w:val="12"/>
          <w:szCs w:val="12"/>
          <w:color w:val="auto"/>
        </w:rPr>
      </w:pPr>
    </w:p>
    <w:p>
      <w:pPr>
        <w:ind w:left="220" w:right="420"/>
        <w:spacing w:after="0" w:line="276" w:lineRule="auto"/>
        <w:rPr>
          <w:rFonts w:ascii="Arial" w:cs="Arial" w:eastAsia="Arial" w:hAnsi="Arial"/>
          <w:sz w:val="12"/>
          <w:szCs w:val="12"/>
          <w:color w:val="auto"/>
        </w:rPr>
      </w:pPr>
      <w:r>
        <w:rPr>
          <w:rFonts w:ascii="Arial" w:cs="Arial" w:eastAsia="Arial" w:hAnsi="Arial"/>
          <w:sz w:val="12"/>
          <w:szCs w:val="12"/>
          <w:color w:val="auto"/>
        </w:rPr>
        <w:t>A financial asset or liability was classified as held for trading if it was acquired for the purpose of selling or repurchasing in the short term, and is presented in “Investments at fair value through profit or loss” or “Financial liabilities at fair value through profit or loss” in the consolidated statement of financial position.</w:t>
      </w:r>
    </w:p>
    <w:p>
      <w:pPr>
        <w:spacing w:after="0" w:line="114" w:lineRule="exact"/>
        <w:rPr>
          <w:rFonts w:ascii="Arial" w:cs="Arial" w:eastAsia="Arial" w:hAnsi="Arial"/>
          <w:sz w:val="12"/>
          <w:szCs w:val="12"/>
          <w:color w:val="auto"/>
        </w:rPr>
      </w:pPr>
    </w:p>
    <w:p>
      <w:pPr>
        <w:ind w:left="220" w:right="100"/>
        <w:spacing w:after="0" w:line="276" w:lineRule="auto"/>
        <w:rPr>
          <w:rFonts w:ascii="Arial" w:cs="Arial" w:eastAsia="Arial" w:hAnsi="Arial"/>
          <w:sz w:val="12"/>
          <w:szCs w:val="12"/>
          <w:color w:val="auto"/>
        </w:rPr>
      </w:pPr>
      <w:r>
        <w:rPr>
          <w:rFonts w:ascii="Arial" w:cs="Arial" w:eastAsia="Arial" w:hAnsi="Arial"/>
          <w:sz w:val="12"/>
          <w:szCs w:val="12"/>
          <w:color w:val="auto"/>
        </w:rPr>
        <w:t>Interest earned or incurred was accrued in the consolidated statement of income in “Interest and similar income” or “interest and similar expenses”, according to the terms of the contract. Dividend income was recorded when the right to payment was established.</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Management could designate an instrument at fair value through profit or loss upon initial recognition if the following criteria were met:</w:t>
      </w:r>
    </w:p>
    <w:p>
      <w:pPr>
        <w:spacing w:after="0" w:line="150" w:lineRule="exact"/>
        <w:rPr>
          <w:rFonts w:ascii="Arial" w:cs="Arial" w:eastAsia="Arial" w:hAnsi="Arial"/>
          <w:sz w:val="12"/>
          <w:szCs w:val="12"/>
          <w:color w:val="auto"/>
        </w:rPr>
      </w:pPr>
    </w:p>
    <w:p>
      <w:pPr>
        <w:ind w:left="380" w:hanging="165"/>
        <w:spacing w:after="0"/>
        <w:tabs>
          <w:tab w:leader="none" w:pos="380" w:val="left"/>
        </w:tabs>
        <w:numPr>
          <w:ilvl w:val="1"/>
          <w:numId w:val="49"/>
        </w:numPr>
        <w:rPr>
          <w:rFonts w:ascii="Arial" w:cs="Arial" w:eastAsia="Arial" w:hAnsi="Arial"/>
          <w:sz w:val="11"/>
          <w:szCs w:val="11"/>
          <w:color w:val="auto"/>
        </w:rPr>
      </w:pPr>
      <w:r>
        <w:rPr>
          <w:rFonts w:ascii="Arial" w:cs="Arial" w:eastAsia="Arial" w:hAnsi="Arial"/>
          <w:sz w:val="11"/>
          <w:szCs w:val="11"/>
          <w:color w:val="auto"/>
        </w:rPr>
        <w:t>The designation eliminated or significantly reduced the inconsistent treatment that would otherwise arise from measuring assets or liabilities or recognizing gains or losses generated by them on a different basis; or</w:t>
      </w:r>
    </w:p>
    <w:p>
      <w:pPr>
        <w:spacing w:after="0" w:line="161" w:lineRule="exact"/>
        <w:rPr>
          <w:rFonts w:ascii="Arial" w:cs="Arial" w:eastAsia="Arial" w:hAnsi="Arial"/>
          <w:sz w:val="11"/>
          <w:szCs w:val="11"/>
          <w:color w:val="auto"/>
        </w:rPr>
      </w:pPr>
    </w:p>
    <w:p>
      <w:pPr>
        <w:ind w:left="380" w:right="300" w:hanging="165"/>
        <w:spacing w:after="0" w:line="276" w:lineRule="auto"/>
        <w:tabs>
          <w:tab w:leader="none" w:pos="3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assets and liabilities were part of a group of financial assets, financial liabilities or both which were managed and evaluated based on the yield on their fair value, in accordance with a documented risk management or investment strategy; or</w:t>
      </w:r>
    </w:p>
    <w:p>
      <w:pPr>
        <w:spacing w:after="0" w:line="114" w:lineRule="exact"/>
        <w:rPr>
          <w:rFonts w:ascii="Arial" w:cs="Arial" w:eastAsia="Arial" w:hAnsi="Arial"/>
          <w:sz w:val="12"/>
          <w:szCs w:val="12"/>
          <w:color w:val="auto"/>
        </w:rPr>
      </w:pPr>
    </w:p>
    <w:p>
      <w:pPr>
        <w:ind w:left="380" w:right="200" w:hanging="165"/>
        <w:spacing w:after="0" w:line="276" w:lineRule="auto"/>
        <w:tabs>
          <w:tab w:leader="none" w:pos="3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A contract contained one or more embedded derivatives which significantly modified the cash flows that might otherwise be required by the contract and their separation was not prohibited by IAS 39. In this case, the entire contract was designated at fair value through profit or loss.</w:t>
      </w:r>
    </w:p>
    <w:p>
      <w:pPr>
        <w:spacing w:after="0" w:line="259" w:lineRule="exact"/>
        <w:rPr>
          <w:rFonts w:ascii="Arial" w:cs="Arial" w:eastAsia="Arial" w:hAnsi="Arial"/>
          <w:sz w:val="12"/>
          <w:szCs w:val="12"/>
          <w:color w:val="auto"/>
        </w:rPr>
      </w:pPr>
    </w:p>
    <w:p>
      <w:pPr>
        <w:ind w:left="5480" w:hanging="72"/>
        <w:spacing w:after="0"/>
        <w:tabs>
          <w:tab w:leader="none" w:pos="5480" w:val="left"/>
        </w:tabs>
        <w:numPr>
          <w:ilvl w:val="2"/>
          <w:numId w:val="49"/>
        </w:numPr>
        <w:rPr>
          <w:rFonts w:ascii="Arial" w:cs="Arial" w:eastAsia="Arial" w:hAnsi="Arial"/>
          <w:sz w:val="12"/>
          <w:szCs w:val="12"/>
          <w:color w:val="auto"/>
        </w:rPr>
      </w:pPr>
      <w:r>
        <w:rPr>
          <w:rFonts w:ascii="Arial" w:cs="Arial" w:eastAsia="Arial" w:hAnsi="Arial"/>
          <w:sz w:val="12"/>
          <w:szCs w:val="12"/>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49" w:name="page50"/>
    <w:bookmarkEnd w:id="49"/>
    <w:p>
      <w:pPr>
        <w:ind w:left="220"/>
        <w:spacing w:after="0"/>
        <w:rPr>
          <w:sz w:val="20"/>
          <w:szCs w:val="20"/>
          <w:color w:val="auto"/>
        </w:rPr>
      </w:pPr>
      <w:r>
        <w:rPr>
          <w:rFonts w:ascii="Arial" w:cs="Arial" w:eastAsia="Arial" w:hAnsi="Arial"/>
          <w:sz w:val="12"/>
          <w:szCs w:val="12"/>
          <w:color w:val="auto"/>
        </w:rPr>
        <w:t>Changes in fair value of a financial asset designated through profit or loss were recorded in the consolidated statement of income.</w:t>
      </w:r>
    </w:p>
    <w:p>
      <w:pPr>
        <w:spacing w:after="0" w:line="150"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Loans and receivables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Loans and receivables were non-derivative financial assets with fixed or determinable payments that were not quoted in an active market.</w:t>
      </w:r>
    </w:p>
    <w:p>
      <w:pPr>
        <w:spacing w:after="0" w:line="150" w:lineRule="exact"/>
        <w:rPr>
          <w:rFonts w:ascii="Arial" w:cs="Arial" w:eastAsia="Arial" w:hAnsi="Arial"/>
          <w:sz w:val="12"/>
          <w:szCs w:val="12"/>
          <w:color w:val="auto"/>
        </w:rPr>
      </w:pPr>
    </w:p>
    <w:p>
      <w:pPr>
        <w:jc w:val="both"/>
        <w:ind w:left="220" w:right="240"/>
        <w:spacing w:after="0" w:line="263" w:lineRule="auto"/>
        <w:rPr>
          <w:rFonts w:ascii="Arial" w:cs="Arial" w:eastAsia="Arial" w:hAnsi="Arial"/>
          <w:sz w:val="12"/>
          <w:szCs w:val="12"/>
          <w:color w:val="auto"/>
        </w:rPr>
      </w:pPr>
      <w:r>
        <w:rPr>
          <w:rFonts w:ascii="Arial" w:cs="Arial" w:eastAsia="Arial" w:hAnsi="Arial"/>
          <w:sz w:val="12"/>
          <w:szCs w:val="12"/>
          <w:color w:val="auto"/>
        </w:rPr>
        <w:t>After initial recognition, loans and receivables were measured at amortized cost using the effective interest rate method, less any provision for impairment. Amortized cost was calculated by taking into account any discount or premium on acquisition and fees or costs that were an integral part of the effective interest rate. The effective interest rate amortization was recognized in the consolidated statement of income in “Interest and similar income”. Losses from impairment were recognized in the consolidated statement of income in “Provision for credit losses on loan portfolio”.</w:t>
      </w:r>
    </w:p>
    <w:p>
      <w:pPr>
        <w:spacing w:after="0" w:line="122" w:lineRule="exact"/>
        <w:rPr>
          <w:rFonts w:ascii="Arial" w:cs="Arial" w:eastAsia="Arial" w:hAnsi="Arial"/>
          <w:sz w:val="12"/>
          <w:szCs w:val="12"/>
          <w:color w:val="auto"/>
        </w:rPr>
      </w:pPr>
    </w:p>
    <w:p>
      <w:pPr>
        <w:ind w:left="220" w:right="40"/>
        <w:spacing w:after="0" w:line="276" w:lineRule="auto"/>
        <w:rPr>
          <w:rFonts w:ascii="Arial" w:cs="Arial" w:eastAsia="Arial" w:hAnsi="Arial"/>
          <w:sz w:val="12"/>
          <w:szCs w:val="12"/>
          <w:color w:val="auto"/>
        </w:rPr>
      </w:pPr>
      <w:r>
        <w:rPr>
          <w:rFonts w:ascii="Arial" w:cs="Arial" w:eastAsia="Arial" w:hAnsi="Arial"/>
          <w:sz w:val="12"/>
          <w:szCs w:val="12"/>
          <w:color w:val="auto"/>
        </w:rPr>
        <w:t>Direct loans were recorded when disbursement of funds to the costumers were made. Indirect (off-balance sheet) loans were recorded when documents supporting such facilities were issued. In the same way, the Group considered as refinanced or restructured those loans that changed their payment schedules due to difficulties in the debtor’s ability to repay the loan.</w:t>
      </w:r>
    </w:p>
    <w:p>
      <w:pPr>
        <w:spacing w:after="0" w:line="114" w:lineRule="exact"/>
        <w:rPr>
          <w:rFonts w:ascii="Arial" w:cs="Arial" w:eastAsia="Arial" w:hAnsi="Arial"/>
          <w:sz w:val="12"/>
          <w:szCs w:val="12"/>
          <w:color w:val="auto"/>
        </w:rPr>
      </w:pPr>
    </w:p>
    <w:p>
      <w:pPr>
        <w:ind w:left="220" w:right="260"/>
        <w:spacing w:after="0" w:line="276" w:lineRule="auto"/>
        <w:rPr>
          <w:rFonts w:ascii="Arial" w:cs="Arial" w:eastAsia="Arial" w:hAnsi="Arial"/>
          <w:sz w:val="12"/>
          <w:szCs w:val="12"/>
          <w:color w:val="auto"/>
        </w:rPr>
      </w:pPr>
      <w:r>
        <w:rPr>
          <w:rFonts w:ascii="Arial" w:cs="Arial" w:eastAsia="Arial" w:hAnsi="Arial"/>
          <w:sz w:val="12"/>
          <w:szCs w:val="12"/>
          <w:color w:val="auto"/>
        </w:rPr>
        <w:t>A provision for loan losses was established if there was objective evidence that the Group would not be able to collect all amounts due according to the original contractual terms of the loans. The provision for loan losses was established based on an internal risk classification and considering any guarantees and collaterals received.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(vii)Available-for-sale investments -</w:t>
      </w:r>
    </w:p>
    <w:p>
      <w:pPr>
        <w:spacing w:after="0" w:line="150" w:lineRule="exact"/>
        <w:rPr>
          <w:sz w:val="20"/>
          <w:szCs w:val="20"/>
          <w:color w:val="auto"/>
        </w:rPr>
      </w:pPr>
    </w:p>
    <w:p>
      <w:pPr>
        <w:jc w:val="both"/>
        <w:ind w:left="220" w:right="20"/>
        <w:spacing w:after="0" w:line="323" w:lineRule="auto"/>
        <w:rPr>
          <w:sz w:val="20"/>
          <w:szCs w:val="20"/>
          <w:color w:val="auto"/>
        </w:rPr>
      </w:pPr>
      <w:r>
        <w:rPr>
          <w:rFonts w:ascii="Arial" w:cs="Arial" w:eastAsia="Arial" w:hAnsi="Arial"/>
          <w:sz w:val="11"/>
          <w:szCs w:val="11"/>
          <w:color w:val="auto"/>
        </w:rPr>
        <w:t>Available-for-sale investments included equity investments and debt securities. Equity investments classified as available-for-sale were those that were neither classified as held for trading nor designated at fair value through profit or loss. Debt instruments in this category were those that were intended to be held for an indefinite period of time and that could be sold in response to needs for liquidity or in response to changes in market conditions.</w:t>
      </w:r>
    </w:p>
    <w:p>
      <w:pPr>
        <w:spacing w:after="0" w:line="92" w:lineRule="exact"/>
        <w:rPr>
          <w:sz w:val="20"/>
          <w:szCs w:val="20"/>
          <w:color w:val="auto"/>
        </w:rPr>
      </w:pPr>
    </w:p>
    <w:p>
      <w:pPr>
        <w:jc w:val="both"/>
        <w:ind w:left="220"/>
        <w:spacing w:after="0" w:line="298" w:lineRule="auto"/>
        <w:rPr>
          <w:sz w:val="20"/>
          <w:szCs w:val="20"/>
          <w:color w:val="auto"/>
        </w:rPr>
      </w:pPr>
      <w:r>
        <w:rPr>
          <w:rFonts w:ascii="Arial" w:cs="Arial" w:eastAsia="Arial" w:hAnsi="Arial"/>
          <w:sz w:val="11"/>
          <w:szCs w:val="11"/>
          <w:color w:val="auto"/>
        </w:rPr>
        <w:t>After initial recognition, available-for-sale investments were subsequently measured at fair value with unrealized gains or losses recognized as other comprehensive income in the available-for-sale reserve, net of the corresponding deferred income tax and non-controlling interest, until the investment was sold, at which time the cumulative gain or loss was recognized in the consolidated statement of income in “Net gain on securities”, or was determined to be impaired, at which time the impaired amount was recognized in the consolidated statement of income in “Net gain on securities”, and removed from the reserve of investments available-for-sale.</w:t>
      </w:r>
    </w:p>
    <w:p>
      <w:pPr>
        <w:spacing w:after="0" w:line="105" w:lineRule="exact"/>
        <w:rPr>
          <w:sz w:val="20"/>
          <w:szCs w:val="20"/>
          <w:color w:val="auto"/>
        </w:rPr>
      </w:pPr>
    </w:p>
    <w:p>
      <w:pPr>
        <w:ind w:left="220" w:right="280"/>
        <w:spacing w:after="0" w:line="276" w:lineRule="auto"/>
        <w:rPr>
          <w:sz w:val="20"/>
          <w:szCs w:val="20"/>
          <w:color w:val="auto"/>
        </w:rPr>
      </w:pPr>
      <w:r>
        <w:rPr>
          <w:rFonts w:ascii="Arial" w:cs="Arial" w:eastAsia="Arial" w:hAnsi="Arial"/>
          <w:sz w:val="12"/>
          <w:szCs w:val="12"/>
          <w:color w:val="auto"/>
        </w:rPr>
        <w:t>Interest and similar income earned were recognized in the consolidated statement of income in “Interest and similar income”. Interest earned was reported as interest income using the effective interest rate method and similar income earned were recognized when collection rights were established.</w:t>
      </w:r>
    </w:p>
    <w:p>
      <w:pPr>
        <w:spacing w:after="0" w:line="115" w:lineRule="exact"/>
        <w:rPr>
          <w:sz w:val="20"/>
          <w:szCs w:val="20"/>
          <w:color w:val="auto"/>
        </w:rPr>
      </w:pPr>
    </w:p>
    <w:p>
      <w:pPr>
        <w:ind w:left="220" w:right="60"/>
        <w:spacing w:after="0" w:line="276" w:lineRule="auto"/>
        <w:rPr>
          <w:sz w:val="20"/>
          <w:szCs w:val="20"/>
          <w:color w:val="auto"/>
        </w:rPr>
      </w:pPr>
      <w:r>
        <w:rPr>
          <w:rFonts w:ascii="Arial" w:cs="Arial" w:eastAsia="Arial" w:hAnsi="Arial"/>
          <w:sz w:val="12"/>
          <w:szCs w:val="12"/>
          <w:color w:val="auto"/>
        </w:rPr>
        <w:t>The estimated fair value of the investments available for sale was determined mainly on the basis of quotes or, in the absence of these, on the basis of discounted cash flows using market rates commensurate with the credit quality and maturity of the investment.</w:t>
      </w:r>
    </w:p>
    <w:p>
      <w:pPr>
        <w:spacing w:after="0" w:line="115" w:lineRule="exact"/>
        <w:rPr>
          <w:sz w:val="20"/>
          <w:szCs w:val="20"/>
          <w:color w:val="auto"/>
        </w:rPr>
      </w:pPr>
    </w:p>
    <w:p>
      <w:pPr>
        <w:ind w:left="220" w:right="260"/>
        <w:spacing w:after="0" w:line="276" w:lineRule="auto"/>
        <w:rPr>
          <w:sz w:val="20"/>
          <w:szCs w:val="20"/>
          <w:color w:val="auto"/>
        </w:rPr>
      </w:pPr>
      <w:r>
        <w:rPr>
          <w:rFonts w:ascii="Arial" w:cs="Arial" w:eastAsia="Arial" w:hAnsi="Arial"/>
          <w:sz w:val="12"/>
          <w:szCs w:val="12"/>
          <w:color w:val="auto"/>
        </w:rPr>
        <w:t>The Group evaluated whether its ability and intention to sell its available-for-sale financial assets in the near term were still appropriate. When, in rare circumstances, the Group was unable to trade these financial assets due to inactive markets, the Group could elect to reclassify these financial assets if Management had the ability and intention to hold such assets for the foreseeable future or until maturity.</w:t>
      </w: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80"/>
          </w:cols>
          <w:pgMar w:left="420" w:top="653" w:right="199" w:bottom="1440" w:gutter="0" w:footer="0" w:header="0"/>
        </w:sectPr>
      </w:pPr>
    </w:p>
    <w:bookmarkStart w:id="50" w:name="page51"/>
    <w:bookmarkEnd w:id="50"/>
    <w:p>
      <w:pPr>
        <w:ind w:left="266" w:right="80"/>
        <w:spacing w:after="0" w:line="276" w:lineRule="auto"/>
        <w:rPr>
          <w:sz w:val="20"/>
          <w:szCs w:val="20"/>
          <w:color w:val="auto"/>
        </w:rPr>
      </w:pPr>
      <w:r>
        <w:rPr>
          <w:rFonts w:ascii="Arial" w:cs="Arial" w:eastAsia="Arial" w:hAnsi="Arial"/>
          <w:sz w:val="12"/>
          <w:szCs w:val="12"/>
          <w:color w:val="auto"/>
        </w:rPr>
        <w:t>For a financial asset reclassified from the available-for-sale category, the fair value carrying amount at the date of reclassification became its new amortized cost and any previous gain or loss on the asset that had been recognized in other comprehensive income was amortized to consolidated statement of income over the remaining life of the investment using the effective interest rate.</w:t>
      </w:r>
    </w:p>
    <w:p>
      <w:pPr>
        <w:spacing w:after="0" w:line="115" w:lineRule="exact"/>
        <w:rPr>
          <w:sz w:val="20"/>
          <w:szCs w:val="20"/>
          <w:color w:val="auto"/>
        </w:rPr>
      </w:pPr>
    </w:p>
    <w:p>
      <w:pPr>
        <w:ind w:left="266" w:hanging="266"/>
        <w:spacing w:after="0"/>
        <w:tabs>
          <w:tab w:leader="none" w:pos="266" w:val="left"/>
        </w:tabs>
        <w:numPr>
          <w:ilvl w:val="0"/>
          <w:numId w:val="51"/>
        </w:numPr>
        <w:rPr>
          <w:rFonts w:ascii="Arial" w:cs="Arial" w:eastAsia="Arial" w:hAnsi="Arial"/>
          <w:sz w:val="12"/>
          <w:szCs w:val="12"/>
          <w:color w:val="auto"/>
        </w:rPr>
      </w:pPr>
      <w:r>
        <w:rPr>
          <w:rFonts w:ascii="Arial" w:cs="Arial" w:eastAsia="Arial" w:hAnsi="Arial"/>
          <w:sz w:val="12"/>
          <w:szCs w:val="12"/>
          <w:color w:val="auto"/>
        </w:rPr>
        <w:t>Held-to-maturity investments -</w:t>
      </w:r>
    </w:p>
    <w:p>
      <w:pPr>
        <w:spacing w:after="0" w:line="150" w:lineRule="exact"/>
        <w:rPr>
          <w:rFonts w:ascii="Arial" w:cs="Arial" w:eastAsia="Arial" w:hAnsi="Arial"/>
          <w:sz w:val="12"/>
          <w:szCs w:val="12"/>
          <w:color w:val="auto"/>
        </w:rPr>
      </w:pPr>
    </w:p>
    <w:p>
      <w:pPr>
        <w:ind w:left="266"/>
        <w:spacing w:after="0" w:line="259" w:lineRule="auto"/>
        <w:rPr>
          <w:rFonts w:ascii="Arial" w:cs="Arial" w:eastAsia="Arial" w:hAnsi="Arial"/>
          <w:sz w:val="12"/>
          <w:szCs w:val="12"/>
          <w:color w:val="auto"/>
        </w:rPr>
      </w:pPr>
      <w:r>
        <w:rPr>
          <w:rFonts w:ascii="Arial" w:cs="Arial" w:eastAsia="Arial" w:hAnsi="Arial"/>
          <w:sz w:val="12"/>
          <w:szCs w:val="12"/>
          <w:color w:val="auto"/>
        </w:rPr>
        <w:t>Held-to-maturity investments were non–derivative financial assets with fixed or variable payments and fixed maturities, which Credicorp had the intention and ability to hold to maturity. After initial measurement, held-to-maturity investments were subsequently measured at amortized cost using the effective interest rate less impairment. Amortized cost was calculated by taking into account any discount or premium on acquisition and fees that were an integral part of the effective interest rate. The amortization was included in “Interest and similar income” of the consolidated statement of income. The losses arising from impairment of these investments were recognized in the consolidated statement of income in “Net gain on securities”.</w:t>
      </w:r>
    </w:p>
    <w:p>
      <w:pPr>
        <w:spacing w:after="0" w:line="124" w:lineRule="exact"/>
        <w:rPr>
          <w:rFonts w:ascii="Arial" w:cs="Arial" w:eastAsia="Arial" w:hAnsi="Arial"/>
          <w:sz w:val="12"/>
          <w:szCs w:val="12"/>
          <w:color w:val="auto"/>
        </w:rPr>
      </w:pPr>
    </w:p>
    <w:p>
      <w:pPr>
        <w:ind w:left="266"/>
        <w:spacing w:after="0"/>
        <w:rPr>
          <w:rFonts w:ascii="Arial" w:cs="Arial" w:eastAsia="Arial" w:hAnsi="Arial"/>
          <w:sz w:val="12"/>
          <w:szCs w:val="12"/>
          <w:color w:val="auto"/>
        </w:rPr>
      </w:pPr>
      <w:r>
        <w:rPr>
          <w:rFonts w:ascii="Arial" w:cs="Arial" w:eastAsia="Arial" w:hAnsi="Arial"/>
          <w:sz w:val="12"/>
          <w:szCs w:val="12"/>
          <w:color w:val="auto"/>
        </w:rPr>
        <w:t>At December 31, 2017, the Group had not recognized any impairment loss on held-to-maturity investments. See policy of impairment of financial assets carried at amortized cost in Note 3(i)(i).</w:t>
      </w:r>
    </w:p>
    <w:p>
      <w:pPr>
        <w:spacing w:after="0" w:line="150" w:lineRule="exact"/>
        <w:rPr>
          <w:rFonts w:ascii="Arial" w:cs="Arial" w:eastAsia="Arial" w:hAnsi="Arial"/>
          <w:sz w:val="12"/>
          <w:szCs w:val="12"/>
          <w:color w:val="auto"/>
        </w:rPr>
      </w:pPr>
    </w:p>
    <w:p>
      <w:pPr>
        <w:ind w:left="266" w:right="540"/>
        <w:spacing w:after="0" w:line="276" w:lineRule="auto"/>
        <w:rPr>
          <w:rFonts w:ascii="Arial" w:cs="Arial" w:eastAsia="Arial" w:hAnsi="Arial"/>
          <w:sz w:val="12"/>
          <w:szCs w:val="12"/>
          <w:color w:val="auto"/>
        </w:rPr>
      </w:pPr>
      <w:r>
        <w:rPr>
          <w:rFonts w:ascii="Arial" w:cs="Arial" w:eastAsia="Arial" w:hAnsi="Arial"/>
          <w:sz w:val="12"/>
          <w:szCs w:val="12"/>
          <w:color w:val="auto"/>
        </w:rPr>
        <w:t>If the Group sold or reclassified a more than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(2) years.</w:t>
      </w:r>
    </w:p>
    <w:p>
      <w:pPr>
        <w:spacing w:after="0" w:line="114" w:lineRule="exact"/>
        <w:rPr>
          <w:rFonts w:ascii="Arial" w:cs="Arial" w:eastAsia="Arial" w:hAnsi="Arial"/>
          <w:sz w:val="12"/>
          <w:szCs w:val="12"/>
          <w:color w:val="auto"/>
        </w:rPr>
      </w:pPr>
    </w:p>
    <w:p>
      <w:pPr>
        <w:ind w:left="266"/>
        <w:spacing w:after="0"/>
        <w:rPr>
          <w:rFonts w:ascii="Arial" w:cs="Arial" w:eastAsia="Arial" w:hAnsi="Arial"/>
          <w:sz w:val="12"/>
          <w:szCs w:val="12"/>
          <w:color w:val="auto"/>
        </w:rPr>
      </w:pPr>
      <w:r>
        <w:rPr>
          <w:rFonts w:ascii="Arial" w:cs="Arial" w:eastAsia="Arial" w:hAnsi="Arial"/>
          <w:sz w:val="12"/>
          <w:szCs w:val="12"/>
          <w:color w:val="auto"/>
        </w:rPr>
        <w:t>At December 31, 2017, the Group did not sell or reclassify any of its held-to-maturity investments.</w:t>
      </w:r>
    </w:p>
    <w:p>
      <w:pPr>
        <w:spacing w:after="0" w:line="150" w:lineRule="exact"/>
        <w:rPr>
          <w:rFonts w:ascii="Arial" w:cs="Arial" w:eastAsia="Arial" w:hAnsi="Arial"/>
          <w:sz w:val="12"/>
          <w:szCs w:val="12"/>
          <w:color w:val="auto"/>
        </w:rPr>
      </w:pPr>
    </w:p>
    <w:p>
      <w:pPr>
        <w:ind w:left="246" w:hanging="246"/>
        <w:spacing w:after="0"/>
        <w:tabs>
          <w:tab w:leader="none" w:pos="246"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Repurchase and reverse repurchase agreements and securities lending and borrowing -</w:t>
      </w:r>
    </w:p>
    <w:p>
      <w:pPr>
        <w:spacing w:after="0" w:line="150" w:lineRule="exact"/>
        <w:rPr>
          <w:rFonts w:ascii="Arial" w:cs="Arial" w:eastAsia="Arial" w:hAnsi="Arial"/>
          <w:sz w:val="12"/>
          <w:szCs w:val="12"/>
          <w:color w:val="auto"/>
        </w:rPr>
      </w:pPr>
    </w:p>
    <w:p>
      <w:pPr>
        <w:ind w:left="266"/>
        <w:spacing w:after="0" w:line="259" w:lineRule="auto"/>
        <w:rPr>
          <w:rFonts w:ascii="Arial" w:cs="Arial" w:eastAsia="Arial" w:hAnsi="Arial"/>
          <w:sz w:val="12"/>
          <w:szCs w:val="12"/>
          <w:color w:val="auto"/>
        </w:rPr>
      </w:pPr>
      <w:r>
        <w:rPr>
          <w:rFonts w:ascii="Arial" w:cs="Arial" w:eastAsia="Arial" w:hAnsi="Arial"/>
          <w:sz w:val="12"/>
          <w:szCs w:val="12"/>
          <w:color w:val="auto"/>
        </w:rPr>
        <w:t>Securities sold under repurchase agreements at a specified future date are not derecognized from the consolidated statement of financial position as the Group retains substantially all of the risks and rewards of ownership. The cash received is recorded as an asset in “Cash and due from banks” and the corresponding obligation to return it is recognized too, including accrued interest, as a liability in “Payables from repurchase agreements and securities lending”, reflecting the transaction’s economic substance as a loan to the Group. The difference between the sale and repurchase price was treated as interest expense and accrued over the life of the agreement using the effective interest rate and was recognized in “Interest and similar expenses” of the consolidated statement of income.</w:t>
      </w:r>
    </w:p>
    <w:p>
      <w:pPr>
        <w:spacing w:after="0" w:line="124" w:lineRule="exact"/>
        <w:rPr>
          <w:rFonts w:ascii="Arial" w:cs="Arial" w:eastAsia="Arial" w:hAnsi="Arial"/>
          <w:sz w:val="12"/>
          <w:szCs w:val="12"/>
          <w:color w:val="auto"/>
        </w:rPr>
      </w:pPr>
    </w:p>
    <w:p>
      <w:pPr>
        <w:ind w:left="266" w:right="40"/>
        <w:spacing w:after="0" w:line="259" w:lineRule="auto"/>
        <w:rPr>
          <w:rFonts w:ascii="Arial" w:cs="Arial" w:eastAsia="Arial" w:hAnsi="Arial"/>
          <w:sz w:val="12"/>
          <w:szCs w:val="12"/>
          <w:color w:val="auto"/>
        </w:rPr>
      </w:pPr>
      <w:r>
        <w:rPr>
          <w:rFonts w:ascii="Arial" w:cs="Arial" w:eastAsia="Arial" w:hAnsi="Arial"/>
          <w:sz w:val="12"/>
          <w:szCs w:val="12"/>
          <w:color w:val="auto"/>
        </w:rPr>
        <w:t>As part of this transaction the Group grants assets as collateral. When the counterparty receives securities and has the right to sell or re-pledge, the Group reclassifies those securities in “Available-for-sale investments pledged as collateral” or “Held-to-maturity investments pledged as collateral”, as appropriate, of the consolidated statement of financial position. Also, when the counterparty receives cash as collateral that will be restricted until the maturity of the contract, the Group reclassifies the cash in “Cash collateral, reverse repurchase agreements and securities borrowings” in the consolidated statement of financial position, which includes accrued interest that is calculated according to the effective interest rate method.</w:t>
      </w:r>
    </w:p>
    <w:p>
      <w:pPr>
        <w:spacing w:after="0" w:line="124" w:lineRule="exact"/>
        <w:rPr>
          <w:rFonts w:ascii="Arial" w:cs="Arial" w:eastAsia="Arial" w:hAnsi="Arial"/>
          <w:sz w:val="12"/>
          <w:szCs w:val="12"/>
          <w:color w:val="auto"/>
        </w:rPr>
      </w:pPr>
    </w:p>
    <w:p>
      <w:pPr>
        <w:ind w:left="266" w:right="20"/>
        <w:spacing w:after="0" w:line="259" w:lineRule="auto"/>
        <w:rPr>
          <w:rFonts w:ascii="Arial" w:cs="Arial" w:eastAsia="Arial" w:hAnsi="Arial"/>
          <w:sz w:val="12"/>
          <w:szCs w:val="12"/>
          <w:color w:val="auto"/>
        </w:rPr>
      </w:pPr>
      <w:r>
        <w:rPr>
          <w:rFonts w:ascii="Arial" w:cs="Arial" w:eastAsia="Arial" w:hAnsi="Arial"/>
          <w:sz w:val="12"/>
          <w:szCs w:val="12"/>
          <w:color w:val="auto"/>
        </w:rPr>
        <w:t>Conversely, securities purchased under reverse repurchase agreements at a specified future date are not recognized in the consolidated statement of financial position. The cash granted is recorded as an outgoing asset in “Cash and due from banks” account and the corresponding right to charge it, including accrued interest, is recorded in “Cash collateral, reverse repurchase agreements and securities borrowing”, reflecting the transaction’s economic substance as a loan granted by the Group. The difference between the purchase and resale price is recorded in “Interest and similar income” of the consolidated statement of income and is accrued over the life of the agreement using the effective interest rate method.</w:t>
      </w:r>
    </w:p>
    <w:p>
      <w:pPr>
        <w:spacing w:after="0" w:line="269" w:lineRule="exact"/>
        <w:rPr>
          <w:rFonts w:ascii="Arial" w:cs="Arial" w:eastAsia="Arial" w:hAnsi="Arial"/>
          <w:sz w:val="12"/>
          <w:szCs w:val="12"/>
          <w:color w:val="auto"/>
        </w:rPr>
      </w:pPr>
    </w:p>
    <w:p>
      <w:pPr>
        <w:ind w:left="5526" w:hanging="72"/>
        <w:spacing w:after="0"/>
        <w:tabs>
          <w:tab w:leader="none" w:pos="5526" w:val="left"/>
        </w:tabs>
        <w:numPr>
          <w:ilvl w:val="1"/>
          <w:numId w:val="51"/>
        </w:numPr>
        <w:rPr>
          <w:rFonts w:ascii="Arial" w:cs="Arial" w:eastAsia="Arial" w:hAnsi="Arial"/>
          <w:sz w:val="12"/>
          <w:szCs w:val="12"/>
          <w:color w:val="auto"/>
        </w:rPr>
      </w:pPr>
      <w:r>
        <w:rPr>
          <w:rFonts w:ascii="Arial" w:cs="Arial" w:eastAsia="Arial" w:hAnsi="Arial"/>
          <w:sz w:val="12"/>
          <w:szCs w:val="12"/>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9525</wp:posOffset>
            </wp:positionV>
            <wp:extent cx="7292340" cy="571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06"/>
          </w:cols>
          <w:pgMar w:left="374" w:top="653" w:right="219" w:bottom="1440" w:gutter="0" w:footer="0" w:header="0"/>
        </w:sectPr>
      </w:pPr>
    </w:p>
    <w:bookmarkStart w:id="51" w:name="page52"/>
    <w:bookmarkEnd w:id="51"/>
    <w:p>
      <w:pPr>
        <w:ind w:left="428" w:right="180"/>
        <w:spacing w:after="0" w:line="276" w:lineRule="auto"/>
        <w:rPr>
          <w:sz w:val="20"/>
          <w:szCs w:val="20"/>
          <w:color w:val="auto"/>
        </w:rPr>
      </w:pPr>
      <w:r>
        <w:rPr>
          <w:rFonts w:ascii="Arial" w:cs="Arial" w:eastAsia="Arial" w:hAnsi="Arial"/>
          <w:sz w:val="12"/>
          <w:szCs w:val="12"/>
          <w:color w:val="auto"/>
        </w:rPr>
        <w:t>If securities purchased under reverse repurchase agreement are subsequently sold to third parties, the obligation to return the securities is recorded as a short sale in the consolidated statement of financial position as “Financial liabilities at fair value through profit or loss” and measured at fair value, with any gains or losses included in the consolidated statement of income as “Net gain on securities”.</w:t>
      </w:r>
    </w:p>
    <w:p>
      <w:pPr>
        <w:spacing w:after="0" w:line="115" w:lineRule="exact"/>
        <w:rPr>
          <w:sz w:val="20"/>
          <w:szCs w:val="20"/>
          <w:color w:val="auto"/>
        </w:rPr>
      </w:pPr>
    </w:p>
    <w:p>
      <w:pPr>
        <w:ind w:left="428" w:right="140"/>
        <w:spacing w:after="0" w:line="276" w:lineRule="auto"/>
        <w:rPr>
          <w:sz w:val="20"/>
          <w:szCs w:val="20"/>
          <w:color w:val="auto"/>
        </w:rPr>
      </w:pPr>
      <w:r>
        <w:rPr>
          <w:rFonts w:ascii="Arial" w:cs="Arial" w:eastAsia="Arial" w:hAnsi="Arial"/>
          <w:sz w:val="12"/>
          <w:szCs w:val="12"/>
          <w:color w:val="auto"/>
        </w:rPr>
        <w:t>Securities lending and borrowing transactions are usually collateralized by securities. The transfer of the securities to counterparties is only reflected in the consolidated statement of financial position if the risks and rewards of ownership are also transferred.</w:t>
      </w:r>
    </w:p>
    <w:p>
      <w:pPr>
        <w:spacing w:after="0" w:line="115" w:lineRule="exact"/>
        <w:rPr>
          <w:sz w:val="20"/>
          <w:szCs w:val="20"/>
          <w:color w:val="auto"/>
        </w:rPr>
      </w:pPr>
    </w:p>
    <w:p>
      <w:pPr>
        <w:ind w:left="408" w:hanging="246"/>
        <w:spacing w:after="0"/>
        <w:tabs>
          <w:tab w:leader="none" w:pos="408" w:val="left"/>
        </w:tabs>
        <w:numPr>
          <w:ilvl w:val="1"/>
          <w:numId w:val="52"/>
        </w:numPr>
        <w:rPr>
          <w:rFonts w:ascii="Arial" w:cs="Arial" w:eastAsia="Arial" w:hAnsi="Arial"/>
          <w:sz w:val="12"/>
          <w:szCs w:val="12"/>
          <w:color w:val="auto"/>
        </w:rPr>
      </w:pPr>
      <w:r>
        <w:rPr>
          <w:rFonts w:ascii="Arial" w:cs="Arial" w:eastAsia="Arial" w:hAnsi="Arial"/>
          <w:sz w:val="12"/>
          <w:szCs w:val="12"/>
          <w:color w:val="auto"/>
        </w:rPr>
        <w:t>Other financial liabilities -</w:t>
      </w:r>
    </w:p>
    <w:p>
      <w:pPr>
        <w:spacing w:after="0" w:line="150" w:lineRule="exact"/>
        <w:rPr>
          <w:rFonts w:ascii="Arial" w:cs="Arial" w:eastAsia="Arial" w:hAnsi="Arial"/>
          <w:sz w:val="12"/>
          <w:szCs w:val="12"/>
          <w:color w:val="auto"/>
        </w:rPr>
      </w:pPr>
    </w:p>
    <w:p>
      <w:pPr>
        <w:ind w:left="428" w:right="400"/>
        <w:spacing w:after="0" w:line="276" w:lineRule="auto"/>
        <w:rPr>
          <w:rFonts w:ascii="Arial" w:cs="Arial" w:eastAsia="Arial" w:hAnsi="Arial"/>
          <w:sz w:val="12"/>
          <w:szCs w:val="12"/>
          <w:color w:val="auto"/>
        </w:rPr>
      </w:pPr>
      <w:r>
        <w:rPr>
          <w:rFonts w:ascii="Arial" w:cs="Arial" w:eastAsia="Arial" w:hAnsi="Arial"/>
          <w:sz w:val="12"/>
          <w:szCs w:val="12"/>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14" w:lineRule="exact"/>
        <w:rPr>
          <w:rFonts w:ascii="Arial" w:cs="Arial" w:eastAsia="Arial" w:hAnsi="Arial"/>
          <w:sz w:val="12"/>
          <w:szCs w:val="12"/>
          <w:color w:val="auto"/>
        </w:rPr>
      </w:pPr>
    </w:p>
    <w:p>
      <w:pPr>
        <w:ind w:left="208" w:right="8820" w:hanging="208"/>
        <w:spacing w:after="0" w:line="501" w:lineRule="auto"/>
        <w:tabs>
          <w:tab w:leader="none" w:pos="21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De-recognition of financial assets and liabilities - Financial assets:</w:t>
      </w:r>
    </w:p>
    <w:p>
      <w:pPr>
        <w:ind w:left="208"/>
        <w:spacing w:after="0" w:line="298" w:lineRule="auto"/>
        <w:rPr>
          <w:rFonts w:ascii="Arial" w:cs="Arial" w:eastAsia="Arial" w:hAnsi="Arial"/>
          <w:sz w:val="12"/>
          <w:szCs w:val="12"/>
          <w:color w:val="auto"/>
        </w:rPr>
      </w:pPr>
      <w:r>
        <w:rPr>
          <w:rFonts w:ascii="Arial" w:cs="Arial" w:eastAsia="Arial" w:hAnsi="Arial"/>
          <w:sz w:val="11"/>
          <w:szCs w:val="11"/>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05" w:lineRule="exact"/>
        <w:rPr>
          <w:rFonts w:ascii="Arial" w:cs="Arial" w:eastAsia="Arial" w:hAnsi="Arial"/>
          <w:sz w:val="12"/>
          <w:szCs w:val="12"/>
          <w:color w:val="auto"/>
        </w:rPr>
      </w:pPr>
    </w:p>
    <w:p>
      <w:pPr>
        <w:ind w:left="208" w:right="240"/>
        <w:spacing w:after="0" w:line="380" w:lineRule="auto"/>
        <w:rPr>
          <w:rFonts w:ascii="Arial" w:cs="Arial" w:eastAsia="Arial" w:hAnsi="Arial"/>
          <w:sz w:val="12"/>
          <w:szCs w:val="12"/>
          <w:color w:val="auto"/>
        </w:rPr>
      </w:pPr>
      <w:r>
        <w:rPr>
          <w:rFonts w:ascii="Arial" w:cs="Arial" w:eastAsia="Arial" w:hAnsi="Arial"/>
          <w:sz w:val="10"/>
          <w:szCs w:val="10"/>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w:t>
      </w:r>
    </w:p>
    <w:p>
      <w:pPr>
        <w:spacing w:after="0" w:line="68"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In that case, the Group also recognizes the associated liability. The transferred asset and the associated liability are measured on a basis that reflects the rights and obligations that the Group has retained.</w:t>
      </w:r>
    </w:p>
    <w:p>
      <w:pPr>
        <w:spacing w:after="0" w:line="150" w:lineRule="exact"/>
        <w:rPr>
          <w:rFonts w:ascii="Arial" w:cs="Arial" w:eastAsia="Arial" w:hAnsi="Arial"/>
          <w:sz w:val="12"/>
          <w:szCs w:val="12"/>
          <w:color w:val="auto"/>
        </w:rPr>
      </w:pPr>
    </w:p>
    <w:p>
      <w:pPr>
        <w:ind w:left="208" w:right="240"/>
        <w:spacing w:after="0" w:line="276" w:lineRule="auto"/>
        <w:rPr>
          <w:rFonts w:ascii="Arial" w:cs="Arial" w:eastAsia="Arial" w:hAnsi="Arial"/>
          <w:sz w:val="12"/>
          <w:szCs w:val="12"/>
          <w:color w:val="auto"/>
        </w:rPr>
      </w:pPr>
      <w:r>
        <w:rPr>
          <w:rFonts w:ascii="Arial" w:cs="Arial" w:eastAsia="Arial" w:hAnsi="Arial"/>
          <w:sz w:val="12"/>
          <w:szCs w:val="12"/>
          <w:color w:val="auto"/>
        </w:rPr>
        <w:t>Continuing involvement that takes the form of a guarantee over the transferred asset is measured at the lower of (i) the original carrying amount of the asset, and (ii) the maximum amount of consideration that the Group could be required to repay.</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Financial liabilities:</w:t>
      </w:r>
    </w:p>
    <w:p>
      <w:pPr>
        <w:spacing w:after="0" w:line="150" w:lineRule="exact"/>
        <w:rPr>
          <w:rFonts w:ascii="Arial" w:cs="Arial" w:eastAsia="Arial" w:hAnsi="Arial"/>
          <w:sz w:val="12"/>
          <w:szCs w:val="12"/>
          <w:color w:val="auto"/>
        </w:rPr>
      </w:pPr>
    </w:p>
    <w:p>
      <w:pPr>
        <w:ind w:left="208"/>
        <w:spacing w:after="0" w:line="263" w:lineRule="auto"/>
        <w:rPr>
          <w:rFonts w:ascii="Arial" w:cs="Arial" w:eastAsia="Arial" w:hAnsi="Arial"/>
          <w:sz w:val="12"/>
          <w:szCs w:val="12"/>
          <w:color w:val="auto"/>
        </w:rPr>
      </w:pPr>
      <w:r>
        <w:rPr>
          <w:rFonts w:ascii="Arial" w:cs="Arial" w:eastAsia="Arial" w:hAnsi="Arial"/>
          <w:sz w:val="12"/>
          <w:szCs w:val="12"/>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withdrawal of the original liability and the recognition of a new liability; the difference between the carrying amount of the original financial liability and the consideration paid is recognized in the consolidated statement of income.</w:t>
      </w:r>
    </w:p>
    <w:p>
      <w:pPr>
        <w:spacing w:after="0" w:line="266" w:lineRule="exact"/>
        <w:rPr>
          <w:rFonts w:ascii="Arial" w:cs="Arial" w:eastAsia="Arial" w:hAnsi="Arial"/>
          <w:sz w:val="12"/>
          <w:szCs w:val="12"/>
          <w:color w:val="auto"/>
        </w:rPr>
      </w:pPr>
    </w:p>
    <w:p>
      <w:pPr>
        <w:ind w:left="5688" w:hanging="72"/>
        <w:spacing w:after="0"/>
        <w:tabs>
          <w:tab w:leader="none" w:pos="5688" w:val="left"/>
        </w:tabs>
        <w:numPr>
          <w:ilvl w:val="2"/>
          <w:numId w:val="53"/>
        </w:numPr>
        <w:rPr>
          <w:rFonts w:ascii="Arial" w:cs="Arial" w:eastAsia="Arial" w:hAnsi="Arial"/>
          <w:sz w:val="12"/>
          <w:szCs w:val="12"/>
          <w:color w:val="auto"/>
        </w:rPr>
      </w:pPr>
      <w:r>
        <w:rPr>
          <w:rFonts w:ascii="Arial" w:cs="Arial" w:eastAsia="Arial" w:hAnsi="Arial"/>
          <w:sz w:val="12"/>
          <w:szCs w:val="12"/>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653" w:right="279" w:bottom="1440" w:gutter="0" w:footer="0" w:header="0"/>
        </w:sectPr>
      </w:pPr>
    </w:p>
    <w:bookmarkStart w:id="52" w:name="page53"/>
    <w:bookmarkEnd w:id="52"/>
    <w:p>
      <w:pPr>
        <w:ind w:left="208" w:hanging="208"/>
        <w:spacing w:after="0"/>
        <w:tabs>
          <w:tab w:leader="none" w:pos="2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Offsetting financial instruments -</w:t>
      </w:r>
    </w:p>
    <w:p>
      <w:pPr>
        <w:spacing w:after="0" w:line="150" w:lineRule="exact"/>
        <w:rPr>
          <w:rFonts w:ascii="Arial" w:cs="Arial" w:eastAsia="Arial" w:hAnsi="Arial"/>
          <w:sz w:val="12"/>
          <w:szCs w:val="12"/>
          <w:color w:val="auto"/>
        </w:rPr>
      </w:pPr>
    </w:p>
    <w:p>
      <w:pPr>
        <w:ind w:left="208" w:right="40"/>
        <w:spacing w:after="0" w:line="276" w:lineRule="auto"/>
        <w:rPr>
          <w:rFonts w:ascii="Arial" w:cs="Arial" w:eastAsia="Arial" w:hAnsi="Arial"/>
          <w:sz w:val="12"/>
          <w:szCs w:val="12"/>
          <w:color w:val="auto"/>
        </w:rPr>
      </w:pPr>
      <w:r>
        <w:rPr>
          <w:rFonts w:ascii="Arial" w:cs="Arial" w:eastAsia="Arial" w:hAnsi="Arial"/>
          <w:sz w:val="12"/>
          <w:szCs w:val="12"/>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 and settle the liability simultaneously.</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Impairment of financial assets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Policy applicable from January 1, 2018 -</w:t>
      </w:r>
    </w:p>
    <w:p>
      <w:pPr>
        <w:spacing w:after="0" w:line="150" w:lineRule="exact"/>
        <w:rPr>
          <w:rFonts w:ascii="Arial" w:cs="Arial" w:eastAsia="Arial" w:hAnsi="Arial"/>
          <w:sz w:val="12"/>
          <w:szCs w:val="12"/>
          <w:color w:val="auto"/>
        </w:rPr>
      </w:pPr>
    </w:p>
    <w:p>
      <w:pPr>
        <w:ind w:left="208" w:right="440"/>
        <w:spacing w:after="0" w:line="276" w:lineRule="auto"/>
        <w:rPr>
          <w:rFonts w:ascii="Arial" w:cs="Arial" w:eastAsia="Arial" w:hAnsi="Arial"/>
          <w:sz w:val="12"/>
          <w:szCs w:val="12"/>
          <w:color w:val="auto"/>
        </w:rPr>
      </w:pPr>
      <w:r>
        <w:rPr>
          <w:rFonts w:ascii="Arial" w:cs="Arial" w:eastAsia="Arial" w:hAnsi="Arial"/>
          <w:sz w:val="12"/>
          <w:szCs w:val="12"/>
          <w:color w:val="auto"/>
        </w:rPr>
        <w:t>As of December 31, 2019 and 2018, the Group applies a three-stage approach to measure the provision for credit loss, using an impairment model based on the expected credit losses as established in IFRS 9, for the following categories:</w:t>
      </w:r>
    </w:p>
    <w:p>
      <w:pPr>
        <w:spacing w:after="0" w:line="114" w:lineRule="exact"/>
        <w:rPr>
          <w:rFonts w:ascii="Arial" w:cs="Arial" w:eastAsia="Arial" w:hAnsi="Arial"/>
          <w:sz w:val="12"/>
          <w:szCs w:val="12"/>
          <w:color w:val="auto"/>
        </w:rPr>
      </w:pPr>
    </w:p>
    <w:p>
      <w:pPr>
        <w:ind w:left="368" w:hanging="161"/>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Financial assets at amortized cost,</w:t>
      </w:r>
    </w:p>
    <w:p>
      <w:pPr>
        <w:spacing w:after="0" w:line="14" w:lineRule="exact"/>
        <w:rPr>
          <w:rFonts w:ascii="Arial" w:cs="Arial" w:eastAsia="Arial" w:hAnsi="Arial"/>
          <w:sz w:val="12"/>
          <w:szCs w:val="12"/>
          <w:color w:val="auto"/>
        </w:rPr>
      </w:pPr>
    </w:p>
    <w:p>
      <w:pPr>
        <w:ind w:left="368" w:hanging="161"/>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Debt instruments classified as investments at fair value through other comprehensive income, and</w:t>
      </w:r>
    </w:p>
    <w:p>
      <w:pPr>
        <w:spacing w:after="0" w:line="6" w:lineRule="exact"/>
        <w:rPr>
          <w:rFonts w:ascii="Arial" w:cs="Arial" w:eastAsia="Arial" w:hAnsi="Arial"/>
          <w:sz w:val="12"/>
          <w:szCs w:val="12"/>
          <w:color w:val="auto"/>
        </w:rPr>
      </w:pPr>
    </w:p>
    <w:p>
      <w:pPr>
        <w:ind w:left="368" w:hanging="161"/>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Indirect loans that are presented in off-balance accounts.</w:t>
      </w:r>
    </w:p>
    <w:p>
      <w:pPr>
        <w:spacing w:after="0" w:line="14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financial assets classified or designated at fair value through profit of loss and the equity instruments designated at fair value through other comprehensive income, are not subject to impairment evaluation.</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Financial assets migrate through three stages according to the change in the credit risk from the initial recognition.</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Impairment model of expected credit losses -</w:t>
      </w:r>
    </w:p>
    <w:p>
      <w:pPr>
        <w:spacing w:after="0" w:line="150" w:lineRule="exact"/>
        <w:rPr>
          <w:sz w:val="20"/>
          <w:szCs w:val="20"/>
          <w:color w:val="auto"/>
        </w:rPr>
      </w:pPr>
    </w:p>
    <w:p>
      <w:pPr>
        <w:ind w:left="208" w:right="80"/>
        <w:spacing w:after="0" w:line="298" w:lineRule="auto"/>
        <w:rPr>
          <w:sz w:val="20"/>
          <w:szCs w:val="20"/>
          <w:color w:val="auto"/>
        </w:rPr>
      </w:pPr>
      <w:r>
        <w:rPr>
          <w:rFonts w:ascii="Arial" w:cs="Arial" w:eastAsia="Arial" w:hAnsi="Arial"/>
          <w:sz w:val="11"/>
          <w:szCs w:val="11"/>
          <w:color w:val="auto"/>
        </w:rPr>
        <w:t>The calculations of credit losses are products of models with a series of underlying assumptions with regard to the choice of the variable inputs and their interdependencies. The impairment model for expected credit loss reflects the present value of all the cash deficit events related to the events of default, whether (i) during the following twelve months or (ii) during the expected useful life of a financial instrument depending on the impairment of the credit from the beginning. The expected credit loss reflects an unbiased result weighted by probability that considers a range of multiple outcomes based on reasonable and supportable forecasts.</w:t>
      </w:r>
    </w:p>
    <w:p>
      <w:pPr>
        <w:spacing w:after="0" w:line="10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provisions for credit losses will be measured on each reporting date following a three-stage model of expected credit losses based on the degree of credit impairment from its origin:</w:t>
      </w:r>
    </w:p>
    <w:p>
      <w:pPr>
        <w:spacing w:after="0" w:line="150" w:lineRule="exact"/>
        <w:rPr>
          <w:sz w:val="20"/>
          <w:szCs w:val="20"/>
          <w:color w:val="auto"/>
        </w:rPr>
      </w:pPr>
    </w:p>
    <w:p>
      <w:pPr>
        <w:ind w:left="368" w:hanging="161"/>
        <w:spacing w:after="0" w:line="276" w:lineRule="auto"/>
        <w:tabs>
          <w:tab w:leader="none" w:pos="3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Stage 1: Financial assets whose credit risk has not increased significantly since its initial recognition, a reserve will be recognized for losses equivalent to the credit losses expected to occur from defaults in the following 12 months. For those instruments with a maturity less than 12 months, a probability of default corresponding to the remaining term until maturity is used.</w:t>
      </w:r>
    </w:p>
    <w:p>
      <w:pPr>
        <w:spacing w:after="0" w:line="114" w:lineRule="exact"/>
        <w:rPr>
          <w:rFonts w:ascii="Arial" w:cs="Arial" w:eastAsia="Arial" w:hAnsi="Arial"/>
          <w:sz w:val="12"/>
          <w:szCs w:val="12"/>
          <w:color w:val="auto"/>
        </w:rPr>
      </w:pPr>
    </w:p>
    <w:p>
      <w:pPr>
        <w:ind w:left="368" w:right="120" w:hanging="161"/>
        <w:spacing w:after="0" w:line="276" w:lineRule="auto"/>
        <w:tabs>
          <w:tab w:leader="none" w:pos="3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Stage 2: Financial assets that have presented a significant increase in credit risk compared with initial recognition, but are not considered impaired, a reserve will be recognized for losses equivalent to the credit losses expected to occur during the remaining life of the asset.</w:t>
      </w:r>
    </w:p>
    <w:p>
      <w:pPr>
        <w:spacing w:after="0" w:line="114" w:lineRule="exact"/>
        <w:rPr>
          <w:rFonts w:ascii="Arial" w:cs="Arial" w:eastAsia="Arial" w:hAnsi="Arial"/>
          <w:sz w:val="12"/>
          <w:szCs w:val="12"/>
          <w:color w:val="auto"/>
        </w:rPr>
      </w:pPr>
    </w:p>
    <w:p>
      <w:pPr>
        <w:ind w:left="368" w:right="140" w:hanging="161"/>
        <w:spacing w:after="0" w:line="276" w:lineRule="auto"/>
        <w:tabs>
          <w:tab w:leader="none" w:pos="368" w:val="left"/>
        </w:tabs>
        <w:numPr>
          <w:ilvl w:val="0"/>
          <w:numId w:val="55"/>
        </w:numPr>
        <w:rPr>
          <w:rFonts w:ascii="Arial" w:cs="Arial" w:eastAsia="Arial" w:hAnsi="Arial"/>
          <w:sz w:val="12"/>
          <w:szCs w:val="12"/>
          <w:color w:val="auto"/>
        </w:rPr>
      </w:pPr>
      <w:r>
        <w:rPr>
          <w:rFonts w:ascii="Arial" w:cs="Arial" w:eastAsia="Arial" w:hAnsi="Arial"/>
          <w:sz w:val="12"/>
          <w:szCs w:val="12"/>
          <w:color w:val="auto"/>
        </w:rPr>
        <w:t>Stage 3: Financial assets with evidence of impairment on the reporting date, a reserve will be recognized for losses equivalent to the expected credit losses during the entire life of the asset. The interest income will be recognized based on the carrying amount of the asset, net of the loss reserve.</w:t>
      </w:r>
    </w:p>
    <w:p>
      <w:pPr>
        <w:spacing w:after="0" w:line="259" w:lineRule="exact"/>
        <w:rPr>
          <w:rFonts w:ascii="Arial" w:cs="Arial" w:eastAsia="Arial" w:hAnsi="Arial"/>
          <w:sz w:val="12"/>
          <w:szCs w:val="12"/>
          <w:color w:val="auto"/>
        </w:rPr>
      </w:pPr>
    </w:p>
    <w:p>
      <w:pPr>
        <w:ind w:left="5688" w:hanging="72"/>
        <w:spacing w:after="0"/>
        <w:tabs>
          <w:tab w:leader="none" w:pos="5688" w:val="left"/>
        </w:tabs>
        <w:numPr>
          <w:ilvl w:val="1"/>
          <w:numId w:val="55"/>
        </w:numPr>
        <w:rPr>
          <w:rFonts w:ascii="Arial" w:cs="Arial" w:eastAsia="Arial" w:hAnsi="Arial"/>
          <w:sz w:val="12"/>
          <w:szCs w:val="12"/>
          <w:color w:val="auto"/>
        </w:rPr>
      </w:pPr>
      <w:r>
        <w:rPr>
          <w:rFonts w:ascii="Arial" w:cs="Arial" w:eastAsia="Arial" w:hAnsi="Arial"/>
          <w:sz w:val="12"/>
          <w:szCs w:val="12"/>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53" w:right="239" w:bottom="1440" w:gutter="0" w:footer="0" w:header="0"/>
        </w:sectPr>
      </w:pPr>
    </w:p>
    <w:bookmarkStart w:id="53" w:name="page54"/>
    <w:bookmarkEnd w:id="53"/>
    <w:p>
      <w:pPr>
        <w:ind w:left="1"/>
        <w:spacing w:after="0"/>
        <w:rPr>
          <w:sz w:val="20"/>
          <w:szCs w:val="20"/>
          <w:color w:val="auto"/>
        </w:rPr>
      </w:pPr>
      <w:r>
        <w:rPr>
          <w:rFonts w:ascii="Arial" w:cs="Arial" w:eastAsia="Arial" w:hAnsi="Arial"/>
          <w:sz w:val="12"/>
          <w:szCs w:val="12"/>
          <w:color w:val="auto"/>
        </w:rPr>
        <w:t>Measurement of the expected loss -</w:t>
      </w:r>
    </w:p>
    <w:p>
      <w:pPr>
        <w:spacing w:after="0" w:line="150" w:lineRule="exact"/>
        <w:rPr>
          <w:sz w:val="20"/>
          <w:szCs w:val="20"/>
          <w:color w:val="auto"/>
        </w:rPr>
      </w:pPr>
    </w:p>
    <w:p>
      <w:pPr>
        <w:ind w:left="1" w:right="380"/>
        <w:spacing w:after="0" w:line="276" w:lineRule="auto"/>
        <w:rPr>
          <w:sz w:val="20"/>
          <w:szCs w:val="20"/>
          <w:color w:val="auto"/>
        </w:rPr>
      </w:pPr>
      <w:r>
        <w:rPr>
          <w:rFonts w:ascii="Arial" w:cs="Arial" w:eastAsia="Arial" w:hAnsi="Arial"/>
          <w:sz w:val="12"/>
          <w:szCs w:val="12"/>
          <w:color w:val="auto"/>
        </w:rPr>
        <w:t>The measurement of the expected credit loss is mainly based on the product of probability of default (PD), loss given default (LGD), and exposure at default (EAD), discounted at the reporting date and considering the expected macroeconomic effects and all in accordance with the new regulation.</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details of these statistical parameters are the following:</w:t>
      </w:r>
    </w:p>
    <w:p>
      <w:pPr>
        <w:spacing w:after="0" w:line="150" w:lineRule="exact"/>
        <w:rPr>
          <w:sz w:val="20"/>
          <w:szCs w:val="20"/>
          <w:color w:val="auto"/>
        </w:rPr>
      </w:pPr>
    </w:p>
    <w:p>
      <w:pPr>
        <w:ind w:left="161" w:right="40" w:hanging="161"/>
        <w:spacing w:after="0" w:line="276" w:lineRule="auto"/>
        <w:tabs>
          <w:tab w:leader="none" w:pos="161" w:val="left"/>
        </w:tabs>
        <w:numPr>
          <w:ilvl w:val="0"/>
          <w:numId w:val="56"/>
        </w:numPr>
        <w:rPr>
          <w:rFonts w:ascii="Arial" w:cs="Arial" w:eastAsia="Arial" w:hAnsi="Arial"/>
          <w:sz w:val="12"/>
          <w:szCs w:val="12"/>
          <w:color w:val="auto"/>
        </w:rPr>
      </w:pPr>
      <w:r>
        <w:rPr>
          <w:rFonts w:ascii="Arial" w:cs="Arial" w:eastAsia="Arial" w:hAnsi="Arial"/>
          <w:sz w:val="12"/>
          <w:szCs w:val="12"/>
          <w:color w:val="auto"/>
        </w:rPr>
        <w:t>PD: is an estimate of the probability of default in a determined time horizon. A default can only occur at a determined moment during the remaining estimated life, if the provision has not been previously derecognized and it is still in the loan portfolio.</w:t>
      </w:r>
    </w:p>
    <w:p>
      <w:pPr>
        <w:spacing w:after="0" w:line="114" w:lineRule="exact"/>
        <w:rPr>
          <w:rFonts w:ascii="Arial" w:cs="Arial" w:eastAsia="Arial" w:hAnsi="Arial"/>
          <w:sz w:val="12"/>
          <w:szCs w:val="12"/>
          <w:color w:val="auto"/>
        </w:rPr>
      </w:pPr>
    </w:p>
    <w:p>
      <w:pPr>
        <w:ind w:left="161" w:right="120" w:hanging="161"/>
        <w:spacing w:after="0" w:line="276" w:lineRule="auto"/>
        <w:tabs>
          <w:tab w:leader="none" w:pos="161" w:val="left"/>
        </w:tabs>
        <w:numPr>
          <w:ilvl w:val="0"/>
          <w:numId w:val="56"/>
        </w:numPr>
        <w:rPr>
          <w:rFonts w:ascii="Arial" w:cs="Arial" w:eastAsia="Arial" w:hAnsi="Arial"/>
          <w:sz w:val="12"/>
          <w:szCs w:val="12"/>
          <w:color w:val="auto"/>
        </w:rPr>
      </w:pPr>
      <w:r>
        <w:rPr>
          <w:rFonts w:ascii="Arial" w:cs="Arial" w:eastAsia="Arial" w:hAnsi="Arial"/>
          <w:sz w:val="12"/>
          <w:szCs w:val="12"/>
          <w:color w:val="auto"/>
        </w:rPr>
        <w:t>LGD: is an estimate of the loss produced in the case a predetermined value is produced at a given time. It is based on the difference between the contractual cash flows owed and those that the lender would expect to receive, even after the liquidation of any guarantee. Generally, it is expressed as a percentage of the EAD.</w:t>
      </w:r>
    </w:p>
    <w:p>
      <w:pPr>
        <w:spacing w:after="0" w:line="114" w:lineRule="exact"/>
        <w:rPr>
          <w:rFonts w:ascii="Arial" w:cs="Arial" w:eastAsia="Arial" w:hAnsi="Arial"/>
          <w:sz w:val="12"/>
          <w:szCs w:val="12"/>
          <w:color w:val="auto"/>
        </w:rPr>
      </w:pPr>
    </w:p>
    <w:p>
      <w:pPr>
        <w:ind w:left="161" w:hanging="161"/>
        <w:spacing w:after="0" w:line="276" w:lineRule="auto"/>
        <w:tabs>
          <w:tab w:leader="none" w:pos="161"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EAD: is an estimate of the exposure on a future default date, which considers the changes expected in the exposure after the reporting date, including the reimbursements of principal and interest, whether programmed by contract or otherwise, and the interest accrued due to default payments.</w:t>
      </w:r>
    </w:p>
    <w:p>
      <w:pPr>
        <w:spacing w:after="0" w:line="115" w:lineRule="exact"/>
        <w:rPr>
          <w:sz w:val="20"/>
          <w:szCs w:val="20"/>
          <w:color w:val="auto"/>
        </w:rPr>
      </w:pPr>
    </w:p>
    <w:p>
      <w:pPr>
        <w:ind w:left="1" w:right="160"/>
        <w:spacing w:after="0" w:line="263" w:lineRule="auto"/>
        <w:rPr>
          <w:sz w:val="20"/>
          <w:szCs w:val="20"/>
          <w:color w:val="auto"/>
        </w:rPr>
      </w:pPr>
      <w:r>
        <w:rPr>
          <w:rFonts w:ascii="Arial" w:cs="Arial" w:eastAsia="Arial" w:hAnsi="Arial"/>
          <w:sz w:val="12"/>
          <w:szCs w:val="12"/>
          <w:color w:val="auto"/>
        </w:rPr>
        <w:t>The fundamental difference between the credit loss considered as Stage 1 and Stage 2 is the PD horizon. The estimates of Stage 1 use a 12-month horizon, while those situated in Stage 2 use an expected loss calculated with the remaining term of the asset and considers the effect of the significant increase in credit risk. Finally, Stage 3 will estimate the expected loss based on the best estimate (“ELBE”), according to the situation of the collection process of each asset.</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color w:val="auto"/>
        </w:rPr>
        <w:t>Changes from one stage to another -</w:t>
      </w:r>
    </w:p>
    <w:p>
      <w:pPr>
        <w:spacing w:after="0" w:line="150" w:lineRule="exact"/>
        <w:rPr>
          <w:sz w:val="20"/>
          <w:szCs w:val="20"/>
          <w:color w:val="auto"/>
        </w:rPr>
      </w:pPr>
    </w:p>
    <w:p>
      <w:pPr>
        <w:ind w:left="1" w:right="100"/>
        <w:spacing w:after="0" w:line="276" w:lineRule="auto"/>
        <w:rPr>
          <w:sz w:val="20"/>
          <w:szCs w:val="20"/>
          <w:color w:val="auto"/>
        </w:rPr>
      </w:pPr>
      <w:r>
        <w:rPr>
          <w:rFonts w:ascii="Arial" w:cs="Arial" w:eastAsia="Arial" w:hAnsi="Arial"/>
          <w:sz w:val="12"/>
          <w:szCs w:val="12"/>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15" w:lineRule="exact"/>
        <w:rPr>
          <w:sz w:val="20"/>
          <w:szCs w:val="20"/>
          <w:color w:val="auto"/>
        </w:rPr>
      </w:pPr>
    </w:p>
    <w:p>
      <w:pPr>
        <w:ind w:left="161" w:hanging="161"/>
        <w:spacing w:after="0"/>
        <w:tabs>
          <w:tab w:leader="none" w:pos="161"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 account is classified in stage 2 if it has more than 30 days in arrears.</w:t>
      </w:r>
    </w:p>
    <w:p>
      <w:pPr>
        <w:spacing w:after="0" w:line="150" w:lineRule="exact"/>
        <w:rPr>
          <w:rFonts w:ascii="Arial" w:cs="Arial" w:eastAsia="Arial" w:hAnsi="Arial"/>
          <w:sz w:val="12"/>
          <w:szCs w:val="12"/>
          <w:color w:val="auto"/>
        </w:rPr>
      </w:pPr>
    </w:p>
    <w:p>
      <w:pPr>
        <w:ind w:left="161" w:hanging="161"/>
        <w:spacing w:after="0"/>
        <w:tabs>
          <w:tab w:leader="none" w:pos="161" w:val="left"/>
        </w:tabs>
        <w:numPr>
          <w:ilvl w:val="0"/>
          <w:numId w:val="57"/>
        </w:numPr>
        <w:rPr>
          <w:rFonts w:ascii="Arial" w:cs="Arial" w:eastAsia="Arial" w:hAnsi="Arial"/>
          <w:sz w:val="12"/>
          <w:szCs w:val="12"/>
          <w:color w:val="auto"/>
        </w:rPr>
      </w:pPr>
      <w:r>
        <w:rPr>
          <w:rFonts w:ascii="Arial" w:cs="Arial" w:eastAsia="Arial" w:hAnsi="Arial"/>
          <w:sz w:val="12"/>
          <w:szCs w:val="12"/>
          <w:color w:val="auto"/>
        </w:rPr>
        <w:t>Risk thresholds have been established based on the internal models and based on relative difference thresholds (by portfolio and risk level) in which the instrument was originated.</w:t>
      </w:r>
    </w:p>
    <w:p>
      <w:pPr>
        <w:spacing w:after="0" w:line="150" w:lineRule="exact"/>
        <w:rPr>
          <w:rFonts w:ascii="Arial" w:cs="Arial" w:eastAsia="Arial" w:hAnsi="Arial"/>
          <w:sz w:val="12"/>
          <w:szCs w:val="12"/>
          <w:color w:val="auto"/>
        </w:rPr>
      </w:pPr>
    </w:p>
    <w:p>
      <w:pPr>
        <w:ind w:left="161" w:hanging="161"/>
        <w:spacing w:after="0"/>
        <w:tabs>
          <w:tab w:leader="none" w:pos="16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follow-up systems, alerts and monitoring of risk portfolios are integrated, as established by the current risk policy in Wholesale and Retail Banking.</w:t>
      </w:r>
    </w:p>
    <w:p>
      <w:pPr>
        <w:spacing w:after="0" w:line="150" w:lineRule="exact"/>
        <w:rPr>
          <w:sz w:val="20"/>
          <w:szCs w:val="20"/>
          <w:color w:val="auto"/>
        </w:rPr>
      </w:pPr>
    </w:p>
    <w:p>
      <w:pPr>
        <w:ind w:left="1" w:right="40"/>
        <w:spacing w:after="0" w:line="276" w:lineRule="auto"/>
        <w:rPr>
          <w:sz w:val="20"/>
          <w:szCs w:val="20"/>
          <w:color w:val="auto"/>
        </w:rPr>
      </w:pPr>
      <w:r>
        <w:rPr>
          <w:rFonts w:ascii="Arial" w:cs="Arial" w:eastAsia="Arial" w:hAnsi="Arial"/>
          <w:sz w:val="12"/>
          <w:szCs w:val="12"/>
          <w:color w:val="auto"/>
        </w:rPr>
        <w:t>Additionally, all the accounts that are classified as default on the reporting date are considered as stage 3. The significant risk increase evaluations from their initial recognition and of credit impairment are carried out independently on each reporting date. The assets can move in both directions, from one stage to another.</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2"/>
          <w:szCs w:val="12"/>
          <w:color w:val="auto"/>
        </w:rPr>
        <w:t>Prospective information -</w:t>
      </w:r>
    </w:p>
    <w:p>
      <w:pPr>
        <w:spacing w:after="0" w:line="150" w:lineRule="exact"/>
        <w:rPr>
          <w:sz w:val="20"/>
          <w:szCs w:val="20"/>
          <w:color w:val="auto"/>
        </w:rPr>
      </w:pPr>
    </w:p>
    <w:p>
      <w:pPr>
        <w:jc w:val="both"/>
        <w:ind w:left="1" w:right="80"/>
        <w:spacing w:after="0" w:line="263" w:lineRule="auto"/>
        <w:rPr>
          <w:sz w:val="20"/>
          <w:szCs w:val="20"/>
          <w:color w:val="auto"/>
        </w:rPr>
      </w:pPr>
      <w:r>
        <w:rPr>
          <w:rFonts w:ascii="Arial" w:cs="Arial" w:eastAsia="Arial" w:hAnsi="Arial"/>
          <w:sz w:val="12"/>
          <w:szCs w:val="12"/>
          <w:color w:val="auto"/>
        </w:rPr>
        <w:t>The measurement of expected credit losses for each stage and the evaluation of significant increases in credit risk must consider information regarding previous events and current conditions, as well as the projections of future events and economic conditions. The estimate of the risk parameters (PD, LGD, EAD), used in the calculation of the provision in stages 1 and 2, included macroeconomic variables that differ between portfolios. These projections have a 3-year period and, additionally, a long-term projection.</w:t>
      </w: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9525</wp:posOffset>
            </wp:positionV>
            <wp:extent cx="7292340" cy="571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1"/>
          </w:cols>
          <w:pgMar w:left="419" w:top="653" w:right="219" w:bottom="1440" w:gutter="0" w:footer="0" w:header="0"/>
        </w:sectPr>
      </w:pPr>
    </w:p>
    <w:bookmarkStart w:id="54" w:name="page55"/>
    <w:bookmarkEnd w:id="54"/>
    <w:p>
      <w:pPr>
        <w:jc w:val="both"/>
        <w:ind w:left="1" w:right="140"/>
        <w:spacing w:after="0" w:line="263" w:lineRule="auto"/>
        <w:rPr>
          <w:sz w:val="20"/>
          <w:szCs w:val="20"/>
          <w:color w:val="auto"/>
        </w:rPr>
      </w:pPr>
      <w:r>
        <w:rPr>
          <w:rFonts w:ascii="Arial" w:cs="Arial" w:eastAsia="Arial" w:hAnsi="Arial"/>
          <w:sz w:val="12"/>
          <w:szCs w:val="12"/>
          <w:color w:val="auto"/>
        </w:rPr>
        <w:t>The estimate of expected losses for stages 1, 2 and 3 will be a weighted estimate that considers three future macroeconomic scenarios. The base, optimist and pessimist scenarios are based on macroeconomic projections provided by the internal team of economic studies and approved by Senior Management. This same team also provides the probabilities of occurrence of each scenario. It should be stated, that the design of the scenario is adjusted at least once a year, with the possibility of a greater frequency if required by the surrounding conditions.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color w:val="auto"/>
        </w:rPr>
        <w:t>Macroeconomic factors -</w:t>
      </w:r>
    </w:p>
    <w:p>
      <w:pPr>
        <w:spacing w:after="0" w:line="150" w:lineRule="exact"/>
        <w:rPr>
          <w:sz w:val="20"/>
          <w:szCs w:val="20"/>
          <w:color w:val="auto"/>
        </w:rPr>
      </w:pPr>
    </w:p>
    <w:p>
      <w:pPr>
        <w:jc w:val="both"/>
        <w:ind w:left="1" w:right="120"/>
        <w:spacing w:after="0" w:line="263" w:lineRule="auto"/>
        <w:rPr>
          <w:sz w:val="20"/>
          <w:szCs w:val="20"/>
          <w:color w:val="auto"/>
        </w:rPr>
      </w:pPr>
      <w:r>
        <w:rPr>
          <w:rFonts w:ascii="Arial" w:cs="Arial" w:eastAsia="Arial" w:hAnsi="Arial"/>
          <w:sz w:val="12"/>
          <w:szCs w:val="12"/>
          <w:color w:val="auto"/>
        </w:rPr>
        <w:t>In its models, the Group bases itself on an wide variety of prospective information such as economic inputs, including: the growth of the gross domestic product (GDP), unemployment rates, the base rates of the central bank, among others. It is possible that the inputs and models used to calculate the expected credit losses do not always capture all the market characteristics on the date of the financial statements. To reflect this, qualitative adjustments or overlays such as temporary adjustments can be carried out using the opinion of experts.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color w:val="auto"/>
        </w:rPr>
        <w:t>Expected life -</w:t>
      </w:r>
    </w:p>
    <w:p>
      <w:pPr>
        <w:spacing w:after="0" w:line="150" w:lineRule="exact"/>
        <w:rPr>
          <w:sz w:val="20"/>
          <w:szCs w:val="20"/>
          <w:color w:val="auto"/>
        </w:rPr>
      </w:pPr>
    </w:p>
    <w:p>
      <w:pPr>
        <w:ind w:left="1"/>
        <w:spacing w:after="0" w:line="276" w:lineRule="auto"/>
        <w:rPr>
          <w:sz w:val="20"/>
          <w:szCs w:val="20"/>
          <w:color w:val="auto"/>
        </w:rPr>
      </w:pPr>
      <w:r>
        <w:rPr>
          <w:rFonts w:ascii="Arial" w:cs="Arial" w:eastAsia="Arial" w:hAnsi="Arial"/>
          <w:sz w:val="12"/>
          <w:szCs w:val="12"/>
          <w:color w:val="auto"/>
        </w:rPr>
        <w:t>For the instruments in Stage 2 or 3, the reserves for losses will cover the lifetime expected credit losses of the instrument. For the majority of the instruments, the expected life is limited to the remaining term of the product, adjusted by expected advance payments. In the case of revolving products, an analysis was carried out in order to determine the expected life period.</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2"/>
          <w:szCs w:val="12"/>
          <w:color w:val="auto"/>
        </w:rPr>
        <w:t>Presentation of allowance for loan losses in the consolidated statement of financial position -</w:t>
      </w:r>
    </w:p>
    <w:p>
      <w:pPr>
        <w:spacing w:after="0" w:line="150" w:lineRule="exact"/>
        <w:rPr>
          <w:sz w:val="20"/>
          <w:szCs w:val="20"/>
          <w:color w:val="auto"/>
        </w:rPr>
      </w:pPr>
    </w:p>
    <w:p>
      <w:pPr>
        <w:ind w:left="161" w:hanging="161"/>
        <w:spacing w:after="0"/>
        <w:tabs>
          <w:tab w:leader="none" w:pos="161" w:val="left"/>
        </w:tabs>
        <w:numPr>
          <w:ilvl w:val="0"/>
          <w:numId w:val="58"/>
        </w:numPr>
        <w:rPr>
          <w:rFonts w:ascii="Arial" w:cs="Arial" w:eastAsia="Arial" w:hAnsi="Arial"/>
          <w:sz w:val="12"/>
          <w:szCs w:val="12"/>
          <w:color w:val="auto"/>
        </w:rPr>
      </w:pPr>
      <w:r>
        <w:rPr>
          <w:rFonts w:ascii="Arial" w:cs="Arial" w:eastAsia="Arial" w:hAnsi="Arial"/>
          <w:sz w:val="12"/>
          <w:szCs w:val="12"/>
          <w:color w:val="auto"/>
        </w:rPr>
        <w:t>Financial assets measured at amortized cost: as a deduction from the gross carrying amount of the financial assets;</w:t>
      </w:r>
    </w:p>
    <w:p>
      <w:pPr>
        <w:spacing w:after="0" w:line="14" w:lineRule="exact"/>
        <w:rPr>
          <w:rFonts w:ascii="Arial" w:cs="Arial" w:eastAsia="Arial" w:hAnsi="Arial"/>
          <w:sz w:val="12"/>
          <w:szCs w:val="12"/>
          <w:color w:val="auto"/>
        </w:rPr>
      </w:pPr>
    </w:p>
    <w:p>
      <w:pPr>
        <w:ind w:left="161" w:right="180" w:hanging="161"/>
        <w:spacing w:after="0" w:line="250" w:lineRule="auto"/>
        <w:tabs>
          <w:tab w:leader="none" w:pos="161" w:val="left"/>
        </w:tabs>
        <w:numPr>
          <w:ilvl w:val="0"/>
          <w:numId w:val="58"/>
        </w:numPr>
        <w:rPr>
          <w:rFonts w:ascii="Arial" w:cs="Arial" w:eastAsia="Arial" w:hAnsi="Arial"/>
          <w:sz w:val="12"/>
          <w:szCs w:val="12"/>
          <w:color w:val="auto"/>
        </w:rPr>
      </w:pPr>
      <w:r>
        <w:rPr>
          <w:rFonts w:ascii="Arial" w:cs="Arial" w:eastAsia="Arial" w:hAnsi="Arial"/>
          <w:sz w:val="12"/>
          <w:szCs w:val="12"/>
          <w:color w:val="auto"/>
        </w:rPr>
        <w:t>Debt instruments measured at fair value through other comprehensive income: it does not recognize any provision in the statement of financial position because the carrying amount of these assets is their fair value; however, the expected credit loss is presented in other comprehensive income;</w:t>
      </w:r>
    </w:p>
    <w:p>
      <w:pPr>
        <w:ind w:left="161" w:hanging="161"/>
        <w:spacing w:after="0"/>
        <w:tabs>
          <w:tab w:leader="none" w:pos="161"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Indirect loans: the credit loss provision is presented in the item “Other liabilities” of the statement of financial position.</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2"/>
          <w:szCs w:val="12"/>
          <w:color w:val="auto"/>
        </w:rPr>
        <w:t>Policy applicable up to December 31, 2017 -</w:t>
      </w:r>
    </w:p>
    <w:p>
      <w:pPr>
        <w:spacing w:after="0" w:line="150" w:lineRule="exact"/>
        <w:rPr>
          <w:sz w:val="20"/>
          <w:szCs w:val="20"/>
          <w:color w:val="auto"/>
        </w:rPr>
      </w:pPr>
    </w:p>
    <w:p>
      <w:pPr>
        <w:ind w:left="1" w:right="120"/>
        <w:spacing w:after="0" w:line="290" w:lineRule="auto"/>
        <w:rPr>
          <w:sz w:val="20"/>
          <w:szCs w:val="20"/>
          <w:color w:val="auto"/>
        </w:rPr>
      </w:pPr>
      <w:r>
        <w:rPr>
          <w:rFonts w:ascii="Arial" w:cs="Arial" w:eastAsia="Arial" w:hAnsi="Arial"/>
          <w:sz w:val="11"/>
          <w:szCs w:val="11"/>
          <w:color w:val="auto"/>
        </w:rPr>
        <w:t>The Group assessed at the end of each period whether there was any objective evidence that a financial asset or a group of financial assets was impaired. An impairment existed if one or more events that has occurred since the initial recognition of the asset (an incurred “loss event”), had had an impact on the estimated future cash flows of the financial asset or group of financial assets that could be reliably estimated. Evidence of impairment could have included indications that the borrower or a group of borrowers was experiencing significant financial difficulty, default or delinquency in interest or principal payments, the probability of bankruptcy or other legal financial reorganization process and where observable data indicate that there was a measurable decrease in the estimated future cash flows, such as changes in arrears or economic conditions that correlate with defaults.</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criterion used for each category of financial assets was follows:</w:t>
      </w:r>
    </w:p>
    <w:p>
      <w:pPr>
        <w:spacing w:after="0" w:line="150" w:lineRule="exact"/>
        <w:rPr>
          <w:sz w:val="20"/>
          <w:szCs w:val="20"/>
          <w:color w:val="auto"/>
        </w:rPr>
      </w:pPr>
    </w:p>
    <w:p>
      <w:pPr>
        <w:ind w:left="221" w:hanging="212"/>
        <w:spacing w:after="0"/>
        <w:tabs>
          <w:tab w:leader="none" w:pos="221" w:val="left"/>
        </w:tabs>
        <w:numPr>
          <w:ilvl w:val="0"/>
          <w:numId w:val="59"/>
        </w:numPr>
        <w:rPr>
          <w:rFonts w:ascii="Arial" w:cs="Arial" w:eastAsia="Arial" w:hAnsi="Arial"/>
          <w:sz w:val="12"/>
          <w:szCs w:val="12"/>
          <w:color w:val="auto"/>
        </w:rPr>
      </w:pPr>
      <w:r>
        <w:rPr>
          <w:rFonts w:ascii="Arial" w:cs="Arial" w:eastAsia="Arial" w:hAnsi="Arial"/>
          <w:sz w:val="12"/>
          <w:szCs w:val="12"/>
          <w:color w:val="auto"/>
        </w:rPr>
        <w:t>Financial assets carried at amortized cost -</w:t>
      </w:r>
    </w:p>
    <w:p>
      <w:pPr>
        <w:spacing w:after="0" w:line="150" w:lineRule="exact"/>
        <w:rPr>
          <w:rFonts w:ascii="Arial" w:cs="Arial" w:eastAsia="Arial" w:hAnsi="Arial"/>
          <w:sz w:val="12"/>
          <w:szCs w:val="12"/>
          <w:color w:val="auto"/>
        </w:rPr>
      </w:pPr>
    </w:p>
    <w:p>
      <w:pPr>
        <w:ind w:left="221" w:right="20"/>
        <w:spacing w:after="0" w:line="259" w:lineRule="auto"/>
        <w:rPr>
          <w:rFonts w:ascii="Arial" w:cs="Arial" w:eastAsia="Arial" w:hAnsi="Arial"/>
          <w:sz w:val="12"/>
          <w:szCs w:val="12"/>
          <w:color w:val="auto"/>
        </w:rPr>
      </w:pPr>
      <w:r>
        <w:rPr>
          <w:rFonts w:ascii="Arial" w:cs="Arial" w:eastAsia="Arial" w:hAnsi="Arial"/>
          <w:sz w:val="12"/>
          <w:szCs w:val="12"/>
          <w:color w:val="auto"/>
        </w:rPr>
        <w:t>For loans, receivables and held-to-maturity investments that were carried at amortized cost, the Group first assessed whether impairment existed individually for financial assets that were individually significant, or collectively for financial assets that were not individually significant. If the Group determined that no objective evidence of impairment existed for an individually assessed financial asset, whether significant or not, it included that asset in a group of financial assets with similar credit risk characteristics and collectively assessed them for impairment. Assets that were individually assessed for impairment and for which an impairment loss was, or continues to be, recognized were not included in a collective assessment of impairment.</w:t>
      </w:r>
    </w:p>
    <w:p>
      <w:pPr>
        <w:spacing w:after="0" w:line="269" w:lineRule="exact"/>
        <w:rPr>
          <w:rFonts w:ascii="Arial" w:cs="Arial" w:eastAsia="Arial" w:hAnsi="Arial"/>
          <w:sz w:val="12"/>
          <w:szCs w:val="12"/>
          <w:color w:val="auto"/>
        </w:rPr>
      </w:pPr>
    </w:p>
    <w:p>
      <w:pPr>
        <w:ind w:left="5481" w:hanging="72"/>
        <w:spacing w:after="0"/>
        <w:tabs>
          <w:tab w:leader="none" w:pos="5481" w:val="left"/>
        </w:tabs>
        <w:numPr>
          <w:ilvl w:val="1"/>
          <w:numId w:val="59"/>
        </w:numPr>
        <w:rPr>
          <w:rFonts w:ascii="Arial" w:cs="Arial" w:eastAsia="Arial" w:hAnsi="Arial"/>
          <w:sz w:val="12"/>
          <w:szCs w:val="12"/>
          <w:color w:val="auto"/>
        </w:rPr>
      </w:pPr>
      <w:r>
        <w:rPr>
          <w:rFonts w:ascii="Arial" w:cs="Arial" w:eastAsia="Arial" w:hAnsi="Arial"/>
          <w:sz w:val="12"/>
          <w:szCs w:val="12"/>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9525</wp:posOffset>
            </wp:positionV>
            <wp:extent cx="7292340" cy="571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1"/>
          </w:cols>
          <w:pgMar w:left="419" w:top="653" w:right="219" w:bottom="1440" w:gutter="0" w:footer="0" w:header="0"/>
        </w:sectPr>
      </w:pPr>
    </w:p>
    <w:bookmarkStart w:id="55" w:name="page56"/>
    <w:bookmarkEnd w:id="55"/>
    <w:p>
      <w:pPr>
        <w:ind w:left="212"/>
        <w:spacing w:after="0" w:line="276" w:lineRule="auto"/>
        <w:rPr>
          <w:sz w:val="20"/>
          <w:szCs w:val="20"/>
          <w:color w:val="auto"/>
        </w:rPr>
      </w:pPr>
      <w:r>
        <w:rPr>
          <w:rFonts w:ascii="Arial" w:cs="Arial" w:eastAsia="Arial" w:hAnsi="Arial"/>
          <w:sz w:val="12"/>
          <w:szCs w:val="12"/>
          <w:color w:val="auto"/>
        </w:rPr>
        <w:t>The amount of any impairment loss identified was measured as the difference between the asset’s carrying amount and the present value of estimated future cash flows (excluding future expected credit losses that had not yet been incurred).</w:t>
      </w:r>
    </w:p>
    <w:p>
      <w:pPr>
        <w:spacing w:after="0" w:line="115" w:lineRule="exact"/>
        <w:rPr>
          <w:sz w:val="20"/>
          <w:szCs w:val="20"/>
          <w:color w:val="auto"/>
        </w:rPr>
      </w:pPr>
    </w:p>
    <w:p>
      <w:pPr>
        <w:ind w:left="212" w:right="100"/>
        <w:spacing w:after="0" w:line="263" w:lineRule="auto"/>
        <w:rPr>
          <w:sz w:val="20"/>
          <w:szCs w:val="20"/>
          <w:color w:val="auto"/>
        </w:rPr>
      </w:pPr>
      <w:r>
        <w:rPr>
          <w:rFonts w:ascii="Arial" w:cs="Arial" w:eastAsia="Arial" w:hAnsi="Arial"/>
          <w:sz w:val="12"/>
          <w:szCs w:val="12"/>
          <w:color w:val="auto"/>
        </w:rPr>
        <w:t>The carrying amount of the asset was reduced through the use of a provision account and the amount of the loss was recognized in the consolidated statement of income. A loan, together with the respective associated provision, was written off when classified as a loss and was fully provisioned and there was real and verifiable evidence that the loan was irrecoverable and collection efforts had been concluded without success, the impossibility of foreclosures or all collateral had been realized or had been transferred to the Group.</w:t>
      </w:r>
    </w:p>
    <w:p>
      <w:pPr>
        <w:spacing w:after="0" w:line="123" w:lineRule="exact"/>
        <w:rPr>
          <w:sz w:val="20"/>
          <w:szCs w:val="20"/>
          <w:color w:val="auto"/>
        </w:rPr>
      </w:pPr>
    </w:p>
    <w:p>
      <w:pPr>
        <w:ind w:left="212" w:right="300"/>
        <w:spacing w:after="0" w:line="380" w:lineRule="auto"/>
        <w:rPr>
          <w:sz w:val="20"/>
          <w:szCs w:val="20"/>
          <w:color w:val="auto"/>
        </w:rPr>
      </w:pPr>
      <w:r>
        <w:rPr>
          <w:rFonts w:ascii="Arial" w:cs="Arial" w:eastAsia="Arial" w:hAnsi="Arial"/>
          <w:sz w:val="10"/>
          <w:szCs w:val="10"/>
          <w:color w:val="auto"/>
        </w:rPr>
        <w:t>If in any subsequent year, the amount of the estimated impairment loss increased or decreased because of an event occurring after the impairment was recognized, the previously recognized impairment loss was increased or reduced by adjusting the provision account. If in the future a written-off loan was later recovered, the recovery was recognized in the consolidated statement of income, as a credit to “Recovery of written off loans”.</w:t>
      </w:r>
    </w:p>
    <w:p>
      <w:pPr>
        <w:spacing w:after="0" w:line="68" w:lineRule="exact"/>
        <w:rPr>
          <w:sz w:val="20"/>
          <w:szCs w:val="20"/>
          <w:color w:val="auto"/>
        </w:rPr>
      </w:pPr>
    </w:p>
    <w:p>
      <w:pPr>
        <w:ind w:left="212" w:right="120"/>
        <w:spacing w:after="0" w:line="276" w:lineRule="auto"/>
        <w:rPr>
          <w:sz w:val="20"/>
          <w:szCs w:val="20"/>
          <w:color w:val="auto"/>
        </w:rPr>
      </w:pPr>
      <w:r>
        <w:rPr>
          <w:rFonts w:ascii="Arial" w:cs="Arial" w:eastAsia="Arial" w:hAnsi="Arial"/>
          <w:sz w:val="12"/>
          <w:szCs w:val="12"/>
          <w:color w:val="auto"/>
        </w:rPr>
        <w:t>The present value of the estimated future cash flows was discounted at the financial asset’s original effective interest rate. If a loan had a variable interest rate, the discount rate for measuring any impairment loss was the current effective interest rate.</w:t>
      </w:r>
    </w:p>
    <w:p>
      <w:pPr>
        <w:spacing w:after="0" w:line="115" w:lineRule="exact"/>
        <w:rPr>
          <w:sz w:val="20"/>
          <w:szCs w:val="20"/>
          <w:color w:val="auto"/>
        </w:rPr>
      </w:pPr>
    </w:p>
    <w:p>
      <w:pPr>
        <w:ind w:left="212" w:right="60"/>
        <w:spacing w:after="0" w:line="276" w:lineRule="auto"/>
        <w:rPr>
          <w:sz w:val="20"/>
          <w:szCs w:val="20"/>
          <w:color w:val="auto"/>
        </w:rPr>
      </w:pPr>
      <w:r>
        <w:rPr>
          <w:rFonts w:ascii="Arial" w:cs="Arial" w:eastAsia="Arial" w:hAnsi="Arial"/>
          <w:sz w:val="12"/>
          <w:szCs w:val="12"/>
          <w:color w:val="auto"/>
        </w:rPr>
        <w:t>The calculation of the present value of the estimated future cash flows of a collateralized financial asset reflected the cash flows that could have resulted from foreclosure less costs for obtaining and selling the collateral, whether or not foreclosure was probable.</w:t>
      </w:r>
    </w:p>
    <w:p>
      <w:pPr>
        <w:spacing w:after="0" w:line="115" w:lineRule="exact"/>
        <w:rPr>
          <w:sz w:val="20"/>
          <w:szCs w:val="20"/>
          <w:color w:val="auto"/>
        </w:rPr>
      </w:pPr>
    </w:p>
    <w:p>
      <w:pPr>
        <w:ind w:left="212" w:right="140"/>
        <w:spacing w:after="0" w:line="276" w:lineRule="auto"/>
        <w:rPr>
          <w:sz w:val="20"/>
          <w:szCs w:val="20"/>
          <w:color w:val="auto"/>
        </w:rPr>
      </w:pPr>
      <w:r>
        <w:rPr>
          <w:rFonts w:ascii="Arial" w:cs="Arial" w:eastAsia="Arial" w:hAnsi="Arial"/>
          <w:sz w:val="12"/>
          <w:szCs w:val="12"/>
          <w:color w:val="auto"/>
        </w:rPr>
        <w:t>For collective assessment of impairment, financial assets were grouped considering the Group’s internal credit rating system, which considered credit risk characteristics; for example: asset type, industry, geographical location, collateral type and past-due status and other relevant factors.</w:t>
      </w:r>
    </w:p>
    <w:p>
      <w:pPr>
        <w:spacing w:after="0" w:line="115" w:lineRule="exact"/>
        <w:rPr>
          <w:sz w:val="20"/>
          <w:szCs w:val="20"/>
          <w:color w:val="auto"/>
        </w:rPr>
      </w:pPr>
    </w:p>
    <w:p>
      <w:pPr>
        <w:ind w:left="212" w:right="100"/>
        <w:spacing w:after="0" w:line="298" w:lineRule="auto"/>
        <w:rPr>
          <w:sz w:val="20"/>
          <w:szCs w:val="20"/>
          <w:color w:val="auto"/>
        </w:rPr>
      </w:pPr>
      <w:r>
        <w:rPr>
          <w:rFonts w:ascii="Arial" w:cs="Arial" w:eastAsia="Arial" w:hAnsi="Arial"/>
          <w:sz w:val="11"/>
          <w:szCs w:val="11"/>
          <w:color w:val="auto"/>
        </w:rPr>
        <w:t>Future cash flows from a group of financial assets that were collectively evaluated for impairment were estimated on the basis of historical loss experience for assets with similar credit risk characteristics to those in the group. Historical loss experience was adjusted on the basis of current observable data to reflect the effects of current conditions that did not affect the years on which the historical loss experience was based and to remove the effects of conditions in the historical period that did not exist. The methodology and assumptions used were reviewed regularly to reduce any differences between loss estimates and actual loss experience.</w:t>
      </w:r>
    </w:p>
    <w:p>
      <w:pPr>
        <w:spacing w:after="0" w:line="105" w:lineRule="exact"/>
        <w:rPr>
          <w:sz w:val="20"/>
          <w:szCs w:val="20"/>
          <w:color w:val="auto"/>
        </w:rPr>
      </w:pPr>
    </w:p>
    <w:p>
      <w:pPr>
        <w:ind w:left="212" w:hanging="212"/>
        <w:spacing w:after="0"/>
        <w:tabs>
          <w:tab w:leader="none" w:pos="212" w:val="left"/>
        </w:tabs>
        <w:numPr>
          <w:ilvl w:val="0"/>
          <w:numId w:val="60"/>
        </w:numPr>
        <w:rPr>
          <w:rFonts w:ascii="Arial" w:cs="Arial" w:eastAsia="Arial" w:hAnsi="Arial"/>
          <w:sz w:val="12"/>
          <w:szCs w:val="12"/>
          <w:color w:val="auto"/>
        </w:rPr>
      </w:pPr>
      <w:r>
        <w:rPr>
          <w:rFonts w:ascii="Arial" w:cs="Arial" w:eastAsia="Arial" w:hAnsi="Arial"/>
          <w:sz w:val="12"/>
          <w:szCs w:val="12"/>
          <w:color w:val="auto"/>
        </w:rPr>
        <w:t>Available-for-sale investments -</w:t>
      </w:r>
    </w:p>
    <w:p>
      <w:pPr>
        <w:spacing w:after="0" w:line="150"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1"/>
          <w:szCs w:val="11"/>
          <w:color w:val="auto"/>
        </w:rPr>
        <w:t>For available-for-sale financial investments, the Group assessed at each date of the consolidated statement of financial position whether there was objective evidence that an investment or a group of investments was impaired.</w:t>
      </w:r>
    </w:p>
    <w:p>
      <w:pPr>
        <w:spacing w:after="0" w:line="161" w:lineRule="exact"/>
        <w:rPr>
          <w:rFonts w:ascii="Arial" w:cs="Arial" w:eastAsia="Arial" w:hAnsi="Arial"/>
          <w:sz w:val="12"/>
          <w:szCs w:val="12"/>
          <w:color w:val="auto"/>
        </w:rPr>
      </w:pPr>
    </w:p>
    <w:p>
      <w:pPr>
        <w:ind w:left="212" w:right="60"/>
        <w:spacing w:after="0" w:line="263" w:lineRule="auto"/>
        <w:rPr>
          <w:rFonts w:ascii="Arial" w:cs="Arial" w:eastAsia="Arial" w:hAnsi="Arial"/>
          <w:sz w:val="12"/>
          <w:szCs w:val="12"/>
          <w:color w:val="auto"/>
        </w:rPr>
      </w:pPr>
      <w:r>
        <w:rPr>
          <w:rFonts w:ascii="Arial" w:cs="Arial" w:eastAsia="Arial" w:hAnsi="Arial"/>
          <w:sz w:val="12"/>
          <w:szCs w:val="12"/>
          <w:color w:val="auto"/>
        </w:rPr>
        <w:t>In the case of equity investments, objective evidence could have included a significant or prolonged decline in their fair value below cost. “Significant” was to be evaluated against the original cost of the investment and “prolonged” against the period in which the fair value had been below its original cost. The determination of what was “significant” or “prolonged” required judgment. In making this judgment, the Group evaluated, among other factors, the duration or extent to which the fair value of an investment was less than its cost.</w:t>
      </w:r>
    </w:p>
    <w:p>
      <w:pPr>
        <w:spacing w:after="0" w:line="266" w:lineRule="exact"/>
        <w:rPr>
          <w:rFonts w:ascii="Arial" w:cs="Arial" w:eastAsia="Arial" w:hAnsi="Arial"/>
          <w:sz w:val="12"/>
          <w:szCs w:val="12"/>
          <w:color w:val="auto"/>
        </w:rPr>
      </w:pPr>
    </w:p>
    <w:p>
      <w:pPr>
        <w:ind w:left="5472" w:hanging="72"/>
        <w:spacing w:after="0"/>
        <w:tabs>
          <w:tab w:leader="none" w:pos="5472" w:val="left"/>
        </w:tabs>
        <w:numPr>
          <w:ilvl w:val="1"/>
          <w:numId w:val="60"/>
        </w:numPr>
        <w:rPr>
          <w:rFonts w:ascii="Arial" w:cs="Arial" w:eastAsia="Arial" w:hAnsi="Arial"/>
          <w:sz w:val="12"/>
          <w:szCs w:val="12"/>
          <w:color w:val="auto"/>
        </w:rPr>
      </w:pPr>
      <w:r>
        <w:rPr>
          <w:rFonts w:ascii="Arial" w:cs="Arial" w:eastAsia="Arial" w:hAnsi="Arial"/>
          <w:sz w:val="12"/>
          <w:szCs w:val="12"/>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12"/>
          </w:cols>
          <w:pgMar w:left="428" w:top="653" w:right="259" w:bottom="1440" w:gutter="0" w:footer="0" w:header="0"/>
        </w:sectPr>
      </w:pPr>
    </w:p>
    <w:bookmarkStart w:id="56" w:name="page57"/>
    <w:bookmarkEnd w:id="56"/>
    <w:p>
      <w:pPr>
        <w:ind w:left="428" w:right="160"/>
        <w:spacing w:after="0" w:line="263" w:lineRule="auto"/>
        <w:rPr>
          <w:sz w:val="20"/>
          <w:szCs w:val="20"/>
          <w:color w:val="auto"/>
        </w:rPr>
      </w:pPr>
      <w:r>
        <w:rPr>
          <w:rFonts w:ascii="Arial" w:cs="Arial" w:eastAsia="Arial" w:hAnsi="Arial"/>
          <w:sz w:val="12"/>
          <w:szCs w:val="12"/>
          <w:color w:val="auto"/>
        </w:rPr>
        <w:t>When there was evidence of impairment, the cumulative loss (measured as the difference between the acquisition cost and the current fair value, less any previously recognized impairment loss) was removed from the available-for-sale investments reserve of the consolidated statement of changes in equity and recognized in the consolidated statement of income. Impairment losses on equity investments were not reversed through the consolidated statement of income; increases in their fair value after impairment were recognized directly in the consolidated statement of comprehensive income.</w:t>
      </w:r>
    </w:p>
    <w:p>
      <w:pPr>
        <w:spacing w:after="0" w:line="123" w:lineRule="exact"/>
        <w:rPr>
          <w:sz w:val="20"/>
          <w:szCs w:val="20"/>
          <w:color w:val="auto"/>
        </w:rPr>
      </w:pPr>
    </w:p>
    <w:p>
      <w:pPr>
        <w:ind w:left="428"/>
        <w:spacing w:after="0" w:line="257" w:lineRule="auto"/>
        <w:rPr>
          <w:sz w:val="20"/>
          <w:szCs w:val="20"/>
          <w:color w:val="auto"/>
        </w:rPr>
      </w:pPr>
      <w:r>
        <w:rPr>
          <w:rFonts w:ascii="Arial" w:cs="Arial" w:eastAsia="Arial" w:hAnsi="Arial"/>
          <w:sz w:val="12"/>
          <w:szCs w:val="12"/>
          <w:color w:val="auto"/>
        </w:rPr>
        <w:t>In the case of debt instruments, impairment was assessed based on the same criteria as financial assets carried at amortized cost. However, the amount recorded for impairment was the cumulative loss measured as the difference between the amortized cost and the current fair value, less any impairment loss on that investment previously recognized in the consolidated statement of income. Future interest income was based on the reduced carrying amount and was accrued using the interest rate used to discount the future cash flows for the purpose of measuring the impairment loss. Interest income was recorded as part of “Interest and similar income” of the consolidated statement of income. If in a subsequent year, the fair value of a debt instrument increases and the increase could be objectively related to an event occurring after the impairment loss was recognized in the consolidated statements of income, the impairment loss was reversed through the consolidated statement of income.</w:t>
      </w:r>
    </w:p>
    <w:p>
      <w:pPr>
        <w:spacing w:after="0" w:line="12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Renegotiated loans -</w:t>
      </w:r>
    </w:p>
    <w:p>
      <w:pPr>
        <w:spacing w:after="0" w:line="150" w:lineRule="exact"/>
        <w:rPr>
          <w:sz w:val="20"/>
          <w:szCs w:val="20"/>
          <w:color w:val="auto"/>
        </w:rPr>
      </w:pPr>
    </w:p>
    <w:p>
      <w:pPr>
        <w:ind w:left="208" w:right="180"/>
        <w:spacing w:after="0" w:line="263" w:lineRule="auto"/>
        <w:rPr>
          <w:sz w:val="20"/>
          <w:szCs w:val="20"/>
          <w:color w:val="auto"/>
        </w:rPr>
      </w:pPr>
      <w:r>
        <w:rPr>
          <w:rFonts w:ascii="Arial" w:cs="Arial" w:eastAsia="Arial" w:hAnsi="Arial"/>
          <w:sz w:val="12"/>
          <w:szCs w:val="12"/>
          <w:color w:val="auto"/>
        </w:rPr>
        <w:t>When a loan is modified, it is not considered as past due but maintained its previous classification as impaired or not impaired. If the debtor complied with the new agreement over the following six months, and an analysis of its payment capacity supported a new improved risk classification, the loan is classified as not impaired. If, subsequent to the loan modification, the debtor failed to comply with the new agreement, it is considered as impaired and past due.</w:t>
      </w:r>
    </w:p>
    <w:p>
      <w:pPr>
        <w:spacing w:after="0" w:line="123" w:lineRule="exact"/>
        <w:rPr>
          <w:sz w:val="20"/>
          <w:szCs w:val="20"/>
          <w:color w:val="auto"/>
        </w:rPr>
      </w:pPr>
    </w:p>
    <w:p>
      <w:pPr>
        <w:ind w:left="208" w:hanging="208"/>
        <w:spacing w:after="0"/>
        <w:tabs>
          <w:tab w:leader="none" w:pos="2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Leases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Policy aplicable from January 1, 2019 -</w:t>
      </w:r>
    </w:p>
    <w:p>
      <w:pPr>
        <w:spacing w:after="0" w:line="150" w:lineRule="exact"/>
        <w:rPr>
          <w:rFonts w:ascii="Arial" w:cs="Arial" w:eastAsia="Arial" w:hAnsi="Arial"/>
          <w:sz w:val="12"/>
          <w:szCs w:val="12"/>
          <w:color w:val="auto"/>
        </w:rPr>
      </w:pPr>
    </w:p>
    <w:p>
      <w:pPr>
        <w:ind w:left="208" w:right="80"/>
        <w:spacing w:after="0" w:line="276" w:lineRule="auto"/>
        <w:rPr>
          <w:rFonts w:ascii="Arial" w:cs="Arial" w:eastAsia="Arial" w:hAnsi="Arial"/>
          <w:sz w:val="12"/>
          <w:szCs w:val="12"/>
          <w:color w:val="auto"/>
        </w:rPr>
      </w:pPr>
      <w:r>
        <w:rPr>
          <w:rFonts w:ascii="Arial" w:cs="Arial" w:eastAsia="Arial" w:hAnsi="Arial"/>
          <w:sz w:val="12"/>
          <w:szCs w:val="12"/>
          <w:color w:val="auto"/>
        </w:rPr>
        <w:t>As of December 31, 2019, the Group maintains mainly lease premises, used as offices and agencies, and servers and technological platforms, which were recorded in accordance with the provisions of IFRS 16 “Leases”. This standard considers that a contract is, or contains, a lease if the contract transfers the right to control the use of an identified asset for a period of time in exchange for a consideration.</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Initial Recognition -</w:t>
      </w:r>
    </w:p>
    <w:p>
      <w:pPr>
        <w:spacing w:after="0" w:line="150" w:lineRule="exact"/>
        <w:rPr>
          <w:rFonts w:ascii="Arial" w:cs="Arial" w:eastAsia="Arial" w:hAnsi="Arial"/>
          <w:sz w:val="12"/>
          <w:szCs w:val="12"/>
          <w:color w:val="auto"/>
        </w:rPr>
      </w:pPr>
    </w:p>
    <w:p>
      <w:pPr>
        <w:ind w:left="208" w:right="3000"/>
        <w:spacing w:after="0" w:line="501" w:lineRule="auto"/>
        <w:rPr>
          <w:rFonts w:ascii="Arial" w:cs="Arial" w:eastAsia="Arial" w:hAnsi="Arial"/>
          <w:sz w:val="12"/>
          <w:szCs w:val="12"/>
          <w:color w:val="auto"/>
        </w:rPr>
      </w:pPr>
      <w:r>
        <w:rPr>
          <w:rFonts w:ascii="Arial" w:cs="Arial" w:eastAsia="Arial" w:hAnsi="Arial"/>
          <w:sz w:val="12"/>
          <w:szCs w:val="12"/>
          <w:color w:val="auto"/>
        </w:rPr>
        <w:t>The lease contracts are recorded in the consolidated statement of financial position as a right-of-use asset and a lease liability in the date the leased asset is available for use. The right-of-use assets are initially recognized at cost including the following:</w:t>
      </w:r>
    </w:p>
    <w:p>
      <w:pPr>
        <w:ind w:left="428" w:hanging="212"/>
        <w:spacing w:after="0"/>
        <w:tabs>
          <w:tab w:leader="none" w:pos="428" w:val="left"/>
        </w:tabs>
        <w:numPr>
          <w:ilvl w:val="1"/>
          <w:numId w:val="61"/>
        </w:numPr>
        <w:rPr>
          <w:rFonts w:ascii="Arial" w:cs="Arial" w:eastAsia="Arial" w:hAnsi="Arial"/>
          <w:sz w:val="12"/>
          <w:szCs w:val="12"/>
          <w:color w:val="auto"/>
        </w:rPr>
      </w:pPr>
      <w:r>
        <w:rPr>
          <w:rFonts w:ascii="Arial" w:cs="Arial" w:eastAsia="Arial" w:hAnsi="Arial"/>
          <w:sz w:val="12"/>
          <w:szCs w:val="12"/>
          <w:color w:val="auto"/>
        </w:rPr>
        <w:t>The amount of the initial measurement of the lease liability.</w:t>
      </w:r>
    </w:p>
    <w:p>
      <w:pPr>
        <w:spacing w:after="0" w:line="14" w:lineRule="exact"/>
        <w:rPr>
          <w:rFonts w:ascii="Arial" w:cs="Arial" w:eastAsia="Arial" w:hAnsi="Arial"/>
          <w:sz w:val="12"/>
          <w:szCs w:val="12"/>
          <w:color w:val="auto"/>
        </w:rPr>
      </w:pPr>
    </w:p>
    <w:p>
      <w:pPr>
        <w:ind w:left="428" w:hanging="212"/>
        <w:spacing w:after="0"/>
        <w:tabs>
          <w:tab w:leader="none" w:pos="428" w:val="left"/>
        </w:tabs>
        <w:numPr>
          <w:ilvl w:val="1"/>
          <w:numId w:val="61"/>
        </w:numPr>
        <w:rPr>
          <w:rFonts w:ascii="Arial" w:cs="Arial" w:eastAsia="Arial" w:hAnsi="Arial"/>
          <w:sz w:val="12"/>
          <w:szCs w:val="12"/>
          <w:color w:val="auto"/>
        </w:rPr>
      </w:pPr>
      <w:r>
        <w:rPr>
          <w:rFonts w:ascii="Arial" w:cs="Arial" w:eastAsia="Arial" w:hAnsi="Arial"/>
          <w:sz w:val="12"/>
          <w:szCs w:val="12"/>
          <w:color w:val="auto"/>
        </w:rPr>
        <w:t>Any lease payment paid to the lessor before the start date or on the same date.</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61"/>
        </w:numPr>
        <w:rPr>
          <w:rFonts w:ascii="Arial" w:cs="Arial" w:eastAsia="Arial" w:hAnsi="Arial"/>
          <w:sz w:val="12"/>
          <w:szCs w:val="12"/>
          <w:color w:val="auto"/>
        </w:rPr>
      </w:pPr>
      <w:r>
        <w:rPr>
          <w:rFonts w:ascii="Arial" w:cs="Arial" w:eastAsia="Arial" w:hAnsi="Arial"/>
          <w:sz w:val="12"/>
          <w:szCs w:val="12"/>
          <w:color w:val="auto"/>
        </w:rPr>
        <w:t>Direct costs incurred and costs for dismantling or rehabilitation, if any.</w:t>
      </w:r>
    </w:p>
    <w:p>
      <w:pPr>
        <w:spacing w:after="0" w:line="141" w:lineRule="exact"/>
        <w:rPr>
          <w:sz w:val="20"/>
          <w:szCs w:val="20"/>
          <w:color w:val="auto"/>
        </w:rPr>
      </w:pPr>
    </w:p>
    <w:p>
      <w:pPr>
        <w:ind w:left="208" w:right="280"/>
        <w:spacing w:after="0" w:line="276" w:lineRule="auto"/>
        <w:rPr>
          <w:sz w:val="20"/>
          <w:szCs w:val="20"/>
          <w:color w:val="auto"/>
        </w:rPr>
      </w:pPr>
      <w:r>
        <w:rPr>
          <w:rFonts w:ascii="Arial" w:cs="Arial" w:eastAsia="Arial" w:hAnsi="Arial"/>
          <w:sz w:val="12"/>
          <w:szCs w:val="12"/>
          <w:color w:val="auto"/>
        </w:rPr>
        <w:t>Lease liabilities include the present value of fixed payments and variable lease payments that are based on an index or rate. Lease payments that will be made under renewal options with reasonable certainty of being exercised are included in the measurement of the liability.</w:t>
      </w:r>
    </w:p>
    <w:p>
      <w:pPr>
        <w:spacing w:after="0" w:line="115" w:lineRule="exact"/>
        <w:rPr>
          <w:sz w:val="20"/>
          <w:szCs w:val="20"/>
          <w:color w:val="auto"/>
        </w:rPr>
      </w:pPr>
    </w:p>
    <w:p>
      <w:pPr>
        <w:ind w:left="208" w:right="320"/>
        <w:spacing w:after="0" w:line="323" w:lineRule="auto"/>
        <w:rPr>
          <w:sz w:val="20"/>
          <w:szCs w:val="20"/>
          <w:color w:val="auto"/>
        </w:rPr>
      </w:pPr>
      <w:r>
        <w:rPr>
          <w:rFonts w:ascii="Arial" w:cs="Arial" w:eastAsia="Arial" w:hAnsi="Arial"/>
          <w:sz w:val="11"/>
          <w:szCs w:val="11"/>
          <w:color w:val="auto"/>
        </w:rPr>
        <w:t>Lease payments are discounted using the interest rate implicit in the lease, if that rate could be determined easily, or the incremental interest rate by loans of the lesse, which is the interest rate that the lessee would have to pay for borrowing for a term similar, the funds necessary to obtain an asset of similar value asset by the right-of-use in a similar economic environment with similar terms, guarantees and conditions.</w:t>
      </w: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57" w:name="page58"/>
    <w:bookmarkEnd w:id="57"/>
    <w:p>
      <w:pPr>
        <w:ind w:right="240"/>
        <w:spacing w:after="0" w:line="276" w:lineRule="auto"/>
        <w:rPr>
          <w:sz w:val="20"/>
          <w:szCs w:val="20"/>
          <w:color w:val="auto"/>
        </w:rPr>
      </w:pPr>
      <w:r>
        <w:rPr>
          <w:rFonts w:ascii="Arial" w:cs="Arial" w:eastAsia="Arial" w:hAnsi="Arial"/>
          <w:sz w:val="12"/>
          <w:szCs w:val="12"/>
          <w:color w:val="auto"/>
        </w:rPr>
        <w:t>In determining the term of the lease, Management considers all the facts and circumstances that create an economic incentive to exercise the extension option, or not to exercise a termination option. Likewise, the estimation of the extension or termination options will be revalued only if an event or changes in the circumstances occur within the control of the entity that affects said estimate.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Subsequent Recognition -</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right-of-use asset is generally depreciated in a straight line during the shortest period of the asset's useful life and the lease term. If the Group is reasonably certain of exercising a purchase option, the right-of-use asset depreciates over the useful life of the underlying asset.</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The Group has chosen to measure the asset at cost less depreciation and accumulated impairment loss, and adjusted for any remeasurement of the lease liability. Depreciation is calculated in a straight line within the term of the lease.</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liability will be recorded at its amortized cost, that is, it will be increased to reflect the accrued interest, recognize in the heading “Interest, returns and similar expenses” of the consolidated statement of income, and the fees paid will be subtracted.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Likewise, the balance of the liability will be reviewed in the following cases:</w:t>
      </w:r>
    </w:p>
    <w:p>
      <w:pPr>
        <w:spacing w:after="0" w:line="150"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there is a change in the expected amount to be paid under a residual value guarantee.</w:t>
      </w:r>
    </w:p>
    <w:p>
      <w:pPr>
        <w:spacing w:after="0" w:line="14" w:lineRule="exact"/>
        <w:rPr>
          <w:rFonts w:ascii="Arial" w:cs="Arial" w:eastAsia="Arial" w:hAnsi="Arial"/>
          <w:sz w:val="12"/>
          <w:szCs w:val="12"/>
          <w:color w:val="auto"/>
        </w:rPr>
      </w:pPr>
    </w:p>
    <w:p>
      <w:pPr>
        <w:ind w:left="220" w:hanging="212"/>
        <w:spacing w:after="0"/>
        <w:tabs>
          <w:tab w:leader="none" w:pos="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there is a change in future lease installments to reflect the variation in an index or interest rate.</w:t>
      </w:r>
    </w:p>
    <w:p>
      <w:pPr>
        <w:spacing w:after="0" w:line="6" w:lineRule="exact"/>
        <w:rPr>
          <w:rFonts w:ascii="Arial" w:cs="Arial" w:eastAsia="Arial" w:hAnsi="Arial"/>
          <w:sz w:val="12"/>
          <w:szCs w:val="12"/>
          <w:color w:val="auto"/>
        </w:rPr>
      </w:pPr>
    </w:p>
    <w:p>
      <w:pPr>
        <w:ind w:left="220" w:hanging="212"/>
        <w:spacing w:after="0"/>
        <w:tabs>
          <w:tab w:leader="none" w:pos="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there is a change in the terms o the lease.</w:t>
      </w:r>
    </w:p>
    <w:p>
      <w:pPr>
        <w:spacing w:after="0" w:line="6" w:lineRule="exact"/>
        <w:rPr>
          <w:rFonts w:ascii="Arial" w:cs="Arial" w:eastAsia="Arial" w:hAnsi="Arial"/>
          <w:sz w:val="12"/>
          <w:szCs w:val="12"/>
          <w:color w:val="auto"/>
        </w:rPr>
      </w:pPr>
    </w:p>
    <w:p>
      <w:pPr>
        <w:ind w:left="220" w:hanging="212"/>
        <w:spacing w:after="0"/>
        <w:tabs>
          <w:tab w:leader="none" w:pos="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there is a change in the evaluation of an option to purchase the underlying asset.</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The changes will be recorded as an adjustment of the lease liability and the right of use, unless the book value of the right of use has been reduced to zero, in which case it must be recorded against the consolidated statement of income.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Short-term leases with little significant value are recognized in a straight line as an expense in the “Administrative expenses” item of the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accounting treatment of lessors continues with a similar model to that of IAS 17; In that sense, lessors continue to perform a classification test to distinguish between financial and operating leases.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Policy aplicable up to December 31, 2018 -</w:t>
      </w:r>
    </w:p>
    <w:p>
      <w:pPr>
        <w:spacing w:after="0" w:line="150"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As of December 31, 2018, the Group recorded the leases according to the IAS 17 “Leases”. According to that standard, the determination of whether an arrangement is, or contains, a lease was based on the substance of the arrangement at the inception date: whether fulfillment of the arrangement was dependent on the use of a specific asset or assets and on whether the arrangement conveys a right to use the asset even if that right was not explicitly specified in an arrangement.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Operating leases:</w:t>
      </w:r>
    </w:p>
    <w:p>
      <w:pPr>
        <w:spacing w:after="0" w:line="15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Leases in which a significant portion of the risks and benefits of the asset were held by the lessor were classified as operating leases. Under this concept the Group had mainly leased premises used as offices and agencies of the Group’s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Payments made under an operating lease were charged to the “Administrative expenses” heading of the consolidated statement of income based on the straight-line method in the lease period.</w:t>
      </w:r>
    </w:p>
    <w:p>
      <w:pPr>
        <w:spacing w:after="0" w:line="29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58" w:name="page59"/>
    <w:bookmarkEnd w:id="58"/>
    <w:p>
      <w:pPr>
        <w:ind w:left="208"/>
        <w:spacing w:after="0"/>
        <w:rPr>
          <w:sz w:val="20"/>
          <w:szCs w:val="20"/>
          <w:color w:val="auto"/>
        </w:rPr>
      </w:pPr>
      <w:r>
        <w:rPr>
          <w:rFonts w:ascii="Arial" w:cs="Arial" w:eastAsia="Arial" w:hAnsi="Arial"/>
          <w:sz w:val="12"/>
          <w:szCs w:val="12"/>
          <w:color w:val="auto"/>
        </w:rPr>
        <w:t>When an operating lease was terminated before the lease period has expired, any penalty payment to the lessor was recognized as an expense in the period in which termination takes place.</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Finance leases:</w:t>
      </w:r>
    </w:p>
    <w:p>
      <w:pPr>
        <w:spacing w:after="0" w:line="150" w:lineRule="exact"/>
        <w:rPr>
          <w:sz w:val="20"/>
          <w:szCs w:val="20"/>
          <w:color w:val="auto"/>
        </w:rPr>
      </w:pPr>
    </w:p>
    <w:p>
      <w:pPr>
        <w:ind w:left="208" w:right="220"/>
        <w:spacing w:after="0" w:line="276" w:lineRule="auto"/>
        <w:rPr>
          <w:sz w:val="20"/>
          <w:szCs w:val="20"/>
          <w:color w:val="auto"/>
        </w:rPr>
      </w:pPr>
      <w:r>
        <w:rPr>
          <w:rFonts w:ascii="Arial" w:cs="Arial" w:eastAsia="Arial" w:hAnsi="Arial"/>
          <w:sz w:val="12"/>
          <w:szCs w:val="12"/>
          <w:color w:val="auto"/>
        </w:rPr>
        <w:t>Finance leases were recognized as granted loans at the present value of the future lease collections. The difference between the gross receivable amount and the present value of the loan was recognized as unearned interest. Lease income was recognized over the term of the lease agreement using the effective interest rate method, which reflected a constant periodic rate of return.</w:t>
      </w:r>
    </w:p>
    <w:p>
      <w:pPr>
        <w:spacing w:after="0" w:line="115" w:lineRule="exact"/>
        <w:rPr>
          <w:sz w:val="20"/>
          <w:szCs w:val="20"/>
          <w:color w:val="auto"/>
        </w:rPr>
      </w:pPr>
    </w:p>
    <w:p>
      <w:pPr>
        <w:ind w:left="208" w:hanging="208"/>
        <w:spacing w:after="0"/>
        <w:tabs>
          <w:tab w:leader="none" w:pos="2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Property, furniture and equipment -</w:t>
      </w:r>
    </w:p>
    <w:p>
      <w:pPr>
        <w:spacing w:after="0" w:line="150" w:lineRule="exact"/>
        <w:rPr>
          <w:rFonts w:ascii="Arial" w:cs="Arial" w:eastAsia="Arial" w:hAnsi="Arial"/>
          <w:sz w:val="12"/>
          <w:szCs w:val="12"/>
          <w:color w:val="auto"/>
        </w:rPr>
      </w:pPr>
    </w:p>
    <w:p>
      <w:pPr>
        <w:ind w:left="208"/>
        <w:spacing w:after="0" w:line="263" w:lineRule="auto"/>
        <w:rPr>
          <w:rFonts w:ascii="Arial" w:cs="Arial" w:eastAsia="Arial" w:hAnsi="Arial"/>
          <w:sz w:val="12"/>
          <w:szCs w:val="12"/>
          <w:color w:val="auto"/>
        </w:rPr>
      </w:pPr>
      <w:r>
        <w:rPr>
          <w:rFonts w:ascii="Arial" w:cs="Arial" w:eastAsia="Arial" w:hAnsi="Arial"/>
          <w:sz w:val="12"/>
          <w:szCs w:val="12"/>
          <w:color w:val="auto"/>
        </w:rPr>
        <w:t>Property, furniture and equipment are recorded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22"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Land is not depreciated. Depreciation is calculated using the straight-line method over the estimated useful lives, which are as follows:</w:t>
      </w:r>
    </w:p>
    <w:p>
      <w:pPr>
        <w:spacing w:after="0" w:line="159"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8500" w:type="dxa"/>
            <w:vAlign w:val="bottom"/>
          </w:tcPr>
          <w:p>
            <w:pPr>
              <w:spacing w:after="0"/>
              <w:rPr>
                <w:sz w:val="13"/>
                <w:szCs w:val="13"/>
                <w:color w:val="auto"/>
              </w:rPr>
            </w:pPr>
          </w:p>
        </w:tc>
        <w:tc>
          <w:tcPr>
            <w:tcW w:w="1260" w:type="dxa"/>
            <w:vAlign w:val="bottom"/>
            <w:gridSpan w:val="2"/>
          </w:tcPr>
          <w:p>
            <w:pPr>
              <w:ind w:left="460"/>
              <w:spacing w:after="0"/>
              <w:rPr>
                <w:sz w:val="20"/>
                <w:szCs w:val="20"/>
                <w:color w:val="auto"/>
              </w:rPr>
            </w:pPr>
            <w:r>
              <w:rPr>
                <w:rFonts w:ascii="Arial" w:cs="Arial" w:eastAsia="Arial" w:hAnsi="Arial"/>
                <w:sz w:val="12"/>
                <w:szCs w:val="12"/>
                <w:color w:val="auto"/>
              </w:rPr>
              <w:t>Years</w:t>
            </w:r>
          </w:p>
        </w:tc>
      </w:tr>
      <w:tr>
        <w:trPr>
          <w:trHeight w:val="133"/>
        </w:trPr>
        <w:tc>
          <w:tcPr>
            <w:tcW w:w="85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Buildings and other construction</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8500" w:type="dxa"/>
            <w:vAlign w:val="bottom"/>
          </w:tcPr>
          <w:p>
            <w:pPr>
              <w:spacing w:after="0"/>
              <w:rPr>
                <w:sz w:val="20"/>
                <w:szCs w:val="20"/>
                <w:color w:val="auto"/>
              </w:rPr>
            </w:pPr>
            <w:r>
              <w:rPr>
                <w:rFonts w:ascii="Arial" w:cs="Arial" w:eastAsia="Arial" w:hAnsi="Arial"/>
                <w:sz w:val="12"/>
                <w:szCs w:val="12"/>
                <w:color w:val="auto"/>
              </w:rPr>
              <w:t>Installations</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r>
      <w:tr>
        <w:trPr>
          <w:trHeight w:val="144"/>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r>
      <w:tr>
        <w:trPr>
          <w:trHeight w:val="144"/>
        </w:trPr>
        <w:tc>
          <w:tcPr>
            <w:tcW w:w="8500" w:type="dxa"/>
            <w:vAlign w:val="bottom"/>
          </w:tcPr>
          <w:p>
            <w:pPr>
              <w:spacing w:after="0"/>
              <w:rPr>
                <w:sz w:val="20"/>
                <w:szCs w:val="20"/>
                <w:color w:val="auto"/>
              </w:rPr>
            </w:pPr>
            <w:r>
              <w:rPr>
                <w:rFonts w:ascii="Arial" w:cs="Arial" w:eastAsia="Arial" w:hAnsi="Arial"/>
                <w:sz w:val="12"/>
                <w:szCs w:val="12"/>
                <w:color w:val="auto"/>
              </w:rPr>
              <w:t>Vehicles and equipment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r>
      <w:tr>
        <w:trPr>
          <w:trHeight w:val="144"/>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Computer hardware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r>
    </w:tbl>
    <w:p>
      <w:pPr>
        <w:spacing w:after="0" w:line="135" w:lineRule="exact"/>
        <w:rPr>
          <w:sz w:val="20"/>
          <w:szCs w:val="20"/>
          <w:color w:val="auto"/>
        </w:rPr>
      </w:pPr>
    </w:p>
    <w:p>
      <w:pPr>
        <w:ind w:left="208" w:right="320"/>
        <w:spacing w:after="0" w:line="276" w:lineRule="auto"/>
        <w:rPr>
          <w:sz w:val="20"/>
          <w:szCs w:val="20"/>
          <w:color w:val="auto"/>
        </w:rPr>
      </w:pPr>
      <w:r>
        <w:rPr>
          <w:rFonts w:ascii="Arial" w:cs="Arial" w:eastAsia="Arial" w:hAnsi="Arial"/>
          <w:sz w:val="12"/>
          <w:szCs w:val="12"/>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Assets’ residual value and the selected useful life are periodically reviewed to ensure that they are consistent with current economic benefits and life expectancy.</w:t>
      </w:r>
    </w:p>
    <w:p>
      <w:pPr>
        <w:spacing w:after="0" w:line="150" w:lineRule="exact"/>
        <w:rPr>
          <w:sz w:val="20"/>
          <w:szCs w:val="20"/>
          <w:color w:val="auto"/>
        </w:rPr>
      </w:pPr>
    </w:p>
    <w:p>
      <w:pPr>
        <w:ind w:left="208" w:hanging="208"/>
        <w:spacing w:after="0"/>
        <w:tabs>
          <w:tab w:leader="none" w:pos="2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Investment properties -</w:t>
      </w:r>
    </w:p>
    <w:p>
      <w:pPr>
        <w:spacing w:after="0" w:line="150" w:lineRule="exact"/>
        <w:rPr>
          <w:rFonts w:ascii="Arial" w:cs="Arial" w:eastAsia="Arial" w:hAnsi="Arial"/>
          <w:sz w:val="12"/>
          <w:szCs w:val="12"/>
          <w:color w:val="auto"/>
        </w:rPr>
      </w:pPr>
    </w:p>
    <w:p>
      <w:pPr>
        <w:ind w:left="208" w:right="260"/>
        <w:spacing w:after="0" w:line="276" w:lineRule="auto"/>
        <w:rPr>
          <w:rFonts w:ascii="Arial" w:cs="Arial" w:eastAsia="Arial" w:hAnsi="Arial"/>
          <w:sz w:val="12"/>
          <w:szCs w:val="12"/>
          <w:color w:val="auto"/>
        </w:rPr>
      </w:pPr>
      <w:r>
        <w:rPr>
          <w:rFonts w:ascii="Arial" w:cs="Arial" w:eastAsia="Arial" w:hAnsi="Arial"/>
          <w:sz w:val="12"/>
          <w:szCs w:val="12"/>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14" w:lineRule="exact"/>
        <w:rPr>
          <w:rFonts w:ascii="Arial" w:cs="Arial" w:eastAsia="Arial" w:hAnsi="Arial"/>
          <w:sz w:val="12"/>
          <w:szCs w:val="12"/>
          <w:color w:val="auto"/>
        </w:rPr>
      </w:pPr>
    </w:p>
    <w:p>
      <w:pPr>
        <w:ind w:left="208" w:right="60"/>
        <w:spacing w:after="0" w:line="276" w:lineRule="auto"/>
        <w:rPr>
          <w:rFonts w:ascii="Arial" w:cs="Arial" w:eastAsia="Arial" w:hAnsi="Arial"/>
          <w:sz w:val="12"/>
          <w:szCs w:val="12"/>
          <w:color w:val="auto"/>
        </w:rPr>
      </w:pPr>
      <w:r>
        <w:rPr>
          <w:rFonts w:ascii="Arial" w:cs="Arial" w:eastAsia="Arial" w:hAnsi="Arial"/>
          <w:sz w:val="12"/>
          <w:szCs w:val="12"/>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14" w:lineRule="exact"/>
        <w:rPr>
          <w:rFonts w:ascii="Arial" w:cs="Arial" w:eastAsia="Arial" w:hAnsi="Arial"/>
          <w:sz w:val="12"/>
          <w:szCs w:val="12"/>
          <w:color w:val="auto"/>
        </w:rPr>
      </w:pPr>
    </w:p>
    <w:p>
      <w:pPr>
        <w:ind w:left="208" w:right="60"/>
        <w:spacing w:after="0" w:line="323" w:lineRule="auto"/>
        <w:rPr>
          <w:rFonts w:ascii="Arial" w:cs="Arial" w:eastAsia="Arial" w:hAnsi="Arial"/>
          <w:sz w:val="12"/>
          <w:szCs w:val="12"/>
          <w:color w:val="auto"/>
        </w:rPr>
      </w:pPr>
      <w:r>
        <w:rPr>
          <w:rFonts w:ascii="Arial" w:cs="Arial" w:eastAsia="Arial" w:hAnsi="Arial"/>
          <w:sz w:val="11"/>
          <w:szCs w:val="11"/>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235" w:lineRule="exact"/>
        <w:rPr>
          <w:rFonts w:ascii="Arial" w:cs="Arial" w:eastAsia="Arial" w:hAnsi="Arial"/>
          <w:sz w:val="12"/>
          <w:szCs w:val="12"/>
          <w:color w:val="auto"/>
        </w:rPr>
      </w:pPr>
    </w:p>
    <w:p>
      <w:pPr>
        <w:ind w:left="5688" w:hanging="72"/>
        <w:spacing w:after="0"/>
        <w:tabs>
          <w:tab w:leader="none" w:pos="5688" w:val="left"/>
        </w:tabs>
        <w:numPr>
          <w:ilvl w:val="1"/>
          <w:numId w:val="64"/>
        </w:numPr>
        <w:rPr>
          <w:rFonts w:ascii="Arial" w:cs="Arial" w:eastAsia="Arial" w:hAnsi="Arial"/>
          <w:sz w:val="12"/>
          <w:szCs w:val="12"/>
          <w:color w:val="auto"/>
        </w:rPr>
      </w:pPr>
      <w:r>
        <w:rPr>
          <w:rFonts w:ascii="Arial" w:cs="Arial" w:eastAsia="Arial" w:hAnsi="Arial"/>
          <w:sz w:val="12"/>
          <w:szCs w:val="12"/>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653" w:right="279" w:bottom="1440" w:gutter="0" w:footer="0" w:header="0"/>
        </w:sectPr>
      </w:pPr>
    </w:p>
    <w:bookmarkStart w:id="59" w:name="page60"/>
    <w:bookmarkEnd w:id="59"/>
    <w:p>
      <w:pPr>
        <w:ind w:left="208" w:right="460"/>
        <w:spacing w:after="0" w:line="276" w:lineRule="auto"/>
        <w:rPr>
          <w:sz w:val="20"/>
          <w:szCs w:val="20"/>
          <w:color w:val="auto"/>
        </w:rPr>
      </w:pPr>
      <w:r>
        <w:rPr>
          <w:rFonts w:ascii="Arial" w:cs="Arial" w:eastAsia="Arial" w:hAnsi="Arial"/>
          <w:sz w:val="12"/>
          <w:szCs w:val="12"/>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15" w:lineRule="exact"/>
        <w:rPr>
          <w:sz w:val="20"/>
          <w:szCs w:val="20"/>
          <w:color w:val="auto"/>
        </w:rPr>
      </w:pPr>
    </w:p>
    <w:p>
      <w:pPr>
        <w:ind w:left="208" w:right="80"/>
        <w:spacing w:after="0" w:line="276" w:lineRule="auto"/>
        <w:rPr>
          <w:sz w:val="20"/>
          <w:szCs w:val="20"/>
          <w:color w:val="auto"/>
        </w:rPr>
      </w:pPr>
      <w:r>
        <w:rPr>
          <w:rFonts w:ascii="Arial" w:cs="Arial" w:eastAsia="Arial" w:hAnsi="Arial"/>
          <w:sz w:val="12"/>
          <w:szCs w:val="12"/>
          <w:color w:val="auto"/>
        </w:rPr>
        <w:t>Rental income is recognized as rents that are accrued under the related rental agreement; depreciation expenses as well as related expenses directly with the maintenance of the leased assets, they are recorded net in the item of “Other Income” of the consolidated statement of income.</w:t>
      </w:r>
    </w:p>
    <w:p>
      <w:pPr>
        <w:spacing w:after="0" w:line="115" w:lineRule="exact"/>
        <w:rPr>
          <w:sz w:val="20"/>
          <w:szCs w:val="20"/>
          <w:color w:val="auto"/>
        </w:rPr>
      </w:pPr>
    </w:p>
    <w:p>
      <w:pPr>
        <w:ind w:left="208" w:hanging="208"/>
        <w:spacing w:after="0"/>
        <w:tabs>
          <w:tab w:leader="none" w:pos="2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Seized assets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1"/>
          <w:szCs w:val="11"/>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61" w:lineRule="exact"/>
        <w:rPr>
          <w:rFonts w:ascii="Arial" w:cs="Arial" w:eastAsia="Arial" w:hAnsi="Arial"/>
          <w:sz w:val="12"/>
          <w:szCs w:val="12"/>
          <w:color w:val="auto"/>
        </w:rPr>
      </w:pPr>
    </w:p>
    <w:p>
      <w:pPr>
        <w:ind w:left="208" w:hanging="208"/>
        <w:spacing w:after="0"/>
        <w:tabs>
          <w:tab w:leader="none" w:pos="2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Business combination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Business combinations made are accounted for using the acquisition method in accordance with IFRS 3 “Business Combination”, regardless of whether they are equity instruments or other acquired assets.</w:t>
      </w:r>
    </w:p>
    <w:p>
      <w:pPr>
        <w:spacing w:after="0" w:line="150" w:lineRule="exact"/>
        <w:rPr>
          <w:rFonts w:ascii="Arial" w:cs="Arial" w:eastAsia="Arial" w:hAnsi="Arial"/>
          <w:sz w:val="12"/>
          <w:szCs w:val="12"/>
          <w:color w:val="auto"/>
        </w:rPr>
      </w:pPr>
    </w:p>
    <w:p>
      <w:pPr>
        <w:ind w:left="208" w:right="80"/>
        <w:spacing w:after="0" w:line="263" w:lineRule="auto"/>
        <w:rPr>
          <w:rFonts w:ascii="Arial" w:cs="Arial" w:eastAsia="Arial" w:hAnsi="Arial"/>
          <w:sz w:val="12"/>
          <w:szCs w:val="12"/>
          <w:color w:val="auto"/>
        </w:rPr>
      </w:pPr>
      <w:r>
        <w:rPr>
          <w:rFonts w:ascii="Arial" w:cs="Arial" w:eastAsia="Arial" w:hAnsi="Arial"/>
          <w:sz w:val="12"/>
          <w:szCs w:val="12"/>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acquiree at fair value or at the proportional share in the identifiable net assets of the acquired. Acquisition-related costs are recognized as expense and are included within “Administrative expenses” in the consolidated statement of income.</w:t>
      </w:r>
    </w:p>
    <w:p>
      <w:pPr>
        <w:spacing w:after="0" w:line="122" w:lineRule="exact"/>
        <w:rPr>
          <w:rFonts w:ascii="Arial" w:cs="Arial" w:eastAsia="Arial" w:hAnsi="Arial"/>
          <w:sz w:val="12"/>
          <w:szCs w:val="12"/>
          <w:color w:val="auto"/>
        </w:rPr>
      </w:pPr>
    </w:p>
    <w:p>
      <w:pPr>
        <w:ind w:left="208" w:right="100"/>
        <w:spacing w:after="0" w:line="276" w:lineRule="auto"/>
        <w:rPr>
          <w:rFonts w:ascii="Arial" w:cs="Arial" w:eastAsia="Arial" w:hAnsi="Arial"/>
          <w:sz w:val="12"/>
          <w:szCs w:val="12"/>
          <w:color w:val="auto"/>
        </w:rPr>
      </w:pPr>
      <w:r>
        <w:rPr>
          <w:rFonts w:ascii="Arial" w:cs="Arial" w:eastAsia="Arial" w:hAnsi="Arial"/>
          <w:sz w:val="12"/>
          <w:szCs w:val="12"/>
          <w:color w:val="auto"/>
        </w:rPr>
        <w:t>When the Group acquires a business, it assesses the financial assets and liabilities assumed for its own classification and denomination according to the contractual terms, economic circumstances and prevailing conditions at the date of acquisition. This includes the separation of embedded derivative contracts signed by the acquiree.</w:t>
      </w:r>
    </w:p>
    <w:p>
      <w:pPr>
        <w:spacing w:after="0" w:line="114" w:lineRule="exact"/>
        <w:rPr>
          <w:rFonts w:ascii="Arial" w:cs="Arial" w:eastAsia="Arial" w:hAnsi="Arial"/>
          <w:sz w:val="12"/>
          <w:szCs w:val="12"/>
          <w:color w:val="auto"/>
        </w:rPr>
      </w:pPr>
    </w:p>
    <w:p>
      <w:pPr>
        <w:ind w:left="208"/>
        <w:spacing w:after="0" w:line="263" w:lineRule="auto"/>
        <w:rPr>
          <w:rFonts w:ascii="Arial" w:cs="Arial" w:eastAsia="Arial" w:hAnsi="Arial"/>
          <w:sz w:val="12"/>
          <w:szCs w:val="12"/>
          <w:color w:val="auto"/>
        </w:rPr>
      </w:pPr>
      <w:r>
        <w:rPr>
          <w:rFonts w:ascii="Arial" w:cs="Arial" w:eastAsia="Arial" w:hAnsi="Arial"/>
          <w:sz w:val="12"/>
          <w:szCs w:val="12"/>
          <w:color w:val="auto"/>
        </w:rPr>
        <w:t>Any contingency transferred by the acquirer is recognized at fair value at the acquisition date. The contingency classified as an asset or liability that is a financial instrument and is within the scope of IFRS 9 “Financial instruments”, is measured at fair value with changes recognized in the consolidated statement of income or consolidated statement of comprehensive income. If the contingency is not within the scope of IFRS 9, it is measured in accordance with the applicable IFRS. A contingency that is classified as equity should not be measured again and its subsequent settlement is accounted for within equity.</w:t>
      </w:r>
    </w:p>
    <w:p>
      <w:pPr>
        <w:spacing w:after="0" w:line="122" w:lineRule="exact"/>
        <w:rPr>
          <w:rFonts w:ascii="Arial" w:cs="Arial" w:eastAsia="Arial" w:hAnsi="Arial"/>
          <w:sz w:val="12"/>
          <w:szCs w:val="12"/>
          <w:color w:val="auto"/>
        </w:rPr>
      </w:pPr>
    </w:p>
    <w:p>
      <w:pPr>
        <w:ind w:left="208" w:right="140"/>
        <w:spacing w:after="0" w:line="276" w:lineRule="auto"/>
        <w:rPr>
          <w:rFonts w:ascii="Arial" w:cs="Arial" w:eastAsia="Arial" w:hAnsi="Arial"/>
          <w:sz w:val="12"/>
          <w:szCs w:val="12"/>
          <w:color w:val="auto"/>
        </w:rPr>
      </w:pPr>
      <w:r>
        <w:rPr>
          <w:rFonts w:ascii="Arial" w:cs="Arial" w:eastAsia="Arial" w:hAnsi="Arial"/>
          <w:sz w:val="12"/>
          <w:szCs w:val="12"/>
          <w:color w:val="auto"/>
        </w:rPr>
        <w:t>The acquisition of a non-controlling interest is recorded directly in net equity, any difference between the amount paid and the acquired net assets is recorded as an equity transaction. Accordingly, the Group recognizes no additional goodwill after the acquisition of the non-controlling interest, nor does it recognize any profit or loss from the disposal of the non-controlling interest.</w:t>
      </w:r>
    </w:p>
    <w:p>
      <w:pPr>
        <w:spacing w:after="0" w:line="114"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14" w:lineRule="exact"/>
        <w:rPr>
          <w:rFonts w:ascii="Arial" w:cs="Arial" w:eastAsia="Arial" w:hAnsi="Arial"/>
          <w:sz w:val="12"/>
          <w:szCs w:val="12"/>
          <w:color w:val="auto"/>
        </w:rPr>
      </w:pPr>
    </w:p>
    <w:p>
      <w:pPr>
        <w:ind w:left="208" w:right="120"/>
        <w:spacing w:after="0" w:line="276" w:lineRule="auto"/>
        <w:rPr>
          <w:rFonts w:ascii="Arial" w:cs="Arial" w:eastAsia="Arial" w:hAnsi="Arial"/>
          <w:sz w:val="12"/>
          <w:szCs w:val="12"/>
          <w:color w:val="auto"/>
        </w:rPr>
      </w:pPr>
      <w:r>
        <w:rPr>
          <w:rFonts w:ascii="Arial" w:cs="Arial" w:eastAsia="Arial" w:hAnsi="Arial"/>
          <w:sz w:val="12"/>
          <w:szCs w:val="12"/>
          <w:color w:val="auto"/>
        </w:rPr>
        <w:t>If a business combination achieved in stages, the acquisition date and the value of the previous participation of the acquirer is measured again at a fair value at the date of acquisition. The gains or losses arising from such remedy are recognized is recognized in profit or loss.</w:t>
      </w:r>
    </w:p>
    <w:p>
      <w:pPr>
        <w:spacing w:after="0" w:line="259" w:lineRule="exact"/>
        <w:rPr>
          <w:rFonts w:ascii="Arial" w:cs="Arial" w:eastAsia="Arial" w:hAnsi="Arial"/>
          <w:sz w:val="12"/>
          <w:szCs w:val="12"/>
          <w:color w:val="auto"/>
        </w:rPr>
      </w:pPr>
    </w:p>
    <w:p>
      <w:pPr>
        <w:ind w:left="5688" w:hanging="72"/>
        <w:spacing w:after="0"/>
        <w:tabs>
          <w:tab w:leader="none" w:pos="5688" w:val="left"/>
        </w:tabs>
        <w:numPr>
          <w:ilvl w:val="1"/>
          <w:numId w:val="65"/>
        </w:numPr>
        <w:rPr>
          <w:rFonts w:ascii="Arial" w:cs="Arial" w:eastAsia="Arial" w:hAnsi="Arial"/>
          <w:sz w:val="12"/>
          <w:szCs w:val="12"/>
          <w:color w:val="auto"/>
        </w:rPr>
      </w:pPr>
      <w:r>
        <w:rPr>
          <w:rFonts w:ascii="Arial" w:cs="Arial" w:eastAsia="Arial" w:hAnsi="Arial"/>
          <w:sz w:val="12"/>
          <w:szCs w:val="12"/>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53" w:right="239" w:bottom="1440" w:gutter="0" w:footer="0" w:header="0"/>
        </w:sectPr>
      </w:pPr>
    </w:p>
    <w:bookmarkStart w:id="60" w:name="page61"/>
    <w:bookmarkEnd w:id="60"/>
    <w:p>
      <w:pPr>
        <w:ind w:left="208" w:hanging="208"/>
        <w:spacing w:after="0"/>
        <w:tabs>
          <w:tab w:leader="none" w:pos="208"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Intangible assets -</w:t>
      </w:r>
    </w:p>
    <w:p>
      <w:pPr>
        <w:spacing w:after="0" w:line="150" w:lineRule="exact"/>
        <w:rPr>
          <w:rFonts w:ascii="Arial" w:cs="Arial" w:eastAsia="Arial" w:hAnsi="Arial"/>
          <w:sz w:val="12"/>
          <w:szCs w:val="12"/>
          <w:color w:val="auto"/>
        </w:rPr>
      </w:pPr>
    </w:p>
    <w:p>
      <w:pPr>
        <w:ind w:left="208" w:right="140"/>
        <w:spacing w:after="0" w:line="276" w:lineRule="auto"/>
        <w:rPr>
          <w:rFonts w:ascii="Arial" w:cs="Arial" w:eastAsia="Arial" w:hAnsi="Arial"/>
          <w:sz w:val="12"/>
          <w:szCs w:val="12"/>
          <w:color w:val="auto"/>
        </w:rPr>
      </w:pPr>
      <w:r>
        <w:rPr>
          <w:rFonts w:ascii="Arial" w:cs="Arial" w:eastAsia="Arial" w:hAnsi="Arial"/>
          <w:sz w:val="12"/>
          <w:szCs w:val="12"/>
          <w:color w:val="auto"/>
        </w:rPr>
        <w:t>Comprise internally developed and acquired software licenses used by the Group. Acquired software licenses are measured upon initial recognition at cost and are amortized using the straight-line method over their estimated useful life (between 3 and 5 years).</w:t>
      </w:r>
    </w:p>
    <w:p>
      <w:pPr>
        <w:spacing w:after="0" w:line="114"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111" w:lineRule="exact"/>
        <w:rPr>
          <w:sz w:val="20"/>
          <w:szCs w:val="20"/>
          <w:color w:val="auto"/>
        </w:rPr>
      </w:pPr>
    </w:p>
    <w:tbl>
      <w:tblPr>
        <w:tblLayout w:type="fixed"/>
        <w:tblInd w:w="348" w:type="dxa"/>
        <w:tblCellMar>
          <w:top w:w="0" w:type="dxa"/>
          <w:left w:w="0" w:type="dxa"/>
          <w:bottom w:w="0" w:type="dxa"/>
          <w:right w:w="0" w:type="dxa"/>
        </w:tblCellMar>
      </w:tblPr>
      <w:tr>
        <w:trPr>
          <w:trHeight w:val="144"/>
        </w:trPr>
        <w:tc>
          <w:tcPr>
            <w:tcW w:w="874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Estimated useful</w:t>
            </w:r>
          </w:p>
        </w:tc>
      </w:tr>
      <w:tr>
        <w:trPr>
          <w:trHeight w:val="157"/>
        </w:trPr>
        <w:tc>
          <w:tcPr>
            <w:tcW w:w="874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life in years</w:t>
            </w:r>
          </w:p>
        </w:tc>
      </w:tr>
      <w:tr>
        <w:trPr>
          <w:trHeight w:val="133"/>
        </w:trPr>
        <w:tc>
          <w:tcPr>
            <w:tcW w:w="8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Client relationship - Prima AFP (AFP Unión Vida)</w:t>
            </w:r>
          </w:p>
        </w:tc>
        <w:tc>
          <w:tcPr>
            <w:tcW w:w="19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740" w:type="dxa"/>
            <w:vAlign w:val="bottom"/>
          </w:tcPr>
          <w:p>
            <w:pPr>
              <w:spacing w:after="0"/>
              <w:rPr>
                <w:sz w:val="20"/>
                <w:szCs w:val="20"/>
                <w:color w:val="auto"/>
              </w:rPr>
            </w:pPr>
            <w:r>
              <w:rPr>
                <w:rFonts w:ascii="Arial" w:cs="Arial" w:eastAsia="Arial" w:hAnsi="Arial"/>
                <w:sz w:val="12"/>
                <w:szCs w:val="12"/>
                <w:color w:val="auto"/>
              </w:rPr>
              <w:t>Client relationship – Credicorp Capital Holding Chile (Inversiones IMT)</w:t>
            </w:r>
          </w:p>
        </w:tc>
        <w:tc>
          <w:tcPr>
            <w:tcW w:w="196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r>
      <w:tr>
        <w:trPr>
          <w:trHeight w:val="144"/>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Client relationship - Edyficar Peru</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r>
      <w:tr>
        <w:trPr>
          <w:trHeight w:val="144"/>
        </w:trPr>
        <w:tc>
          <w:tcPr>
            <w:tcW w:w="8740" w:type="dxa"/>
            <w:vAlign w:val="bottom"/>
          </w:tcPr>
          <w:p>
            <w:pPr>
              <w:spacing w:after="0"/>
              <w:rPr>
                <w:sz w:val="20"/>
                <w:szCs w:val="20"/>
                <w:color w:val="auto"/>
              </w:rPr>
            </w:pPr>
            <w:r>
              <w:rPr>
                <w:rFonts w:ascii="Arial" w:cs="Arial" w:eastAsia="Arial" w:hAnsi="Arial"/>
                <w:sz w:val="12"/>
                <w:szCs w:val="12"/>
                <w:color w:val="auto"/>
              </w:rPr>
              <w:t>Client relationship – Mibanco</w:t>
            </w:r>
          </w:p>
        </w:tc>
        <w:tc>
          <w:tcPr>
            <w:tcW w:w="196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r>
      <w:tr>
        <w:trPr>
          <w:trHeight w:val="144"/>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Client relationship - Ultraserfinco</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2"/>
                <w:szCs w:val="12"/>
                <w:color w:val="auto"/>
              </w:rPr>
            </w:pPr>
          </w:p>
        </w:tc>
      </w:tr>
      <w:tr>
        <w:trPr>
          <w:trHeight w:val="144"/>
        </w:trPr>
        <w:tc>
          <w:tcPr>
            <w:tcW w:w="8740" w:type="dxa"/>
            <w:vAlign w:val="bottom"/>
          </w:tcPr>
          <w:p>
            <w:pPr>
              <w:spacing w:after="0"/>
              <w:rPr>
                <w:sz w:val="20"/>
                <w:szCs w:val="20"/>
                <w:color w:val="auto"/>
              </w:rPr>
            </w:pPr>
            <w:r>
              <w:rPr>
                <w:rFonts w:ascii="Arial" w:cs="Arial" w:eastAsia="Arial" w:hAnsi="Arial"/>
                <w:sz w:val="12"/>
                <w:szCs w:val="12"/>
                <w:color w:val="auto"/>
              </w:rPr>
              <w:t>Brand - Mibanco</w:t>
            </w:r>
          </w:p>
        </w:tc>
        <w:tc>
          <w:tcPr>
            <w:tcW w:w="196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2"/>
                <w:szCs w:val="12"/>
                <w:color w:val="auto"/>
              </w:rPr>
            </w:pPr>
          </w:p>
        </w:tc>
      </w:tr>
      <w:tr>
        <w:trPr>
          <w:trHeight w:val="144"/>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Brand - Culqi</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r>
      <w:tr>
        <w:trPr>
          <w:trHeight w:val="144"/>
        </w:trPr>
        <w:tc>
          <w:tcPr>
            <w:tcW w:w="8740" w:type="dxa"/>
            <w:vAlign w:val="bottom"/>
          </w:tcPr>
          <w:p>
            <w:pPr>
              <w:spacing w:after="0"/>
              <w:rPr>
                <w:sz w:val="20"/>
                <w:szCs w:val="20"/>
                <w:color w:val="auto"/>
              </w:rPr>
            </w:pPr>
            <w:r>
              <w:rPr>
                <w:rFonts w:ascii="Arial" w:cs="Arial" w:eastAsia="Arial" w:hAnsi="Arial"/>
                <w:sz w:val="12"/>
                <w:szCs w:val="12"/>
                <w:color w:val="auto"/>
              </w:rPr>
              <w:t>Fund manager contract - Credicorp Capital Colombia</w:t>
            </w:r>
          </w:p>
        </w:tc>
        <w:tc>
          <w:tcPr>
            <w:tcW w:w="2060" w:type="dxa"/>
            <w:vAlign w:val="bottom"/>
            <w:gridSpan w:val="2"/>
          </w:tcPr>
          <w:p>
            <w:pPr>
              <w:jc w:val="right"/>
              <w:ind w:right="100"/>
              <w:spacing w:after="0"/>
              <w:rPr>
                <w:sz w:val="20"/>
                <w:szCs w:val="20"/>
                <w:color w:val="auto"/>
              </w:rPr>
            </w:pPr>
            <w:r>
              <w:rPr>
                <w:rFonts w:ascii="Arial" w:cs="Arial" w:eastAsia="Arial" w:hAnsi="Arial"/>
                <w:sz w:val="12"/>
                <w:szCs w:val="12"/>
                <w:color w:val="auto"/>
              </w:rPr>
              <w:t>20 and 28</w:t>
            </w:r>
          </w:p>
        </w:tc>
      </w:tr>
      <w:tr>
        <w:trPr>
          <w:trHeight w:val="144"/>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Fund manager contract - Credicorp Capital Holding Chile (Inversiones IMT)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 and 24</w:t>
            </w:r>
          </w:p>
        </w:tc>
      </w:tr>
      <w:tr>
        <w:trPr>
          <w:trHeight w:val="144"/>
        </w:trPr>
        <w:tc>
          <w:tcPr>
            <w:tcW w:w="8740" w:type="dxa"/>
            <w:vAlign w:val="bottom"/>
          </w:tcPr>
          <w:p>
            <w:pPr>
              <w:spacing w:after="0"/>
              <w:rPr>
                <w:sz w:val="20"/>
                <w:szCs w:val="20"/>
                <w:color w:val="auto"/>
              </w:rPr>
            </w:pPr>
            <w:r>
              <w:rPr>
                <w:rFonts w:ascii="Arial" w:cs="Arial" w:eastAsia="Arial" w:hAnsi="Arial"/>
                <w:sz w:val="12"/>
                <w:szCs w:val="12"/>
                <w:color w:val="auto"/>
              </w:rPr>
              <w:t>Fund manager contract - Ultraserfinco</w:t>
            </w:r>
          </w:p>
        </w:tc>
        <w:tc>
          <w:tcPr>
            <w:tcW w:w="19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r>
      <w:tr>
        <w:trPr>
          <w:trHeight w:val="144"/>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Core deposits - Mibanco</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r>
      <w:tr>
        <w:trPr>
          <w:trHeight w:val="153"/>
        </w:trPr>
        <w:tc>
          <w:tcPr>
            <w:tcW w:w="8740" w:type="dxa"/>
            <w:vAlign w:val="bottom"/>
          </w:tcPr>
          <w:p>
            <w:pPr>
              <w:spacing w:after="0"/>
              <w:rPr>
                <w:sz w:val="20"/>
                <w:szCs w:val="20"/>
                <w:color w:val="auto"/>
              </w:rPr>
            </w:pPr>
            <w:r>
              <w:rPr>
                <w:rFonts w:ascii="Arial" w:cs="Arial" w:eastAsia="Arial" w:hAnsi="Arial"/>
                <w:sz w:val="12"/>
                <w:szCs w:val="12"/>
                <w:color w:val="auto"/>
              </w:rPr>
              <w:t>Others</w:t>
            </w:r>
          </w:p>
        </w:tc>
        <w:tc>
          <w:tcPr>
            <w:tcW w:w="2060" w:type="dxa"/>
            <w:vAlign w:val="bottom"/>
            <w:gridSpan w:val="2"/>
          </w:tcPr>
          <w:p>
            <w:pPr>
              <w:jc w:val="right"/>
              <w:ind w:right="100"/>
              <w:spacing w:after="0"/>
              <w:rPr>
                <w:sz w:val="20"/>
                <w:szCs w:val="20"/>
                <w:color w:val="auto"/>
              </w:rPr>
            </w:pPr>
            <w:r>
              <w:rPr>
                <w:rFonts w:ascii="Arial" w:cs="Arial" w:eastAsia="Arial" w:hAnsi="Arial"/>
                <w:sz w:val="12"/>
                <w:szCs w:val="12"/>
                <w:color w:val="auto"/>
              </w:rPr>
              <w:t>Between 3 and 7.5</w:t>
            </w:r>
          </w:p>
        </w:tc>
      </w:tr>
    </w:tbl>
    <w:p>
      <w:pPr>
        <w:spacing w:after="0" w:line="126" w:lineRule="exact"/>
        <w:rPr>
          <w:sz w:val="20"/>
          <w:szCs w:val="20"/>
          <w:color w:val="auto"/>
        </w:rPr>
      </w:pPr>
    </w:p>
    <w:p>
      <w:pPr>
        <w:ind w:left="208" w:right="100"/>
        <w:spacing w:after="0" w:line="276" w:lineRule="auto"/>
        <w:rPr>
          <w:sz w:val="20"/>
          <w:szCs w:val="20"/>
          <w:color w:val="auto"/>
        </w:rPr>
      </w:pPr>
      <w:r>
        <w:rPr>
          <w:rFonts w:ascii="Arial" w:cs="Arial" w:eastAsia="Arial" w:hAnsi="Arial"/>
          <w:sz w:val="12"/>
          <w:szCs w:val="12"/>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115" w:lineRule="exact"/>
        <w:rPr>
          <w:sz w:val="20"/>
          <w:szCs w:val="20"/>
          <w:color w:val="auto"/>
        </w:rPr>
      </w:pPr>
    </w:p>
    <w:p>
      <w:pPr>
        <w:ind w:left="208"/>
        <w:spacing w:after="0" w:line="276" w:lineRule="auto"/>
        <w:rPr>
          <w:sz w:val="20"/>
          <w:szCs w:val="20"/>
          <w:color w:val="auto"/>
        </w:rPr>
      </w:pPr>
      <w:r>
        <w:rPr>
          <w:rFonts w:ascii="Arial" w:cs="Arial" w:eastAsia="Arial" w:hAnsi="Arial"/>
          <w:sz w:val="12"/>
          <w:szCs w:val="12"/>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15" w:lineRule="exact"/>
        <w:rPr>
          <w:sz w:val="20"/>
          <w:szCs w:val="20"/>
          <w:color w:val="auto"/>
        </w:rPr>
      </w:pPr>
    </w:p>
    <w:p>
      <w:pPr>
        <w:ind w:left="208" w:hanging="208"/>
        <w:spacing w:after="0"/>
        <w:tabs>
          <w:tab w:leader="none" w:pos="208" w:val="left"/>
        </w:tabs>
        <w:numPr>
          <w:ilvl w:val="0"/>
          <w:numId w:val="67"/>
        </w:numPr>
        <w:rPr>
          <w:rFonts w:ascii="Arial" w:cs="Arial" w:eastAsia="Arial" w:hAnsi="Arial"/>
          <w:sz w:val="12"/>
          <w:szCs w:val="12"/>
          <w:color w:val="auto"/>
        </w:rPr>
      </w:pPr>
      <w:r>
        <w:rPr>
          <w:rFonts w:ascii="Arial" w:cs="Arial" w:eastAsia="Arial" w:hAnsi="Arial"/>
          <w:sz w:val="12"/>
          <w:szCs w:val="12"/>
          <w:color w:val="auto"/>
        </w:rPr>
        <w:t>Goodwill -</w:t>
      </w:r>
    </w:p>
    <w:p>
      <w:pPr>
        <w:spacing w:after="0" w:line="150" w:lineRule="exact"/>
        <w:rPr>
          <w:rFonts w:ascii="Arial" w:cs="Arial" w:eastAsia="Arial" w:hAnsi="Arial"/>
          <w:sz w:val="12"/>
          <w:szCs w:val="12"/>
          <w:color w:val="auto"/>
        </w:rPr>
      </w:pPr>
    </w:p>
    <w:p>
      <w:pPr>
        <w:ind w:left="208" w:right="160"/>
        <w:spacing w:after="0" w:line="276" w:lineRule="auto"/>
        <w:rPr>
          <w:rFonts w:ascii="Arial" w:cs="Arial" w:eastAsia="Arial" w:hAnsi="Arial"/>
          <w:sz w:val="12"/>
          <w:szCs w:val="12"/>
          <w:color w:val="auto"/>
        </w:rPr>
      </w:pPr>
      <w:r>
        <w:rPr>
          <w:rFonts w:ascii="Arial" w:cs="Arial" w:eastAsia="Arial" w:hAnsi="Arial"/>
          <w:sz w:val="12"/>
          <w:szCs w:val="12"/>
          <w:color w:val="auto"/>
        </w:rPr>
        <w:t>Goodwill is the excess of the aggregate of the consideration transferred and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14" w:lineRule="exact"/>
        <w:rPr>
          <w:rFonts w:ascii="Arial" w:cs="Arial" w:eastAsia="Arial" w:hAnsi="Arial"/>
          <w:sz w:val="12"/>
          <w:szCs w:val="12"/>
          <w:color w:val="auto"/>
        </w:rPr>
      </w:pPr>
    </w:p>
    <w:p>
      <w:pPr>
        <w:ind w:left="208" w:right="80"/>
        <w:spacing w:after="0" w:line="276" w:lineRule="auto"/>
        <w:rPr>
          <w:rFonts w:ascii="Arial" w:cs="Arial" w:eastAsia="Arial" w:hAnsi="Arial"/>
          <w:sz w:val="12"/>
          <w:szCs w:val="12"/>
          <w:color w:val="auto"/>
        </w:rPr>
      </w:pPr>
      <w:r>
        <w:rPr>
          <w:rFonts w:ascii="Arial" w:cs="Arial" w:eastAsia="Arial" w:hAnsi="Arial"/>
          <w:sz w:val="12"/>
          <w:szCs w:val="12"/>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acquiree are assigned to these units.</w:t>
      </w:r>
    </w:p>
    <w:p>
      <w:pPr>
        <w:spacing w:after="0" w:line="259" w:lineRule="exact"/>
        <w:rPr>
          <w:rFonts w:ascii="Arial" w:cs="Arial" w:eastAsia="Arial" w:hAnsi="Arial"/>
          <w:sz w:val="12"/>
          <w:szCs w:val="12"/>
          <w:color w:val="auto"/>
        </w:rPr>
      </w:pPr>
    </w:p>
    <w:p>
      <w:pPr>
        <w:ind w:left="5688" w:hanging="72"/>
        <w:spacing w:after="0"/>
        <w:tabs>
          <w:tab w:leader="none" w:pos="5688" w:val="left"/>
        </w:tabs>
        <w:numPr>
          <w:ilvl w:val="1"/>
          <w:numId w:val="67"/>
        </w:numPr>
        <w:rPr>
          <w:rFonts w:ascii="Arial" w:cs="Arial" w:eastAsia="Arial" w:hAnsi="Arial"/>
          <w:sz w:val="12"/>
          <w:szCs w:val="12"/>
          <w:color w:val="auto"/>
        </w:rPr>
      </w:pPr>
      <w:r>
        <w:rPr>
          <w:rFonts w:ascii="Arial" w:cs="Arial" w:eastAsia="Arial" w:hAnsi="Arial"/>
          <w:sz w:val="12"/>
          <w:szCs w:val="12"/>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653" w:right="259" w:bottom="1440" w:gutter="0" w:footer="0" w:header="0"/>
        </w:sectPr>
      </w:pPr>
    </w:p>
    <w:bookmarkStart w:id="61" w:name="page62"/>
    <w:bookmarkEnd w:id="61"/>
    <w:p>
      <w:pPr>
        <w:ind w:left="212" w:right="60"/>
        <w:spacing w:after="0" w:line="276" w:lineRule="auto"/>
        <w:rPr>
          <w:sz w:val="20"/>
          <w:szCs w:val="20"/>
          <w:color w:val="auto"/>
        </w:rPr>
      </w:pPr>
      <w:r>
        <w:rPr>
          <w:rFonts w:ascii="Arial" w:cs="Arial" w:eastAsia="Arial" w:hAnsi="Arial"/>
          <w:sz w:val="12"/>
          <w:szCs w:val="12"/>
          <w:color w:val="auto"/>
        </w:rPr>
        <w:t>Where goodwill has been allocated to a CGU and part of the operation within that unit is disposed of, the goodwill and the assets disposed of are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15" w:lineRule="exact"/>
        <w:rPr>
          <w:sz w:val="20"/>
          <w:szCs w:val="20"/>
          <w:color w:val="auto"/>
        </w:rPr>
      </w:pPr>
    </w:p>
    <w:p>
      <w:pPr>
        <w:ind w:left="212" w:right="480"/>
        <w:spacing w:after="0" w:line="276" w:lineRule="auto"/>
        <w:rPr>
          <w:sz w:val="20"/>
          <w:szCs w:val="20"/>
          <w:color w:val="auto"/>
        </w:rPr>
      </w:pPr>
      <w:r>
        <w:rPr>
          <w:rFonts w:ascii="Arial" w:cs="Arial" w:eastAsia="Arial" w:hAnsi="Arial"/>
          <w:sz w:val="12"/>
          <w:szCs w:val="12"/>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15" w:lineRule="exact"/>
        <w:rPr>
          <w:sz w:val="20"/>
          <w:szCs w:val="20"/>
          <w:color w:val="auto"/>
        </w:rPr>
      </w:pPr>
    </w:p>
    <w:p>
      <w:pPr>
        <w:ind w:left="212" w:hanging="212"/>
        <w:spacing w:after="0"/>
        <w:tabs>
          <w:tab w:leader="none" w:pos="2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Impairment of non-financial assets -</w:t>
      </w:r>
    </w:p>
    <w:p>
      <w:pPr>
        <w:spacing w:after="0" w:line="150" w:lineRule="exact"/>
        <w:rPr>
          <w:rFonts w:ascii="Arial" w:cs="Arial" w:eastAsia="Arial" w:hAnsi="Arial"/>
          <w:sz w:val="12"/>
          <w:szCs w:val="12"/>
          <w:color w:val="auto"/>
        </w:rPr>
      </w:pPr>
    </w:p>
    <w:p>
      <w:pPr>
        <w:ind w:left="212" w:right="20"/>
        <w:spacing w:after="0" w:line="263" w:lineRule="auto"/>
        <w:rPr>
          <w:rFonts w:ascii="Arial" w:cs="Arial" w:eastAsia="Arial" w:hAnsi="Arial"/>
          <w:sz w:val="12"/>
          <w:szCs w:val="12"/>
          <w:color w:val="auto"/>
        </w:rPr>
      </w:pPr>
      <w:r>
        <w:rPr>
          <w:rFonts w:ascii="Arial" w:cs="Arial" w:eastAsia="Arial" w:hAnsi="Arial"/>
          <w:sz w:val="12"/>
          <w:szCs w:val="12"/>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22" w:lineRule="exact"/>
        <w:rPr>
          <w:rFonts w:ascii="Arial" w:cs="Arial" w:eastAsia="Arial" w:hAnsi="Arial"/>
          <w:sz w:val="12"/>
          <w:szCs w:val="12"/>
          <w:color w:val="auto"/>
        </w:rPr>
      </w:pPr>
    </w:p>
    <w:p>
      <w:pPr>
        <w:jc w:val="both"/>
        <w:ind w:left="212" w:right="400"/>
        <w:spacing w:after="0" w:line="259" w:lineRule="auto"/>
        <w:rPr>
          <w:rFonts w:ascii="Arial" w:cs="Arial" w:eastAsia="Arial" w:hAnsi="Arial"/>
          <w:sz w:val="12"/>
          <w:szCs w:val="12"/>
          <w:color w:val="auto"/>
        </w:rPr>
      </w:pPr>
      <w:r>
        <w:rPr>
          <w:rFonts w:ascii="Arial" w:cs="Arial" w:eastAsia="Arial" w:hAnsi="Arial"/>
          <w:sz w:val="12"/>
          <w:szCs w:val="12"/>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recent market transactions are considered, if any. If this kind of transactions cannot be identified, an appropriate valuation model is used. These calculations are verified against valuation multiples, quoted share prices for publicly traded subsidiaries or other available fair value indicators.</w:t>
      </w:r>
    </w:p>
    <w:p>
      <w:pPr>
        <w:spacing w:after="0" w:line="124" w:lineRule="exact"/>
        <w:rPr>
          <w:rFonts w:ascii="Arial" w:cs="Arial" w:eastAsia="Arial" w:hAnsi="Arial"/>
          <w:sz w:val="12"/>
          <w:szCs w:val="12"/>
          <w:color w:val="auto"/>
        </w:rPr>
      </w:pPr>
    </w:p>
    <w:p>
      <w:pPr>
        <w:ind w:left="212" w:right="140"/>
        <w:spacing w:after="0" w:line="263" w:lineRule="auto"/>
        <w:rPr>
          <w:rFonts w:ascii="Arial" w:cs="Arial" w:eastAsia="Arial" w:hAnsi="Arial"/>
          <w:sz w:val="12"/>
          <w:szCs w:val="12"/>
          <w:color w:val="auto"/>
        </w:rPr>
      </w:pPr>
      <w:r>
        <w:rPr>
          <w:rFonts w:ascii="Arial" w:cs="Arial" w:eastAsia="Arial" w:hAnsi="Arial"/>
          <w:sz w:val="12"/>
          <w:szCs w:val="12"/>
          <w:color w:val="auto"/>
        </w:rPr>
        <w:t>For non-financial assets, excluding goodwill, an assessment is made at each reporting date of whether there is an indication that previously recognized impairment losses may no longer exist or may have decreased. If such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22" w:lineRule="exact"/>
        <w:rPr>
          <w:rFonts w:ascii="Arial" w:cs="Arial" w:eastAsia="Arial" w:hAnsi="Arial"/>
          <w:sz w:val="12"/>
          <w:szCs w:val="12"/>
          <w:color w:val="auto"/>
        </w:rPr>
      </w:pPr>
    </w:p>
    <w:p>
      <w:pPr>
        <w:ind w:left="212" w:right="500"/>
        <w:spacing w:after="0" w:line="276" w:lineRule="auto"/>
        <w:rPr>
          <w:rFonts w:ascii="Arial" w:cs="Arial" w:eastAsia="Arial" w:hAnsi="Arial"/>
          <w:sz w:val="12"/>
          <w:szCs w:val="12"/>
          <w:color w:val="auto"/>
        </w:rPr>
      </w:pPr>
      <w:r>
        <w:rPr>
          <w:rFonts w:ascii="Arial" w:cs="Arial" w:eastAsia="Arial" w:hAnsi="Arial"/>
          <w:sz w:val="12"/>
          <w:szCs w:val="12"/>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Due from customers on acceptances -</w:t>
      </w:r>
    </w:p>
    <w:p>
      <w:pPr>
        <w:spacing w:after="0" w:line="150" w:lineRule="exact"/>
        <w:rPr>
          <w:rFonts w:ascii="Arial" w:cs="Arial" w:eastAsia="Arial" w:hAnsi="Arial"/>
          <w:sz w:val="12"/>
          <w:szCs w:val="12"/>
          <w:color w:val="auto"/>
        </w:rPr>
      </w:pPr>
    </w:p>
    <w:p>
      <w:pPr>
        <w:ind w:left="212"/>
        <w:spacing w:after="0" w:line="276" w:lineRule="auto"/>
        <w:rPr>
          <w:rFonts w:ascii="Arial" w:cs="Arial" w:eastAsia="Arial" w:hAnsi="Arial"/>
          <w:sz w:val="12"/>
          <w:szCs w:val="12"/>
          <w:color w:val="auto"/>
        </w:rPr>
      </w:pPr>
      <w:r>
        <w:rPr>
          <w:rFonts w:ascii="Arial" w:cs="Arial" w:eastAsia="Arial" w:hAnsi="Arial"/>
          <w:sz w:val="12"/>
          <w:szCs w:val="12"/>
          <w:color w:val="auto"/>
        </w:rPr>
        <w:t>Due from customers on acceptances corresponds to accounts payable from customers for import and export transactions, whose obligations have been accepted by the Group. The obligations that must be assumed by the Group for such transactions are recorded as liabilities.</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Financial guarantees -</w:t>
      </w:r>
    </w:p>
    <w:p>
      <w:pPr>
        <w:spacing w:after="0" w:line="150" w:lineRule="exact"/>
        <w:rPr>
          <w:rFonts w:ascii="Arial" w:cs="Arial" w:eastAsia="Arial" w:hAnsi="Arial"/>
          <w:sz w:val="12"/>
          <w:szCs w:val="12"/>
          <w:color w:val="auto"/>
        </w:rPr>
      </w:pPr>
    </w:p>
    <w:p>
      <w:pPr>
        <w:ind w:left="212" w:right="20"/>
        <w:spacing w:after="0" w:line="290" w:lineRule="auto"/>
        <w:rPr>
          <w:rFonts w:ascii="Arial" w:cs="Arial" w:eastAsia="Arial" w:hAnsi="Arial"/>
          <w:sz w:val="12"/>
          <w:szCs w:val="12"/>
          <w:color w:val="auto"/>
        </w:rPr>
      </w:pPr>
      <w:r>
        <w:rPr>
          <w:rFonts w:ascii="Arial" w:cs="Arial" w:eastAsia="Arial" w:hAnsi="Arial"/>
          <w:sz w:val="11"/>
          <w:szCs w:val="11"/>
          <w:color w:val="auto"/>
        </w:rPr>
        <w:t>In the ordinary course of business, the Group issues financial guarantees, such as letters of credit, guarantees and banker’s acceptances. Financial guarantees are initially recognized at fair value, which is equivalent to the commission initially received, also, letters of credit and guarantees are recorded in caption “Other liabilities” of the consolidated statement of financial position and banker’s acceptances are presented in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253" w:lineRule="exact"/>
        <w:rPr>
          <w:rFonts w:ascii="Arial" w:cs="Arial" w:eastAsia="Arial" w:hAnsi="Arial"/>
          <w:sz w:val="12"/>
          <w:szCs w:val="12"/>
          <w:color w:val="auto"/>
        </w:rPr>
      </w:pPr>
    </w:p>
    <w:p>
      <w:pPr>
        <w:ind w:left="5472" w:hanging="72"/>
        <w:spacing w:after="0"/>
        <w:tabs>
          <w:tab w:leader="none" w:pos="5472" w:val="left"/>
        </w:tabs>
        <w:numPr>
          <w:ilvl w:val="1"/>
          <w:numId w:val="68"/>
        </w:numPr>
        <w:rPr>
          <w:rFonts w:ascii="Arial" w:cs="Arial" w:eastAsia="Arial" w:hAnsi="Arial"/>
          <w:sz w:val="12"/>
          <w:szCs w:val="12"/>
          <w:color w:val="auto"/>
        </w:rPr>
      </w:pPr>
      <w:r>
        <w:rPr>
          <w:rFonts w:ascii="Arial" w:cs="Arial" w:eastAsia="Arial" w:hAnsi="Arial"/>
          <w:sz w:val="12"/>
          <w:szCs w:val="12"/>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32"/>
          </w:cols>
          <w:pgMar w:left="428" w:top="797" w:right="239" w:bottom="1440" w:gutter="0" w:footer="0" w:header="0"/>
        </w:sectPr>
      </w:pPr>
    </w:p>
    <w:bookmarkStart w:id="62" w:name="page63"/>
    <w:bookmarkEnd w:id="62"/>
    <w:p>
      <w:pPr>
        <w:ind w:left="212" w:right="160"/>
        <w:spacing w:after="0" w:line="276" w:lineRule="auto"/>
        <w:rPr>
          <w:sz w:val="20"/>
          <w:szCs w:val="20"/>
          <w:color w:val="auto"/>
        </w:rPr>
      </w:pPr>
      <w:r>
        <w:rPr>
          <w:rFonts w:ascii="Arial" w:cs="Arial" w:eastAsia="Arial" w:hAnsi="Arial"/>
          <w:sz w:val="12"/>
          <w:szCs w:val="12"/>
          <w:color w:val="auto"/>
        </w:rPr>
        <w:t>Any increase in the liability relating to a financial guarantee is included in the consolidated statement of income. The commission received is recognized in “Commissions and fees” of the consolidated statement of income on a straight line basis over the life of the granted financial guarantee.</w:t>
      </w:r>
    </w:p>
    <w:p>
      <w:pPr>
        <w:spacing w:after="0" w:line="115" w:lineRule="exact"/>
        <w:rPr>
          <w:sz w:val="20"/>
          <w:szCs w:val="20"/>
          <w:color w:val="auto"/>
        </w:rPr>
      </w:pPr>
    </w:p>
    <w:p>
      <w:pPr>
        <w:ind w:left="212" w:hanging="212"/>
        <w:spacing w:after="0"/>
        <w:tabs>
          <w:tab w:leader="none" w:pos="212" w:val="left"/>
        </w:tabs>
        <w:numPr>
          <w:ilvl w:val="0"/>
          <w:numId w:val="69"/>
        </w:numPr>
        <w:rPr>
          <w:rFonts w:ascii="Arial" w:cs="Arial" w:eastAsia="Arial" w:hAnsi="Arial"/>
          <w:sz w:val="12"/>
          <w:szCs w:val="12"/>
          <w:color w:val="auto"/>
        </w:rPr>
      </w:pPr>
      <w:r>
        <w:rPr>
          <w:rFonts w:ascii="Arial" w:cs="Arial" w:eastAsia="Arial" w:hAnsi="Arial"/>
          <w:sz w:val="12"/>
          <w:szCs w:val="12"/>
          <w:color w:val="auto"/>
        </w:rPr>
        <w:t>Provisions -</w:t>
      </w:r>
    </w:p>
    <w:p>
      <w:pPr>
        <w:spacing w:after="0" w:line="150" w:lineRule="exact"/>
        <w:rPr>
          <w:rFonts w:ascii="Arial" w:cs="Arial" w:eastAsia="Arial" w:hAnsi="Arial"/>
          <w:sz w:val="12"/>
          <w:szCs w:val="12"/>
          <w:color w:val="auto"/>
        </w:rPr>
      </w:pPr>
    </w:p>
    <w:p>
      <w:pPr>
        <w:ind w:left="212"/>
        <w:spacing w:after="0" w:line="276" w:lineRule="auto"/>
        <w:rPr>
          <w:rFonts w:ascii="Arial" w:cs="Arial" w:eastAsia="Arial" w:hAnsi="Arial"/>
          <w:sz w:val="12"/>
          <w:szCs w:val="12"/>
          <w:color w:val="auto"/>
        </w:rPr>
      </w:pPr>
      <w:r>
        <w:rPr>
          <w:rFonts w:ascii="Arial" w:cs="Arial" w:eastAsia="Arial" w:hAnsi="Arial"/>
          <w:sz w:val="12"/>
          <w:szCs w:val="12"/>
          <w:color w:val="auto"/>
        </w:rPr>
        <w:t>Provisions are recognized when the Group has a present obligation (legal or constructive) as a result of a past event, it is probable that an outflow or resources embodying economic benefits will be required to settle said obligation and a reliable estimate of the amount can be made.</w:t>
      </w:r>
    </w:p>
    <w:p>
      <w:pPr>
        <w:spacing w:after="0" w:line="114" w:lineRule="exact"/>
        <w:rPr>
          <w:rFonts w:ascii="Arial" w:cs="Arial" w:eastAsia="Arial" w:hAnsi="Arial"/>
          <w:sz w:val="12"/>
          <w:szCs w:val="12"/>
          <w:color w:val="auto"/>
        </w:rPr>
      </w:pPr>
    </w:p>
    <w:p>
      <w:pPr>
        <w:ind w:left="212" w:right="100"/>
        <w:spacing w:after="0" w:line="276" w:lineRule="auto"/>
        <w:rPr>
          <w:rFonts w:ascii="Arial" w:cs="Arial" w:eastAsia="Arial" w:hAnsi="Arial"/>
          <w:sz w:val="12"/>
          <w:szCs w:val="12"/>
          <w:color w:val="auto"/>
        </w:rPr>
      </w:pPr>
      <w:r>
        <w:rPr>
          <w:rFonts w:ascii="Arial" w:cs="Arial" w:eastAsia="Arial" w:hAnsi="Arial"/>
          <w:sz w:val="12"/>
          <w:szCs w:val="12"/>
          <w:color w:val="auto"/>
        </w:rPr>
        <w:t>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Contingencies -</w:t>
      </w:r>
    </w:p>
    <w:p>
      <w:pPr>
        <w:spacing w:after="0" w:line="150" w:lineRule="exact"/>
        <w:rPr>
          <w:rFonts w:ascii="Arial" w:cs="Arial" w:eastAsia="Arial" w:hAnsi="Arial"/>
          <w:sz w:val="12"/>
          <w:szCs w:val="12"/>
          <w:color w:val="auto"/>
        </w:rPr>
      </w:pPr>
    </w:p>
    <w:p>
      <w:pPr>
        <w:ind w:left="212" w:right="280"/>
        <w:spacing w:after="0" w:line="276" w:lineRule="auto"/>
        <w:rPr>
          <w:rFonts w:ascii="Arial" w:cs="Arial" w:eastAsia="Arial" w:hAnsi="Arial"/>
          <w:sz w:val="12"/>
          <w:szCs w:val="12"/>
          <w:color w:val="auto"/>
        </w:rPr>
      </w:pPr>
      <w:r>
        <w:rPr>
          <w:rFonts w:ascii="Arial" w:cs="Arial" w:eastAsia="Arial" w:hAnsi="Arial"/>
          <w:sz w:val="12"/>
          <w:szCs w:val="12"/>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Income tax -</w:t>
      </w:r>
    </w:p>
    <w:p>
      <w:pPr>
        <w:spacing w:after="0" w:line="150"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Income tax is computed based on the individual financial statements of each of the Group’s members.</w:t>
      </w:r>
    </w:p>
    <w:p>
      <w:pPr>
        <w:spacing w:after="0" w:line="150" w:lineRule="exact"/>
        <w:rPr>
          <w:rFonts w:ascii="Arial" w:cs="Arial" w:eastAsia="Arial" w:hAnsi="Arial"/>
          <w:sz w:val="12"/>
          <w:szCs w:val="12"/>
          <w:color w:val="auto"/>
        </w:rPr>
      </w:pPr>
    </w:p>
    <w:p>
      <w:pPr>
        <w:ind w:left="212" w:right="20"/>
        <w:spacing w:after="0" w:line="340" w:lineRule="auto"/>
        <w:rPr>
          <w:rFonts w:ascii="Arial" w:cs="Arial" w:eastAsia="Arial" w:hAnsi="Arial"/>
          <w:sz w:val="12"/>
          <w:szCs w:val="12"/>
          <w:color w:val="auto"/>
        </w:rPr>
      </w:pPr>
      <w:r>
        <w:rPr>
          <w:rFonts w:ascii="Arial" w:cs="Arial" w:eastAsia="Arial" w:hAnsi="Arial"/>
          <w:sz w:val="10"/>
          <w:szCs w:val="10"/>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87" w:lineRule="exact"/>
        <w:rPr>
          <w:rFonts w:ascii="Arial" w:cs="Arial" w:eastAsia="Arial" w:hAnsi="Arial"/>
          <w:sz w:val="12"/>
          <w:szCs w:val="12"/>
          <w:color w:val="auto"/>
        </w:rPr>
      </w:pPr>
    </w:p>
    <w:p>
      <w:pPr>
        <w:ind w:left="212" w:right="60"/>
        <w:spacing w:after="0" w:line="263" w:lineRule="auto"/>
        <w:rPr>
          <w:rFonts w:ascii="Arial" w:cs="Arial" w:eastAsia="Arial" w:hAnsi="Arial"/>
          <w:sz w:val="12"/>
          <w:szCs w:val="12"/>
          <w:color w:val="auto"/>
        </w:rPr>
      </w:pPr>
      <w:r>
        <w:rPr>
          <w:rFonts w:ascii="Arial" w:cs="Arial" w:eastAsia="Arial" w:hAnsi="Arial"/>
          <w:sz w:val="12"/>
          <w:szCs w:val="12"/>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consolidated income statement (either in other comprehensive income or directly in equity).</w:t>
      </w:r>
    </w:p>
    <w:p>
      <w:pPr>
        <w:spacing w:after="0" w:line="122" w:lineRule="exact"/>
        <w:rPr>
          <w:rFonts w:ascii="Arial" w:cs="Arial" w:eastAsia="Arial" w:hAnsi="Arial"/>
          <w:sz w:val="12"/>
          <w:szCs w:val="12"/>
          <w:color w:val="auto"/>
        </w:rPr>
      </w:pPr>
    </w:p>
    <w:p>
      <w:pPr>
        <w:ind w:left="212" w:right="180"/>
        <w:spacing w:after="0" w:line="323" w:lineRule="auto"/>
        <w:rPr>
          <w:rFonts w:ascii="Arial" w:cs="Arial" w:eastAsia="Arial" w:hAnsi="Arial"/>
          <w:sz w:val="12"/>
          <w:szCs w:val="12"/>
          <w:color w:val="auto"/>
        </w:rPr>
      </w:pPr>
      <w:r>
        <w:rPr>
          <w:rFonts w:ascii="Arial" w:cs="Arial" w:eastAsia="Arial" w:hAnsi="Arial"/>
          <w:sz w:val="11"/>
          <w:szCs w:val="11"/>
          <w:color w:val="auto"/>
        </w:rPr>
        <w:t>Deferred tax assets and liabilities are recognized regardless of when the timing differences are likely to reverse. Deferred tax assets are recognized when it is likely to exist sufficient tax benefits for the application of temporary difference. At the date of the consolidated statement of financial position, Credicorp and its Subsidiaries assess unrecognized deferred assets and the carrying amount of recognized deferred assets.</w:t>
      </w:r>
    </w:p>
    <w:p>
      <w:pPr>
        <w:spacing w:after="0" w:line="91" w:lineRule="exact"/>
        <w:rPr>
          <w:rFonts w:ascii="Arial" w:cs="Arial" w:eastAsia="Arial" w:hAnsi="Arial"/>
          <w:sz w:val="12"/>
          <w:szCs w:val="12"/>
          <w:color w:val="auto"/>
        </w:rPr>
      </w:pPr>
    </w:p>
    <w:p>
      <w:pPr>
        <w:ind w:left="212" w:right="400"/>
        <w:spacing w:after="0" w:line="527" w:lineRule="auto"/>
        <w:rPr>
          <w:rFonts w:ascii="Arial" w:cs="Arial" w:eastAsia="Arial" w:hAnsi="Arial"/>
          <w:sz w:val="12"/>
          <w:szCs w:val="12"/>
          <w:color w:val="auto"/>
        </w:rPr>
      </w:pPr>
      <w:r>
        <w:rPr>
          <w:rFonts w:ascii="Arial" w:cs="Arial" w:eastAsia="Arial" w:hAnsi="Arial"/>
          <w:sz w:val="12"/>
          <w:szCs w:val="12"/>
          <w:color w:val="auto"/>
        </w:rPr>
        <w:t>Credicorp and its Subsidiaries determine their deferred income tax based on the tax rate applicable to their undistributed earnings; any additional tax on dividend distribution is recorded on the date a liability is recognized. Deferred tax assets and liabilities are offset if there is a legal right of offset and the deferred taxes are related to the same taxpaying entity and the same tax authority.</w:t>
      </w:r>
    </w:p>
    <w:p>
      <w:pPr>
        <w:spacing w:after="0" w:line="114" w:lineRule="exact"/>
        <w:rPr>
          <w:rFonts w:ascii="Arial" w:cs="Arial" w:eastAsia="Arial" w:hAnsi="Arial"/>
          <w:sz w:val="12"/>
          <w:szCs w:val="12"/>
          <w:color w:val="auto"/>
        </w:rPr>
      </w:pPr>
    </w:p>
    <w:p>
      <w:pPr>
        <w:ind w:left="5472" w:hanging="72"/>
        <w:spacing w:after="0"/>
        <w:tabs>
          <w:tab w:leader="none" w:pos="5472" w:val="left"/>
        </w:tabs>
        <w:numPr>
          <w:ilvl w:val="1"/>
          <w:numId w:val="69"/>
        </w:numPr>
        <w:rPr>
          <w:rFonts w:ascii="Arial" w:cs="Arial" w:eastAsia="Arial" w:hAnsi="Arial"/>
          <w:sz w:val="12"/>
          <w:szCs w:val="12"/>
          <w:color w:val="auto"/>
        </w:rPr>
      </w:pPr>
      <w:r>
        <w:rPr>
          <w:rFonts w:ascii="Arial" w:cs="Arial" w:eastAsia="Arial" w:hAnsi="Arial"/>
          <w:sz w:val="12"/>
          <w:szCs w:val="12"/>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32"/>
          </w:cols>
          <w:pgMar w:left="428" w:top="653" w:right="239" w:bottom="1440" w:gutter="0" w:footer="0" w:header="0"/>
        </w:sectPr>
      </w:pPr>
    </w:p>
    <w:bookmarkStart w:id="63" w:name="page64"/>
    <w:bookmarkEnd w:id="63"/>
    <w:p>
      <w:pPr>
        <w:ind w:left="212" w:hanging="212"/>
        <w:spacing w:after="0"/>
        <w:tabs>
          <w:tab w:leader="none" w:pos="2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Earnings per share -</w:t>
      </w:r>
    </w:p>
    <w:p>
      <w:pPr>
        <w:spacing w:after="0" w:line="150" w:lineRule="exact"/>
        <w:rPr>
          <w:rFonts w:ascii="Arial" w:cs="Arial" w:eastAsia="Arial" w:hAnsi="Arial"/>
          <w:sz w:val="12"/>
          <w:szCs w:val="12"/>
          <w:color w:val="auto"/>
        </w:rPr>
      </w:pPr>
    </w:p>
    <w:p>
      <w:pPr>
        <w:ind w:left="212" w:right="80"/>
        <w:spacing w:after="0" w:line="276" w:lineRule="auto"/>
        <w:rPr>
          <w:rFonts w:ascii="Arial" w:cs="Arial" w:eastAsia="Arial" w:hAnsi="Arial"/>
          <w:sz w:val="12"/>
          <w:szCs w:val="12"/>
          <w:color w:val="auto"/>
        </w:rPr>
      </w:pPr>
      <w:r>
        <w:rPr>
          <w:rFonts w:ascii="Arial" w:cs="Arial" w:eastAsia="Arial" w:hAnsi="Arial"/>
          <w:sz w:val="12"/>
          <w:szCs w:val="12"/>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14" w:lineRule="exact"/>
        <w:rPr>
          <w:rFonts w:ascii="Arial" w:cs="Arial" w:eastAsia="Arial" w:hAnsi="Arial"/>
          <w:sz w:val="12"/>
          <w:szCs w:val="12"/>
          <w:color w:val="auto"/>
        </w:rPr>
      </w:pPr>
    </w:p>
    <w:p>
      <w:pPr>
        <w:ind w:left="212"/>
        <w:spacing w:after="0" w:line="380" w:lineRule="auto"/>
        <w:rPr>
          <w:rFonts w:ascii="Arial" w:cs="Arial" w:eastAsia="Arial" w:hAnsi="Arial"/>
          <w:sz w:val="12"/>
          <w:szCs w:val="12"/>
          <w:color w:val="auto"/>
        </w:rPr>
      </w:pPr>
      <w:r>
        <w:rPr>
          <w:rFonts w:ascii="Arial" w:cs="Arial" w:eastAsia="Arial" w:hAnsi="Arial"/>
          <w:sz w:val="10"/>
          <w:szCs w:val="10"/>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have been issued if all potential ordinary shares with dilutive effect have been converted into ordinary shares.</w:t>
      </w:r>
    </w:p>
    <w:p>
      <w:pPr>
        <w:spacing w:after="0" w:line="68" w:lineRule="exact"/>
        <w:rPr>
          <w:rFonts w:ascii="Arial" w:cs="Arial" w:eastAsia="Arial" w:hAnsi="Arial"/>
          <w:sz w:val="12"/>
          <w:szCs w:val="12"/>
          <w:color w:val="auto"/>
        </w:rPr>
      </w:pPr>
    </w:p>
    <w:p>
      <w:pPr>
        <w:ind w:left="212" w:hanging="212"/>
        <w:spacing w:after="0"/>
        <w:tabs>
          <w:tab w:leader="none" w:pos="2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Share-based payment transactions -</w:t>
      </w:r>
    </w:p>
    <w:p>
      <w:pPr>
        <w:spacing w:after="0" w:line="150" w:lineRule="exact"/>
        <w:rPr>
          <w:rFonts w:ascii="Arial" w:cs="Arial" w:eastAsia="Arial" w:hAnsi="Arial"/>
          <w:sz w:val="12"/>
          <w:szCs w:val="12"/>
          <w:color w:val="auto"/>
        </w:rPr>
      </w:pPr>
    </w:p>
    <w:p>
      <w:pPr>
        <w:ind w:left="212" w:right="100"/>
        <w:spacing w:after="0" w:line="276" w:lineRule="auto"/>
        <w:rPr>
          <w:rFonts w:ascii="Arial" w:cs="Arial" w:eastAsia="Arial" w:hAnsi="Arial"/>
          <w:sz w:val="12"/>
          <w:szCs w:val="12"/>
          <w:color w:val="auto"/>
        </w:rPr>
      </w:pPr>
      <w:r>
        <w:rPr>
          <w:rFonts w:ascii="Arial" w:cs="Arial" w:eastAsia="Arial" w:hAnsi="Arial"/>
          <w:sz w:val="12"/>
          <w:szCs w:val="12"/>
          <w:color w:val="auto"/>
        </w:rPr>
        <w:t>The cost of the Group’s remuneration plan is recognized, together with a corresponding increase in equity, over the period in which the service conditions are fulfilled, ending on the date on which the relevant employees become fully entitled to the award (‘the vesting date”).</w:t>
      </w:r>
    </w:p>
    <w:p>
      <w:pPr>
        <w:spacing w:after="0" w:line="114" w:lineRule="exact"/>
        <w:rPr>
          <w:rFonts w:ascii="Arial" w:cs="Arial" w:eastAsia="Arial" w:hAnsi="Arial"/>
          <w:sz w:val="12"/>
          <w:szCs w:val="12"/>
          <w:color w:val="auto"/>
        </w:rPr>
      </w:pPr>
    </w:p>
    <w:p>
      <w:pPr>
        <w:ind w:left="212" w:right="340"/>
        <w:spacing w:after="0" w:line="276" w:lineRule="auto"/>
        <w:rPr>
          <w:rFonts w:ascii="Arial" w:cs="Arial" w:eastAsia="Arial" w:hAnsi="Arial"/>
          <w:sz w:val="12"/>
          <w:szCs w:val="12"/>
          <w:color w:val="auto"/>
        </w:rPr>
      </w:pPr>
      <w:r>
        <w:rPr>
          <w:rFonts w:ascii="Arial" w:cs="Arial" w:eastAsia="Arial" w:hAnsi="Arial"/>
          <w:sz w:val="12"/>
          <w:szCs w:val="12"/>
          <w:color w:val="auto"/>
        </w:rPr>
        <w:t>The cumulative expense recognized for equity-settled liquidations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14" w:lineRule="exact"/>
        <w:rPr>
          <w:rFonts w:ascii="Arial" w:cs="Arial" w:eastAsia="Arial" w:hAnsi="Arial"/>
          <w:sz w:val="12"/>
          <w:szCs w:val="12"/>
          <w:color w:val="auto"/>
        </w:rPr>
      </w:pPr>
    </w:p>
    <w:p>
      <w:pPr>
        <w:ind w:left="212" w:right="80"/>
        <w:spacing w:after="0" w:line="276" w:lineRule="auto"/>
        <w:rPr>
          <w:rFonts w:ascii="Arial" w:cs="Arial" w:eastAsia="Arial" w:hAnsi="Arial"/>
          <w:sz w:val="12"/>
          <w:szCs w:val="12"/>
          <w:color w:val="auto"/>
        </w:rPr>
      </w:pPr>
      <w:r>
        <w:rPr>
          <w:rFonts w:ascii="Arial" w:cs="Arial" w:eastAsia="Arial" w:hAnsi="Arial"/>
          <w:sz w:val="12"/>
          <w:szCs w:val="12"/>
          <w:color w:val="auto"/>
        </w:rPr>
        <w:t>When the terms of a share-based liquidation are modified, the minimum expense recognized is maintained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14"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The dilutive effect of the shares granted under this plan is reflected as a share dilution in the computation of diluted earnings per share, see paragraph (w) above.</w:t>
      </w:r>
    </w:p>
    <w:p>
      <w:pPr>
        <w:spacing w:after="0" w:line="150" w:lineRule="exact"/>
        <w:rPr>
          <w:rFonts w:ascii="Arial" w:cs="Arial" w:eastAsia="Arial" w:hAnsi="Arial"/>
          <w:sz w:val="12"/>
          <w:szCs w:val="12"/>
          <w:color w:val="auto"/>
        </w:rPr>
      </w:pPr>
    </w:p>
    <w:p>
      <w:pPr>
        <w:ind w:left="212" w:right="8340" w:hanging="212"/>
        <w:spacing w:after="0" w:line="501" w:lineRule="auto"/>
        <w:tabs>
          <w:tab w:leader="none" w:pos="2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Derivative financial instruments and hedge accounting - Trading -</w:t>
      </w:r>
    </w:p>
    <w:p>
      <w:pPr>
        <w:ind w:left="212"/>
        <w:spacing w:after="0"/>
        <w:rPr>
          <w:rFonts w:ascii="Arial" w:cs="Arial" w:eastAsia="Arial" w:hAnsi="Arial"/>
          <w:sz w:val="12"/>
          <w:szCs w:val="12"/>
          <w:color w:val="auto"/>
        </w:rPr>
      </w:pPr>
      <w:r>
        <w:rPr>
          <w:rFonts w:ascii="Arial" w:cs="Arial" w:eastAsia="Arial" w:hAnsi="Arial"/>
          <w:sz w:val="11"/>
          <w:szCs w:val="11"/>
          <w:color w:val="auto"/>
        </w:rPr>
        <w:t>The Group negotiates derivative financial instruments in order to meet its costumers’ needs. The Group may also take positions with the expectation of profiting from favorable movements in prices, rates or indexes.</w:t>
      </w:r>
    </w:p>
    <w:p>
      <w:pPr>
        <w:spacing w:after="0" w:line="161" w:lineRule="exact"/>
        <w:rPr>
          <w:rFonts w:ascii="Arial" w:cs="Arial" w:eastAsia="Arial" w:hAnsi="Arial"/>
          <w:sz w:val="12"/>
          <w:szCs w:val="12"/>
          <w:color w:val="auto"/>
        </w:rPr>
      </w:pPr>
    </w:p>
    <w:p>
      <w:pPr>
        <w:ind w:left="212" w:right="40"/>
        <w:spacing w:after="0" w:line="276" w:lineRule="auto"/>
        <w:rPr>
          <w:rFonts w:ascii="Arial" w:cs="Arial" w:eastAsia="Arial" w:hAnsi="Arial"/>
          <w:sz w:val="12"/>
          <w:szCs w:val="12"/>
          <w:color w:val="auto"/>
        </w:rPr>
      </w:pPr>
      <w:r>
        <w:rPr>
          <w:rFonts w:ascii="Arial" w:cs="Arial" w:eastAsia="Arial" w:hAnsi="Arial"/>
          <w:sz w:val="12"/>
          <w:szCs w:val="12"/>
          <w:color w:val="auto"/>
        </w:rPr>
        <w:t>Part of the transactions with derivatives, which provide effective economic hedges under the Group’s risk management positions, do not qualify for hedge accounting under the specific rules of IFRS 9 and are, therefore, treated as trading derivatives.</w:t>
      </w:r>
    </w:p>
    <w:p>
      <w:pPr>
        <w:spacing w:after="0" w:line="114" w:lineRule="exact"/>
        <w:rPr>
          <w:rFonts w:ascii="Arial" w:cs="Arial" w:eastAsia="Arial" w:hAnsi="Arial"/>
          <w:sz w:val="12"/>
          <w:szCs w:val="12"/>
          <w:color w:val="auto"/>
        </w:rPr>
      </w:pPr>
    </w:p>
    <w:p>
      <w:pPr>
        <w:ind w:left="212" w:right="160"/>
        <w:spacing w:after="0" w:line="380" w:lineRule="auto"/>
        <w:rPr>
          <w:rFonts w:ascii="Arial" w:cs="Arial" w:eastAsia="Arial" w:hAnsi="Arial"/>
          <w:sz w:val="12"/>
          <w:szCs w:val="12"/>
          <w:color w:val="auto"/>
        </w:rPr>
      </w:pPr>
      <w:r>
        <w:rPr>
          <w:rFonts w:ascii="Arial" w:cs="Arial" w:eastAsia="Arial" w:hAnsi="Arial"/>
          <w:sz w:val="10"/>
          <w:szCs w:val="10"/>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68"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Hedging -</w:t>
      </w:r>
    </w:p>
    <w:p>
      <w:pPr>
        <w:spacing w:after="0" w:line="150"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1"/>
          <w:szCs w:val="11"/>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305" w:lineRule="exact"/>
        <w:rPr>
          <w:rFonts w:ascii="Arial" w:cs="Arial" w:eastAsia="Arial" w:hAnsi="Arial"/>
          <w:sz w:val="12"/>
          <w:szCs w:val="12"/>
          <w:color w:val="auto"/>
        </w:rPr>
      </w:pPr>
    </w:p>
    <w:p>
      <w:pPr>
        <w:ind w:left="5472" w:hanging="72"/>
        <w:spacing w:after="0"/>
        <w:tabs>
          <w:tab w:leader="none" w:pos="5472" w:val="left"/>
        </w:tabs>
        <w:numPr>
          <w:ilvl w:val="1"/>
          <w:numId w:val="70"/>
        </w:numPr>
        <w:rPr>
          <w:rFonts w:ascii="Arial" w:cs="Arial" w:eastAsia="Arial" w:hAnsi="Arial"/>
          <w:sz w:val="12"/>
          <w:szCs w:val="12"/>
          <w:color w:val="auto"/>
        </w:rPr>
      </w:pPr>
      <w:r>
        <w:rPr>
          <w:rFonts w:ascii="Arial" w:cs="Arial" w:eastAsia="Arial" w:hAnsi="Arial"/>
          <w:sz w:val="12"/>
          <w:szCs w:val="12"/>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52"/>
          </w:cols>
          <w:pgMar w:left="428" w:top="653" w:right="219" w:bottom="1440" w:gutter="0" w:footer="0" w:header="0"/>
        </w:sectPr>
      </w:pPr>
    </w:p>
    <w:bookmarkStart w:id="64" w:name="page65"/>
    <w:bookmarkEnd w:id="64"/>
    <w:p>
      <w:pPr>
        <w:spacing w:after="0"/>
        <w:rPr>
          <w:sz w:val="20"/>
          <w:szCs w:val="20"/>
          <w:color w:val="auto"/>
        </w:rPr>
      </w:pPr>
      <w:r>
        <w:rPr>
          <w:rFonts w:ascii="Arial" w:cs="Arial" w:eastAsia="Arial" w:hAnsi="Arial"/>
          <w:sz w:val="12"/>
          <w:szCs w:val="12"/>
          <w:color w:val="auto"/>
        </w:rPr>
        <w:t>In accordance with IFRS 9, to qualify as hedging operations, all the following conditions must be met:</w:t>
      </w:r>
    </w:p>
    <w:p>
      <w:pPr>
        <w:spacing w:after="0" w:line="150" w:lineRule="exact"/>
        <w:rPr>
          <w:sz w:val="20"/>
          <w:szCs w:val="20"/>
          <w:color w:val="auto"/>
        </w:rPr>
      </w:pPr>
    </w:p>
    <w:p>
      <w:pPr>
        <w:ind w:left="220" w:hanging="216"/>
        <w:spacing w:after="0"/>
        <w:tabs>
          <w:tab w:leader="none" w:pos="2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coverage ratio consist only of hedging instruments and hedged items eligible.</w:t>
      </w:r>
    </w:p>
    <w:p>
      <w:pPr>
        <w:spacing w:after="0" w:line="150" w:lineRule="exact"/>
        <w:rPr>
          <w:rFonts w:ascii="Arial" w:cs="Arial" w:eastAsia="Arial" w:hAnsi="Arial"/>
          <w:sz w:val="12"/>
          <w:szCs w:val="12"/>
          <w:color w:val="auto"/>
        </w:rPr>
      </w:pPr>
    </w:p>
    <w:p>
      <w:pPr>
        <w:ind w:left="220" w:hanging="216"/>
        <w:spacing w:after="0" w:line="276" w:lineRule="auto"/>
        <w:tabs>
          <w:tab w:leader="none" w:pos="2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At inception, the Group formally designates and documents the hedge relationship, the risk management objective and strategy for using the hedge. This documentation includes the identification of the hedging instrument, the hedged item, the nature of the risk being hedged and a description of how the Group assesses whether the hedging relationship meets the hedge effectiveness requirements.</w:t>
      </w:r>
    </w:p>
    <w:p>
      <w:pPr>
        <w:spacing w:after="0" w:line="114" w:lineRule="exact"/>
        <w:rPr>
          <w:rFonts w:ascii="Arial" w:cs="Arial" w:eastAsia="Arial" w:hAnsi="Arial"/>
          <w:sz w:val="12"/>
          <w:szCs w:val="12"/>
          <w:color w:val="auto"/>
        </w:rPr>
      </w:pPr>
    </w:p>
    <w:p>
      <w:pPr>
        <w:ind w:left="220" w:hanging="216"/>
        <w:spacing w:after="0"/>
        <w:tabs>
          <w:tab w:leader="none" w:pos="2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hedge relationship meets all of the following hedge effectiveness requirements:</w:t>
      </w:r>
    </w:p>
    <w:p>
      <w:pPr>
        <w:spacing w:after="0" w:line="150" w:lineRule="exact"/>
        <w:rPr>
          <w:rFonts w:ascii="Arial" w:cs="Arial" w:eastAsia="Arial" w:hAnsi="Arial"/>
          <w:sz w:val="12"/>
          <w:szCs w:val="12"/>
          <w:color w:val="auto"/>
        </w:rPr>
      </w:pPr>
    </w:p>
    <w:p>
      <w:pPr>
        <w:ind w:left="440" w:hanging="219"/>
        <w:spacing w:after="0"/>
        <w:tabs>
          <w:tab w:leader="none" w:pos="440" w:val="left"/>
        </w:tabs>
        <w:numPr>
          <w:ilvl w:val="1"/>
          <w:numId w:val="71"/>
        </w:numPr>
        <w:rPr>
          <w:rFonts w:ascii="Arial" w:cs="Arial" w:eastAsia="Arial" w:hAnsi="Arial"/>
          <w:sz w:val="12"/>
          <w:szCs w:val="12"/>
          <w:color w:val="auto"/>
        </w:rPr>
      </w:pPr>
      <w:r>
        <w:rPr>
          <w:rFonts w:ascii="Arial" w:cs="Arial" w:eastAsia="Arial" w:hAnsi="Arial"/>
          <w:sz w:val="12"/>
          <w:szCs w:val="12"/>
          <w:color w:val="auto"/>
        </w:rPr>
        <w:t>An economic relationship between the hedged item and the hedging instrument.</w:t>
      </w:r>
    </w:p>
    <w:p>
      <w:pPr>
        <w:spacing w:after="0" w:line="14" w:lineRule="exact"/>
        <w:rPr>
          <w:rFonts w:ascii="Arial" w:cs="Arial" w:eastAsia="Arial" w:hAnsi="Arial"/>
          <w:sz w:val="12"/>
          <w:szCs w:val="12"/>
          <w:color w:val="auto"/>
        </w:rPr>
      </w:pPr>
    </w:p>
    <w:p>
      <w:pPr>
        <w:ind w:left="440" w:hanging="219"/>
        <w:spacing w:after="0"/>
        <w:tabs>
          <w:tab w:leader="none" w:pos="440"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effect of credit risk does not dominate the value changes that result from the economic relationship.</w:t>
      </w:r>
    </w:p>
    <w:p>
      <w:pPr>
        <w:spacing w:after="0" w:line="6" w:lineRule="exact"/>
        <w:rPr>
          <w:rFonts w:ascii="Arial" w:cs="Arial" w:eastAsia="Arial" w:hAnsi="Arial"/>
          <w:sz w:val="12"/>
          <w:szCs w:val="12"/>
          <w:color w:val="auto"/>
        </w:rPr>
      </w:pPr>
    </w:p>
    <w:p>
      <w:pPr>
        <w:ind w:left="440" w:right="80" w:hanging="219"/>
        <w:spacing w:after="0" w:line="261" w:lineRule="auto"/>
        <w:tabs>
          <w:tab w:leader="none" w:pos="440"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hedge ratio of the hedging relationship is the same as that resulting from the quantity of the hedged item that the entity actually hedges and the quantity of the hedging instrument that the entity actually uses to hedge that quantity of hedged item.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accounting treatment is established based on the nature of the hedged item and compliance with hedging criteria.</w:t>
      </w:r>
    </w:p>
    <w:p>
      <w:pPr>
        <w:spacing w:after="0" w:line="150" w:lineRule="exact"/>
        <w:rPr>
          <w:sz w:val="20"/>
          <w:szCs w:val="20"/>
          <w:color w:val="auto"/>
        </w:rPr>
      </w:pPr>
    </w:p>
    <w:p>
      <w:pPr>
        <w:ind w:left="220" w:hanging="216"/>
        <w:spacing w:after="0"/>
        <w:tabs>
          <w:tab w:leader="none" w:pos="2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Cash flow hedges -</w:t>
      </w:r>
    </w:p>
    <w:p>
      <w:pPr>
        <w:spacing w:after="0" w:line="150" w:lineRule="exact"/>
        <w:rPr>
          <w:rFonts w:ascii="Arial" w:cs="Arial" w:eastAsia="Arial" w:hAnsi="Arial"/>
          <w:sz w:val="12"/>
          <w:szCs w:val="12"/>
          <w:color w:val="auto"/>
        </w:rPr>
      </w:pPr>
    </w:p>
    <w:p>
      <w:pPr>
        <w:ind w:left="220"/>
        <w:spacing w:after="0" w:line="263" w:lineRule="auto"/>
        <w:rPr>
          <w:rFonts w:ascii="Arial" w:cs="Arial" w:eastAsia="Arial" w:hAnsi="Arial"/>
          <w:sz w:val="12"/>
          <w:szCs w:val="12"/>
          <w:color w:val="auto"/>
        </w:rPr>
      </w:pPr>
      <w:r>
        <w:rPr>
          <w:rFonts w:ascii="Arial" w:cs="Arial" w:eastAsia="Arial" w:hAnsi="Arial"/>
          <w:sz w:val="12"/>
          <w:szCs w:val="12"/>
          <w:color w:val="auto"/>
        </w:rPr>
        <w:t>The effective portion of the accumulated gain or loss on the hedging instrument is recognized directly as part of other comprehensive income in “Cash flow hedge reserve” in the consolidated statement of changes in equity, and it is reclassified to the consolidated statement of income in the same period or periods in which the covered operation affects results; that is, when income or financial expenses related with coverage are registered, or when a forecasted transaction occurs.</w:t>
      </w:r>
    </w:p>
    <w:p>
      <w:pPr>
        <w:spacing w:after="0" w:line="122"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The part of the gain or loss in derivatives that represents the ineffective portion is recognized immediately in the consolidated statement of income.</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1"/>
          <w:szCs w:val="11"/>
          <w:color w:val="auto"/>
        </w:rPr>
        <w:t>Amounts originally recognized in other comprehensive income and subsequently reclassified to the consolidated statement of income are registered as expenses or income in the cases in which the hedged item is reported.</w:t>
      </w:r>
    </w:p>
    <w:p>
      <w:pPr>
        <w:spacing w:after="0" w:line="161" w:lineRule="exact"/>
        <w:rPr>
          <w:rFonts w:ascii="Arial" w:cs="Arial" w:eastAsia="Arial" w:hAnsi="Arial"/>
          <w:sz w:val="12"/>
          <w:szCs w:val="12"/>
          <w:color w:val="auto"/>
        </w:rPr>
      </w:pPr>
    </w:p>
    <w:p>
      <w:pPr>
        <w:ind w:left="220" w:right="80"/>
        <w:spacing w:after="0" w:line="298" w:lineRule="auto"/>
        <w:rPr>
          <w:rFonts w:ascii="Arial" w:cs="Arial" w:eastAsia="Arial" w:hAnsi="Arial"/>
          <w:sz w:val="12"/>
          <w:szCs w:val="12"/>
          <w:color w:val="auto"/>
        </w:rPr>
      </w:pPr>
      <w:r>
        <w:rPr>
          <w:rFonts w:ascii="Arial" w:cs="Arial" w:eastAsia="Arial" w:hAnsi="Arial"/>
          <w:sz w:val="11"/>
          <w:szCs w:val="11"/>
          <w:color w:val="auto"/>
        </w:rPr>
        <w:t>If the forecasted transaction or firm commitment is no longer expected to occur, the accumulated gain or loss previously recognized in the cash flow hedge reserve is transferred to the consolidated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05" w:lineRule="exact"/>
        <w:rPr>
          <w:rFonts w:ascii="Arial" w:cs="Arial" w:eastAsia="Arial" w:hAnsi="Arial"/>
          <w:sz w:val="12"/>
          <w:szCs w:val="12"/>
          <w:color w:val="auto"/>
        </w:rPr>
      </w:pPr>
    </w:p>
    <w:p>
      <w:pPr>
        <w:ind w:left="220" w:hanging="216"/>
        <w:spacing w:after="0"/>
        <w:tabs>
          <w:tab w:leader="none" w:pos="2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Fair value hedges -</w:t>
      </w:r>
    </w:p>
    <w:p>
      <w:pPr>
        <w:spacing w:after="0" w:line="150" w:lineRule="exact"/>
        <w:rPr>
          <w:rFonts w:ascii="Arial" w:cs="Arial" w:eastAsia="Arial" w:hAnsi="Arial"/>
          <w:sz w:val="12"/>
          <w:szCs w:val="12"/>
          <w:color w:val="auto"/>
        </w:rPr>
      </w:pPr>
    </w:p>
    <w:p>
      <w:pPr>
        <w:ind w:left="220" w:right="460"/>
        <w:spacing w:after="0" w:line="276" w:lineRule="auto"/>
        <w:rPr>
          <w:rFonts w:ascii="Arial" w:cs="Arial" w:eastAsia="Arial" w:hAnsi="Arial"/>
          <w:sz w:val="12"/>
          <w:szCs w:val="12"/>
          <w:color w:val="auto"/>
        </w:rPr>
      </w:pPr>
      <w:r>
        <w:rPr>
          <w:rFonts w:ascii="Arial" w:cs="Arial" w:eastAsia="Arial" w:hAnsi="Arial"/>
          <w:sz w:val="12"/>
          <w:szCs w:val="12"/>
          <w:color w:val="auto"/>
        </w:rPr>
        <w:t>The change in the fair value of a fair value hedge and the change in the fair value of the hedged item attributable to the risk hedged are recorded as a part of the carrying value of the hedged item and recognized in the consolidated statement of income.</w:t>
      </w:r>
    </w:p>
    <w:p>
      <w:pPr>
        <w:spacing w:after="0" w:line="259" w:lineRule="exact"/>
        <w:rPr>
          <w:rFonts w:ascii="Arial" w:cs="Arial" w:eastAsia="Arial" w:hAnsi="Arial"/>
          <w:sz w:val="12"/>
          <w:szCs w:val="12"/>
          <w:color w:val="auto"/>
        </w:rPr>
      </w:pPr>
    </w:p>
    <w:p>
      <w:pPr>
        <w:ind w:left="5260" w:hanging="72"/>
        <w:spacing w:after="0"/>
        <w:tabs>
          <w:tab w:leader="none" w:pos="5260" w:val="left"/>
        </w:tabs>
        <w:numPr>
          <w:ilvl w:val="1"/>
          <w:numId w:val="72"/>
        </w:numPr>
        <w:rPr>
          <w:rFonts w:ascii="Arial" w:cs="Arial" w:eastAsia="Arial" w:hAnsi="Arial"/>
          <w:sz w:val="12"/>
          <w:szCs w:val="12"/>
          <w:color w:val="auto"/>
        </w:rPr>
      </w:pPr>
      <w:r>
        <w:rPr>
          <w:rFonts w:ascii="Arial" w:cs="Arial" w:eastAsia="Arial" w:hAnsi="Arial"/>
          <w:sz w:val="12"/>
          <w:szCs w:val="12"/>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65" w:name="page66"/>
    <w:bookmarkEnd w:id="65"/>
    <w:p>
      <w:pPr>
        <w:ind w:left="432"/>
        <w:spacing w:after="0" w:line="380" w:lineRule="auto"/>
        <w:rPr>
          <w:sz w:val="20"/>
          <w:szCs w:val="20"/>
          <w:color w:val="auto"/>
        </w:rPr>
      </w:pPr>
      <w:r>
        <w:rPr>
          <w:rFonts w:ascii="Arial" w:cs="Arial" w:eastAsia="Arial" w:hAnsi="Arial"/>
          <w:sz w:val="10"/>
          <w:szCs w:val="10"/>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68" w:lineRule="exact"/>
        <w:rPr>
          <w:sz w:val="20"/>
          <w:szCs w:val="20"/>
          <w:color w:val="auto"/>
        </w:rPr>
      </w:pPr>
    </w:p>
    <w:p>
      <w:pPr>
        <w:ind w:left="432"/>
        <w:spacing w:after="0"/>
        <w:rPr>
          <w:sz w:val="20"/>
          <w:szCs w:val="20"/>
          <w:color w:val="auto"/>
        </w:rPr>
      </w:pPr>
      <w:r>
        <w:rPr>
          <w:rFonts w:ascii="Arial" w:cs="Arial" w:eastAsia="Arial" w:hAnsi="Arial"/>
          <w:sz w:val="12"/>
          <w:szCs w:val="12"/>
          <w:color w:val="auto"/>
        </w:rPr>
        <w:t>If the hedged item is derecognized, the unamortized fair value is recognized immediately in the consolidated statement of income.</w:t>
      </w:r>
    </w:p>
    <w:p>
      <w:pPr>
        <w:spacing w:after="0" w:line="150" w:lineRule="exact"/>
        <w:rPr>
          <w:sz w:val="20"/>
          <w:szCs w:val="20"/>
          <w:color w:val="auto"/>
        </w:rPr>
      </w:pPr>
    </w:p>
    <w:p>
      <w:pPr>
        <w:ind w:left="432" w:right="60"/>
        <w:spacing w:after="0" w:line="259" w:lineRule="auto"/>
        <w:rPr>
          <w:sz w:val="20"/>
          <w:szCs w:val="20"/>
          <w:color w:val="auto"/>
        </w:rPr>
      </w:pPr>
      <w:r>
        <w:rPr>
          <w:rFonts w:ascii="Arial" w:cs="Arial" w:eastAsia="Arial" w:hAnsi="Arial"/>
          <w:sz w:val="12"/>
          <w:szCs w:val="12"/>
          <w:color w:val="auto"/>
        </w:rPr>
        <w:t>The hedge relationship is terminated when the hedging instrument expires or is sold, terminated or exercised, or where the hedge no longer meets the criteria for hedge accounting, the hedge relationship is terminated. For fair value hedges related with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 of income. At the same time, the derivative is recorded as a trading derivative.</w:t>
      </w:r>
    </w:p>
    <w:p>
      <w:pPr>
        <w:spacing w:after="0" w:line="125" w:lineRule="exact"/>
        <w:rPr>
          <w:sz w:val="20"/>
          <w:szCs w:val="20"/>
          <w:color w:val="auto"/>
        </w:rPr>
      </w:pPr>
    </w:p>
    <w:p>
      <w:pPr>
        <w:ind w:left="432" w:hanging="216"/>
        <w:spacing w:after="0"/>
        <w:tabs>
          <w:tab w:leader="none" w:pos="432" w:val="left"/>
        </w:tabs>
        <w:numPr>
          <w:ilvl w:val="1"/>
          <w:numId w:val="73"/>
        </w:numPr>
        <w:rPr>
          <w:rFonts w:ascii="Arial" w:cs="Arial" w:eastAsia="Arial" w:hAnsi="Arial"/>
          <w:sz w:val="12"/>
          <w:szCs w:val="12"/>
          <w:color w:val="auto"/>
        </w:rPr>
      </w:pPr>
      <w:r>
        <w:rPr>
          <w:rFonts w:ascii="Arial" w:cs="Arial" w:eastAsia="Arial" w:hAnsi="Arial"/>
          <w:sz w:val="12"/>
          <w:szCs w:val="12"/>
          <w:color w:val="auto"/>
        </w:rPr>
        <w:t>Embedded derivatives -</w:t>
      </w:r>
    </w:p>
    <w:p>
      <w:pPr>
        <w:spacing w:after="0" w:line="150" w:lineRule="exact"/>
        <w:rPr>
          <w:rFonts w:ascii="Arial" w:cs="Arial" w:eastAsia="Arial" w:hAnsi="Arial"/>
          <w:sz w:val="12"/>
          <w:szCs w:val="12"/>
          <w:color w:val="auto"/>
        </w:rPr>
      </w:pPr>
    </w:p>
    <w:p>
      <w:pPr>
        <w:ind w:left="432" w:right="20"/>
        <w:spacing w:after="0" w:line="276" w:lineRule="auto"/>
        <w:rPr>
          <w:rFonts w:ascii="Arial" w:cs="Arial" w:eastAsia="Arial" w:hAnsi="Arial"/>
          <w:sz w:val="12"/>
          <w:szCs w:val="12"/>
          <w:color w:val="auto"/>
        </w:rPr>
      </w:pPr>
      <w:r>
        <w:rPr>
          <w:rFonts w:ascii="Arial" w:cs="Arial" w:eastAsia="Arial" w:hAnsi="Arial"/>
          <w:sz w:val="12"/>
          <w:szCs w:val="12"/>
          <w:color w:val="auto"/>
        </w:rPr>
        <w:t>Derivatives embedded in host contracts are accounted for as separate derivatives and recorded at fair value if their economic characteristics and risks are not closely related to those of the host contract, and said host contract is not held for trading or designated at fair value through profit or loss.</w:t>
      </w:r>
    </w:p>
    <w:p>
      <w:pPr>
        <w:spacing w:after="0" w:line="114" w:lineRule="exact"/>
        <w:rPr>
          <w:rFonts w:ascii="Arial" w:cs="Arial" w:eastAsia="Arial" w:hAnsi="Arial"/>
          <w:sz w:val="12"/>
          <w:szCs w:val="12"/>
          <w:color w:val="auto"/>
        </w:rPr>
      </w:pPr>
    </w:p>
    <w:p>
      <w:pPr>
        <w:ind w:left="432" w:right="360"/>
        <w:spacing w:after="0" w:line="276" w:lineRule="auto"/>
        <w:rPr>
          <w:rFonts w:ascii="Arial" w:cs="Arial" w:eastAsia="Arial" w:hAnsi="Arial"/>
          <w:sz w:val="12"/>
          <w:szCs w:val="12"/>
          <w:color w:val="auto"/>
        </w:rPr>
      </w:pPr>
      <w:r>
        <w:rPr>
          <w:rFonts w:ascii="Arial" w:cs="Arial" w:eastAsia="Arial" w:hAnsi="Arial"/>
          <w:sz w:val="12"/>
          <w:szCs w:val="12"/>
          <w:color w:val="auto"/>
        </w:rPr>
        <w:t>The Group has investments indexed to certain life insurance contracts liabilities, denominated “Investment Link”. These instruments have been classified at inception by the Group as “Financial instruments at fair value though profit or loss”, See Note 3(f)(iii) and Note 3(f)(v) for the periods 2019 and 2018, respectively, and Note 8.</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74"/>
        </w:numPr>
        <w:rPr>
          <w:rFonts w:ascii="Arial" w:cs="Arial" w:eastAsia="Arial" w:hAnsi="Arial"/>
          <w:sz w:val="12"/>
          <w:szCs w:val="12"/>
          <w:color w:val="auto"/>
        </w:rPr>
      </w:pPr>
      <w:r>
        <w:rPr>
          <w:rFonts w:ascii="Arial" w:cs="Arial" w:eastAsia="Arial" w:hAnsi="Arial"/>
          <w:sz w:val="12"/>
          <w:szCs w:val="12"/>
          <w:color w:val="auto"/>
        </w:rPr>
        <w:t>Fair value measurement -</w:t>
      </w:r>
    </w:p>
    <w:p>
      <w:pPr>
        <w:spacing w:after="0" w:line="150" w:lineRule="exact"/>
        <w:rPr>
          <w:rFonts w:ascii="Arial" w:cs="Arial" w:eastAsia="Arial" w:hAnsi="Arial"/>
          <w:sz w:val="12"/>
          <w:szCs w:val="12"/>
          <w:color w:val="auto"/>
        </w:rPr>
      </w:pPr>
    </w:p>
    <w:p>
      <w:pPr>
        <w:ind w:left="212" w:right="40"/>
        <w:spacing w:after="0" w:line="276" w:lineRule="auto"/>
        <w:rPr>
          <w:rFonts w:ascii="Arial" w:cs="Arial" w:eastAsia="Arial" w:hAnsi="Arial"/>
          <w:sz w:val="12"/>
          <w:szCs w:val="12"/>
          <w:color w:val="auto"/>
        </w:rPr>
      </w:pPr>
      <w:r>
        <w:rPr>
          <w:rFonts w:ascii="Arial" w:cs="Arial" w:eastAsia="Arial" w:hAnsi="Arial"/>
          <w:sz w:val="12"/>
          <w:szCs w:val="12"/>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14"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   In the principal market for the asset or liability, or</w:t>
      </w:r>
    </w:p>
    <w:p>
      <w:pPr>
        <w:spacing w:after="0" w:line="14"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   In the absence of a principal market, in the most advantageous market for the asset or liability.</w:t>
      </w:r>
    </w:p>
    <w:p>
      <w:pPr>
        <w:spacing w:after="0" w:line="141"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The principal or the most advantageous market must be accessible by the Group. Also, the fair value of a liability reflects its non-performance risk.</w:t>
      </w:r>
    </w:p>
    <w:p>
      <w:pPr>
        <w:spacing w:after="0" w:line="150" w:lineRule="exact"/>
        <w:rPr>
          <w:rFonts w:ascii="Arial" w:cs="Arial" w:eastAsia="Arial" w:hAnsi="Arial"/>
          <w:sz w:val="12"/>
          <w:szCs w:val="12"/>
          <w:color w:val="auto"/>
        </w:rPr>
      </w:pPr>
    </w:p>
    <w:p>
      <w:pPr>
        <w:ind w:left="212" w:right="240"/>
        <w:spacing w:after="0" w:line="276" w:lineRule="auto"/>
        <w:rPr>
          <w:rFonts w:ascii="Arial" w:cs="Arial" w:eastAsia="Arial" w:hAnsi="Arial"/>
          <w:sz w:val="12"/>
          <w:szCs w:val="12"/>
          <w:color w:val="auto"/>
        </w:rPr>
      </w:pPr>
      <w:r>
        <w:rPr>
          <w:rFonts w:ascii="Arial" w:cs="Arial" w:eastAsia="Arial" w:hAnsi="Arial"/>
          <w:sz w:val="12"/>
          <w:szCs w:val="12"/>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14" w:lineRule="exact"/>
        <w:rPr>
          <w:rFonts w:ascii="Arial" w:cs="Arial" w:eastAsia="Arial" w:hAnsi="Arial"/>
          <w:sz w:val="12"/>
          <w:szCs w:val="12"/>
          <w:color w:val="auto"/>
        </w:rPr>
      </w:pPr>
    </w:p>
    <w:p>
      <w:pPr>
        <w:ind w:left="212" w:right="2120"/>
        <w:spacing w:after="0" w:line="527" w:lineRule="auto"/>
        <w:rPr>
          <w:rFonts w:ascii="Arial" w:cs="Arial" w:eastAsia="Arial" w:hAnsi="Arial"/>
          <w:sz w:val="12"/>
          <w:szCs w:val="12"/>
          <w:color w:val="auto"/>
        </w:rPr>
      </w:pPr>
      <w:r>
        <w:rPr>
          <w:rFonts w:ascii="Arial" w:cs="Arial" w:eastAsia="Arial" w:hAnsi="Arial"/>
          <w:sz w:val="12"/>
          <w:szCs w:val="12"/>
          <w:color w:val="auto"/>
        </w:rPr>
        <w:t>If there is no quoted price in an active market, then the Group uses valuation techniques that maximize the use of relevant observable inputs and minimize the use of unobservable inputs. The chosen valuation technique incorporates all of the factors that market participants would take into account in pricing a transaction.</w:t>
      </w:r>
    </w:p>
    <w:p>
      <w:pPr>
        <w:spacing w:after="0" w:line="114" w:lineRule="exact"/>
        <w:rPr>
          <w:rFonts w:ascii="Arial" w:cs="Arial" w:eastAsia="Arial" w:hAnsi="Arial"/>
          <w:sz w:val="12"/>
          <w:szCs w:val="12"/>
          <w:color w:val="auto"/>
        </w:rPr>
      </w:pPr>
    </w:p>
    <w:p>
      <w:pPr>
        <w:ind w:left="5472" w:hanging="72"/>
        <w:spacing w:after="0"/>
        <w:tabs>
          <w:tab w:leader="none" w:pos="5472" w:val="left"/>
        </w:tabs>
        <w:numPr>
          <w:ilvl w:val="2"/>
          <w:numId w:val="74"/>
        </w:numPr>
        <w:rPr>
          <w:rFonts w:ascii="Arial" w:cs="Arial" w:eastAsia="Arial" w:hAnsi="Arial"/>
          <w:sz w:val="12"/>
          <w:szCs w:val="12"/>
          <w:color w:val="auto"/>
        </w:rPr>
      </w:pPr>
      <w:r>
        <w:rPr>
          <w:rFonts w:ascii="Arial" w:cs="Arial" w:eastAsia="Arial" w:hAnsi="Arial"/>
          <w:sz w:val="12"/>
          <w:szCs w:val="12"/>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72"/>
          </w:cols>
          <w:pgMar w:left="428" w:top="653" w:right="199" w:bottom="1440" w:gutter="0" w:footer="0" w:header="0"/>
        </w:sectPr>
      </w:pPr>
    </w:p>
    <w:bookmarkStart w:id="66" w:name="page67"/>
    <w:bookmarkEnd w:id="66"/>
    <w:p>
      <w:pPr>
        <w:ind w:left="220" w:right="260"/>
        <w:spacing w:after="0" w:line="276" w:lineRule="auto"/>
        <w:rPr>
          <w:sz w:val="20"/>
          <w:szCs w:val="20"/>
          <w:color w:val="auto"/>
        </w:rPr>
      </w:pPr>
      <w:r>
        <w:rPr>
          <w:rFonts w:ascii="Arial" w:cs="Arial" w:eastAsia="Arial" w:hAnsi="Arial"/>
          <w:sz w:val="12"/>
          <w:szCs w:val="12"/>
          <w:color w:val="auto"/>
        </w:rPr>
        <w:t>All assets and liabilities for which fair value is measured or disclosed in the consolidated financial statements are categorized within the fair value hierarchy, described as follows, based on the lowest level of input used that is significant to the fair value measurement as a whole:</w:t>
      </w:r>
    </w:p>
    <w:p>
      <w:pPr>
        <w:spacing w:after="0" w:line="115" w:lineRule="exact"/>
        <w:rPr>
          <w:sz w:val="20"/>
          <w:szCs w:val="20"/>
          <w:color w:val="auto"/>
        </w:rPr>
      </w:pPr>
    </w:p>
    <w:p>
      <w:pPr>
        <w:ind w:left="440" w:hanging="216"/>
        <w:spacing w:after="0"/>
        <w:tabs>
          <w:tab w:leader="none" w:pos="4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Level 1: Quoted (unadjusted) market prices in active markets for identical assets or liabilities.</w:t>
      </w:r>
    </w:p>
    <w:p>
      <w:pPr>
        <w:spacing w:after="0" w:line="14" w:lineRule="exact"/>
        <w:rPr>
          <w:rFonts w:ascii="Arial" w:cs="Arial" w:eastAsia="Arial" w:hAnsi="Arial"/>
          <w:sz w:val="12"/>
          <w:szCs w:val="12"/>
          <w:color w:val="auto"/>
        </w:rPr>
      </w:pPr>
    </w:p>
    <w:p>
      <w:pPr>
        <w:ind w:left="440" w:hanging="216"/>
        <w:spacing w:after="0"/>
        <w:tabs>
          <w:tab w:leader="none" w:pos="4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Level 2: Valuation techniques for which the lowest level input that is significant to the fair value measurement is directly or indirectly observable.</w:t>
      </w:r>
    </w:p>
    <w:p>
      <w:pPr>
        <w:spacing w:after="0" w:line="6" w:lineRule="exact"/>
        <w:rPr>
          <w:rFonts w:ascii="Arial" w:cs="Arial" w:eastAsia="Arial" w:hAnsi="Arial"/>
          <w:sz w:val="12"/>
          <w:szCs w:val="12"/>
          <w:color w:val="auto"/>
        </w:rPr>
      </w:pPr>
    </w:p>
    <w:p>
      <w:pPr>
        <w:ind w:left="440" w:hanging="216"/>
        <w:spacing w:after="0"/>
        <w:tabs>
          <w:tab w:leader="none" w:pos="4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Level 3: Valuation techniques for which the lowest level input that is significant to the fair value measurement is unobservable.</w:t>
      </w:r>
    </w:p>
    <w:p>
      <w:pPr>
        <w:spacing w:after="0" w:line="141" w:lineRule="exact"/>
        <w:rPr>
          <w:sz w:val="20"/>
          <w:szCs w:val="20"/>
          <w:color w:val="auto"/>
        </w:rPr>
      </w:pPr>
    </w:p>
    <w:p>
      <w:pPr>
        <w:ind w:left="220" w:right="480"/>
        <w:spacing w:after="0" w:line="276" w:lineRule="auto"/>
        <w:rPr>
          <w:sz w:val="20"/>
          <w:szCs w:val="20"/>
          <w:color w:val="auto"/>
        </w:rPr>
      </w:pPr>
      <w:r>
        <w:rPr>
          <w:rFonts w:ascii="Arial" w:cs="Arial" w:eastAsia="Arial" w:hAnsi="Arial"/>
          <w:sz w:val="12"/>
          <w:szCs w:val="12"/>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15" w:lineRule="exact"/>
        <w:rPr>
          <w:sz w:val="20"/>
          <w:szCs w:val="20"/>
          <w:color w:val="auto"/>
        </w:rPr>
      </w:pPr>
    </w:p>
    <w:p>
      <w:pPr>
        <w:ind w:left="220" w:right="220"/>
        <w:spacing w:after="0" w:line="276" w:lineRule="auto"/>
        <w:rPr>
          <w:sz w:val="20"/>
          <w:szCs w:val="20"/>
          <w:color w:val="auto"/>
        </w:rPr>
      </w:pPr>
      <w:r>
        <w:rPr>
          <w:rFonts w:ascii="Arial" w:cs="Arial" w:eastAsia="Arial" w:hAnsi="Arial"/>
          <w:sz w:val="12"/>
          <w:szCs w:val="12"/>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Also, fair values of financial instruments measured at amortized cost are disclosed in Note 34.7(b).</w:t>
      </w:r>
    </w:p>
    <w:p>
      <w:pPr>
        <w:spacing w:after="0" w:line="150"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Segment reporting -</w:t>
      </w:r>
    </w:p>
    <w:p>
      <w:pPr>
        <w:spacing w:after="0" w:line="15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The Group reports financial and descriptive information about its reportable segments. Reportable segments are operating segments or aggregations of operating segments that meet specified criteria.</w:t>
      </w:r>
    </w:p>
    <w:p>
      <w:pPr>
        <w:spacing w:after="0" w:line="150" w:lineRule="exact"/>
        <w:rPr>
          <w:rFonts w:ascii="Arial" w:cs="Arial" w:eastAsia="Arial" w:hAnsi="Arial"/>
          <w:sz w:val="12"/>
          <w:szCs w:val="12"/>
          <w:color w:val="auto"/>
        </w:rPr>
      </w:pPr>
    </w:p>
    <w:p>
      <w:pPr>
        <w:ind w:left="220" w:right="200"/>
        <w:spacing w:after="0" w:line="263" w:lineRule="auto"/>
        <w:rPr>
          <w:rFonts w:ascii="Arial" w:cs="Arial" w:eastAsia="Arial" w:hAnsi="Arial"/>
          <w:sz w:val="12"/>
          <w:szCs w:val="12"/>
          <w:color w:val="auto"/>
        </w:rPr>
      </w:pPr>
      <w:r>
        <w:rPr>
          <w:rFonts w:ascii="Arial" w:cs="Arial" w:eastAsia="Arial" w:hAnsi="Arial"/>
          <w:sz w:val="12"/>
          <w:szCs w:val="12"/>
          <w:color w:val="auto"/>
        </w:rPr>
        <w:t>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segments’ performance and deciding how to allocate resources to segments, Note 31.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ab) Fiduciary activities, management of funds and pension funds –</w:t>
      </w:r>
    </w:p>
    <w:p>
      <w:pPr>
        <w:spacing w:after="0" w:line="150" w:lineRule="exact"/>
        <w:rPr>
          <w:sz w:val="20"/>
          <w:szCs w:val="20"/>
          <w:color w:val="auto"/>
        </w:rPr>
      </w:pPr>
    </w:p>
    <w:p>
      <w:pPr>
        <w:ind w:left="220" w:right="80"/>
        <w:spacing w:after="0" w:line="276" w:lineRule="auto"/>
        <w:rPr>
          <w:sz w:val="20"/>
          <w:szCs w:val="20"/>
          <w:color w:val="auto"/>
        </w:rPr>
      </w:pPr>
      <w:r>
        <w:rPr>
          <w:rFonts w:ascii="Arial" w:cs="Arial" w:eastAsia="Arial" w:hAnsi="Arial"/>
          <w:sz w:val="12"/>
          <w:szCs w:val="12"/>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34.8.</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Commissions generated for these activities are included as “Commissions and fees” of the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ac) Cash and cash equivalents -</w:t>
      </w:r>
    </w:p>
    <w:p>
      <w:pPr>
        <w:spacing w:after="0" w:line="150"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For the purpose of the consolidated statement of cash flows, cash and cash equivalents comprise balances of cash and non-restricted balances with central banks, overnight deposits, interbank funds, time deposits with maturities of three months or less from the date of acquisition, excluding restricted cash, see Note 4(a).</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Cash collateral pledged as a part of a repurchase agreement is presented in “Cash collateral, reverse repurchase agreement and securities borrowings” in the consolidated statement of financial position, see Note 5(a).</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Cash collateral pledged in the negotiation of derivative financial instrument and others are presented in “Other assets” in the consolidated statement of financial position, See Note 13.</w:t>
      </w:r>
    </w:p>
    <w:p>
      <w:pPr>
        <w:spacing w:after="0" w:line="29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ad) International Financial Reporting Standards issued but not yet effective -</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 decided not to early adopt the following standards and interpretations that were issued but are not effective as of December 31, 2019:</w:t>
      </w:r>
    </w:p>
    <w:p>
      <w:pPr>
        <w:spacing w:after="0" w:line="150" w:lineRule="exact"/>
        <w:rPr>
          <w:sz w:val="20"/>
          <w:szCs w:val="20"/>
          <w:color w:val="auto"/>
        </w:rPr>
      </w:pPr>
    </w:p>
    <w:p>
      <w:pPr>
        <w:ind w:left="440" w:hanging="216"/>
        <w:spacing w:after="0"/>
        <w:tabs>
          <w:tab w:leader="none" w:pos="4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IFRS 17 “Insurance Contracts” -</w:t>
      </w:r>
    </w:p>
    <w:p>
      <w:pPr>
        <w:spacing w:after="0" w:line="150" w:lineRule="exact"/>
        <w:rPr>
          <w:rFonts w:ascii="Arial" w:cs="Arial" w:eastAsia="Arial" w:hAnsi="Arial"/>
          <w:sz w:val="12"/>
          <w:szCs w:val="12"/>
          <w:color w:val="auto"/>
        </w:rPr>
      </w:pPr>
    </w:p>
    <w:p>
      <w:pPr>
        <w:ind w:left="440" w:right="200"/>
        <w:spacing w:after="0" w:line="276" w:lineRule="auto"/>
        <w:rPr>
          <w:rFonts w:ascii="Arial" w:cs="Arial" w:eastAsia="Arial" w:hAnsi="Arial"/>
          <w:sz w:val="12"/>
          <w:szCs w:val="12"/>
          <w:color w:val="auto"/>
        </w:rPr>
      </w:pPr>
      <w:r>
        <w:rPr>
          <w:rFonts w:ascii="Arial" w:cs="Arial" w:eastAsia="Arial" w:hAnsi="Arial"/>
          <w:sz w:val="12"/>
          <w:szCs w:val="12"/>
          <w:color w:val="auto"/>
        </w:rPr>
        <w:t>IFRS 17 was issued in May 2017 in replacement of IFRS 4 “Insurance Contracts”. This standard requires a current measurement model, where estimate are remeasured in each reporting period. The contracts are measured using the building blocks of:</w:t>
      </w:r>
    </w:p>
    <w:p>
      <w:pPr>
        <w:spacing w:after="0" w:line="114" w:lineRule="exact"/>
        <w:rPr>
          <w:rFonts w:ascii="Arial" w:cs="Arial" w:eastAsia="Arial" w:hAnsi="Arial"/>
          <w:sz w:val="12"/>
          <w:szCs w:val="12"/>
          <w:color w:val="auto"/>
        </w:rPr>
      </w:pPr>
    </w:p>
    <w:p>
      <w:pPr>
        <w:ind w:left="640" w:hanging="199"/>
        <w:spacing w:after="0"/>
        <w:tabs>
          <w:tab w:leader="none" w:pos="6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Discounted- weighted of probability cash flows</w:t>
      </w:r>
    </w:p>
    <w:p>
      <w:pPr>
        <w:spacing w:after="0" w:line="14" w:lineRule="exact"/>
        <w:rPr>
          <w:rFonts w:ascii="Arial" w:cs="Arial" w:eastAsia="Arial" w:hAnsi="Arial"/>
          <w:sz w:val="12"/>
          <w:szCs w:val="12"/>
          <w:color w:val="auto"/>
        </w:rPr>
      </w:pPr>
    </w:p>
    <w:p>
      <w:pPr>
        <w:ind w:left="640" w:hanging="199"/>
        <w:spacing w:after="0"/>
        <w:tabs>
          <w:tab w:leader="none" w:pos="6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 explicit risk adjustment, and</w:t>
      </w:r>
    </w:p>
    <w:p>
      <w:pPr>
        <w:spacing w:after="0" w:line="6" w:lineRule="exact"/>
        <w:rPr>
          <w:rFonts w:ascii="Arial" w:cs="Arial" w:eastAsia="Arial" w:hAnsi="Arial"/>
          <w:sz w:val="12"/>
          <w:szCs w:val="12"/>
          <w:color w:val="auto"/>
        </w:rPr>
      </w:pPr>
    </w:p>
    <w:p>
      <w:pPr>
        <w:ind w:left="640" w:hanging="199"/>
        <w:spacing w:after="0"/>
        <w:tabs>
          <w:tab w:leader="none" w:pos="6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 contractual service margin which represents the unearned profit of the contract recognized as income over the coverage.</w:t>
      </w:r>
    </w:p>
    <w:p>
      <w:pPr>
        <w:spacing w:after="0" w:line="141" w:lineRule="exact"/>
        <w:rPr>
          <w:sz w:val="20"/>
          <w:szCs w:val="20"/>
          <w:color w:val="auto"/>
        </w:rPr>
      </w:pPr>
    </w:p>
    <w:p>
      <w:pPr>
        <w:ind w:left="440" w:right="60"/>
        <w:spacing w:after="0" w:line="263" w:lineRule="auto"/>
        <w:rPr>
          <w:sz w:val="20"/>
          <w:szCs w:val="20"/>
          <w:color w:val="auto"/>
        </w:rPr>
      </w:pPr>
      <w:r>
        <w:rPr>
          <w:rFonts w:ascii="Arial" w:cs="Arial" w:eastAsia="Arial" w:hAnsi="Arial"/>
          <w:sz w:val="12"/>
          <w:szCs w:val="12"/>
          <w:color w:val="auto"/>
        </w:rPr>
        <w:t>IFRS 17 applies to all types of insurance contracts (life, non-life and reinsurance insurance), regardless of the type of entities that issue them, as well as certain guarantees and financial instruments with certain discretionary participation characteristics. The general objective of IFRS 17 is to provide an accounting model that is more useful and uniform for insurance entities. Unlike IFRS 4, which relies heavily on the application of existing / local accounting policies, IFRS 17 provides a comprehensive model for insurance contracts, which covers all relevant accounting aspects.</w:t>
      </w:r>
    </w:p>
    <w:p>
      <w:pPr>
        <w:spacing w:after="0" w:line="123" w:lineRule="exact"/>
        <w:rPr>
          <w:sz w:val="20"/>
          <w:szCs w:val="20"/>
          <w:color w:val="auto"/>
        </w:rPr>
      </w:pPr>
    </w:p>
    <w:p>
      <w:pPr>
        <w:ind w:left="440" w:right="120"/>
        <w:spacing w:after="0" w:line="276" w:lineRule="auto"/>
        <w:rPr>
          <w:sz w:val="20"/>
          <w:szCs w:val="20"/>
          <w:color w:val="auto"/>
        </w:rPr>
      </w:pPr>
      <w:r>
        <w:rPr>
          <w:rFonts w:ascii="Arial" w:cs="Arial" w:eastAsia="Arial" w:hAnsi="Arial"/>
          <w:sz w:val="12"/>
          <w:szCs w:val="12"/>
          <w:color w:val="auto"/>
        </w:rPr>
        <w:t>The standard permits a choice between recognizing the changes in discount rates, either in the statement of income or directly in other comprehensive income. The choice probably reflects how insurers record their financial assets according to IFRS 9.</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 optional, simplified premium allocation approach is permitted for the liability for the remaining coverage for short duration contracts, which are often written by non-life insurers.</w:t>
      </w:r>
    </w:p>
    <w:p>
      <w:pPr>
        <w:spacing w:after="0" w:line="150" w:lineRule="exact"/>
        <w:rPr>
          <w:sz w:val="20"/>
          <w:szCs w:val="20"/>
          <w:color w:val="auto"/>
        </w:rPr>
      </w:pPr>
    </w:p>
    <w:p>
      <w:pPr>
        <w:ind w:left="440" w:right="60"/>
        <w:spacing w:after="0" w:line="263" w:lineRule="auto"/>
        <w:rPr>
          <w:sz w:val="20"/>
          <w:szCs w:val="20"/>
          <w:color w:val="auto"/>
        </w:rPr>
      </w:pPr>
      <w:r>
        <w:rPr>
          <w:rFonts w:ascii="Arial" w:cs="Arial" w:eastAsia="Arial" w:hAnsi="Arial"/>
          <w:sz w:val="12"/>
          <w:szCs w:val="12"/>
          <w:color w:val="auto"/>
        </w:rPr>
        <w:t>There is a modification of the general measurement model denominated “Variable commissions method” for certain contracts of insurers with life insurance in which the insured share the yields from the underlying elements. Upon applying the variable commissions’ method, the entity’s participation in changes in fair value of the underlying elements is included in the contractual service margin. Therefore, it is probable that the results of the insurers that use this model will be less volatile than under the general model.</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new rules will affect the financial statements and key performance indicators of all entities that issue insurance contracts or investment contracts with discretionary participation features.</w:t>
      </w:r>
    </w:p>
    <w:p>
      <w:pPr>
        <w:spacing w:after="0" w:line="150" w:lineRule="exact"/>
        <w:rPr>
          <w:sz w:val="20"/>
          <w:szCs w:val="20"/>
          <w:color w:val="auto"/>
        </w:rPr>
      </w:pPr>
    </w:p>
    <w:p>
      <w:pPr>
        <w:ind w:left="440" w:right="60"/>
        <w:spacing w:after="0" w:line="276" w:lineRule="auto"/>
        <w:rPr>
          <w:sz w:val="20"/>
          <w:szCs w:val="20"/>
          <w:color w:val="auto"/>
        </w:rPr>
      </w:pPr>
      <w:r>
        <w:rPr>
          <w:rFonts w:ascii="Arial" w:cs="Arial" w:eastAsia="Arial" w:hAnsi="Arial"/>
          <w:sz w:val="12"/>
          <w:szCs w:val="12"/>
          <w:color w:val="auto"/>
        </w:rPr>
        <w:t>Also, its implementation will modify the recognition, measurement, presentation and disclosure of insurance contracts having a significant impact on the underlying valuation models, systems, processes, internal controls and other fundamental aspects of the insurance business.</w:t>
      </w:r>
    </w:p>
    <w:p>
      <w:pPr>
        <w:spacing w:after="0" w:line="115"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The Group has established governance structures related to the IFRS 17 project with the Audit Committee as the highest instance. As required by the standard, currently, the entities that make up the Group are in the process of determining the impact of their application.</w:t>
      </w:r>
    </w:p>
    <w:p>
      <w:pPr>
        <w:spacing w:after="0" w:line="115" w:lineRule="exact"/>
        <w:rPr>
          <w:sz w:val="20"/>
          <w:szCs w:val="20"/>
          <w:color w:val="auto"/>
        </w:rPr>
      </w:pPr>
    </w:p>
    <w:p>
      <w:pPr>
        <w:ind w:left="440" w:right="320"/>
        <w:spacing w:after="0" w:line="276" w:lineRule="auto"/>
        <w:rPr>
          <w:sz w:val="20"/>
          <w:szCs w:val="20"/>
          <w:color w:val="auto"/>
        </w:rPr>
      </w:pPr>
      <w:r>
        <w:rPr>
          <w:rFonts w:ascii="Arial" w:cs="Arial" w:eastAsia="Arial" w:hAnsi="Arial"/>
          <w:sz w:val="12"/>
          <w:szCs w:val="12"/>
          <w:color w:val="auto"/>
        </w:rPr>
        <w:t>Initially, IFRS 17 would apply to annual periods beginning on or after January 1, 2021; however, on November 14, 2018, the IASB agreed to defer the effective date of application to annual periods beginning on or after January 1, 2022.</w:t>
      </w:r>
    </w:p>
    <w:p>
      <w:pPr>
        <w:spacing w:after="0" w:line="259"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68" w:name="page69"/>
    <w:bookmarkEnd w:id="68"/>
    <w:p>
      <w:pPr>
        <w:ind w:left="216"/>
        <w:spacing w:after="0"/>
        <w:rPr>
          <w:sz w:val="20"/>
          <w:szCs w:val="20"/>
          <w:color w:val="auto"/>
        </w:rPr>
      </w:pPr>
      <w:r>
        <w:rPr>
          <w:rFonts w:ascii="Arial" w:cs="Arial" w:eastAsia="Arial" w:hAnsi="Arial"/>
          <w:sz w:val="12"/>
          <w:szCs w:val="12"/>
          <w:color w:val="auto"/>
        </w:rPr>
        <w:t>Early adoption is permitted, as long as the Group also applies IFRS 9 and IFRS 15 on the date on which IFRS 17 is applied for the first time.</w:t>
      </w:r>
    </w:p>
    <w:p>
      <w:pPr>
        <w:spacing w:after="0" w:line="150" w:lineRule="exact"/>
        <w:rPr>
          <w:sz w:val="20"/>
          <w:szCs w:val="20"/>
          <w:color w:val="auto"/>
        </w:rPr>
      </w:pPr>
    </w:p>
    <w:p>
      <w:pPr>
        <w:ind w:left="216" w:hanging="216"/>
        <w:spacing w:after="0"/>
        <w:tabs>
          <w:tab w:leader="none" w:pos="216" w:val="left"/>
        </w:tabs>
        <w:numPr>
          <w:ilvl w:val="0"/>
          <w:numId w:val="78"/>
        </w:numPr>
        <w:rPr>
          <w:rFonts w:ascii="Arial" w:cs="Arial" w:eastAsia="Arial" w:hAnsi="Arial"/>
          <w:sz w:val="12"/>
          <w:szCs w:val="12"/>
          <w:color w:val="auto"/>
        </w:rPr>
      </w:pPr>
      <w:r>
        <w:rPr>
          <w:rFonts w:ascii="Arial" w:cs="Arial" w:eastAsia="Arial" w:hAnsi="Arial"/>
          <w:sz w:val="12"/>
          <w:szCs w:val="12"/>
          <w:color w:val="auto"/>
        </w:rPr>
        <w:t>Definition of Material - Amendments to IAS 1 and IAS 8 -</w:t>
      </w:r>
    </w:p>
    <w:p>
      <w:pPr>
        <w:spacing w:after="0" w:line="150" w:lineRule="exact"/>
        <w:rPr>
          <w:rFonts w:ascii="Arial" w:cs="Arial" w:eastAsia="Arial" w:hAnsi="Arial"/>
          <w:sz w:val="12"/>
          <w:szCs w:val="12"/>
          <w:color w:val="auto"/>
        </w:rPr>
      </w:pPr>
    </w:p>
    <w:p>
      <w:pPr>
        <w:ind w:left="216" w:right="400"/>
        <w:spacing w:after="0" w:line="380" w:lineRule="auto"/>
        <w:rPr>
          <w:rFonts w:ascii="Arial" w:cs="Arial" w:eastAsia="Arial" w:hAnsi="Arial"/>
          <w:sz w:val="12"/>
          <w:szCs w:val="12"/>
          <w:color w:val="auto"/>
        </w:rPr>
      </w:pPr>
      <w:r>
        <w:rPr>
          <w:rFonts w:ascii="Arial" w:cs="Arial" w:eastAsia="Arial" w:hAnsi="Arial"/>
          <w:sz w:val="10"/>
          <w:szCs w:val="10"/>
          <w:color w:val="auto"/>
        </w:rPr>
        <w:t>The IASB has made amendments to IAS 1 Presentation of Financial Statements and IAS 8 Accounting Policies, Changes in Accounting Estimates and Errors which use a consistent definition of materiality throughout International Financial Reporting Standards and the Conceptual Framework for Financial Reporting, clarify when information is material and incorporate some of the guidance in IAS 1 about immaterial information.</w:t>
      </w:r>
    </w:p>
    <w:p>
      <w:pPr>
        <w:spacing w:after="0" w:line="68"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In particular, the amendments clarify:</w:t>
      </w:r>
    </w:p>
    <w:p>
      <w:pPr>
        <w:spacing w:after="0" w:line="150" w:lineRule="exact"/>
        <w:rPr>
          <w:rFonts w:ascii="Arial" w:cs="Arial" w:eastAsia="Arial" w:hAnsi="Arial"/>
          <w:sz w:val="12"/>
          <w:szCs w:val="12"/>
          <w:color w:val="auto"/>
        </w:rPr>
      </w:pPr>
    </w:p>
    <w:p>
      <w:pPr>
        <w:ind w:left="436" w:right="40" w:hanging="219"/>
        <w:spacing w:after="0" w:line="258" w:lineRule="auto"/>
        <w:tabs>
          <w:tab w:leader="none" w:pos="436" w:val="left"/>
        </w:tabs>
        <w:numPr>
          <w:ilvl w:val="1"/>
          <w:numId w:val="78"/>
        </w:numPr>
        <w:rPr>
          <w:rFonts w:ascii="Arial" w:cs="Arial" w:eastAsia="Arial" w:hAnsi="Arial"/>
          <w:sz w:val="12"/>
          <w:szCs w:val="12"/>
          <w:color w:val="auto"/>
        </w:rPr>
      </w:pPr>
      <w:r>
        <w:rPr>
          <w:rFonts w:ascii="Arial" w:cs="Arial" w:eastAsia="Arial" w:hAnsi="Arial"/>
          <w:sz w:val="12"/>
          <w:szCs w:val="12"/>
          <w:color w:val="auto"/>
        </w:rPr>
        <w:t>That the reference to obscuring information addresses situations in which the effect is similar to omitting or misstating that information, and that an entity assesses materiality in the context of the financial statements as a whole, and</w:t>
      </w:r>
    </w:p>
    <w:p>
      <w:pPr>
        <w:ind w:left="436" w:right="20" w:hanging="219"/>
        <w:spacing w:after="0" w:line="261" w:lineRule="auto"/>
        <w:tabs>
          <w:tab w:leader="none" w:pos="436" w:val="left"/>
        </w:tabs>
        <w:numPr>
          <w:ilvl w:val="1"/>
          <w:numId w:val="78"/>
        </w:numPr>
        <w:rPr>
          <w:rFonts w:ascii="Arial" w:cs="Arial" w:eastAsia="Arial" w:hAnsi="Arial"/>
          <w:sz w:val="12"/>
          <w:szCs w:val="12"/>
          <w:color w:val="auto"/>
        </w:rPr>
      </w:pPr>
      <w:r>
        <w:rPr>
          <w:rFonts w:ascii="Arial" w:cs="Arial" w:eastAsia="Arial" w:hAnsi="Arial"/>
          <w:sz w:val="12"/>
          <w:szCs w:val="12"/>
          <w:color w:val="auto"/>
        </w:rPr>
        <w:t>The meaning of ‘primary users of general-purpose financial statements’ to whom those financial statements are directed, by defining them as ‘existing and potential investors, lenders and other creditors’ that must rely on general purpose financial statements for much of the financial information they need.</w:t>
      </w:r>
    </w:p>
    <w:p>
      <w:pPr>
        <w:spacing w:after="0" w:line="123" w:lineRule="exact"/>
        <w:rPr>
          <w:sz w:val="20"/>
          <w:szCs w:val="20"/>
          <w:color w:val="auto"/>
        </w:rPr>
      </w:pPr>
    </w:p>
    <w:p>
      <w:pPr>
        <w:ind w:left="216"/>
        <w:spacing w:after="0"/>
        <w:rPr>
          <w:sz w:val="20"/>
          <w:szCs w:val="20"/>
          <w:color w:val="auto"/>
        </w:rPr>
      </w:pPr>
      <w:r>
        <w:rPr>
          <w:rFonts w:ascii="Arial" w:cs="Arial" w:eastAsia="Arial" w:hAnsi="Arial"/>
          <w:sz w:val="12"/>
          <w:szCs w:val="12"/>
          <w:color w:val="auto"/>
        </w:rPr>
        <w:t>These changes are effective for financial statements for annual periods beginning on or after January 1, 2020.</w:t>
      </w:r>
    </w:p>
    <w:p>
      <w:pPr>
        <w:spacing w:after="0" w:line="150" w:lineRule="exact"/>
        <w:rPr>
          <w:sz w:val="20"/>
          <w:szCs w:val="20"/>
          <w:color w:val="auto"/>
        </w:rPr>
      </w:pPr>
    </w:p>
    <w:p>
      <w:pPr>
        <w:ind w:left="216" w:hanging="216"/>
        <w:spacing w:after="0"/>
        <w:tabs>
          <w:tab w:leader="none" w:pos="216" w:val="left"/>
        </w:tabs>
        <w:numPr>
          <w:ilvl w:val="0"/>
          <w:numId w:val="79"/>
        </w:numPr>
        <w:rPr>
          <w:rFonts w:ascii="Arial" w:cs="Arial" w:eastAsia="Arial" w:hAnsi="Arial"/>
          <w:sz w:val="12"/>
          <w:szCs w:val="12"/>
          <w:color w:val="auto"/>
        </w:rPr>
      </w:pPr>
      <w:r>
        <w:rPr>
          <w:rFonts w:ascii="Arial" w:cs="Arial" w:eastAsia="Arial" w:hAnsi="Arial"/>
          <w:sz w:val="12"/>
          <w:szCs w:val="12"/>
          <w:color w:val="auto"/>
        </w:rPr>
        <w:t>Definition of a Business - Amendments to IFRS 3 -</w:t>
      </w:r>
    </w:p>
    <w:p>
      <w:pPr>
        <w:spacing w:after="0" w:line="150" w:lineRule="exact"/>
        <w:rPr>
          <w:rFonts w:ascii="Arial" w:cs="Arial" w:eastAsia="Arial" w:hAnsi="Arial"/>
          <w:sz w:val="12"/>
          <w:szCs w:val="12"/>
          <w:color w:val="auto"/>
        </w:rPr>
      </w:pPr>
    </w:p>
    <w:p>
      <w:pPr>
        <w:ind w:left="216" w:right="20"/>
        <w:spacing w:after="0" w:line="323" w:lineRule="auto"/>
        <w:rPr>
          <w:rFonts w:ascii="Arial" w:cs="Arial" w:eastAsia="Arial" w:hAnsi="Arial"/>
          <w:sz w:val="12"/>
          <w:szCs w:val="12"/>
          <w:color w:val="auto"/>
        </w:rPr>
      </w:pPr>
      <w:r>
        <w:rPr>
          <w:rFonts w:ascii="Arial" w:cs="Arial" w:eastAsia="Arial" w:hAnsi="Arial"/>
          <w:sz w:val="11"/>
          <w:szCs w:val="11"/>
          <w:color w:val="auto"/>
        </w:rPr>
        <w:t>The amended definition of a business requires an acquisition to include an input and a substantive process that together significantly contribute to the ability to create outputs. The definition of the term ‘outputs’ is amended to focus on goods and services provided to customers, generating investment income and other income, and it excludes returns in the form of lower costs and other economic benefits.</w:t>
      </w:r>
    </w:p>
    <w:p>
      <w:pPr>
        <w:spacing w:after="0" w:line="91"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 amendments will likely result in more acquisitions being accounted for as asset acquisitions.</w:t>
      </w:r>
    </w:p>
    <w:p>
      <w:pPr>
        <w:spacing w:after="0" w:line="150"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These changes are effective for financial statements for annual periods beginning on or after January 1, 2020.</w:t>
      </w:r>
    </w:p>
    <w:p>
      <w:pPr>
        <w:spacing w:after="0" w:line="150" w:lineRule="exact"/>
        <w:rPr>
          <w:rFonts w:ascii="Arial" w:cs="Arial" w:eastAsia="Arial" w:hAnsi="Arial"/>
          <w:sz w:val="12"/>
          <w:szCs w:val="12"/>
          <w:color w:val="auto"/>
        </w:rPr>
      </w:pPr>
    </w:p>
    <w:p>
      <w:pPr>
        <w:ind w:left="216" w:hanging="216"/>
        <w:spacing w:after="0"/>
        <w:tabs>
          <w:tab w:leader="none" w:pos="216"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Revised Conceptual Framework for Financial Reporting -</w:t>
      </w:r>
    </w:p>
    <w:p>
      <w:pPr>
        <w:spacing w:after="0" w:line="150"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 IASB has issued a revised Conceptual Framework which will be used in standard-setting decisions with immediate effect. Key changes include:</w:t>
      </w:r>
    </w:p>
    <w:p>
      <w:pPr>
        <w:spacing w:after="0" w:line="150"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Increasing the prominence of stewardship in the objective of financial reporting.</w:t>
      </w:r>
    </w:p>
    <w:p>
      <w:pPr>
        <w:spacing w:after="0" w:line="14"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Reinstating prudence as a component of neutrality.</w:t>
      </w:r>
    </w:p>
    <w:p>
      <w:pPr>
        <w:spacing w:after="0" w:line="6"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Refining a reporting entity, which may be a legal entity, or a portion of an entity.</w:t>
      </w:r>
    </w:p>
    <w:p>
      <w:pPr>
        <w:spacing w:after="0" w:line="6"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Revising the definitions of an asset and a liability.</w:t>
      </w:r>
    </w:p>
    <w:p>
      <w:pPr>
        <w:spacing w:after="0" w:line="6"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Removing the probability threshold for recognition and adding guidance on derecognition.</w:t>
      </w:r>
    </w:p>
    <w:p>
      <w:pPr>
        <w:spacing w:after="0" w:line="6" w:lineRule="exact"/>
        <w:rPr>
          <w:rFonts w:ascii="Arial" w:cs="Arial" w:eastAsia="Arial" w:hAnsi="Arial"/>
          <w:sz w:val="12"/>
          <w:szCs w:val="12"/>
          <w:color w:val="auto"/>
        </w:rPr>
      </w:pPr>
    </w:p>
    <w:p>
      <w:pPr>
        <w:ind w:left="436" w:hanging="219"/>
        <w:spacing w:after="0"/>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Adding guidance on different measurement basis, and</w:t>
      </w:r>
    </w:p>
    <w:p>
      <w:pPr>
        <w:spacing w:after="0" w:line="6" w:lineRule="exact"/>
        <w:rPr>
          <w:rFonts w:ascii="Arial" w:cs="Arial" w:eastAsia="Arial" w:hAnsi="Arial"/>
          <w:sz w:val="12"/>
          <w:szCs w:val="12"/>
          <w:color w:val="auto"/>
        </w:rPr>
      </w:pPr>
    </w:p>
    <w:p>
      <w:pPr>
        <w:ind w:left="436" w:hanging="219"/>
        <w:spacing w:after="0" w:line="261" w:lineRule="auto"/>
        <w:tabs>
          <w:tab w:leader="none" w:pos="436" w:val="left"/>
        </w:tabs>
        <w:numPr>
          <w:ilvl w:val="1"/>
          <w:numId w:val="79"/>
        </w:numPr>
        <w:rPr>
          <w:rFonts w:ascii="Arial" w:cs="Arial" w:eastAsia="Arial" w:hAnsi="Arial"/>
          <w:sz w:val="12"/>
          <w:szCs w:val="12"/>
          <w:color w:val="auto"/>
        </w:rPr>
      </w:pPr>
      <w:r>
        <w:rPr>
          <w:rFonts w:ascii="Arial" w:cs="Arial" w:eastAsia="Arial" w:hAnsi="Arial"/>
          <w:sz w:val="12"/>
          <w:szCs w:val="12"/>
          <w:color w:val="auto"/>
        </w:rPr>
        <w:t>Stating that profit or loss is the primary performance indicator and that, in principle, income and expenses in other comprehensive income should be recycled where this enhances the relevance or faithful representation of the financial statements.</w:t>
      </w:r>
    </w:p>
    <w:p>
      <w:pPr>
        <w:spacing w:after="0" w:line="267" w:lineRule="exact"/>
        <w:rPr>
          <w:rFonts w:ascii="Arial" w:cs="Arial" w:eastAsia="Arial" w:hAnsi="Arial"/>
          <w:sz w:val="12"/>
          <w:szCs w:val="12"/>
          <w:color w:val="auto"/>
        </w:rPr>
      </w:pPr>
    </w:p>
    <w:p>
      <w:pPr>
        <w:ind w:left="5256" w:hanging="72"/>
        <w:spacing w:after="0"/>
        <w:tabs>
          <w:tab w:leader="none" w:pos="5256" w:val="left"/>
        </w:tabs>
        <w:numPr>
          <w:ilvl w:val="2"/>
          <w:numId w:val="79"/>
        </w:numPr>
        <w:rPr>
          <w:rFonts w:ascii="Arial" w:cs="Arial" w:eastAsia="Arial" w:hAnsi="Arial"/>
          <w:sz w:val="12"/>
          <w:szCs w:val="12"/>
          <w:color w:val="auto"/>
        </w:rPr>
      </w:pPr>
      <w:r>
        <w:rPr>
          <w:rFonts w:ascii="Arial" w:cs="Arial" w:eastAsia="Arial" w:hAnsi="Arial"/>
          <w:sz w:val="12"/>
          <w:szCs w:val="1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16"/>
          </w:cols>
          <w:pgMar w:left="644" w:top="653" w:right="239" w:bottom="1440" w:gutter="0" w:footer="0" w:header="0"/>
        </w:sectPr>
      </w:pPr>
    </w:p>
    <w:bookmarkStart w:id="69" w:name="page70"/>
    <w:bookmarkEnd w:id="69"/>
    <w:p>
      <w:pPr>
        <w:ind w:left="640" w:right="20"/>
        <w:spacing w:after="0" w:line="323" w:lineRule="auto"/>
        <w:rPr>
          <w:sz w:val="20"/>
          <w:szCs w:val="20"/>
          <w:color w:val="auto"/>
        </w:rPr>
      </w:pPr>
      <w:r>
        <w:rPr>
          <w:rFonts w:ascii="Arial" w:cs="Arial" w:eastAsia="Arial" w:hAnsi="Arial"/>
          <w:sz w:val="11"/>
          <w:szCs w:val="11"/>
          <w:color w:val="auto"/>
        </w:rPr>
        <w:t>No changes will be made to any of the current accounting standards. However, entities that rely on the Framework in determining their accounting policies for transactions, events or conditions that are not otherwise dealt with under the accounting standards will need to apply the revised Framework from 1 January 2020. These entities will need to consider whether their accounting policies are still appropriate under the revised Framework.</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These changes are effective for financial statements for annual periods beginning on or after January 1, 2020.</w:t>
      </w:r>
    </w:p>
    <w:p>
      <w:pPr>
        <w:spacing w:after="0" w:line="150" w:lineRule="exact"/>
        <w:rPr>
          <w:sz w:val="20"/>
          <w:szCs w:val="20"/>
          <w:color w:val="auto"/>
        </w:rPr>
      </w:pPr>
    </w:p>
    <w:p>
      <w:pPr>
        <w:ind w:left="640" w:right="920" w:hanging="216"/>
        <w:spacing w:after="0" w:line="501" w:lineRule="auto"/>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Amendments to IFRS 10 “Consolidated Financial Statements” and IAS 28 “Investments in associates and joint ventures”: Sale or contribution of assets between an investor and its associate or joint venture - The IASB made limited scope amendments to IFRS 10 and IAS 28.</w:t>
      </w:r>
    </w:p>
    <w:p>
      <w:pPr>
        <w:ind w:left="640" w:right="60"/>
        <w:spacing w:after="0" w:line="276" w:lineRule="auto"/>
        <w:rPr>
          <w:rFonts w:ascii="Arial" w:cs="Arial" w:eastAsia="Arial" w:hAnsi="Arial"/>
          <w:sz w:val="12"/>
          <w:szCs w:val="12"/>
          <w:color w:val="auto"/>
        </w:rPr>
      </w:pPr>
      <w:r>
        <w:rPr>
          <w:rFonts w:ascii="Arial" w:cs="Arial" w:eastAsia="Arial" w:hAnsi="Arial"/>
          <w:sz w:val="12"/>
          <w:szCs w:val="12"/>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constitutes “a business” (as defined in IFRS 3 “Business combinations”).</w:t>
      </w:r>
    </w:p>
    <w:p>
      <w:pPr>
        <w:spacing w:after="0" w:line="114" w:lineRule="exact"/>
        <w:rPr>
          <w:rFonts w:ascii="Arial" w:cs="Arial" w:eastAsia="Arial" w:hAnsi="Arial"/>
          <w:sz w:val="12"/>
          <w:szCs w:val="12"/>
          <w:color w:val="auto"/>
        </w:rPr>
      </w:pPr>
    </w:p>
    <w:p>
      <w:pPr>
        <w:ind w:left="640" w:right="20"/>
        <w:spacing w:after="0" w:line="276" w:lineRule="auto"/>
        <w:rPr>
          <w:rFonts w:ascii="Arial" w:cs="Arial" w:eastAsia="Arial" w:hAnsi="Arial"/>
          <w:sz w:val="12"/>
          <w:szCs w:val="12"/>
          <w:color w:val="auto"/>
        </w:rPr>
      </w:pPr>
      <w:r>
        <w:rPr>
          <w:rFonts w:ascii="Arial" w:cs="Arial" w:eastAsia="Arial" w:hAnsi="Arial"/>
          <w:sz w:val="12"/>
          <w:szCs w:val="12"/>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114"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The IASB decided to defer the application date of this amendment until it has completed its research project on the equity method.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Group is in the process of evaluating the impact of the application of these standards, and to date, it considers that there will be no significant impact on the consolidated financial statements, except for IFRS 17.</w:t>
      </w:r>
    </w:p>
    <w:p>
      <w:pPr>
        <w:spacing w:after="0" w:line="162" w:lineRule="exact"/>
        <w:rPr>
          <w:sz w:val="20"/>
          <w:szCs w:val="20"/>
          <w:color w:val="auto"/>
        </w:rPr>
      </w:pPr>
    </w:p>
    <w:p>
      <w:pPr>
        <w:ind w:left="420" w:right="240"/>
        <w:spacing w:after="0" w:line="276" w:lineRule="auto"/>
        <w:rPr>
          <w:sz w:val="20"/>
          <w:szCs w:val="20"/>
          <w:color w:val="auto"/>
        </w:rPr>
      </w:pPr>
      <w:r>
        <w:rPr>
          <w:rFonts w:ascii="Arial" w:cs="Arial" w:eastAsia="Arial" w:hAnsi="Arial"/>
          <w:sz w:val="12"/>
          <w:szCs w:val="12"/>
          <w:color w:val="auto"/>
        </w:rPr>
        <w:t>Likewise, there are no other standards or amendments to standards which have not yet become effective and are expected to have a significant impact on the Group, either in the current or future periods, as well as on expected future transactions.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80" w:type="dxa"/>
            <w:vAlign w:val="bottom"/>
            <w:gridSpan w:val="2"/>
          </w:tcPr>
          <w:p>
            <w:pPr>
              <w:spacing w:after="0"/>
              <w:rPr>
                <w:sz w:val="20"/>
                <w:szCs w:val="20"/>
                <w:color w:val="auto"/>
              </w:rPr>
            </w:pPr>
            <w:r>
              <w:rPr>
                <w:rFonts w:ascii="Arial" w:cs="Arial" w:eastAsia="Arial" w:hAnsi="Arial"/>
                <w:sz w:val="12"/>
                <w:szCs w:val="12"/>
                <w:b w:val="1"/>
                <w:bCs w:val="1"/>
                <w:color w:val="auto"/>
              </w:rPr>
              <w:t>4   CASH AND DUE FROM BANKS</w:t>
            </w:r>
          </w:p>
        </w:tc>
        <w:tc>
          <w:tcPr>
            <w:tcW w:w="3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88"/>
        </w:trPr>
        <w:tc>
          <w:tcPr>
            <w:tcW w:w="4380" w:type="dxa"/>
            <w:vAlign w:val="bottom"/>
            <w:gridSpan w:val="2"/>
          </w:tcPr>
          <w:p>
            <w:pPr>
              <w:ind w:left="200"/>
              <w:spacing w:after="0"/>
              <w:rPr>
                <w:sz w:val="20"/>
                <w:szCs w:val="20"/>
                <w:color w:val="auto"/>
              </w:rPr>
            </w:pPr>
            <w:r>
              <w:rPr>
                <w:rFonts w:ascii="Arial" w:cs="Arial" w:eastAsia="Arial" w:hAnsi="Arial"/>
                <w:sz w:val="12"/>
                <w:szCs w:val="12"/>
                <w:color w:val="auto"/>
              </w:rPr>
              <w:t>a)  The composition of the item is presented below:</w:t>
            </w: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24"/>
                <w:szCs w:val="24"/>
                <w:color w:val="auto"/>
              </w:rPr>
            </w:pPr>
          </w:p>
        </w:tc>
        <w:tc>
          <w:tcPr>
            <w:tcW w:w="13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Cash and clearing (b)</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4,917,674</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6,169,795</w:t>
            </w:r>
          </w:p>
        </w:tc>
        <w:tc>
          <w:tcPr>
            <w:tcW w:w="100" w:type="dxa"/>
            <w:vAlign w:val="bottom"/>
            <w:shd w:val="clear" w:color="auto" w:fill="CCEEFF"/>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Deposits with Central Reserve Bank of Peru (BCRP) (b)</w:t>
            </w:r>
          </w:p>
        </w:tc>
        <w:tc>
          <w:tcPr>
            <w:tcW w:w="4840" w:type="dxa"/>
            <w:vAlign w:val="bottom"/>
            <w:gridSpan w:val="2"/>
          </w:tcPr>
          <w:p>
            <w:pPr>
              <w:jc w:val="right"/>
              <w:spacing w:after="0"/>
              <w:rPr>
                <w:sz w:val="20"/>
                <w:szCs w:val="20"/>
                <w:color w:val="auto"/>
              </w:rPr>
            </w:pPr>
            <w:r>
              <w:rPr>
                <w:rFonts w:ascii="Arial" w:cs="Arial" w:eastAsia="Arial" w:hAnsi="Arial"/>
                <w:sz w:val="12"/>
                <w:szCs w:val="12"/>
                <w:color w:val="auto"/>
              </w:rPr>
              <w:t>18,367,651</w:t>
            </w:r>
          </w:p>
        </w:tc>
        <w:tc>
          <w:tcPr>
            <w:tcW w:w="2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13,206,885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Deposits with Central Bank of Bolivia</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646,865</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791,083</w:t>
            </w:r>
          </w:p>
        </w:tc>
        <w:tc>
          <w:tcPr>
            <w:tcW w:w="100" w:type="dxa"/>
            <w:vAlign w:val="bottom"/>
            <w:shd w:val="clear" w:color="auto" w:fill="CCEEFF"/>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Deposits with foreign banks (c)</w:t>
            </w:r>
          </w:p>
        </w:tc>
        <w:tc>
          <w:tcPr>
            <w:tcW w:w="4840" w:type="dxa"/>
            <w:vAlign w:val="bottom"/>
            <w:gridSpan w:val="2"/>
          </w:tcPr>
          <w:p>
            <w:pPr>
              <w:jc w:val="right"/>
              <w:spacing w:after="0"/>
              <w:rPr>
                <w:sz w:val="20"/>
                <w:szCs w:val="20"/>
                <w:color w:val="auto"/>
              </w:rPr>
            </w:pPr>
            <w:r>
              <w:rPr>
                <w:rFonts w:ascii="Arial" w:cs="Arial" w:eastAsia="Arial" w:hAnsi="Arial"/>
                <w:sz w:val="12"/>
                <w:szCs w:val="12"/>
                <w:color w:val="auto"/>
              </w:rPr>
              <w:t>1,408,117</w:t>
            </w:r>
          </w:p>
        </w:tc>
        <w:tc>
          <w:tcPr>
            <w:tcW w:w="2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1,219,006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Deposits with local banks (c)</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481,412</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499,431</w:t>
            </w:r>
          </w:p>
        </w:tc>
        <w:tc>
          <w:tcPr>
            <w:tcW w:w="100" w:type="dxa"/>
            <w:vAlign w:val="bottom"/>
            <w:shd w:val="clear" w:color="auto" w:fill="CCEEFF"/>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Interbank funds</w:t>
            </w:r>
          </w:p>
        </w:tc>
        <w:tc>
          <w:tcPr>
            <w:tcW w:w="4840" w:type="dxa"/>
            <w:vAlign w:val="bottom"/>
            <w:gridSpan w:val="2"/>
          </w:tcPr>
          <w:p>
            <w:pPr>
              <w:jc w:val="right"/>
              <w:spacing w:after="0"/>
              <w:rPr>
                <w:sz w:val="20"/>
                <w:szCs w:val="20"/>
                <w:color w:val="auto"/>
              </w:rPr>
            </w:pPr>
            <w:r>
              <w:rPr>
                <w:rFonts w:ascii="Arial" w:cs="Arial" w:eastAsia="Arial" w:hAnsi="Arial"/>
                <w:sz w:val="12"/>
                <w:szCs w:val="12"/>
                <w:color w:val="auto"/>
              </w:rPr>
              <w:t>137,722</w:t>
            </w:r>
          </w:p>
        </w:tc>
        <w:tc>
          <w:tcPr>
            <w:tcW w:w="2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253,970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5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14,601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20,633</w:t>
            </w:r>
          </w:p>
        </w:tc>
        <w:tc>
          <w:tcPr>
            <w:tcW w:w="60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960" w:type="dxa"/>
            <w:vAlign w:val="bottom"/>
          </w:tcPr>
          <w:p>
            <w:pPr>
              <w:spacing w:after="0" w:line="133" w:lineRule="exact"/>
              <w:rPr>
                <w:sz w:val="20"/>
                <w:szCs w:val="20"/>
                <w:color w:val="auto"/>
              </w:rPr>
            </w:pPr>
            <w:r>
              <w:rPr>
                <w:rFonts w:ascii="Arial" w:cs="Arial" w:eastAsia="Arial" w:hAnsi="Arial"/>
                <w:sz w:val="12"/>
                <w:szCs w:val="12"/>
                <w:color w:val="auto"/>
              </w:rPr>
              <w:t>Total cash and cash equivalents</w:t>
            </w:r>
          </w:p>
        </w:tc>
        <w:tc>
          <w:tcPr>
            <w:tcW w:w="3480" w:type="dxa"/>
            <w:vAlign w:val="bottom"/>
          </w:tcPr>
          <w:p>
            <w:pPr>
              <w:spacing w:after="0"/>
              <w:rPr>
                <w:sz w:val="11"/>
                <w:szCs w:val="11"/>
                <w:color w:val="auto"/>
              </w:rPr>
            </w:pPr>
          </w:p>
        </w:tc>
        <w:tc>
          <w:tcPr>
            <w:tcW w:w="13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25,974,042</w:t>
            </w:r>
          </w:p>
        </w:tc>
        <w:tc>
          <w:tcPr>
            <w:tcW w:w="200" w:type="dxa"/>
            <w:vAlign w:val="bottom"/>
          </w:tcPr>
          <w:p>
            <w:pPr>
              <w:spacing w:after="0"/>
              <w:rPr>
                <w:sz w:val="11"/>
                <w:szCs w:val="11"/>
                <w:color w:val="auto"/>
              </w:rPr>
            </w:pPr>
          </w:p>
        </w:tc>
        <w:tc>
          <w:tcPr>
            <w:tcW w:w="13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22,160,803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Restricted funds</w:t>
            </w:r>
          </w:p>
        </w:tc>
        <w:tc>
          <w:tcPr>
            <w:tcW w:w="34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12,720</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7,713</w:t>
            </w:r>
          </w:p>
        </w:tc>
        <w:tc>
          <w:tcPr>
            <w:tcW w:w="100" w:type="dxa"/>
            <w:vAlign w:val="bottom"/>
            <w:shd w:val="clear" w:color="auto" w:fill="CCEEFF"/>
          </w:tcPr>
          <w:p>
            <w:pPr>
              <w:spacing w:after="0"/>
              <w:rPr>
                <w:sz w:val="13"/>
                <w:szCs w:val="13"/>
                <w:color w:val="auto"/>
              </w:rPr>
            </w:pPr>
          </w:p>
        </w:tc>
        <w:tc>
          <w:tcPr>
            <w:tcW w:w="600" w:type="dxa"/>
            <w:vAlign w:val="bottom"/>
          </w:tcPr>
          <w:p>
            <w:pPr>
              <w:spacing w:after="0"/>
              <w:rPr>
                <w:sz w:val="13"/>
                <w:szCs w:val="13"/>
                <w:color w:val="auto"/>
              </w:rPr>
            </w:pPr>
          </w:p>
        </w:tc>
      </w:tr>
      <w:tr>
        <w:trPr>
          <w:trHeight w:val="167"/>
        </w:trPr>
        <w:tc>
          <w:tcPr>
            <w:tcW w:w="4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2"/>
                <w:szCs w:val="12"/>
                <w:b w:val="1"/>
                <w:bCs w:val="1"/>
                <w:color w:val="auto"/>
              </w:rPr>
              <w:t>Total cash</w:t>
            </w:r>
          </w:p>
        </w:tc>
        <w:tc>
          <w:tcPr>
            <w:tcW w:w="348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25,986,762</w:t>
            </w:r>
          </w:p>
        </w:tc>
        <w:tc>
          <w:tcPr>
            <w:tcW w:w="2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22,168,516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1940"/>
              <w:spacing w:after="0"/>
              <w:rPr>
                <w:sz w:val="20"/>
                <w:szCs w:val="20"/>
                <w:color w:val="auto"/>
              </w:rPr>
            </w:pPr>
            <w:r>
              <w:rPr>
                <w:rFonts w:ascii="Arial" w:cs="Arial" w:eastAsia="Arial" w:hAnsi="Arial"/>
                <w:sz w:val="12"/>
                <w:szCs w:val="12"/>
                <w:color w:val="auto"/>
              </w:rPr>
              <w:t>- 65 -</w:t>
            </w: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70" w:name="page71"/>
    <w:bookmarkEnd w:id="70"/>
    <w:p>
      <w:pPr>
        <w:ind w:left="232"/>
        <w:spacing w:after="0"/>
        <w:rPr>
          <w:sz w:val="20"/>
          <w:szCs w:val="20"/>
          <w:color w:val="auto"/>
        </w:rPr>
      </w:pPr>
      <w:r>
        <w:rPr>
          <w:rFonts w:ascii="Arial" w:cs="Arial" w:eastAsia="Arial" w:hAnsi="Arial"/>
          <w:sz w:val="12"/>
          <w:szCs w:val="12"/>
          <w:color w:val="auto"/>
        </w:rPr>
        <w:t>Cash and cash equivalents presented in the consolidated statement of cash flows exclude restricted funds, see note 3(ac).</w:t>
      </w:r>
    </w:p>
    <w:p>
      <w:pPr>
        <w:spacing w:after="0" w:line="150" w:lineRule="exact"/>
        <w:rPr>
          <w:sz w:val="20"/>
          <w:szCs w:val="20"/>
          <w:color w:val="auto"/>
        </w:rPr>
      </w:pPr>
    </w:p>
    <w:p>
      <w:pPr>
        <w:ind w:left="212" w:hanging="212"/>
        <w:spacing w:after="0"/>
        <w:tabs>
          <w:tab w:leader="none" w:pos="212" w:val="left"/>
        </w:tabs>
        <w:numPr>
          <w:ilvl w:val="0"/>
          <w:numId w:val="81"/>
        </w:numPr>
        <w:rPr>
          <w:rFonts w:ascii="Arial" w:cs="Arial" w:eastAsia="Arial" w:hAnsi="Arial"/>
          <w:sz w:val="12"/>
          <w:szCs w:val="12"/>
          <w:color w:val="auto"/>
        </w:rPr>
      </w:pPr>
      <w:r>
        <w:rPr>
          <w:rFonts w:ascii="Arial" w:cs="Arial" w:eastAsia="Arial" w:hAnsi="Arial"/>
          <w:sz w:val="12"/>
          <w:szCs w:val="12"/>
          <w:color w:val="auto"/>
        </w:rPr>
        <w:t>Cash and clearing and deposits with Central Reserve Bank of Peru -</w:t>
      </w:r>
    </w:p>
    <w:p>
      <w:pPr>
        <w:spacing w:after="0" w:line="150"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0"/>
          <w:szCs w:val="10"/>
          <w:color w:val="auto"/>
        </w:rPr>
        <w:t>These accounts mainly include the legal cash requirements that Subsidiaries of Credicorp, incorporated in Peru, must keep to be able to honor their obligations with the public. The composition of these funds is as follows:</w:t>
      </w:r>
    </w:p>
    <w:p>
      <w:pPr>
        <w:sectPr>
          <w:pgSz w:w="11900" w:h="16838" w:orient="portrait"/>
          <w:cols w:equalWidth="0" w:num="1">
            <w:col w:w="11232"/>
          </w:cols>
          <w:pgMar w:left="428" w:top="653"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212"/>
        <w:spacing w:after="0"/>
        <w:rPr>
          <w:sz w:val="20"/>
          <w:szCs w:val="20"/>
          <w:color w:val="auto"/>
        </w:rPr>
      </w:pPr>
      <w:r>
        <w:rPr>
          <w:rFonts w:ascii="Arial" w:cs="Arial" w:eastAsia="Arial" w:hAnsi="Arial"/>
          <w:sz w:val="12"/>
          <w:szCs w:val="12"/>
          <w:b w:val="1"/>
          <w:bCs w:val="1"/>
          <w:color w:val="auto"/>
        </w:rPr>
        <w:t>Legal cash requirements (i)</w:t>
      </w:r>
    </w:p>
    <w:p>
      <w:pPr>
        <w:spacing w:after="0" w:line="19" w:lineRule="exact"/>
        <w:rPr>
          <w:sz w:val="20"/>
          <w:szCs w:val="20"/>
          <w:color w:val="auto"/>
        </w:rPr>
      </w:pPr>
    </w:p>
    <w:p>
      <w:pPr>
        <w:ind w:left="212"/>
        <w:spacing w:after="0"/>
        <w:rPr>
          <w:sz w:val="20"/>
          <w:szCs w:val="20"/>
          <w:color w:val="auto"/>
        </w:rPr>
      </w:pPr>
      <w:r>
        <w:rPr>
          <w:rFonts w:ascii="Arial" w:cs="Arial" w:eastAsia="Arial" w:hAnsi="Arial"/>
          <w:sz w:val="10"/>
          <w:szCs w:val="10"/>
          <w:color w:val="auto"/>
        </w:rPr>
        <w:t>Deposits with Central Reserve Bank of Peru</w:t>
      </w:r>
    </w:p>
    <w:p>
      <w:pPr>
        <w:spacing w:after="0" w:line="29" w:lineRule="exact"/>
        <w:rPr>
          <w:sz w:val="20"/>
          <w:szCs w:val="20"/>
          <w:color w:val="auto"/>
        </w:rPr>
      </w:pPr>
    </w:p>
    <w:p>
      <w:pPr>
        <w:ind w:left="212"/>
        <w:spacing w:after="0"/>
        <w:rPr>
          <w:sz w:val="20"/>
          <w:szCs w:val="20"/>
          <w:color w:val="auto"/>
        </w:rPr>
      </w:pPr>
      <w:r>
        <w:rPr>
          <w:rFonts w:ascii="Arial" w:cs="Arial" w:eastAsia="Arial" w:hAnsi="Arial"/>
          <w:sz w:val="12"/>
          <w:szCs w:val="12"/>
          <w:color w:val="auto"/>
        </w:rPr>
        <w:t>Cash in vaults of Bank</w:t>
      </w:r>
    </w:p>
    <w:p>
      <w:pPr>
        <w:spacing w:after="0" w:line="20" w:lineRule="exact"/>
        <w:rPr>
          <w:sz w:val="20"/>
          <w:szCs w:val="20"/>
          <w:color w:val="auto"/>
        </w:rPr>
      </w:pPr>
    </w:p>
    <w:p>
      <w:pPr>
        <w:ind w:left="212"/>
        <w:spacing w:after="0"/>
        <w:rPr>
          <w:sz w:val="20"/>
          <w:szCs w:val="20"/>
          <w:color w:val="auto"/>
        </w:rPr>
      </w:pPr>
      <w:r>
        <w:rPr>
          <w:rFonts w:ascii="Arial" w:cs="Arial" w:eastAsia="Arial" w:hAnsi="Arial"/>
          <w:sz w:val="12"/>
          <w:szCs w:val="12"/>
          <w:b w:val="1"/>
          <w:bCs w:val="1"/>
          <w:color w:val="auto"/>
        </w:rPr>
        <w:t>Total legal cash requirements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r>
      <w:tr>
        <w:trPr>
          <w:trHeight w:val="146"/>
        </w:trPr>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2"/>
                <w:szCs w:val="12"/>
                <w:color w:val="auto"/>
              </w:rPr>
            </w:pPr>
          </w:p>
        </w:tc>
      </w:tr>
      <w:tr>
        <w:trPr>
          <w:trHeight w:val="275"/>
        </w:trPr>
        <w:tc>
          <w:tcPr>
            <w:tcW w:w="1360" w:type="dxa"/>
            <w:vAlign w:val="bottom"/>
          </w:tcPr>
          <w:p>
            <w:pPr>
              <w:jc w:val="right"/>
              <w:spacing w:after="0"/>
              <w:rPr>
                <w:sz w:val="20"/>
                <w:szCs w:val="20"/>
                <w:color w:val="auto"/>
              </w:rPr>
            </w:pPr>
            <w:r>
              <w:rPr>
                <w:rFonts w:ascii="Arial" w:cs="Arial" w:eastAsia="Arial" w:hAnsi="Arial"/>
                <w:sz w:val="12"/>
                <w:szCs w:val="12"/>
                <w:color w:val="auto"/>
              </w:rPr>
              <w:t>13,727,222</w:t>
            </w:r>
          </w:p>
        </w:tc>
        <w:tc>
          <w:tcPr>
            <w:tcW w:w="200" w:type="dxa"/>
            <w:vAlign w:val="bottom"/>
          </w:tcPr>
          <w:p>
            <w:pPr>
              <w:spacing w:after="0"/>
              <w:rPr>
                <w:sz w:val="23"/>
                <w:szCs w:val="23"/>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2"/>
                <w:szCs w:val="12"/>
                <w:color w:val="auto"/>
              </w:rPr>
              <w:t>11,769,043</w:t>
            </w:r>
          </w:p>
        </w:tc>
      </w:tr>
      <w:tr>
        <w:trPr>
          <w:trHeight w:val="15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4,132,347</w:t>
            </w:r>
          </w:p>
        </w:tc>
        <w:tc>
          <w:tcPr>
            <w:tcW w:w="20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5,591,168</w:t>
            </w:r>
          </w:p>
        </w:tc>
        <w:tc>
          <w:tcPr>
            <w:tcW w:w="20" w:type="dxa"/>
            <w:vAlign w:val="bottom"/>
          </w:tcPr>
          <w:p>
            <w:pPr>
              <w:spacing w:after="0"/>
              <w:rPr>
                <w:sz w:val="13"/>
                <w:szCs w:val="13"/>
                <w:color w:val="auto"/>
              </w:rPr>
            </w:pPr>
          </w:p>
        </w:tc>
      </w:tr>
      <w:tr>
        <w:trPr>
          <w:trHeight w:val="167"/>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17,859,569</w:t>
            </w:r>
          </w:p>
        </w:tc>
        <w:tc>
          <w:tcPr>
            <w:tcW w:w="20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17,360,211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-411480</wp:posOffset>
            </wp:positionV>
            <wp:extent cx="6634480" cy="9144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6634480" cy="9144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-227965</wp:posOffset>
            </wp:positionV>
            <wp:extent cx="6634480" cy="971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663448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932" w:space="720"/>
            <w:col w:w="3580"/>
          </w:cols>
          <w:pgMar w:left="428" w:top="653" w:right="239" w:bottom="1440" w:gutter="0" w:footer="0" w:header="0"/>
          <w:type w:val="continuous"/>
        </w:sectPr>
      </w:pPr>
    </w:p>
    <w:tbl>
      <w:tblPr>
        <w:tblLayout w:type="fixed"/>
        <w:tblInd w:w="212" w:type="dxa"/>
        <w:tblCellMar>
          <w:top w:w="0" w:type="dxa"/>
          <w:left w:w="0" w:type="dxa"/>
          <w:bottom w:w="0" w:type="dxa"/>
          <w:right w:w="0" w:type="dxa"/>
        </w:tblCellMar>
      </w:tblPr>
      <w:tr>
        <w:trPr>
          <w:trHeight w:val="124"/>
        </w:trPr>
        <w:tc>
          <w:tcPr>
            <w:tcW w:w="74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4"/>
        </w:trPr>
        <w:tc>
          <w:tcPr>
            <w:tcW w:w="7440" w:type="dxa"/>
            <w:vAlign w:val="bottom"/>
          </w:tcPr>
          <w:p>
            <w:pPr>
              <w:spacing w:after="0"/>
              <w:rPr>
                <w:sz w:val="20"/>
                <w:szCs w:val="20"/>
                <w:color w:val="auto"/>
              </w:rPr>
            </w:pPr>
            <w:r>
              <w:rPr>
                <w:rFonts w:ascii="Arial" w:cs="Arial" w:eastAsia="Arial" w:hAnsi="Arial"/>
                <w:sz w:val="12"/>
                <w:szCs w:val="12"/>
                <w:b w:val="1"/>
                <w:bCs w:val="1"/>
                <w:color w:val="auto"/>
              </w:rPr>
              <w:t>Additional funds</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Overnight deposits with Central Reserve Bank of Peru (ii)</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4,640,429</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1,437,842</w:t>
            </w:r>
          </w:p>
        </w:tc>
        <w:tc>
          <w:tcPr>
            <w:tcW w:w="100" w:type="dxa"/>
            <w:vAlign w:val="bottom"/>
            <w:shd w:val="clear" w:color="auto" w:fill="CCEEFF"/>
          </w:tcPr>
          <w:p>
            <w:pPr>
              <w:spacing w:after="0"/>
              <w:rPr>
                <w:sz w:val="12"/>
                <w:szCs w:val="12"/>
                <w:color w:val="auto"/>
              </w:rPr>
            </w:pPr>
          </w:p>
        </w:tc>
      </w:tr>
      <w:tr>
        <w:trPr>
          <w:trHeight w:val="153"/>
        </w:trPr>
        <w:tc>
          <w:tcPr>
            <w:tcW w:w="7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in vaults of Bank and others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785,327</w:t>
            </w:r>
          </w:p>
        </w:tc>
        <w:tc>
          <w:tcPr>
            <w:tcW w:w="2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578,627</w:t>
            </w:r>
          </w:p>
        </w:tc>
        <w:tc>
          <w:tcPr>
            <w:tcW w:w="100" w:type="dxa"/>
            <w:vAlign w:val="bottom"/>
            <w:tcBorders>
              <w:bottom w:val="single" w:sz="8" w:color="CCEEFF"/>
            </w:tcBorders>
          </w:tcPr>
          <w:p>
            <w:pPr>
              <w:spacing w:after="0"/>
              <w:rPr>
                <w:sz w:val="13"/>
                <w:szCs w:val="13"/>
                <w:color w:val="auto"/>
              </w:rPr>
            </w:pPr>
          </w:p>
        </w:tc>
      </w:tr>
      <w:tr>
        <w:trPr>
          <w:trHeight w:val="133"/>
        </w:trPr>
        <w:tc>
          <w:tcPr>
            <w:tcW w:w="74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additional funds</w:t>
            </w:r>
          </w:p>
        </w:tc>
        <w:tc>
          <w:tcPr>
            <w:tcW w:w="1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5,425,756</w:t>
            </w:r>
          </w:p>
        </w:tc>
        <w:tc>
          <w:tcPr>
            <w:tcW w:w="200" w:type="dxa"/>
            <w:vAlign w:val="bottom"/>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2,016,469</w:t>
            </w:r>
          </w:p>
        </w:tc>
        <w:tc>
          <w:tcPr>
            <w:tcW w:w="100" w:type="dxa"/>
            <w:vAlign w:val="bottom"/>
            <w:shd w:val="clear" w:color="auto" w:fill="CCEEFF"/>
          </w:tcPr>
          <w:p>
            <w:pPr>
              <w:spacing w:after="0"/>
              <w:rPr>
                <w:sz w:val="11"/>
                <w:szCs w:val="11"/>
                <w:color w:val="auto"/>
              </w:rPr>
            </w:pPr>
          </w:p>
        </w:tc>
      </w:tr>
      <w:tr>
        <w:trPr>
          <w:trHeight w:val="167"/>
        </w:trPr>
        <w:tc>
          <w:tcPr>
            <w:tcW w:w="74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23,285,325</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19,376,680</w:t>
            </w:r>
          </w:p>
        </w:tc>
        <w:tc>
          <w:tcPr>
            <w:tcW w:w="100" w:type="dxa"/>
            <w:vAlign w:val="bottom"/>
          </w:tcPr>
          <w:p>
            <w:pPr>
              <w:spacing w:after="0"/>
              <w:rPr>
                <w:sz w:val="14"/>
                <w:szCs w:val="14"/>
                <w:color w:val="auto"/>
              </w:rPr>
            </w:pPr>
          </w:p>
        </w:tc>
      </w:tr>
    </w:tbl>
    <w:p>
      <w:pPr>
        <w:spacing w:after="0" w:line="135" w:lineRule="exact"/>
        <w:rPr>
          <w:sz w:val="20"/>
          <w:szCs w:val="20"/>
          <w:color w:val="auto"/>
        </w:rPr>
      </w:pPr>
    </w:p>
    <w:p>
      <w:pPr>
        <w:ind w:left="432" w:hanging="216"/>
        <w:spacing w:after="0" w:line="276" w:lineRule="auto"/>
        <w:tabs>
          <w:tab w:leader="none" w:pos="432" w:val="left"/>
        </w:tabs>
        <w:numPr>
          <w:ilvl w:val="1"/>
          <w:numId w:val="82"/>
        </w:numPr>
        <w:rPr>
          <w:rFonts w:ascii="Arial" w:cs="Arial" w:eastAsia="Arial" w:hAnsi="Arial"/>
          <w:sz w:val="12"/>
          <w:szCs w:val="12"/>
          <w:color w:val="auto"/>
        </w:rPr>
      </w:pPr>
      <w:r>
        <w:rPr>
          <w:rFonts w:ascii="Arial" w:cs="Arial" w:eastAsia="Arial" w:hAnsi="Arial"/>
          <w:sz w:val="12"/>
          <w:szCs w:val="12"/>
          <w:color w:val="auto"/>
        </w:rPr>
        <w:t>At December 31, 2019 cash and deposits subject to legal cash requirements in local and foreign currency are subject to an implicit rate of 5.01 percent and 35.06 percent, respectively, on the total balance of obligations subject to legal cash requirements, as required by the BCRP (5.01 percent and 35.12 percent, respectively, at December 31, 2018).</w:t>
      </w:r>
    </w:p>
    <w:p>
      <w:pPr>
        <w:spacing w:after="0" w:line="114" w:lineRule="exact"/>
        <w:rPr>
          <w:rFonts w:ascii="Arial" w:cs="Arial" w:eastAsia="Arial" w:hAnsi="Arial"/>
          <w:sz w:val="12"/>
          <w:szCs w:val="12"/>
          <w:color w:val="auto"/>
        </w:rPr>
      </w:pPr>
    </w:p>
    <w:p>
      <w:pPr>
        <w:ind w:left="432"/>
        <w:spacing w:after="0"/>
        <w:rPr>
          <w:rFonts w:ascii="Arial" w:cs="Arial" w:eastAsia="Arial" w:hAnsi="Arial"/>
          <w:sz w:val="12"/>
          <w:szCs w:val="12"/>
          <w:color w:val="auto"/>
        </w:rPr>
      </w:pPr>
      <w:r>
        <w:rPr>
          <w:rFonts w:ascii="Arial" w:cs="Arial" w:eastAsia="Arial" w:hAnsi="Arial"/>
          <w:sz w:val="12"/>
          <w:szCs w:val="12"/>
          <w:color w:val="auto"/>
        </w:rPr>
        <w:t>In Management's opinion, the Group has complied with the calculation legal cash requirements established by current regulations.</w:t>
      </w:r>
    </w:p>
    <w:p>
      <w:pPr>
        <w:spacing w:after="0" w:line="150" w:lineRule="exact"/>
        <w:rPr>
          <w:rFonts w:ascii="Arial" w:cs="Arial" w:eastAsia="Arial" w:hAnsi="Arial"/>
          <w:sz w:val="12"/>
          <w:szCs w:val="12"/>
          <w:color w:val="auto"/>
        </w:rPr>
      </w:pPr>
    </w:p>
    <w:p>
      <w:pPr>
        <w:ind w:left="432" w:right="200" w:hanging="216"/>
        <w:spacing w:after="0" w:line="323" w:lineRule="auto"/>
        <w:tabs>
          <w:tab w:leader="none" w:pos="432" w:val="left"/>
        </w:tabs>
        <w:numPr>
          <w:ilvl w:val="1"/>
          <w:numId w:val="82"/>
        </w:numPr>
        <w:rPr>
          <w:rFonts w:ascii="Arial" w:cs="Arial" w:eastAsia="Arial" w:hAnsi="Arial"/>
          <w:sz w:val="11"/>
          <w:szCs w:val="11"/>
          <w:color w:val="auto"/>
        </w:rPr>
      </w:pPr>
      <w:r>
        <w:rPr>
          <w:rFonts w:ascii="Arial" w:cs="Arial" w:eastAsia="Arial" w:hAnsi="Arial"/>
          <w:sz w:val="11"/>
          <w:szCs w:val="11"/>
          <w:color w:val="auto"/>
        </w:rPr>
        <w:t>At December 31, 2019, the Group maintains three "overnight" deposits with the BCRP, of which are one denominated in soles for S/360.0 million and two in U.S Dollars for of US$1,291.6 million, equivalent to S/4,280.4 million. At said date, the deposit in soles and deposits in U.S Dollars accrue interest at annual rates of 1.00 percent and 1.57 percent, respectively, and have maturities at 2 days.</w:t>
      </w:r>
    </w:p>
    <w:p>
      <w:pPr>
        <w:spacing w:after="0" w:line="91" w:lineRule="exact"/>
        <w:rPr>
          <w:rFonts w:ascii="Arial" w:cs="Arial" w:eastAsia="Arial" w:hAnsi="Arial"/>
          <w:sz w:val="11"/>
          <w:szCs w:val="11"/>
          <w:color w:val="auto"/>
        </w:rPr>
      </w:pPr>
    </w:p>
    <w:p>
      <w:pPr>
        <w:ind w:left="432"/>
        <w:spacing w:after="0" w:line="276" w:lineRule="auto"/>
        <w:rPr>
          <w:rFonts w:ascii="Arial" w:cs="Arial" w:eastAsia="Arial" w:hAnsi="Arial"/>
          <w:sz w:val="11"/>
          <w:szCs w:val="11"/>
          <w:color w:val="auto"/>
        </w:rPr>
      </w:pPr>
      <w:r>
        <w:rPr>
          <w:rFonts w:ascii="Arial" w:cs="Arial" w:eastAsia="Arial" w:hAnsi="Arial"/>
          <w:sz w:val="12"/>
          <w:szCs w:val="12"/>
          <w:color w:val="auto"/>
        </w:rPr>
        <w:t>At December 31, 2018, the Group maintains two “overnight” deposits with the BCRP, which are denominated in U.S Dollars for US$426.3 million, equivalent to S/1,437.8 million. At said date, deposits in U.S. Dollars accrue interest at annual rates of 2.43 percent and have maturities at 2 days.</w:t>
      </w:r>
    </w:p>
    <w:p>
      <w:pPr>
        <w:spacing w:after="0" w:line="114" w:lineRule="exact"/>
        <w:rPr>
          <w:rFonts w:ascii="Arial" w:cs="Arial" w:eastAsia="Arial" w:hAnsi="Arial"/>
          <w:sz w:val="11"/>
          <w:szCs w:val="11"/>
          <w:color w:val="auto"/>
        </w:rPr>
      </w:pPr>
    </w:p>
    <w:p>
      <w:pPr>
        <w:ind w:left="212" w:hanging="212"/>
        <w:spacing w:after="0"/>
        <w:tabs>
          <w:tab w:leader="none" w:pos="212" w:val="left"/>
        </w:tabs>
        <w:numPr>
          <w:ilvl w:val="0"/>
          <w:numId w:val="83"/>
        </w:numPr>
        <w:rPr>
          <w:rFonts w:ascii="Arial" w:cs="Arial" w:eastAsia="Arial" w:hAnsi="Arial"/>
          <w:sz w:val="12"/>
          <w:szCs w:val="12"/>
          <w:color w:val="auto"/>
        </w:rPr>
      </w:pPr>
      <w:r>
        <w:rPr>
          <w:rFonts w:ascii="Arial" w:cs="Arial" w:eastAsia="Arial" w:hAnsi="Arial"/>
          <w:sz w:val="12"/>
          <w:szCs w:val="12"/>
          <w:color w:val="auto"/>
        </w:rPr>
        <w:t>Deposits with local and foreign banks -</w:t>
      </w:r>
    </w:p>
    <w:p>
      <w:pPr>
        <w:spacing w:after="0" w:line="150" w:lineRule="exact"/>
        <w:rPr>
          <w:rFonts w:ascii="Arial" w:cs="Arial" w:eastAsia="Arial" w:hAnsi="Arial"/>
          <w:sz w:val="12"/>
          <w:szCs w:val="12"/>
          <w:color w:val="auto"/>
        </w:rPr>
      </w:pPr>
    </w:p>
    <w:p>
      <w:pPr>
        <w:ind w:left="212" w:right="120"/>
        <w:spacing w:after="0" w:line="276" w:lineRule="auto"/>
        <w:rPr>
          <w:rFonts w:ascii="Arial" w:cs="Arial" w:eastAsia="Arial" w:hAnsi="Arial"/>
          <w:sz w:val="12"/>
          <w:szCs w:val="12"/>
          <w:color w:val="auto"/>
        </w:rPr>
      </w:pPr>
      <w:r>
        <w:rPr>
          <w:rFonts w:ascii="Arial" w:cs="Arial" w:eastAsia="Arial" w:hAnsi="Arial"/>
          <w:sz w:val="12"/>
          <w:szCs w:val="12"/>
          <w:color w:val="auto"/>
        </w:rPr>
        <w:t>Deposits with local and foreign banks mainly consist of balances in soles and U.S. Dollars; these are cash in hand and earn interest at market rates. At December 31, 2019 and 2018 Credicorp and its Subsidiaries do not maintain significant deposits with any bank in particular.</w:t>
      </w:r>
    </w:p>
    <w:p>
      <w:pPr>
        <w:spacing w:after="0" w:line="259" w:lineRule="exact"/>
        <w:rPr>
          <w:rFonts w:ascii="Arial" w:cs="Arial" w:eastAsia="Arial" w:hAnsi="Arial"/>
          <w:sz w:val="12"/>
          <w:szCs w:val="12"/>
          <w:color w:val="auto"/>
        </w:rPr>
      </w:pPr>
    </w:p>
    <w:p>
      <w:pPr>
        <w:ind w:left="5472" w:hanging="72"/>
        <w:spacing w:after="0"/>
        <w:tabs>
          <w:tab w:leader="none" w:pos="5472" w:val="left"/>
        </w:tabs>
        <w:numPr>
          <w:ilvl w:val="2"/>
          <w:numId w:val="83"/>
        </w:numPr>
        <w:rPr>
          <w:rFonts w:ascii="Arial" w:cs="Arial" w:eastAsia="Arial" w:hAnsi="Arial"/>
          <w:sz w:val="12"/>
          <w:szCs w:val="12"/>
          <w:color w:val="auto"/>
        </w:rPr>
      </w:pPr>
      <w:r>
        <w:rPr>
          <w:rFonts w:ascii="Arial" w:cs="Arial" w:eastAsia="Arial" w:hAnsi="Arial"/>
          <w:sz w:val="12"/>
          <w:szCs w:val="12"/>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32"/>
          </w:cols>
          <w:pgMar w:left="428" w:top="653" w:right="239" w:bottom="1440" w:gutter="0" w:footer="0" w:header="0"/>
          <w:type w:val="continuous"/>
        </w:sectPr>
      </w:pPr>
    </w:p>
    <w:bookmarkStart w:id="71" w:name="page72"/>
    <w:bookmarkEnd w:id="71"/>
    <w:p>
      <w:pPr>
        <w:ind w:left="208" w:hanging="208"/>
        <w:spacing w:after="0"/>
        <w:tabs>
          <w:tab w:leader="none" w:pos="208" w:val="left"/>
        </w:tabs>
        <w:numPr>
          <w:ilvl w:val="0"/>
          <w:numId w:val="84"/>
        </w:numPr>
        <w:rPr>
          <w:rFonts w:ascii="Arial" w:cs="Arial" w:eastAsia="Arial" w:hAnsi="Arial"/>
          <w:sz w:val="11"/>
          <w:szCs w:val="11"/>
          <w:b w:val="1"/>
          <w:bCs w:val="1"/>
          <w:color w:val="auto"/>
        </w:rPr>
      </w:pPr>
      <w:r>
        <w:rPr>
          <w:rFonts w:ascii="Arial" w:cs="Arial" w:eastAsia="Arial" w:hAnsi="Arial"/>
          <w:sz w:val="11"/>
          <w:szCs w:val="11"/>
          <w:b w:val="1"/>
          <w:bCs w:val="1"/>
          <w:color w:val="auto"/>
        </w:rPr>
        <w:t>CASH COLLATERAL, REVERSE REPURCHASE AGREEMENTS AND SECURITIES BORROWING AND PAYABLES FROM REPURCHASE AGREEMENTS AND SECURITIES LENDING</w:t>
      </w:r>
    </w:p>
    <w:p>
      <w:pPr>
        <w:sectPr>
          <w:pgSz w:w="11900" w:h="16838" w:orient="portrait"/>
          <w:cols w:equalWidth="0" w:num="1">
            <w:col w:w="11428"/>
          </w:cols>
          <w:pgMar w:left="212" w:top="829" w:right="259" w:bottom="1440" w:gutter="0" w:footer="0" w:header="0"/>
        </w:sectPr>
      </w:pPr>
    </w:p>
    <w:p>
      <w:pPr>
        <w:spacing w:after="0" w:line="166" w:lineRule="exact"/>
        <w:rPr>
          <w:sz w:val="20"/>
          <w:szCs w:val="20"/>
          <w:color w:val="auto"/>
        </w:rPr>
      </w:pPr>
    </w:p>
    <w:p>
      <w:pPr>
        <w:ind w:left="428" w:hanging="212"/>
        <w:spacing w:after="0"/>
        <w:tabs>
          <w:tab w:leader="none" w:pos="428" w:val="left"/>
        </w:tabs>
        <w:numPr>
          <w:ilvl w:val="0"/>
          <w:numId w:val="85"/>
        </w:numPr>
        <w:rPr>
          <w:rFonts w:ascii="Arial" w:cs="Arial" w:eastAsia="Arial" w:hAnsi="Arial"/>
          <w:sz w:val="10"/>
          <w:szCs w:val="10"/>
          <w:color w:val="auto"/>
        </w:rPr>
      </w:pPr>
      <w:r>
        <w:rPr>
          <w:rFonts w:ascii="Arial" w:cs="Arial" w:eastAsia="Arial" w:hAnsi="Arial"/>
          <w:sz w:val="10"/>
          <w:szCs w:val="10"/>
          <w:color w:val="auto"/>
        </w:rPr>
        <w:t>We present below the composition of cash collateral, reverse repurchase agreements and securities borrowing:</w:t>
      </w:r>
    </w:p>
    <w:p>
      <w:pPr>
        <w:spacing w:after="0" w:line="200" w:lineRule="exact"/>
        <w:rPr>
          <w:rFonts w:ascii="Arial" w:cs="Arial" w:eastAsia="Arial" w:hAnsi="Arial"/>
          <w:sz w:val="10"/>
          <w:szCs w:val="10"/>
          <w:color w:val="auto"/>
        </w:rPr>
      </w:pPr>
    </w:p>
    <w:p>
      <w:pPr>
        <w:spacing w:after="0" w:line="279" w:lineRule="exact"/>
        <w:rPr>
          <w:rFonts w:ascii="Arial" w:cs="Arial" w:eastAsia="Arial" w:hAnsi="Arial"/>
          <w:sz w:val="10"/>
          <w:szCs w:val="10"/>
          <w:color w:val="auto"/>
        </w:rPr>
      </w:pPr>
    </w:p>
    <w:p>
      <w:pPr>
        <w:ind w:left="428" w:right="3760"/>
        <w:spacing w:after="0" w:line="263" w:lineRule="auto"/>
        <w:rPr>
          <w:rFonts w:ascii="Arial" w:cs="Arial" w:eastAsia="Arial" w:hAnsi="Arial"/>
          <w:sz w:val="10"/>
          <w:szCs w:val="10"/>
          <w:color w:val="auto"/>
        </w:rPr>
      </w:pPr>
      <w:r>
        <w:rPr>
          <w:rFonts w:ascii="Arial" w:cs="Arial" w:eastAsia="Arial" w:hAnsi="Arial"/>
          <w:sz w:val="12"/>
          <w:szCs w:val="12"/>
          <w:color w:val="auto"/>
        </w:rPr>
        <w:t>Cash collateral on repurchase agreements and security lendings (i) Reverse repurchase agreement and security borrowings (ii) Receivables for short sales</w:t>
      </w:r>
    </w:p>
    <w:p>
      <w:pPr>
        <w:spacing w:after="0" w:line="1" w:lineRule="exact"/>
        <w:rPr>
          <w:rFonts w:ascii="Arial" w:cs="Arial" w:eastAsia="Arial" w:hAnsi="Arial"/>
          <w:sz w:val="10"/>
          <w:szCs w:val="10"/>
          <w:color w:val="auto"/>
        </w:rPr>
      </w:pPr>
    </w:p>
    <w:p>
      <w:pPr>
        <w:ind w:left="428"/>
        <w:spacing w:after="0"/>
        <w:rPr>
          <w:rFonts w:ascii="Arial" w:cs="Arial" w:eastAsia="Arial" w:hAnsi="Arial"/>
          <w:sz w:val="10"/>
          <w:szCs w:val="1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-370205</wp:posOffset>
            </wp:positionV>
            <wp:extent cx="6485890" cy="9144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6485890" cy="9144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-187325</wp:posOffset>
            </wp:positionV>
            <wp:extent cx="6485890" cy="971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648589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r>
      <w:tr>
        <w:trPr>
          <w:trHeight w:val="124"/>
        </w:trPr>
        <w:tc>
          <w:tcPr>
            <w:tcW w:w="1120" w:type="dxa"/>
            <w:vAlign w:val="bottom"/>
          </w:tcPr>
          <w:p>
            <w:pPr>
              <w:jc w:val="right"/>
              <w:ind w:right="260"/>
              <w:spacing w:after="0" w:line="125"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0"/>
                <w:szCs w:val="10"/>
                <w:color w:val="auto"/>
              </w:rPr>
            </w:pPr>
          </w:p>
        </w:tc>
        <w:tc>
          <w:tcPr>
            <w:tcW w:w="1120" w:type="dxa"/>
            <w:vAlign w:val="bottom"/>
          </w:tcPr>
          <w:p>
            <w:pPr>
              <w:jc w:val="right"/>
              <w:ind w:right="260"/>
              <w:spacing w:after="0" w:line="125"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r>
      <w:tr>
        <w:trPr>
          <w:trHeight w:val="144"/>
        </w:trPr>
        <w:tc>
          <w:tcPr>
            <w:tcW w:w="1120" w:type="dxa"/>
            <w:vAlign w:val="bottom"/>
          </w:tcPr>
          <w:p>
            <w:pPr>
              <w:jc w:val="right"/>
              <w:spacing w:after="0"/>
              <w:rPr>
                <w:sz w:val="20"/>
                <w:szCs w:val="20"/>
                <w:color w:val="auto"/>
              </w:rPr>
            </w:pPr>
            <w:r>
              <w:rPr>
                <w:rFonts w:ascii="Arial" w:cs="Arial" w:eastAsia="Arial" w:hAnsi="Arial"/>
                <w:sz w:val="12"/>
                <w:szCs w:val="12"/>
                <w:color w:val="auto"/>
              </w:rPr>
              <w:t>3,293,837</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3,409,890</w:t>
            </w:r>
          </w:p>
        </w:tc>
        <w:tc>
          <w:tcPr>
            <w:tcW w:w="20" w:type="dxa"/>
            <w:vAlign w:val="bottom"/>
          </w:tcPr>
          <w:p>
            <w:pPr>
              <w:spacing w:after="0"/>
              <w:rPr>
                <w:sz w:val="12"/>
                <w:szCs w:val="12"/>
                <w:color w:val="auto"/>
              </w:rPr>
            </w:pPr>
          </w:p>
        </w:tc>
      </w:tr>
      <w:tr>
        <w:trPr>
          <w:trHeight w:val="153"/>
        </w:trPr>
        <w:tc>
          <w:tcPr>
            <w:tcW w:w="1120" w:type="dxa"/>
            <w:vAlign w:val="bottom"/>
          </w:tcPr>
          <w:p>
            <w:pPr>
              <w:jc w:val="right"/>
              <w:spacing w:after="0"/>
              <w:rPr>
                <w:sz w:val="20"/>
                <w:szCs w:val="20"/>
                <w:color w:val="auto"/>
              </w:rPr>
            </w:pPr>
            <w:r>
              <w:rPr>
                <w:rFonts w:ascii="Arial" w:cs="Arial" w:eastAsia="Arial" w:hAnsi="Arial"/>
                <w:sz w:val="12"/>
                <w:szCs w:val="12"/>
                <w:color w:val="auto"/>
              </w:rPr>
              <w:t>899,435</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659,380</w:t>
            </w:r>
          </w:p>
        </w:tc>
        <w:tc>
          <w:tcPr>
            <w:tcW w:w="20" w:type="dxa"/>
            <w:vAlign w:val="bottom"/>
          </w:tcPr>
          <w:p>
            <w:pPr>
              <w:spacing w:after="0"/>
              <w:rPr>
                <w:sz w:val="13"/>
                <w:szCs w:val="13"/>
                <w:color w:val="auto"/>
              </w:rPr>
            </w:pPr>
          </w:p>
        </w:tc>
      </w:tr>
      <w:tr>
        <w:trPr>
          <w:trHeight w:val="153"/>
        </w:trPr>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95,252</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13,672</w:t>
            </w:r>
          </w:p>
        </w:tc>
      </w:tr>
      <w:tr>
        <w:trPr>
          <w:trHeight w:val="167"/>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4,288,524</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4,082,942</w:t>
            </w:r>
          </w:p>
        </w:tc>
        <w:tc>
          <w:tcPr>
            <w:tcW w:w="20" w:type="dxa"/>
            <w:vAlign w:val="bottom"/>
          </w:tcPr>
          <w:p>
            <w:pPr>
              <w:spacing w:after="0"/>
              <w:rPr>
                <w:sz w:val="14"/>
                <w:szCs w:val="14"/>
                <w:color w:val="auto"/>
              </w:rPr>
            </w:pPr>
          </w:p>
        </w:tc>
      </w:tr>
    </w:tbl>
    <w:p>
      <w:pPr>
        <w:spacing w:after="0" w:line="135" w:lineRule="exact"/>
        <w:rPr>
          <w:sz w:val="20"/>
          <w:szCs w:val="20"/>
          <w:color w:val="auto"/>
        </w:rPr>
      </w:pPr>
    </w:p>
    <w:p>
      <w:pPr>
        <w:sectPr>
          <w:pgSz w:w="11900" w:h="16838" w:orient="portrait"/>
          <w:cols w:equalWidth="0" w:num="2">
            <w:col w:w="7388" w:space="720"/>
            <w:col w:w="3320"/>
          </w:cols>
          <w:pgMar w:left="212" w:top="829" w:right="259" w:bottom="1440" w:gutter="0" w:footer="0" w:header="0"/>
          <w:type w:val="continuous"/>
        </w:sectPr>
      </w:pPr>
    </w:p>
    <w:p>
      <w:pPr>
        <w:ind w:left="648" w:hanging="216"/>
        <w:spacing w:after="0" w:line="323" w:lineRule="auto"/>
        <w:tabs>
          <w:tab w:leader="none" w:pos="648" w:val="left"/>
        </w:tabs>
        <w:numPr>
          <w:ilvl w:val="0"/>
          <w:numId w:val="86"/>
        </w:numPr>
        <w:rPr>
          <w:rFonts w:ascii="Arial" w:cs="Arial" w:eastAsia="Arial" w:hAnsi="Arial"/>
          <w:sz w:val="11"/>
          <w:szCs w:val="11"/>
          <w:color w:val="auto"/>
        </w:rPr>
      </w:pPr>
      <w:r>
        <w:rPr>
          <w:rFonts w:ascii="Arial" w:cs="Arial" w:eastAsia="Arial" w:hAnsi="Arial"/>
          <w:sz w:val="11"/>
          <w:szCs w:val="11"/>
          <w:color w:val="auto"/>
        </w:rPr>
        <w:t>At December 31, 2019, the balance mainly comprises cash collateral for approximately US$844.5 million, equivalent to S/2,798.7 million, delivered to BCRP to secure a borrowing in soles of approximately S/2,800.4 million from the same entity (cash collateral for approximately US$919.2 million, equivalent to S/3,100.5 million, and borrowing of approximately S/2,948.5 million, at December 31, 2018).</w:t>
      </w:r>
    </w:p>
    <w:p>
      <w:pPr>
        <w:spacing w:after="0" w:line="91" w:lineRule="exact"/>
        <w:rPr>
          <w:rFonts w:ascii="Arial" w:cs="Arial" w:eastAsia="Arial" w:hAnsi="Arial"/>
          <w:sz w:val="11"/>
          <w:szCs w:val="11"/>
          <w:color w:val="auto"/>
        </w:rPr>
      </w:pPr>
    </w:p>
    <w:p>
      <w:pPr>
        <w:ind w:left="648"/>
        <w:spacing w:after="0" w:line="276" w:lineRule="auto"/>
        <w:rPr>
          <w:rFonts w:ascii="Arial" w:cs="Arial" w:eastAsia="Arial" w:hAnsi="Arial"/>
          <w:sz w:val="11"/>
          <w:szCs w:val="11"/>
          <w:color w:val="auto"/>
        </w:rPr>
      </w:pPr>
      <w:r>
        <w:rPr>
          <w:rFonts w:ascii="Arial" w:cs="Arial" w:eastAsia="Arial" w:hAnsi="Arial"/>
          <w:sz w:val="12"/>
          <w:szCs w:val="12"/>
          <w:color w:val="auto"/>
        </w:rPr>
        <w:t>Cash collateral granted bears interest at an average annual effective interest rate according to market rates. The related liability is presented in “Payables from repurchase agreements and securities lending” of the consolidated statement of financial position, see paragraph (c) below.</w:t>
      </w:r>
    </w:p>
    <w:p>
      <w:pPr>
        <w:spacing w:after="0" w:line="259" w:lineRule="exact"/>
        <w:rPr>
          <w:rFonts w:ascii="Arial" w:cs="Arial" w:eastAsia="Arial" w:hAnsi="Arial"/>
          <w:sz w:val="11"/>
          <w:szCs w:val="11"/>
          <w:color w:val="auto"/>
        </w:rPr>
      </w:pPr>
    </w:p>
    <w:p>
      <w:pPr>
        <w:ind w:left="5688" w:hanging="72"/>
        <w:spacing w:after="0"/>
        <w:tabs>
          <w:tab w:leader="none" w:pos="5688" w:val="left"/>
        </w:tabs>
        <w:numPr>
          <w:ilvl w:val="1"/>
          <w:numId w:val="86"/>
        </w:numPr>
        <w:rPr>
          <w:rFonts w:ascii="Arial" w:cs="Arial" w:eastAsia="Arial" w:hAnsi="Arial"/>
          <w:sz w:val="12"/>
          <w:szCs w:val="12"/>
          <w:color w:val="auto"/>
        </w:rPr>
      </w:pPr>
      <w:r>
        <w:rPr>
          <w:rFonts w:ascii="Arial" w:cs="Arial" w:eastAsia="Arial" w:hAnsi="Arial"/>
          <w:sz w:val="12"/>
          <w:szCs w:val="12"/>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829" w:right="259" w:bottom="1440" w:gutter="0" w:footer="0" w:header="0"/>
          <w:type w:val="continuous"/>
        </w:sectPr>
      </w:pPr>
    </w:p>
    <w:bookmarkStart w:id="72" w:name="page73"/>
    <w:bookmarkEnd w:id="72"/>
    <w:p>
      <w:pPr>
        <w:ind w:left="440" w:right="40" w:hanging="216"/>
        <w:spacing w:after="0" w:line="276" w:lineRule="auto"/>
        <w:tabs>
          <w:tab w:leader="none" w:pos="4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Credicorp, mainly through its subsidiaries, provides financing to its customers through reverse repurchase agreements and securities borrowing, in which a financial instrument serves as collateral. Details of said transactions are as follows:</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w w:val="92"/>
              </w:rPr>
              <w:t>At December 31, 2019</w:t>
            </w: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At December 31, 2018</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74"/>
        </w:trPr>
        <w:tc>
          <w:tcPr>
            <w:tcW w:w="2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Fair value</w:t>
            </w: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More</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Fair value</w:t>
            </w:r>
          </w:p>
        </w:tc>
        <w:tc>
          <w:tcPr>
            <w:tcW w:w="100" w:type="dxa"/>
            <w:vAlign w:val="bottom"/>
          </w:tcPr>
          <w:p>
            <w:pPr>
              <w:spacing w:after="0"/>
              <w:rPr>
                <w:sz w:val="6"/>
                <w:szCs w:val="6"/>
                <w:color w:val="auto"/>
              </w:rPr>
            </w:pPr>
          </w:p>
        </w:tc>
      </w:tr>
      <w:tr>
        <w:trPr>
          <w:trHeight w:val="99"/>
        </w:trPr>
        <w:tc>
          <w:tcPr>
            <w:tcW w:w="2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Average</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From 3</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1"/>
              </w:rPr>
              <w:t>More</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of</w:t>
            </w:r>
          </w:p>
        </w:tc>
        <w:tc>
          <w:tcPr>
            <w:tcW w:w="6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4"/>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 3</w:t>
            </w:r>
          </w:p>
        </w:tc>
        <w:tc>
          <w:tcPr>
            <w:tcW w:w="6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than</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4"/>
              </w:rPr>
              <w:t>of</w:t>
            </w:r>
          </w:p>
        </w:tc>
      </w:tr>
      <w:tr>
        <w:trPr>
          <w:trHeight w:val="99"/>
        </w:trPr>
        <w:tc>
          <w:tcPr>
            <w:tcW w:w="2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2"/>
              </w:rPr>
              <w:t>interest</w:t>
            </w:r>
          </w:p>
        </w:tc>
        <w:tc>
          <w:tcPr>
            <w:tcW w:w="6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Up to 3</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to 30</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than 30</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2"/>
              </w:rPr>
              <w:t>Carrying</w:t>
            </w:r>
          </w:p>
        </w:tc>
        <w:tc>
          <w:tcPr>
            <w:tcW w:w="6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underlying</w:t>
            </w:r>
          </w:p>
        </w:tc>
        <w:tc>
          <w:tcPr>
            <w:tcW w:w="6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2"/>
              </w:rPr>
              <w:t>interest</w:t>
            </w:r>
          </w:p>
        </w:tc>
        <w:tc>
          <w:tcPr>
            <w:tcW w:w="6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Up to 3</w:t>
            </w:r>
          </w:p>
        </w:tc>
        <w:tc>
          <w:tcPr>
            <w:tcW w:w="100" w:type="dxa"/>
            <w:vAlign w:val="bottom"/>
          </w:tcPr>
          <w:p>
            <w:pPr>
              <w:spacing w:after="0"/>
              <w:rPr>
                <w:sz w:val="8"/>
                <w:szCs w:val="8"/>
                <w:color w:val="auto"/>
              </w:rPr>
            </w:pPr>
          </w:p>
        </w:tc>
        <w:tc>
          <w:tcPr>
            <w:tcW w:w="520" w:type="dxa"/>
            <w:vAlign w:val="bottom"/>
            <w:gridSpan w:val="3"/>
          </w:tcPr>
          <w:p>
            <w:pPr>
              <w:jc w:val="center"/>
              <w:ind w:right="320"/>
              <w:spacing w:after="0" w:line="99" w:lineRule="exact"/>
              <w:rPr>
                <w:sz w:val="20"/>
                <w:szCs w:val="20"/>
                <w:color w:val="auto"/>
              </w:rPr>
            </w:pPr>
            <w:r>
              <w:rPr>
                <w:rFonts w:ascii="Arial" w:cs="Arial" w:eastAsia="Arial" w:hAnsi="Arial"/>
                <w:sz w:val="10"/>
                <w:szCs w:val="10"/>
                <w:b w:val="1"/>
                <w:bCs w:val="1"/>
                <w:color w:val="auto"/>
                <w:w w:val="85"/>
              </w:rPr>
              <w:t>to 30</w:t>
            </w:r>
          </w:p>
        </w:tc>
        <w:tc>
          <w:tcPr>
            <w:tcW w:w="400" w:type="dxa"/>
            <w:vAlign w:val="bottom"/>
          </w:tcPr>
          <w:p>
            <w:pPr>
              <w:jc w:val="right"/>
              <w:ind w:right="113"/>
              <w:spacing w:after="0" w:line="99" w:lineRule="exact"/>
              <w:rPr>
                <w:sz w:val="20"/>
                <w:szCs w:val="20"/>
                <w:color w:val="auto"/>
              </w:rPr>
            </w:pPr>
            <w:r>
              <w:rPr>
                <w:rFonts w:ascii="Arial" w:cs="Arial" w:eastAsia="Arial" w:hAnsi="Arial"/>
                <w:sz w:val="10"/>
                <w:szCs w:val="10"/>
                <w:b w:val="1"/>
                <w:bCs w:val="1"/>
                <w:color w:val="auto"/>
              </w:rPr>
              <w:t>30</w:t>
            </w:r>
          </w:p>
        </w:tc>
        <w:tc>
          <w:tcPr>
            <w:tcW w:w="200" w:type="dxa"/>
            <w:vAlign w:val="bottom"/>
          </w:tcPr>
          <w:p>
            <w:pPr>
              <w:spacing w:after="0"/>
              <w:rPr>
                <w:sz w:val="8"/>
                <w:szCs w:val="8"/>
                <w:color w:val="auto"/>
              </w:rPr>
            </w:pPr>
          </w:p>
        </w:tc>
        <w:tc>
          <w:tcPr>
            <w:tcW w:w="50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92"/>
              </w:rPr>
              <w:t>Carrying</w:t>
            </w:r>
          </w:p>
        </w:tc>
        <w:tc>
          <w:tcPr>
            <w:tcW w:w="64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9"/>
              </w:rPr>
              <w:t>underlying</w:t>
            </w:r>
          </w:p>
        </w:tc>
      </w:tr>
      <w:tr>
        <w:trPr>
          <w:trHeight w:val="114"/>
        </w:trPr>
        <w:tc>
          <w:tcPr>
            <w:tcW w:w="2420" w:type="dxa"/>
            <w:vAlign w:val="bottom"/>
          </w:tcPr>
          <w:p>
            <w:pPr>
              <w:spacing w:after="0"/>
              <w:rPr>
                <w:sz w:val="9"/>
                <w:szCs w:val="9"/>
                <w:color w:val="auto"/>
              </w:rPr>
            </w:pPr>
          </w:p>
        </w:tc>
        <w:tc>
          <w:tcPr>
            <w:tcW w:w="6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Currency</w:t>
            </w:r>
          </w:p>
        </w:tc>
        <w:tc>
          <w:tcPr>
            <w:tcW w:w="6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6"/>
              </w:rPr>
              <w:t>rate</w:t>
            </w:r>
          </w:p>
        </w:tc>
        <w:tc>
          <w:tcPr>
            <w:tcW w:w="6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78"/>
              </w:rPr>
              <w:t>days</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7"/>
              </w:rPr>
              <w:t>days</w:t>
            </w: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8"/>
              </w:rPr>
              <w:t>days</w:t>
            </w: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amount</w:t>
            </w: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6"/>
              </w:rPr>
              <w:t>assets</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rate</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days</w:t>
            </w:r>
          </w:p>
        </w:tc>
        <w:tc>
          <w:tcPr>
            <w:tcW w:w="100" w:type="dxa"/>
            <w:vAlign w:val="bottom"/>
          </w:tcPr>
          <w:p>
            <w:pPr>
              <w:spacing w:after="0"/>
              <w:rPr>
                <w:sz w:val="9"/>
                <w:szCs w:val="9"/>
                <w:color w:val="auto"/>
              </w:rPr>
            </w:pPr>
          </w:p>
        </w:tc>
        <w:tc>
          <w:tcPr>
            <w:tcW w:w="52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78"/>
              </w:rPr>
              <w:t>days</w:t>
            </w: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78"/>
              </w:rPr>
              <w:t>days</w:t>
            </w:r>
          </w:p>
        </w:tc>
        <w:tc>
          <w:tcPr>
            <w:tcW w:w="5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8"/>
              </w:rPr>
              <w:t>amount</w:t>
            </w:r>
          </w:p>
        </w:tc>
        <w:tc>
          <w:tcPr>
            <w:tcW w:w="100" w:type="dxa"/>
            <w:vAlign w:val="bottom"/>
          </w:tcPr>
          <w:p>
            <w:pPr>
              <w:spacing w:after="0"/>
              <w:rPr>
                <w:sz w:val="9"/>
                <w:szCs w:val="9"/>
                <w:color w:val="auto"/>
              </w:rPr>
            </w:pPr>
          </w:p>
        </w:tc>
        <w:tc>
          <w:tcPr>
            <w:tcW w:w="54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70"/>
              </w:rPr>
              <w:t>assets</w:t>
            </w:r>
          </w:p>
        </w:tc>
      </w:tr>
      <w:tr>
        <w:trPr>
          <w:trHeight w:val="88"/>
        </w:trPr>
        <w:tc>
          <w:tcPr>
            <w:tcW w:w="24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4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4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2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gridSpan w:val="2"/>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100" w:type="dxa"/>
            <w:vAlign w:val="bottom"/>
          </w:tcPr>
          <w:p>
            <w:pPr>
              <w:spacing w:after="0"/>
              <w:rPr>
                <w:sz w:val="7"/>
                <w:szCs w:val="7"/>
                <w:color w:val="auto"/>
              </w:rPr>
            </w:pPr>
          </w:p>
        </w:tc>
      </w:tr>
      <w:tr>
        <w:trPr>
          <w:trHeight w:val="87"/>
        </w:trPr>
        <w:tc>
          <w:tcPr>
            <w:tcW w:w="24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center"/>
              <w:ind w:right="120"/>
              <w:spacing w:after="0" w:line="87" w:lineRule="exact"/>
              <w:rPr>
                <w:sz w:val="20"/>
                <w:szCs w:val="20"/>
                <w:color w:val="auto"/>
              </w:rPr>
            </w:pPr>
            <w:r>
              <w:rPr>
                <w:rFonts w:ascii="Arial" w:cs="Arial" w:eastAsia="Arial" w:hAnsi="Arial"/>
                <w:sz w:val="10"/>
                <w:szCs w:val="10"/>
                <w:color w:val="auto"/>
                <w:w w:val="91"/>
              </w:rPr>
              <w:t>Colombian</w:t>
            </w: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r>
      <w:tr>
        <w:trPr>
          <w:trHeight w:val="112"/>
        </w:trPr>
        <w:tc>
          <w:tcPr>
            <w:tcW w:w="242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Instruments issued by the Colombian Government</w:t>
            </w:r>
          </w:p>
        </w:tc>
        <w:tc>
          <w:tcPr>
            <w:tcW w:w="640" w:type="dxa"/>
            <w:vAlign w:val="bottom"/>
            <w:gridSpan w:val="2"/>
            <w:shd w:val="clear" w:color="auto" w:fill="CCEEFF"/>
          </w:tcPr>
          <w:p>
            <w:pPr>
              <w:jc w:val="center"/>
              <w:ind w:right="120"/>
              <w:spacing w:after="0" w:line="112" w:lineRule="exact"/>
              <w:rPr>
                <w:sz w:val="20"/>
                <w:szCs w:val="20"/>
                <w:color w:val="auto"/>
              </w:rPr>
            </w:pPr>
            <w:r>
              <w:rPr>
                <w:rFonts w:ascii="Arial" w:cs="Arial" w:eastAsia="Arial" w:hAnsi="Arial"/>
                <w:sz w:val="10"/>
                <w:szCs w:val="10"/>
                <w:color w:val="auto"/>
                <w:w w:val="74"/>
              </w:rPr>
              <w:t>pesos</w:t>
            </w:r>
          </w:p>
        </w:tc>
        <w:tc>
          <w:tcPr>
            <w:tcW w:w="64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5.61</w:t>
            </w:r>
          </w:p>
        </w:tc>
        <w:tc>
          <w:tcPr>
            <w:tcW w:w="64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97,747</w:t>
            </w:r>
          </w:p>
        </w:tc>
        <w:tc>
          <w:tcPr>
            <w:tcW w:w="6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376,043</w:t>
            </w:r>
          </w:p>
        </w:tc>
        <w:tc>
          <w:tcPr>
            <w:tcW w:w="62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76,396</w:t>
            </w:r>
          </w:p>
        </w:tc>
        <w:tc>
          <w:tcPr>
            <w:tcW w:w="62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550,186</w:t>
            </w:r>
          </w:p>
        </w:tc>
        <w:tc>
          <w:tcPr>
            <w:tcW w:w="64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550,579</w:t>
            </w:r>
          </w:p>
        </w:tc>
        <w:tc>
          <w:tcPr>
            <w:tcW w:w="60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6.60</w:t>
            </w:r>
          </w:p>
        </w:tc>
        <w:tc>
          <w:tcPr>
            <w:tcW w:w="4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401,580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47,872</w:t>
            </w:r>
          </w:p>
        </w:tc>
        <w:tc>
          <w:tcPr>
            <w:tcW w:w="50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449,452</w:t>
            </w:r>
          </w:p>
        </w:tc>
        <w:tc>
          <w:tcPr>
            <w:tcW w:w="54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443,386</w:t>
            </w:r>
          </w:p>
        </w:tc>
        <w:tc>
          <w:tcPr>
            <w:tcW w:w="100" w:type="dxa"/>
            <w:vAlign w:val="bottom"/>
            <w:tcBorders>
              <w:left w:val="single" w:sz="8" w:color="CCEEFF"/>
            </w:tcBorders>
            <w:shd w:val="clear" w:color="auto" w:fill="CCEEFF"/>
          </w:tcPr>
          <w:p>
            <w:pPr>
              <w:spacing w:after="0"/>
              <w:rPr>
                <w:sz w:val="9"/>
                <w:szCs w:val="9"/>
                <w:color w:val="auto"/>
              </w:rPr>
            </w:pPr>
          </w:p>
        </w:tc>
      </w:tr>
      <w:tr>
        <w:trPr>
          <w:trHeight w:val="87"/>
        </w:trPr>
        <w:tc>
          <w:tcPr>
            <w:tcW w:w="2420" w:type="dxa"/>
            <w:vAlign w:val="bottom"/>
          </w:tcPr>
          <w:p>
            <w:pPr>
              <w:spacing w:after="0"/>
              <w:rPr>
                <w:sz w:val="7"/>
                <w:szCs w:val="7"/>
                <w:color w:val="auto"/>
              </w:rPr>
            </w:pPr>
          </w:p>
        </w:tc>
        <w:tc>
          <w:tcPr>
            <w:tcW w:w="640" w:type="dxa"/>
            <w:vAlign w:val="bottom"/>
            <w:gridSpan w:val="2"/>
          </w:tcPr>
          <w:p>
            <w:pPr>
              <w:jc w:val="center"/>
              <w:ind w:right="120"/>
              <w:spacing w:after="0" w:line="87" w:lineRule="exact"/>
              <w:rPr>
                <w:sz w:val="20"/>
                <w:szCs w:val="20"/>
                <w:color w:val="auto"/>
              </w:rPr>
            </w:pPr>
            <w:r>
              <w:rPr>
                <w:rFonts w:ascii="Arial" w:cs="Arial" w:eastAsia="Arial" w:hAnsi="Arial"/>
                <w:sz w:val="10"/>
                <w:szCs w:val="10"/>
                <w:color w:val="auto"/>
                <w:w w:val="82"/>
              </w:rPr>
              <w:t>Chilean</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2"/>
        </w:trPr>
        <w:tc>
          <w:tcPr>
            <w:tcW w:w="2420" w:type="dxa"/>
            <w:vAlign w:val="bottom"/>
          </w:tcPr>
          <w:p>
            <w:pPr>
              <w:spacing w:after="0" w:line="112" w:lineRule="exact"/>
              <w:rPr>
                <w:sz w:val="20"/>
                <w:szCs w:val="20"/>
                <w:color w:val="auto"/>
              </w:rPr>
            </w:pPr>
            <w:r>
              <w:rPr>
                <w:rFonts w:ascii="Arial" w:cs="Arial" w:eastAsia="Arial" w:hAnsi="Arial"/>
                <w:sz w:val="10"/>
                <w:szCs w:val="10"/>
                <w:color w:val="auto"/>
              </w:rPr>
              <w:t>Instruments issued by the Chilean Government</w:t>
            </w:r>
          </w:p>
        </w:tc>
        <w:tc>
          <w:tcPr>
            <w:tcW w:w="640" w:type="dxa"/>
            <w:vAlign w:val="bottom"/>
            <w:gridSpan w:val="2"/>
          </w:tcPr>
          <w:p>
            <w:pPr>
              <w:jc w:val="center"/>
              <w:ind w:right="120"/>
              <w:spacing w:after="0" w:line="112" w:lineRule="exact"/>
              <w:rPr>
                <w:sz w:val="20"/>
                <w:szCs w:val="20"/>
                <w:color w:val="auto"/>
              </w:rPr>
            </w:pPr>
            <w:r>
              <w:rPr>
                <w:rFonts w:ascii="Arial" w:cs="Arial" w:eastAsia="Arial" w:hAnsi="Arial"/>
                <w:sz w:val="10"/>
                <w:szCs w:val="10"/>
                <w:color w:val="auto"/>
                <w:w w:val="74"/>
              </w:rPr>
              <w:t>pesos</w:t>
            </w:r>
          </w:p>
        </w:tc>
        <w:tc>
          <w:tcPr>
            <w:tcW w:w="6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0.34</w:t>
            </w:r>
          </w:p>
        </w:tc>
        <w:tc>
          <w:tcPr>
            <w:tcW w:w="6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7,002</w:t>
            </w:r>
          </w:p>
        </w:tc>
        <w:tc>
          <w:tcPr>
            <w:tcW w:w="6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15,505</w:t>
            </w:r>
          </w:p>
        </w:tc>
        <w:tc>
          <w:tcPr>
            <w:tcW w:w="62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22,507</w:t>
            </w:r>
          </w:p>
        </w:tc>
        <w:tc>
          <w:tcPr>
            <w:tcW w:w="64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22,507</w:t>
            </w:r>
          </w:p>
        </w:tc>
        <w:tc>
          <w:tcPr>
            <w:tcW w:w="60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0.27</w:t>
            </w:r>
          </w:p>
        </w:tc>
        <w:tc>
          <w:tcPr>
            <w:tcW w:w="60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24,624</w:t>
            </w:r>
          </w:p>
        </w:tc>
        <w:tc>
          <w:tcPr>
            <w:tcW w:w="5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rPr>
              <w:t>24,624</w:t>
            </w:r>
          </w:p>
        </w:tc>
        <w:tc>
          <w:tcPr>
            <w:tcW w:w="54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24,628</w:t>
            </w:r>
          </w:p>
        </w:tc>
        <w:tc>
          <w:tcPr>
            <w:tcW w:w="100" w:type="dxa"/>
            <w:vAlign w:val="bottom"/>
          </w:tcPr>
          <w:p>
            <w:pPr>
              <w:spacing w:after="0"/>
              <w:rPr>
                <w:sz w:val="9"/>
                <w:szCs w:val="9"/>
                <w:color w:val="auto"/>
              </w:rPr>
            </w:pPr>
          </w:p>
        </w:tc>
      </w:tr>
      <w:tr>
        <w:trPr>
          <w:trHeight w:val="108"/>
        </w:trPr>
        <w:tc>
          <w:tcPr>
            <w:tcW w:w="2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instruments</w:t>
            </w: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4.44</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156,969</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130,932</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38,841</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326,742</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328,291</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3.76</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12,013</w:t>
            </w:r>
          </w:p>
        </w:tc>
        <w:tc>
          <w:tcPr>
            <w:tcW w:w="5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157,871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15,420</w:t>
            </w:r>
          </w:p>
        </w:tc>
        <w:tc>
          <w:tcPr>
            <w:tcW w:w="5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185,304</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186,774</w:t>
            </w:r>
          </w:p>
        </w:tc>
        <w:tc>
          <w:tcPr>
            <w:tcW w:w="100" w:type="dxa"/>
            <w:vAlign w:val="bottom"/>
            <w:tcBorders>
              <w:left w:val="single" w:sz="8" w:color="CCEEFF"/>
            </w:tcBorders>
            <w:shd w:val="clear" w:color="auto" w:fill="CCEEFF"/>
          </w:tcPr>
          <w:p>
            <w:pPr>
              <w:spacing w:after="0"/>
              <w:rPr>
                <w:sz w:val="9"/>
                <w:szCs w:val="9"/>
                <w:color w:val="auto"/>
              </w:rPr>
            </w:pPr>
          </w:p>
        </w:tc>
      </w:tr>
      <w:tr>
        <w:trPr>
          <w:trHeight w:val="20"/>
        </w:trPr>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2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261,718</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522,480</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115,237</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899,435</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901,377</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36,637</w:t>
            </w:r>
          </w:p>
        </w:tc>
        <w:tc>
          <w:tcPr>
            <w:tcW w:w="520" w:type="dxa"/>
            <w:vAlign w:val="bottom"/>
            <w:gridSpan w:val="3"/>
          </w:tcPr>
          <w:p>
            <w:pPr>
              <w:jc w:val="right"/>
              <w:ind w:right="100"/>
              <w:spacing w:after="0"/>
              <w:rPr>
                <w:sz w:val="20"/>
                <w:szCs w:val="20"/>
                <w:color w:val="auto"/>
              </w:rPr>
            </w:pPr>
            <w:r>
              <w:rPr>
                <w:rFonts w:ascii="Arial" w:cs="Arial" w:eastAsia="Arial" w:hAnsi="Arial"/>
                <w:sz w:val="10"/>
                <w:szCs w:val="10"/>
                <w:color w:val="auto"/>
              </w:rPr>
              <w:t>559,451</w:t>
            </w:r>
          </w:p>
        </w:tc>
        <w:tc>
          <w:tcPr>
            <w:tcW w:w="10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63,292</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659,380</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654,788</w:t>
            </w:r>
          </w:p>
        </w:tc>
        <w:tc>
          <w:tcPr>
            <w:tcW w:w="100" w:type="dxa"/>
            <w:vAlign w:val="bottom"/>
          </w:tcPr>
          <w:p>
            <w:pPr>
              <w:spacing w:after="0"/>
              <w:rPr>
                <w:sz w:val="10"/>
                <w:szCs w:val="10"/>
                <w:color w:val="auto"/>
              </w:rPr>
            </w:pPr>
          </w:p>
        </w:tc>
      </w:tr>
      <w:tr>
        <w:trPr>
          <w:trHeight w:val="27"/>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bl>
    <w:p>
      <w:pPr>
        <w:spacing w:after="0" w:line="135" w:lineRule="exact"/>
        <w:rPr>
          <w:sz w:val="20"/>
          <w:szCs w:val="20"/>
          <w:color w:val="auto"/>
        </w:rPr>
      </w:pPr>
    </w:p>
    <w:p>
      <w:pPr>
        <w:ind w:left="220" w:hanging="212"/>
        <w:spacing w:after="0" w:line="276" w:lineRule="auto"/>
        <w:tabs>
          <w:tab w:leader="none" w:pos="2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At December 31, 2019</w:t>
            </w: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At December 31, 2018</w:t>
            </w: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74"/>
        </w:trPr>
        <w:tc>
          <w:tcPr>
            <w:tcW w:w="2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Fair value</w:t>
            </w: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Fair value</w:t>
            </w:r>
          </w:p>
        </w:tc>
        <w:tc>
          <w:tcPr>
            <w:tcW w:w="100" w:type="dxa"/>
            <w:vAlign w:val="bottom"/>
          </w:tcPr>
          <w:p>
            <w:pPr>
              <w:spacing w:after="0"/>
              <w:rPr>
                <w:sz w:val="6"/>
                <w:szCs w:val="6"/>
                <w:color w:val="auto"/>
              </w:rPr>
            </w:pPr>
          </w:p>
        </w:tc>
      </w:tr>
      <w:tr>
        <w:trPr>
          <w:trHeight w:val="99"/>
        </w:trPr>
        <w:tc>
          <w:tcPr>
            <w:tcW w:w="2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0"/>
              </w:rPr>
              <w:t>Average</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1"/>
              </w:rPr>
              <w:t>More</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of</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6"/>
              </w:rPr>
              <w:t>Average</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More</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of</w:t>
            </w:r>
          </w:p>
        </w:tc>
      </w:tr>
      <w:tr>
        <w:trPr>
          <w:trHeight w:val="99"/>
        </w:trPr>
        <w:tc>
          <w:tcPr>
            <w:tcW w:w="2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8"/>
              </w:rPr>
              <w:t>interest</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Up to 3</w:t>
            </w:r>
          </w:p>
        </w:tc>
        <w:tc>
          <w:tcPr>
            <w:tcW w:w="6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2"/>
              </w:rPr>
              <w:t>From 3 to</w:t>
            </w:r>
          </w:p>
        </w:tc>
        <w:tc>
          <w:tcPr>
            <w:tcW w:w="7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than 30</w:t>
            </w:r>
          </w:p>
        </w:tc>
        <w:tc>
          <w:tcPr>
            <w:tcW w:w="6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2"/>
              </w:rPr>
              <w:t>Carrying</w:t>
            </w:r>
          </w:p>
        </w:tc>
        <w:tc>
          <w:tcPr>
            <w:tcW w:w="6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underlying</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interest</w:t>
            </w: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Up to 3</w:t>
            </w:r>
          </w:p>
        </w:tc>
        <w:tc>
          <w:tcPr>
            <w:tcW w:w="6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From 3 to</w:t>
            </w:r>
          </w:p>
        </w:tc>
        <w:tc>
          <w:tcPr>
            <w:tcW w:w="6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1"/>
              </w:rPr>
              <w:t>than 30</w:t>
            </w: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2"/>
              </w:rPr>
              <w:t>Carrying</w:t>
            </w:r>
          </w:p>
        </w:tc>
        <w:tc>
          <w:tcPr>
            <w:tcW w:w="6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underlying</w:t>
            </w:r>
          </w:p>
        </w:tc>
      </w:tr>
      <w:tr>
        <w:trPr>
          <w:trHeight w:val="114"/>
        </w:trPr>
        <w:tc>
          <w:tcPr>
            <w:tcW w:w="2120" w:type="dxa"/>
            <w:vAlign w:val="bottom"/>
          </w:tcPr>
          <w:p>
            <w:pPr>
              <w:spacing w:after="0"/>
              <w:rPr>
                <w:sz w:val="9"/>
                <w:szCs w:val="9"/>
                <w:color w:val="auto"/>
              </w:rPr>
            </w:pPr>
          </w:p>
        </w:tc>
        <w:tc>
          <w:tcPr>
            <w:tcW w:w="7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Currency</w:t>
            </w: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rate</w:t>
            </w: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8"/>
              </w:rPr>
              <w:t>days</w:t>
            </w:r>
          </w:p>
        </w:tc>
        <w:tc>
          <w:tcPr>
            <w:tcW w:w="68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30 days</w:t>
            </w:r>
          </w:p>
        </w:tc>
        <w:tc>
          <w:tcPr>
            <w:tcW w:w="7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8"/>
              </w:rPr>
              <w:t>days</w:t>
            </w:r>
          </w:p>
        </w:tc>
        <w:tc>
          <w:tcPr>
            <w:tcW w:w="6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8"/>
              </w:rPr>
              <w:t>amount</w:t>
            </w:r>
          </w:p>
        </w:tc>
        <w:tc>
          <w:tcPr>
            <w:tcW w:w="6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6"/>
              </w:rPr>
              <w:t>assets</w:t>
            </w: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rate</w:t>
            </w: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8"/>
              </w:rPr>
              <w:t>days</w:t>
            </w:r>
          </w:p>
        </w:tc>
        <w:tc>
          <w:tcPr>
            <w:tcW w:w="6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30 days</w:t>
            </w:r>
          </w:p>
        </w:tc>
        <w:tc>
          <w:tcPr>
            <w:tcW w:w="6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days</w:t>
            </w:r>
          </w:p>
        </w:tc>
        <w:tc>
          <w:tcPr>
            <w:tcW w:w="6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8"/>
              </w:rPr>
              <w:t>amount</w:t>
            </w:r>
          </w:p>
        </w:tc>
        <w:tc>
          <w:tcPr>
            <w:tcW w:w="64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76"/>
              </w:rPr>
              <w:t>assets</w:t>
            </w:r>
          </w:p>
        </w:tc>
      </w:tr>
      <w:tr>
        <w:trPr>
          <w:trHeight w:val="88"/>
        </w:trPr>
        <w:tc>
          <w:tcPr>
            <w:tcW w:w="2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w:t>
            </w:r>
          </w:p>
        </w:tc>
        <w:tc>
          <w:tcPr>
            <w:tcW w:w="18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ind w:left="100"/>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5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100" w:type="dxa"/>
            <w:vAlign w:val="bottom"/>
          </w:tcPr>
          <w:p>
            <w:pPr>
              <w:spacing w:after="0"/>
              <w:rPr>
                <w:sz w:val="7"/>
                <w:szCs w:val="7"/>
                <w:color w:val="auto"/>
              </w:rPr>
            </w:pPr>
          </w:p>
        </w:tc>
      </w:tr>
      <w:tr>
        <w:trPr>
          <w:trHeight w:val="99"/>
        </w:trPr>
        <w:tc>
          <w:tcPr>
            <w:tcW w:w="21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Debt instruments (c)</w:t>
            </w: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64,900</w:t>
            </w: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25,699</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6,240,866</w:t>
            </w:r>
          </w:p>
        </w:tc>
        <w:tc>
          <w:tcPr>
            <w:tcW w:w="2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6,331,465</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6,709,182</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159,570</w:t>
            </w: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365,201</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7,420,019</w:t>
            </w: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7,944,790</w:t>
            </w:r>
          </w:p>
        </w:tc>
        <w:tc>
          <w:tcPr>
            <w:tcW w:w="2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8,572,837</w:t>
            </w:r>
          </w:p>
        </w:tc>
      </w:tr>
      <w:tr>
        <w:trPr>
          <w:trHeight w:val="87"/>
        </w:trPr>
        <w:tc>
          <w:tcPr>
            <w:tcW w:w="2120" w:type="dxa"/>
            <w:vAlign w:val="bottom"/>
          </w:tcPr>
          <w:p>
            <w:pPr>
              <w:spacing w:after="0"/>
              <w:rPr>
                <w:sz w:val="7"/>
                <w:szCs w:val="7"/>
                <w:color w:val="auto"/>
              </w:rPr>
            </w:pPr>
          </w:p>
        </w:tc>
        <w:tc>
          <w:tcPr>
            <w:tcW w:w="700" w:type="dxa"/>
            <w:vAlign w:val="bottom"/>
            <w:gridSpan w:val="2"/>
          </w:tcPr>
          <w:p>
            <w:pPr>
              <w:jc w:val="center"/>
              <w:ind w:right="100"/>
              <w:spacing w:after="0" w:line="87" w:lineRule="exact"/>
              <w:rPr>
                <w:sz w:val="20"/>
                <w:szCs w:val="20"/>
                <w:color w:val="auto"/>
              </w:rPr>
            </w:pPr>
            <w:r>
              <w:rPr>
                <w:rFonts w:ascii="Arial" w:cs="Arial" w:eastAsia="Arial" w:hAnsi="Arial"/>
                <w:sz w:val="10"/>
                <w:szCs w:val="10"/>
                <w:color w:val="auto"/>
                <w:w w:val="91"/>
              </w:rPr>
              <w:t>Colombian</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2"/>
        </w:trPr>
        <w:tc>
          <w:tcPr>
            <w:tcW w:w="2120" w:type="dxa"/>
            <w:vAlign w:val="bottom"/>
          </w:tcPr>
          <w:p>
            <w:pPr>
              <w:spacing w:after="0" w:line="112" w:lineRule="exact"/>
              <w:rPr>
                <w:sz w:val="20"/>
                <w:szCs w:val="20"/>
                <w:color w:val="auto"/>
              </w:rPr>
            </w:pPr>
            <w:r>
              <w:rPr>
                <w:rFonts w:ascii="Arial" w:cs="Arial" w:eastAsia="Arial" w:hAnsi="Arial"/>
                <w:sz w:val="10"/>
                <w:szCs w:val="10"/>
                <w:color w:val="auto"/>
                <w:w w:val="94"/>
              </w:rPr>
              <w:t>Instruments issued by the Colombian Government</w:t>
            </w:r>
          </w:p>
        </w:tc>
        <w:tc>
          <w:tcPr>
            <w:tcW w:w="700" w:type="dxa"/>
            <w:vAlign w:val="bottom"/>
            <w:gridSpan w:val="2"/>
          </w:tcPr>
          <w:p>
            <w:pPr>
              <w:jc w:val="center"/>
              <w:ind w:right="100"/>
              <w:spacing w:after="0" w:line="112" w:lineRule="exact"/>
              <w:rPr>
                <w:sz w:val="20"/>
                <w:szCs w:val="20"/>
                <w:color w:val="auto"/>
              </w:rPr>
            </w:pPr>
            <w:r>
              <w:rPr>
                <w:rFonts w:ascii="Arial" w:cs="Arial" w:eastAsia="Arial" w:hAnsi="Arial"/>
                <w:sz w:val="10"/>
                <w:szCs w:val="10"/>
                <w:color w:val="auto"/>
                <w:w w:val="74"/>
              </w:rPr>
              <w:t>pesos</w:t>
            </w:r>
          </w:p>
        </w:tc>
        <w:tc>
          <w:tcPr>
            <w:tcW w:w="5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5.49</w:t>
            </w:r>
          </w:p>
        </w:tc>
        <w:tc>
          <w:tcPr>
            <w:tcW w:w="62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135,997</w:t>
            </w:r>
          </w:p>
        </w:tc>
        <w:tc>
          <w:tcPr>
            <w:tcW w:w="6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941,431</w:t>
            </w: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1,077,428</w:t>
            </w: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1,077,917</w:t>
            </w:r>
          </w:p>
        </w:tc>
        <w:tc>
          <w:tcPr>
            <w:tcW w:w="180" w:type="dxa"/>
            <w:vAlign w:val="bottom"/>
          </w:tcPr>
          <w:p>
            <w:pPr>
              <w:spacing w:after="0"/>
              <w:rPr>
                <w:sz w:val="9"/>
                <w:szCs w:val="9"/>
                <w:color w:val="auto"/>
              </w:rPr>
            </w:pPr>
          </w:p>
        </w:tc>
        <w:tc>
          <w:tcPr>
            <w:tcW w:w="62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5.97</w:t>
            </w: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1,231,639</w:t>
            </w:r>
          </w:p>
        </w:tc>
        <w:tc>
          <w:tcPr>
            <w:tcW w:w="6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3,124</w:t>
            </w:r>
          </w:p>
        </w:tc>
        <w:tc>
          <w:tcPr>
            <w:tcW w:w="480" w:type="dxa"/>
            <w:vAlign w:val="bottom"/>
          </w:tcPr>
          <w:p>
            <w:pPr>
              <w:jc w:val="right"/>
              <w:spacing w:after="0" w:line="112" w:lineRule="exact"/>
              <w:rPr>
                <w:sz w:val="20"/>
                <w:szCs w:val="20"/>
                <w:color w:val="auto"/>
              </w:rPr>
            </w:pPr>
            <w:r>
              <w:rPr>
                <w:rFonts w:ascii="Arial" w:cs="Arial" w:eastAsia="Arial" w:hAnsi="Arial"/>
                <w:sz w:val="10"/>
                <w:szCs w:val="10"/>
                <w:color w:val="auto"/>
              </w:rPr>
              <w:t>1,234,763</w:t>
            </w:r>
          </w:p>
        </w:tc>
        <w:tc>
          <w:tcPr>
            <w:tcW w:w="20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1,235,472</w:t>
            </w:r>
          </w:p>
        </w:tc>
      </w:tr>
      <w:tr>
        <w:trPr>
          <w:trHeight w:val="99"/>
        </w:trPr>
        <w:tc>
          <w:tcPr>
            <w:tcW w:w="21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Instruments issued by the Chilean Government</w:t>
            </w:r>
          </w:p>
        </w:tc>
        <w:tc>
          <w:tcPr>
            <w:tcW w:w="7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1"/>
              </w:rPr>
              <w:t>Chilean pesos</w:t>
            </w:r>
          </w:p>
        </w:tc>
        <w:tc>
          <w:tcPr>
            <w:tcW w:w="5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0.20</w:t>
            </w: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130,551</w:t>
            </w: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44,411</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174,962</w:t>
            </w:r>
          </w:p>
        </w:tc>
        <w:tc>
          <w:tcPr>
            <w:tcW w:w="6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175,054</w:t>
            </w: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0.26</w:t>
            </w: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24,912</w:t>
            </w: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24,912</w:t>
            </w:r>
          </w:p>
        </w:tc>
        <w:tc>
          <w:tcPr>
            <w:tcW w:w="2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27,529</w:t>
            </w:r>
          </w:p>
        </w:tc>
      </w:tr>
      <w:tr>
        <w:trPr>
          <w:trHeight w:val="108"/>
        </w:trPr>
        <w:tc>
          <w:tcPr>
            <w:tcW w:w="2120" w:type="dxa"/>
            <w:vAlign w:val="bottom"/>
          </w:tcPr>
          <w:p>
            <w:pPr>
              <w:spacing w:after="0" w:line="108" w:lineRule="exact"/>
              <w:rPr>
                <w:sz w:val="20"/>
                <w:szCs w:val="20"/>
                <w:color w:val="auto"/>
              </w:rPr>
            </w:pPr>
            <w:r>
              <w:rPr>
                <w:rFonts w:ascii="Arial" w:cs="Arial" w:eastAsia="Arial" w:hAnsi="Arial"/>
                <w:sz w:val="10"/>
                <w:szCs w:val="10"/>
                <w:color w:val="auto"/>
              </w:rPr>
              <w:t>Other instruments</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2.07</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70,997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16,809</w:t>
            </w: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spacing w:after="0"/>
              <w:rPr>
                <w:sz w:val="9"/>
                <w:szCs w:val="9"/>
                <w:color w:val="auto"/>
              </w:rPr>
            </w:pP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94,161</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105,086</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1.88</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144,668</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66,224</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210,892</w:t>
            </w:r>
          </w:p>
        </w:tc>
        <w:tc>
          <w:tcPr>
            <w:tcW w:w="20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214,051</w:t>
            </w:r>
          </w:p>
        </w:tc>
      </w:tr>
      <w:tr>
        <w:trPr>
          <w:trHeight w:val="20"/>
        </w:trPr>
        <w:tc>
          <w:tcPr>
            <w:tcW w:w="2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2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402,445</w:t>
            </w:r>
          </w:p>
        </w:tc>
        <w:tc>
          <w:tcPr>
            <w:tcW w:w="48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0"/>
              </w:rPr>
              <w:t>1,028,350</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6,247,221</w:t>
            </w:r>
          </w:p>
        </w:tc>
        <w:tc>
          <w:tcPr>
            <w:tcW w:w="2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7,678,016</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8,067,239</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329,150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1,663,064</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7,423,143</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9,415,357</w:t>
            </w: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10,049,889</w:t>
            </w:r>
          </w:p>
        </w:tc>
      </w:tr>
      <w:tr>
        <w:trPr>
          <w:trHeight w:val="27"/>
        </w:trPr>
        <w:tc>
          <w:tcPr>
            <w:tcW w:w="2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00"/>
          </w:cols>
          <w:pgMar w:left="420" w:top="653" w:right="279" w:bottom="1440" w:gutter="0" w:footer="0" w:header="0"/>
        </w:sectPr>
      </w:pPr>
    </w:p>
    <w:bookmarkStart w:id="73" w:name="page74"/>
    <w:bookmarkEnd w:id="73"/>
    <w:p>
      <w:pPr>
        <w:ind w:left="220" w:hanging="212"/>
        <w:spacing w:after="0"/>
        <w:tabs>
          <w:tab w:leader="none" w:pos="2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At December 31, 2019, and 2018, the Group has repurchase agreements secured with: (i) cash, see note 5(a), and (ii) investments, see note 6(b). This item consists of the following:</w:t>
      </w:r>
    </w:p>
    <w:p>
      <w:pPr>
        <w:spacing w:after="0" w:line="143"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rPr>
              <w:t>At December 31, 2019</w:t>
            </w:r>
          </w:p>
        </w:tc>
        <w:tc>
          <w:tcPr>
            <w:tcW w:w="2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w w:val="87"/>
              </w:rPr>
              <w:t>At December 31, 2018</w:t>
            </w: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r>
      <w:tr>
        <w:trPr>
          <w:trHeight w:val="74"/>
        </w:trPr>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jc w:val="right"/>
              <w:ind w:right="292"/>
              <w:spacing w:after="0" w:line="74" w:lineRule="exact"/>
              <w:rPr>
                <w:sz w:val="20"/>
                <w:szCs w:val="20"/>
                <w:color w:val="auto"/>
              </w:rPr>
            </w:pPr>
            <w:r>
              <w:rPr>
                <w:rFonts w:ascii="Arial" w:cs="Arial" w:eastAsia="Arial" w:hAnsi="Arial"/>
                <w:sz w:val="8"/>
                <w:szCs w:val="8"/>
                <w:b w:val="1"/>
                <w:bCs w:val="1"/>
                <w:color w:val="auto"/>
              </w:rPr>
              <w:t>Carrying</w:t>
            </w: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gridSpan w:val="2"/>
          </w:tcPr>
          <w:p>
            <w:pPr>
              <w:jc w:val="right"/>
              <w:ind w:right="560"/>
              <w:spacing w:after="0" w:line="74" w:lineRule="exact"/>
              <w:rPr>
                <w:sz w:val="20"/>
                <w:szCs w:val="20"/>
                <w:color w:val="auto"/>
              </w:rPr>
            </w:pPr>
            <w:r>
              <w:rPr>
                <w:rFonts w:ascii="Arial" w:cs="Arial" w:eastAsia="Arial" w:hAnsi="Arial"/>
                <w:sz w:val="8"/>
                <w:szCs w:val="8"/>
                <w:b w:val="1"/>
                <w:bCs w:val="1"/>
                <w:color w:val="auto"/>
              </w:rPr>
              <w:t>Carrying</w:t>
            </w:r>
          </w:p>
        </w:tc>
        <w:tc>
          <w:tcPr>
            <w:tcW w:w="1020" w:type="dxa"/>
            <w:vAlign w:val="bottom"/>
          </w:tcPr>
          <w:p>
            <w:pPr>
              <w:spacing w:after="0"/>
              <w:rPr>
                <w:sz w:val="6"/>
                <w:szCs w:val="6"/>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0"/>
                <w:szCs w:val="10"/>
                <w:b w:val="1"/>
                <w:bCs w:val="1"/>
                <w:color w:val="auto"/>
              </w:rPr>
              <w:t>Counterparties</w:t>
            </w:r>
          </w:p>
        </w:tc>
        <w:tc>
          <w:tcPr>
            <w:tcW w:w="80" w:type="dxa"/>
            <w:vAlign w:val="bottom"/>
          </w:tcPr>
          <w:p>
            <w:pPr>
              <w:spacing w:after="0"/>
              <w:rPr>
                <w:sz w:val="9"/>
                <w:szCs w:val="9"/>
                <w:color w:val="auto"/>
              </w:rPr>
            </w:pPr>
          </w:p>
        </w:tc>
        <w:tc>
          <w:tcPr>
            <w:tcW w:w="1260" w:type="dxa"/>
            <w:vAlign w:val="bottom"/>
            <w:gridSpan w:val="2"/>
          </w:tcPr>
          <w:p>
            <w:pPr>
              <w:ind w:left="380"/>
              <w:spacing w:after="0" w:line="114" w:lineRule="exact"/>
              <w:rPr>
                <w:sz w:val="20"/>
                <w:szCs w:val="20"/>
                <w:color w:val="auto"/>
              </w:rPr>
            </w:pPr>
            <w:r>
              <w:rPr>
                <w:rFonts w:ascii="Arial" w:cs="Arial" w:eastAsia="Arial" w:hAnsi="Arial"/>
                <w:sz w:val="10"/>
                <w:szCs w:val="10"/>
                <w:b w:val="1"/>
                <w:bCs w:val="1"/>
                <w:color w:val="auto"/>
              </w:rPr>
              <w:t>Currency</w:t>
            </w:r>
          </w:p>
        </w:tc>
        <w:tc>
          <w:tcPr>
            <w:tcW w:w="1460" w:type="dxa"/>
            <w:vAlign w:val="bottom"/>
            <w:gridSpan w:val="2"/>
          </w:tcPr>
          <w:p>
            <w:pPr>
              <w:ind w:left="440"/>
              <w:spacing w:after="0" w:line="114" w:lineRule="exact"/>
              <w:rPr>
                <w:sz w:val="20"/>
                <w:szCs w:val="20"/>
                <w:color w:val="auto"/>
              </w:rPr>
            </w:pPr>
            <w:r>
              <w:rPr>
                <w:rFonts w:ascii="Arial" w:cs="Arial" w:eastAsia="Arial" w:hAnsi="Arial"/>
                <w:sz w:val="10"/>
                <w:szCs w:val="10"/>
                <w:b w:val="1"/>
                <w:bCs w:val="1"/>
                <w:color w:val="auto"/>
              </w:rPr>
              <w:t>Maturity</w:t>
            </w:r>
          </w:p>
        </w:tc>
        <w:tc>
          <w:tcPr>
            <w:tcW w:w="1080" w:type="dxa"/>
            <w:vAlign w:val="bottom"/>
          </w:tcPr>
          <w:p>
            <w:pPr>
              <w:jc w:val="right"/>
              <w:ind w:right="332"/>
              <w:spacing w:after="0" w:line="114"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9"/>
                <w:szCs w:val="9"/>
                <w:color w:val="auto"/>
              </w:rPr>
            </w:pPr>
          </w:p>
        </w:tc>
        <w:tc>
          <w:tcPr>
            <w:tcW w:w="1120" w:type="dxa"/>
            <w:vAlign w:val="bottom"/>
            <w:gridSpan w:val="2"/>
          </w:tcPr>
          <w:p>
            <w:pPr>
              <w:ind w:left="300"/>
              <w:spacing w:after="0" w:line="114" w:lineRule="exact"/>
              <w:rPr>
                <w:sz w:val="20"/>
                <w:szCs w:val="20"/>
                <w:color w:val="auto"/>
              </w:rPr>
            </w:pPr>
            <w:r>
              <w:rPr>
                <w:rFonts w:ascii="Arial" w:cs="Arial" w:eastAsia="Arial" w:hAnsi="Arial"/>
                <w:sz w:val="10"/>
                <w:szCs w:val="10"/>
                <w:b w:val="1"/>
                <w:bCs w:val="1"/>
                <w:color w:val="auto"/>
              </w:rPr>
              <w:t>Collateral</w:t>
            </w:r>
          </w:p>
        </w:tc>
        <w:tc>
          <w:tcPr>
            <w:tcW w:w="1860" w:type="dxa"/>
            <w:vAlign w:val="bottom"/>
            <w:gridSpan w:val="3"/>
          </w:tcPr>
          <w:p>
            <w:pPr>
              <w:ind w:left="460"/>
              <w:spacing w:after="0" w:line="114" w:lineRule="exact"/>
              <w:rPr>
                <w:sz w:val="20"/>
                <w:szCs w:val="20"/>
                <w:color w:val="auto"/>
              </w:rPr>
            </w:pPr>
            <w:r>
              <w:rPr>
                <w:rFonts w:ascii="Arial" w:cs="Arial" w:eastAsia="Arial" w:hAnsi="Arial"/>
                <w:sz w:val="10"/>
                <w:szCs w:val="10"/>
                <w:b w:val="1"/>
                <w:bCs w:val="1"/>
                <w:color w:val="auto"/>
              </w:rPr>
              <w:t>Maturity</w:t>
            </w:r>
          </w:p>
        </w:tc>
        <w:tc>
          <w:tcPr>
            <w:tcW w:w="9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amount</w:t>
            </w:r>
          </w:p>
        </w:tc>
        <w:tc>
          <w:tcPr>
            <w:tcW w:w="1020" w:type="dxa"/>
            <w:vAlign w:val="bottom"/>
          </w:tcPr>
          <w:p>
            <w:pPr>
              <w:ind w:left="300"/>
              <w:spacing w:after="0" w:line="114" w:lineRule="exact"/>
              <w:rPr>
                <w:sz w:val="20"/>
                <w:szCs w:val="20"/>
                <w:color w:val="auto"/>
              </w:rPr>
            </w:pPr>
            <w:r>
              <w:rPr>
                <w:rFonts w:ascii="Arial" w:cs="Arial" w:eastAsia="Arial" w:hAnsi="Arial"/>
                <w:sz w:val="10"/>
                <w:szCs w:val="10"/>
                <w:b w:val="1"/>
                <w:bCs w:val="1"/>
                <w:color w:val="auto"/>
              </w:rPr>
              <w:t>Collateral</w:t>
            </w:r>
          </w:p>
        </w:tc>
      </w:tr>
      <w:tr>
        <w:trPr>
          <w:trHeight w:val="88"/>
        </w:trPr>
        <w:tc>
          <w:tcPr>
            <w:tcW w:w="1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top w:val="single" w:sz="8" w:color="auto"/>
            </w:tcBorders>
          </w:tcPr>
          <w:p>
            <w:pPr>
              <w:jc w:val="right"/>
              <w:ind w:right="2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right"/>
              <w:ind w:right="31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BCRP, Note 5(a)(i)</w:t>
            </w:r>
          </w:p>
        </w:tc>
        <w:tc>
          <w:tcPr>
            <w:tcW w:w="134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Soles</w:t>
            </w:r>
          </w:p>
        </w:tc>
        <w:tc>
          <w:tcPr>
            <w:tcW w:w="1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w w:val="99"/>
              </w:rPr>
              <w:t>February 2020 / October 2020</w:t>
            </w: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2,800,400</w:t>
            </w:r>
          </w:p>
        </w:tc>
        <w:tc>
          <w:tcPr>
            <w:tcW w:w="200" w:type="dxa"/>
            <w:vAlign w:val="bottom"/>
            <w:shd w:val="clear" w:color="auto" w:fill="CCEEFF"/>
          </w:tcPr>
          <w:p>
            <w:pPr>
              <w:spacing w:after="0"/>
              <w:rPr>
                <w:sz w:val="8"/>
                <w:szCs w:val="8"/>
                <w:color w:val="auto"/>
              </w:rPr>
            </w:pPr>
          </w:p>
        </w:tc>
        <w:tc>
          <w:tcPr>
            <w:tcW w:w="11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Cash with BCRP</w:t>
            </w: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January 2019 / November 2019</w:t>
            </w:r>
          </w:p>
        </w:tc>
        <w:tc>
          <w:tcPr>
            <w:tcW w:w="7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2,948,500</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Cash with BCRP</w:t>
            </w:r>
          </w:p>
        </w:tc>
      </w:tr>
      <w:tr>
        <w:trPr>
          <w:trHeight w:val="99"/>
        </w:trPr>
        <w:tc>
          <w:tcPr>
            <w:tcW w:w="1320" w:type="dxa"/>
            <w:vAlign w:val="bottom"/>
          </w:tcPr>
          <w:p>
            <w:pPr>
              <w:spacing w:after="0" w:line="99" w:lineRule="exact"/>
              <w:rPr>
                <w:sz w:val="20"/>
                <w:szCs w:val="20"/>
                <w:color w:val="auto"/>
              </w:rPr>
            </w:pPr>
            <w:r>
              <w:rPr>
                <w:rFonts w:ascii="Arial" w:cs="Arial" w:eastAsia="Arial" w:hAnsi="Arial"/>
                <w:sz w:val="10"/>
                <w:szCs w:val="10"/>
                <w:color w:val="auto"/>
              </w:rPr>
              <w:t>BCRP</w:t>
            </w:r>
          </w:p>
        </w:tc>
        <w:tc>
          <w:tcPr>
            <w:tcW w:w="1340" w:type="dxa"/>
            <w:vAlign w:val="bottom"/>
            <w:gridSpan w:val="3"/>
          </w:tcPr>
          <w:p>
            <w:pPr>
              <w:ind w:left="80"/>
              <w:spacing w:after="0" w:line="99" w:lineRule="exact"/>
              <w:rPr>
                <w:sz w:val="20"/>
                <w:szCs w:val="20"/>
                <w:color w:val="auto"/>
              </w:rPr>
            </w:pPr>
            <w:r>
              <w:rPr>
                <w:rFonts w:ascii="Arial" w:cs="Arial" w:eastAsia="Arial" w:hAnsi="Arial"/>
                <w:sz w:val="10"/>
                <w:szCs w:val="10"/>
                <w:color w:val="auto"/>
              </w:rPr>
              <w:t>Soles</w:t>
            </w:r>
          </w:p>
        </w:tc>
        <w:tc>
          <w:tcPr>
            <w:tcW w:w="146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June 2020 / November 2020</w:t>
            </w:r>
          </w:p>
        </w:tc>
        <w:tc>
          <w:tcPr>
            <w:tcW w:w="1080" w:type="dxa"/>
            <w:vAlign w:val="bottom"/>
          </w:tcPr>
          <w:p>
            <w:pPr>
              <w:jc w:val="right"/>
              <w:spacing w:after="0" w:line="99" w:lineRule="exact"/>
              <w:rPr>
                <w:sz w:val="20"/>
                <w:szCs w:val="20"/>
                <w:color w:val="auto"/>
              </w:rPr>
            </w:pPr>
            <w:r>
              <w:rPr>
                <w:rFonts w:ascii="Arial" w:cs="Arial" w:eastAsia="Arial" w:hAnsi="Arial"/>
                <w:sz w:val="10"/>
                <w:szCs w:val="10"/>
                <w:color w:val="auto"/>
              </w:rPr>
              <w:t>1,504,088</w:t>
            </w:r>
          </w:p>
        </w:tc>
        <w:tc>
          <w:tcPr>
            <w:tcW w:w="200" w:type="dxa"/>
            <w:vAlign w:val="bottom"/>
          </w:tcPr>
          <w:p>
            <w:pPr>
              <w:spacing w:after="0"/>
              <w:rPr>
                <w:sz w:val="8"/>
                <w:szCs w:val="8"/>
                <w:color w:val="auto"/>
              </w:rPr>
            </w:pPr>
          </w:p>
        </w:tc>
        <w:tc>
          <w:tcPr>
            <w:tcW w:w="1120" w:type="dxa"/>
            <w:vAlign w:val="bottom"/>
            <w:gridSpan w:val="2"/>
          </w:tcPr>
          <w:p>
            <w:pPr>
              <w:spacing w:after="0" w:line="99" w:lineRule="exact"/>
              <w:rPr>
                <w:sz w:val="20"/>
                <w:szCs w:val="20"/>
                <w:color w:val="auto"/>
              </w:rPr>
            </w:pPr>
            <w:r>
              <w:rPr>
                <w:rFonts w:ascii="Arial" w:cs="Arial" w:eastAsia="Arial" w:hAnsi="Arial"/>
                <w:sz w:val="10"/>
                <w:szCs w:val="10"/>
                <w:color w:val="auto"/>
              </w:rPr>
              <w:t>Investments</w:t>
            </w:r>
          </w:p>
        </w:tc>
        <w:tc>
          <w:tcPr>
            <w:tcW w:w="18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January 2019 / November 2020</w:t>
            </w:r>
          </w:p>
        </w:tc>
        <w:tc>
          <w:tcPr>
            <w:tcW w:w="740" w:type="dxa"/>
            <w:vAlign w:val="bottom"/>
          </w:tcPr>
          <w:p>
            <w:pPr>
              <w:jc w:val="right"/>
              <w:spacing w:after="0" w:line="99" w:lineRule="exact"/>
              <w:rPr>
                <w:sz w:val="20"/>
                <w:szCs w:val="20"/>
                <w:color w:val="auto"/>
              </w:rPr>
            </w:pPr>
            <w:r>
              <w:rPr>
                <w:rFonts w:ascii="Arial" w:cs="Arial" w:eastAsia="Arial" w:hAnsi="Arial"/>
                <w:sz w:val="10"/>
                <w:szCs w:val="10"/>
                <w:color w:val="auto"/>
              </w:rPr>
              <w:t>2,220,265</w:t>
            </w:r>
          </w:p>
        </w:tc>
        <w:tc>
          <w:tcPr>
            <w:tcW w:w="200" w:type="dxa"/>
            <w:vAlign w:val="bottom"/>
          </w:tcPr>
          <w:p>
            <w:pPr>
              <w:spacing w:after="0"/>
              <w:rPr>
                <w:sz w:val="8"/>
                <w:szCs w:val="8"/>
                <w:color w:val="auto"/>
              </w:rPr>
            </w:pPr>
          </w:p>
        </w:tc>
        <w:tc>
          <w:tcPr>
            <w:tcW w:w="1020" w:type="dxa"/>
            <w:vAlign w:val="bottom"/>
          </w:tcPr>
          <w:p>
            <w:pPr>
              <w:spacing w:after="0" w:line="99"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Natixis S.A.</w:t>
            </w:r>
          </w:p>
        </w:tc>
        <w:tc>
          <w:tcPr>
            <w:tcW w:w="134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Soles</w:t>
            </w:r>
          </w:p>
        </w:tc>
        <w:tc>
          <w:tcPr>
            <w:tcW w:w="1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2020 / August 2028</w:t>
            </w: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570,000</w:t>
            </w:r>
          </w:p>
        </w:tc>
        <w:tc>
          <w:tcPr>
            <w:tcW w:w="200" w:type="dxa"/>
            <w:vAlign w:val="bottom"/>
            <w:shd w:val="clear" w:color="auto" w:fill="CCEEFF"/>
          </w:tcPr>
          <w:p>
            <w:pPr>
              <w:spacing w:after="0"/>
              <w:rPr>
                <w:sz w:val="8"/>
                <w:szCs w:val="8"/>
                <w:color w:val="auto"/>
              </w:rPr>
            </w:pPr>
          </w:p>
        </w:tc>
        <w:tc>
          <w:tcPr>
            <w:tcW w:w="11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2020 / August 2028</w:t>
            </w:r>
          </w:p>
        </w:tc>
        <w:tc>
          <w:tcPr>
            <w:tcW w:w="9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570,000</w:t>
            </w: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tcPr>
          <w:p>
            <w:pPr>
              <w:spacing w:after="0" w:line="99" w:lineRule="exact"/>
              <w:rPr>
                <w:sz w:val="20"/>
                <w:szCs w:val="20"/>
                <w:color w:val="auto"/>
              </w:rPr>
            </w:pPr>
            <w:r>
              <w:rPr>
                <w:rFonts w:ascii="Arial" w:cs="Arial" w:eastAsia="Arial" w:hAnsi="Arial"/>
                <w:sz w:val="10"/>
                <w:szCs w:val="10"/>
                <w:color w:val="auto"/>
              </w:rPr>
              <w:t>Banco Central de Bolivia</w:t>
            </w:r>
          </w:p>
        </w:tc>
        <w:tc>
          <w:tcPr>
            <w:tcW w:w="1340" w:type="dxa"/>
            <w:vAlign w:val="bottom"/>
            <w:gridSpan w:val="3"/>
          </w:tcPr>
          <w:p>
            <w:pPr>
              <w:ind w:left="80"/>
              <w:spacing w:after="0" w:line="99" w:lineRule="exact"/>
              <w:rPr>
                <w:sz w:val="20"/>
                <w:szCs w:val="20"/>
                <w:color w:val="auto"/>
              </w:rPr>
            </w:pPr>
            <w:r>
              <w:rPr>
                <w:rFonts w:ascii="Arial" w:cs="Arial" w:eastAsia="Arial" w:hAnsi="Arial"/>
                <w:sz w:val="10"/>
                <w:szCs w:val="10"/>
                <w:color w:val="auto"/>
              </w:rPr>
              <w:t>Bolivianos</w:t>
            </w:r>
          </w:p>
        </w:tc>
        <w:tc>
          <w:tcPr>
            <w:tcW w:w="146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May 2020 / February 2021</w:t>
            </w:r>
          </w:p>
        </w:tc>
        <w:tc>
          <w:tcPr>
            <w:tcW w:w="1080" w:type="dxa"/>
            <w:vAlign w:val="bottom"/>
          </w:tcPr>
          <w:p>
            <w:pPr>
              <w:jc w:val="right"/>
              <w:spacing w:after="0" w:line="99" w:lineRule="exact"/>
              <w:rPr>
                <w:sz w:val="20"/>
                <w:szCs w:val="20"/>
                <w:color w:val="auto"/>
              </w:rPr>
            </w:pPr>
            <w:r>
              <w:rPr>
                <w:rFonts w:ascii="Arial" w:cs="Arial" w:eastAsia="Arial" w:hAnsi="Arial"/>
                <w:sz w:val="10"/>
                <w:szCs w:val="10"/>
                <w:color w:val="auto"/>
              </w:rPr>
              <w:t>398,586</w:t>
            </w:r>
          </w:p>
        </w:tc>
        <w:tc>
          <w:tcPr>
            <w:tcW w:w="200" w:type="dxa"/>
            <w:vAlign w:val="bottom"/>
          </w:tcPr>
          <w:p>
            <w:pPr>
              <w:spacing w:after="0"/>
              <w:rPr>
                <w:sz w:val="8"/>
                <w:szCs w:val="8"/>
                <w:color w:val="auto"/>
              </w:rPr>
            </w:pPr>
          </w:p>
        </w:tc>
        <w:tc>
          <w:tcPr>
            <w:tcW w:w="1120" w:type="dxa"/>
            <w:vAlign w:val="bottom"/>
            <w:gridSpan w:val="2"/>
          </w:tcPr>
          <w:p>
            <w:pPr>
              <w:spacing w:after="0" w:line="99" w:lineRule="exact"/>
              <w:rPr>
                <w:sz w:val="20"/>
                <w:szCs w:val="20"/>
                <w:color w:val="auto"/>
              </w:rPr>
            </w:pPr>
            <w:r>
              <w:rPr>
                <w:rFonts w:ascii="Arial" w:cs="Arial" w:eastAsia="Arial" w:hAnsi="Arial"/>
                <w:sz w:val="10"/>
                <w:szCs w:val="10"/>
                <w:color w:val="auto"/>
              </w:rPr>
              <w:t>Cash</w:t>
            </w:r>
          </w:p>
        </w:tc>
        <w:tc>
          <w:tcPr>
            <w:tcW w:w="18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May 2019</w:t>
            </w:r>
          </w:p>
        </w:tc>
        <w:tc>
          <w:tcPr>
            <w:tcW w:w="9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89,941</w:t>
            </w:r>
          </w:p>
        </w:tc>
        <w:tc>
          <w:tcPr>
            <w:tcW w:w="1020" w:type="dxa"/>
            <w:vAlign w:val="bottom"/>
          </w:tcPr>
          <w:p>
            <w:pPr>
              <w:spacing w:after="0" w:line="99" w:lineRule="exact"/>
              <w:rPr>
                <w:sz w:val="20"/>
                <w:szCs w:val="20"/>
                <w:color w:val="auto"/>
              </w:rPr>
            </w:pPr>
            <w:r>
              <w:rPr>
                <w:rFonts w:ascii="Arial" w:cs="Arial" w:eastAsia="Arial" w:hAnsi="Arial"/>
                <w:sz w:val="10"/>
                <w:szCs w:val="10"/>
                <w:color w:val="auto"/>
              </w:rPr>
              <w:t>Cash</w:t>
            </w: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Nomura International PLC (i)</w:t>
            </w:r>
          </w:p>
        </w:tc>
        <w:tc>
          <w:tcPr>
            <w:tcW w:w="134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U.S. Dollar</w:t>
            </w:r>
          </w:p>
        </w:tc>
        <w:tc>
          <w:tcPr>
            <w:tcW w:w="1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2020</w:t>
            </w: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265,120</w:t>
            </w:r>
          </w:p>
        </w:tc>
        <w:tc>
          <w:tcPr>
            <w:tcW w:w="200" w:type="dxa"/>
            <w:vAlign w:val="bottom"/>
            <w:shd w:val="clear" w:color="auto" w:fill="CCEEFF"/>
          </w:tcPr>
          <w:p>
            <w:pPr>
              <w:spacing w:after="0"/>
              <w:rPr>
                <w:sz w:val="8"/>
                <w:szCs w:val="8"/>
                <w:color w:val="auto"/>
              </w:rPr>
            </w:pPr>
          </w:p>
        </w:tc>
        <w:tc>
          <w:tcPr>
            <w:tcW w:w="11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Investments and cash</w:t>
            </w: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2020</w:t>
            </w:r>
          </w:p>
        </w:tc>
        <w:tc>
          <w:tcPr>
            <w:tcW w:w="9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269,840</w:t>
            </w: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 and cash</w:t>
            </w:r>
          </w:p>
        </w:tc>
      </w:tr>
      <w:tr>
        <w:trPr>
          <w:trHeight w:val="99"/>
        </w:trPr>
        <w:tc>
          <w:tcPr>
            <w:tcW w:w="1320" w:type="dxa"/>
            <w:vAlign w:val="bottom"/>
          </w:tcPr>
          <w:p>
            <w:pPr>
              <w:spacing w:after="0" w:line="99" w:lineRule="exact"/>
              <w:rPr>
                <w:sz w:val="20"/>
                <w:szCs w:val="20"/>
                <w:color w:val="auto"/>
              </w:rPr>
            </w:pPr>
            <w:r>
              <w:rPr>
                <w:rFonts w:ascii="Arial" w:cs="Arial" w:eastAsia="Arial" w:hAnsi="Arial"/>
                <w:sz w:val="10"/>
                <w:szCs w:val="10"/>
                <w:color w:val="auto"/>
              </w:rPr>
              <w:t>Nomura International PLC (ii)</w:t>
            </w:r>
          </w:p>
        </w:tc>
        <w:tc>
          <w:tcPr>
            <w:tcW w:w="1340" w:type="dxa"/>
            <w:vAlign w:val="bottom"/>
            <w:gridSpan w:val="3"/>
          </w:tcPr>
          <w:p>
            <w:pPr>
              <w:ind w:left="80"/>
              <w:spacing w:after="0" w:line="99" w:lineRule="exact"/>
              <w:rPr>
                <w:sz w:val="20"/>
                <w:szCs w:val="20"/>
                <w:color w:val="auto"/>
              </w:rPr>
            </w:pPr>
            <w:r>
              <w:rPr>
                <w:rFonts w:ascii="Arial" w:cs="Arial" w:eastAsia="Arial" w:hAnsi="Arial"/>
                <w:sz w:val="10"/>
                <w:szCs w:val="10"/>
                <w:color w:val="auto"/>
              </w:rPr>
              <w:t>U.S. Dollar</w:t>
            </w:r>
          </w:p>
        </w:tc>
        <w:tc>
          <w:tcPr>
            <w:tcW w:w="146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August 2020</w:t>
            </w:r>
          </w:p>
        </w:tc>
        <w:tc>
          <w:tcPr>
            <w:tcW w:w="1080" w:type="dxa"/>
            <w:vAlign w:val="bottom"/>
          </w:tcPr>
          <w:p>
            <w:pPr>
              <w:jc w:val="right"/>
              <w:spacing w:after="0" w:line="99" w:lineRule="exact"/>
              <w:rPr>
                <w:sz w:val="20"/>
                <w:szCs w:val="20"/>
                <w:color w:val="auto"/>
              </w:rPr>
            </w:pPr>
            <w:r>
              <w:rPr>
                <w:rFonts w:ascii="Arial" w:cs="Arial" w:eastAsia="Arial" w:hAnsi="Arial"/>
                <w:sz w:val="10"/>
                <w:szCs w:val="10"/>
                <w:color w:val="auto"/>
              </w:rPr>
              <w:t>231,980</w:t>
            </w:r>
          </w:p>
        </w:tc>
        <w:tc>
          <w:tcPr>
            <w:tcW w:w="200" w:type="dxa"/>
            <w:vAlign w:val="bottom"/>
          </w:tcPr>
          <w:p>
            <w:pPr>
              <w:spacing w:after="0"/>
              <w:rPr>
                <w:sz w:val="8"/>
                <w:szCs w:val="8"/>
                <w:color w:val="auto"/>
              </w:rPr>
            </w:pPr>
          </w:p>
        </w:tc>
        <w:tc>
          <w:tcPr>
            <w:tcW w:w="1120" w:type="dxa"/>
            <w:vAlign w:val="bottom"/>
            <w:gridSpan w:val="2"/>
          </w:tcPr>
          <w:p>
            <w:pPr>
              <w:spacing w:after="0" w:line="99" w:lineRule="exact"/>
              <w:rPr>
                <w:sz w:val="20"/>
                <w:szCs w:val="20"/>
                <w:color w:val="auto"/>
              </w:rPr>
            </w:pPr>
            <w:r>
              <w:rPr>
                <w:rFonts w:ascii="Arial" w:cs="Arial" w:eastAsia="Arial" w:hAnsi="Arial"/>
                <w:sz w:val="10"/>
                <w:szCs w:val="10"/>
                <w:color w:val="auto"/>
              </w:rPr>
              <w:t>Investments and cash</w:t>
            </w:r>
          </w:p>
        </w:tc>
        <w:tc>
          <w:tcPr>
            <w:tcW w:w="18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August 2020</w:t>
            </w:r>
          </w:p>
        </w:tc>
        <w:tc>
          <w:tcPr>
            <w:tcW w:w="740" w:type="dxa"/>
            <w:vAlign w:val="bottom"/>
          </w:tcPr>
          <w:p>
            <w:pPr>
              <w:jc w:val="right"/>
              <w:spacing w:after="0" w:line="99" w:lineRule="exact"/>
              <w:rPr>
                <w:sz w:val="20"/>
                <w:szCs w:val="20"/>
                <w:color w:val="auto"/>
              </w:rPr>
            </w:pPr>
            <w:r>
              <w:rPr>
                <w:rFonts w:ascii="Arial" w:cs="Arial" w:eastAsia="Arial" w:hAnsi="Arial"/>
                <w:sz w:val="10"/>
                <w:szCs w:val="10"/>
                <w:color w:val="auto"/>
              </w:rPr>
              <w:t>236,110</w:t>
            </w:r>
          </w:p>
        </w:tc>
        <w:tc>
          <w:tcPr>
            <w:tcW w:w="200" w:type="dxa"/>
            <w:vAlign w:val="bottom"/>
          </w:tcPr>
          <w:p>
            <w:pPr>
              <w:spacing w:after="0"/>
              <w:rPr>
                <w:sz w:val="8"/>
                <w:szCs w:val="8"/>
                <w:color w:val="auto"/>
              </w:rPr>
            </w:pPr>
          </w:p>
        </w:tc>
        <w:tc>
          <w:tcPr>
            <w:tcW w:w="1020" w:type="dxa"/>
            <w:vAlign w:val="bottom"/>
          </w:tcPr>
          <w:p>
            <w:pPr>
              <w:spacing w:after="0" w:line="99" w:lineRule="exact"/>
              <w:rPr>
                <w:sz w:val="20"/>
                <w:szCs w:val="20"/>
                <w:color w:val="auto"/>
              </w:rPr>
            </w:pPr>
            <w:r>
              <w:rPr>
                <w:rFonts w:ascii="Arial" w:cs="Arial" w:eastAsia="Arial" w:hAnsi="Arial"/>
                <w:sz w:val="10"/>
                <w:szCs w:val="10"/>
                <w:color w:val="auto"/>
              </w:rPr>
              <w:t>Investments and cash</w:t>
            </w:r>
          </w:p>
        </w:tc>
      </w:tr>
      <w:tr>
        <w:trPr>
          <w:trHeight w:val="87"/>
        </w:trPr>
        <w:tc>
          <w:tcPr>
            <w:tcW w:w="13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Citigroup Global Market</w:t>
            </w:r>
          </w:p>
        </w:tc>
        <w:tc>
          <w:tcPr>
            <w:tcW w:w="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12"/>
        </w:trPr>
        <w:tc>
          <w:tcPr>
            <w:tcW w:w="132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Limited (iii)</w:t>
            </w:r>
          </w:p>
        </w:tc>
        <w:tc>
          <w:tcPr>
            <w:tcW w:w="134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0"/>
                <w:szCs w:val="10"/>
                <w:color w:val="auto"/>
              </w:rPr>
              <w:t>U.S. Dollar</w:t>
            </w:r>
          </w:p>
        </w:tc>
        <w:tc>
          <w:tcPr>
            <w:tcW w:w="1460" w:type="dxa"/>
            <w:vAlign w:val="bottom"/>
            <w:gridSpan w:val="2"/>
            <w:shd w:val="clear" w:color="auto" w:fill="CCEEFF"/>
          </w:tcPr>
          <w:p>
            <w:pPr>
              <w:ind w:left="100"/>
              <w:spacing w:after="0" w:line="112" w:lineRule="exact"/>
              <w:rPr>
                <w:sz w:val="20"/>
                <w:szCs w:val="20"/>
                <w:color w:val="auto"/>
              </w:rPr>
            </w:pPr>
            <w:r>
              <w:rPr>
                <w:rFonts w:ascii="Arial" w:cs="Arial" w:eastAsia="Arial" w:hAnsi="Arial"/>
                <w:sz w:val="10"/>
                <w:szCs w:val="10"/>
                <w:color w:val="auto"/>
              </w:rPr>
              <w:t>August 2026</w:t>
            </w:r>
          </w:p>
        </w:tc>
        <w:tc>
          <w:tcPr>
            <w:tcW w:w="10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149,130</w:t>
            </w:r>
          </w:p>
        </w:tc>
        <w:tc>
          <w:tcPr>
            <w:tcW w:w="200" w:type="dxa"/>
            <w:vAlign w:val="bottom"/>
            <w:shd w:val="clear" w:color="auto" w:fill="CCEEFF"/>
          </w:tcPr>
          <w:p>
            <w:pPr>
              <w:spacing w:after="0"/>
              <w:rPr>
                <w:sz w:val="9"/>
                <w:szCs w:val="9"/>
                <w:color w:val="auto"/>
              </w:rPr>
            </w:pP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color w:val="auto"/>
              </w:rPr>
              <w:t>Investments</w:t>
            </w:r>
          </w:p>
        </w:tc>
        <w:tc>
          <w:tcPr>
            <w:tcW w:w="186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0"/>
                <w:szCs w:val="10"/>
                <w:color w:val="auto"/>
              </w:rPr>
              <w:t>August 2026</w:t>
            </w:r>
          </w:p>
        </w:tc>
        <w:tc>
          <w:tcPr>
            <w:tcW w:w="94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151,785</w:t>
            </w:r>
          </w:p>
        </w:tc>
        <w:tc>
          <w:tcPr>
            <w:tcW w:w="102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Investments</w:t>
            </w:r>
          </w:p>
        </w:tc>
      </w:tr>
      <w:tr>
        <w:trPr>
          <w:trHeight w:val="87"/>
        </w:trPr>
        <w:tc>
          <w:tcPr>
            <w:tcW w:w="1320" w:type="dxa"/>
            <w:vAlign w:val="bottom"/>
          </w:tcPr>
          <w:p>
            <w:pPr>
              <w:spacing w:after="0" w:line="87" w:lineRule="exact"/>
              <w:rPr>
                <w:sz w:val="20"/>
                <w:szCs w:val="20"/>
                <w:color w:val="auto"/>
              </w:rPr>
            </w:pPr>
            <w:r>
              <w:rPr>
                <w:rFonts w:ascii="Arial" w:cs="Arial" w:eastAsia="Arial" w:hAnsi="Arial"/>
                <w:sz w:val="10"/>
                <w:szCs w:val="10"/>
                <w:color w:val="auto"/>
              </w:rPr>
              <w:t>Citigroup Global Markets</w:t>
            </w: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12"/>
        </w:trPr>
        <w:tc>
          <w:tcPr>
            <w:tcW w:w="1320" w:type="dxa"/>
            <w:vAlign w:val="bottom"/>
          </w:tcPr>
          <w:p>
            <w:pPr>
              <w:ind w:left="120"/>
              <w:spacing w:after="0" w:line="112" w:lineRule="exact"/>
              <w:rPr>
                <w:sz w:val="20"/>
                <w:szCs w:val="20"/>
                <w:color w:val="auto"/>
              </w:rPr>
            </w:pPr>
            <w:r>
              <w:rPr>
                <w:rFonts w:ascii="Arial" w:cs="Arial" w:eastAsia="Arial" w:hAnsi="Arial"/>
                <w:sz w:val="10"/>
                <w:szCs w:val="10"/>
                <w:color w:val="auto"/>
              </w:rPr>
              <w:t>Limited</w:t>
            </w:r>
          </w:p>
        </w:tc>
        <w:tc>
          <w:tcPr>
            <w:tcW w:w="1340" w:type="dxa"/>
            <w:vAlign w:val="bottom"/>
            <w:gridSpan w:val="3"/>
          </w:tcPr>
          <w:p>
            <w:pPr>
              <w:ind w:left="80"/>
              <w:spacing w:after="0" w:line="112" w:lineRule="exact"/>
              <w:rPr>
                <w:sz w:val="20"/>
                <w:szCs w:val="20"/>
                <w:color w:val="auto"/>
              </w:rPr>
            </w:pPr>
            <w:r>
              <w:rPr>
                <w:rFonts w:ascii="Arial" w:cs="Arial" w:eastAsia="Arial" w:hAnsi="Arial"/>
                <w:sz w:val="10"/>
                <w:szCs w:val="10"/>
                <w:color w:val="auto"/>
              </w:rPr>
              <w:t>Soles</w:t>
            </w:r>
          </w:p>
        </w:tc>
        <w:tc>
          <w:tcPr>
            <w:tcW w:w="146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August 2020</w:t>
            </w:r>
          </w:p>
        </w:tc>
        <w:tc>
          <w:tcPr>
            <w:tcW w:w="1080" w:type="dxa"/>
            <w:vAlign w:val="bottom"/>
          </w:tcPr>
          <w:p>
            <w:pPr>
              <w:jc w:val="right"/>
              <w:spacing w:after="0" w:line="112" w:lineRule="exact"/>
              <w:rPr>
                <w:sz w:val="20"/>
                <w:szCs w:val="20"/>
                <w:color w:val="auto"/>
              </w:rPr>
            </w:pPr>
            <w:r>
              <w:rPr>
                <w:rFonts w:ascii="Arial" w:cs="Arial" w:eastAsia="Arial" w:hAnsi="Arial"/>
                <w:sz w:val="10"/>
                <w:szCs w:val="10"/>
                <w:color w:val="auto"/>
              </w:rPr>
              <w:t>100,000</w:t>
            </w:r>
          </w:p>
        </w:tc>
        <w:tc>
          <w:tcPr>
            <w:tcW w:w="200" w:type="dxa"/>
            <w:vAlign w:val="bottom"/>
          </w:tcPr>
          <w:p>
            <w:pPr>
              <w:spacing w:after="0"/>
              <w:rPr>
                <w:sz w:val="9"/>
                <w:szCs w:val="9"/>
                <w:color w:val="auto"/>
              </w:rPr>
            </w:pPr>
          </w:p>
        </w:tc>
        <w:tc>
          <w:tcPr>
            <w:tcW w:w="1120" w:type="dxa"/>
            <w:vAlign w:val="bottom"/>
            <w:gridSpan w:val="2"/>
          </w:tcPr>
          <w:p>
            <w:pPr>
              <w:spacing w:after="0" w:line="112" w:lineRule="exact"/>
              <w:rPr>
                <w:sz w:val="20"/>
                <w:szCs w:val="20"/>
                <w:color w:val="auto"/>
              </w:rPr>
            </w:pPr>
            <w:r>
              <w:rPr>
                <w:rFonts w:ascii="Arial" w:cs="Arial" w:eastAsia="Arial" w:hAnsi="Arial"/>
                <w:sz w:val="10"/>
                <w:szCs w:val="10"/>
                <w:color w:val="auto"/>
              </w:rPr>
              <w:t>Investments</w:t>
            </w:r>
          </w:p>
        </w:tc>
        <w:tc>
          <w:tcPr>
            <w:tcW w:w="186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August 2020</w:t>
            </w:r>
          </w:p>
        </w:tc>
        <w:tc>
          <w:tcPr>
            <w:tcW w:w="94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100,000</w:t>
            </w:r>
          </w:p>
        </w:tc>
        <w:tc>
          <w:tcPr>
            <w:tcW w:w="1020" w:type="dxa"/>
            <w:vAlign w:val="bottom"/>
          </w:tcPr>
          <w:p>
            <w:pPr>
              <w:spacing w:after="0" w:line="112"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Natixis S.A. (iv)</w:t>
            </w:r>
          </w:p>
        </w:tc>
        <w:tc>
          <w:tcPr>
            <w:tcW w:w="134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U.S. Dollar</w:t>
            </w:r>
          </w:p>
        </w:tc>
        <w:tc>
          <w:tcPr>
            <w:tcW w:w="1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2026</w:t>
            </w: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82,850</w:t>
            </w:r>
          </w:p>
        </w:tc>
        <w:tc>
          <w:tcPr>
            <w:tcW w:w="200" w:type="dxa"/>
            <w:vAlign w:val="bottom"/>
            <w:shd w:val="clear" w:color="auto" w:fill="CCEEFF"/>
          </w:tcPr>
          <w:p>
            <w:pPr>
              <w:spacing w:after="0"/>
              <w:rPr>
                <w:sz w:val="8"/>
                <w:szCs w:val="8"/>
                <w:color w:val="auto"/>
              </w:rPr>
            </w:pPr>
          </w:p>
        </w:tc>
        <w:tc>
          <w:tcPr>
            <w:tcW w:w="11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August 2026</w:t>
            </w:r>
          </w:p>
        </w:tc>
        <w:tc>
          <w:tcPr>
            <w:tcW w:w="9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84,325</w:t>
            </w: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r>
      <w:tr>
        <w:trPr>
          <w:trHeight w:val="87"/>
        </w:trPr>
        <w:tc>
          <w:tcPr>
            <w:tcW w:w="1320" w:type="dxa"/>
            <w:vAlign w:val="bottom"/>
          </w:tcPr>
          <w:p>
            <w:pPr>
              <w:spacing w:after="0" w:line="87" w:lineRule="exact"/>
              <w:rPr>
                <w:sz w:val="20"/>
                <w:szCs w:val="20"/>
                <w:color w:val="auto"/>
              </w:rPr>
            </w:pPr>
            <w:r>
              <w:rPr>
                <w:rFonts w:ascii="Arial" w:cs="Arial" w:eastAsia="Arial" w:hAnsi="Arial"/>
                <w:sz w:val="10"/>
                <w:szCs w:val="10"/>
                <w:color w:val="auto"/>
              </w:rPr>
              <w:t>Banco de la República</w:t>
            </w:r>
          </w:p>
        </w:tc>
        <w:tc>
          <w:tcPr>
            <w:tcW w:w="1340" w:type="dxa"/>
            <w:vAlign w:val="bottom"/>
            <w:gridSpan w:val="3"/>
          </w:tcPr>
          <w:p>
            <w:pPr>
              <w:ind w:left="80"/>
              <w:spacing w:after="0" w:line="87" w:lineRule="exact"/>
              <w:rPr>
                <w:sz w:val="20"/>
                <w:szCs w:val="20"/>
                <w:color w:val="auto"/>
              </w:rPr>
            </w:pPr>
            <w:r>
              <w:rPr>
                <w:rFonts w:ascii="Arial" w:cs="Arial" w:eastAsia="Arial" w:hAnsi="Arial"/>
                <w:sz w:val="10"/>
                <w:szCs w:val="10"/>
                <w:color w:val="auto"/>
              </w:rPr>
              <w:t>Colombian</w:t>
            </w: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12"/>
        </w:trPr>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ind w:left="120"/>
              <w:spacing w:after="0" w:line="112" w:lineRule="exact"/>
              <w:rPr>
                <w:sz w:val="20"/>
                <w:szCs w:val="20"/>
                <w:color w:val="auto"/>
              </w:rPr>
            </w:pPr>
            <w:r>
              <w:rPr>
                <w:rFonts w:ascii="Arial" w:cs="Arial" w:eastAsia="Arial" w:hAnsi="Arial"/>
                <w:sz w:val="10"/>
                <w:szCs w:val="10"/>
                <w:color w:val="auto"/>
              </w:rPr>
              <w:t>pesos</w:t>
            </w:r>
          </w:p>
        </w:tc>
        <w:tc>
          <w:tcPr>
            <w:tcW w:w="146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January 2020</w:t>
            </w:r>
          </w:p>
        </w:tc>
        <w:tc>
          <w:tcPr>
            <w:tcW w:w="1080" w:type="dxa"/>
            <w:vAlign w:val="bottom"/>
          </w:tcPr>
          <w:p>
            <w:pPr>
              <w:jc w:val="right"/>
              <w:spacing w:after="0" w:line="112" w:lineRule="exact"/>
              <w:rPr>
                <w:sz w:val="20"/>
                <w:szCs w:val="20"/>
                <w:color w:val="auto"/>
              </w:rPr>
            </w:pPr>
            <w:r>
              <w:rPr>
                <w:rFonts w:ascii="Arial" w:cs="Arial" w:eastAsia="Arial" w:hAnsi="Arial"/>
                <w:sz w:val="10"/>
                <w:szCs w:val="10"/>
                <w:color w:val="auto"/>
              </w:rPr>
              <w:t>64,540</w:t>
            </w:r>
          </w:p>
        </w:tc>
        <w:tc>
          <w:tcPr>
            <w:tcW w:w="200" w:type="dxa"/>
            <w:vAlign w:val="bottom"/>
          </w:tcPr>
          <w:p>
            <w:pPr>
              <w:spacing w:after="0"/>
              <w:rPr>
                <w:sz w:val="9"/>
                <w:szCs w:val="9"/>
                <w:color w:val="auto"/>
              </w:rPr>
            </w:pPr>
          </w:p>
        </w:tc>
        <w:tc>
          <w:tcPr>
            <w:tcW w:w="1120" w:type="dxa"/>
            <w:vAlign w:val="bottom"/>
            <w:gridSpan w:val="2"/>
          </w:tcPr>
          <w:p>
            <w:pPr>
              <w:spacing w:after="0" w:line="112" w:lineRule="exact"/>
              <w:rPr>
                <w:sz w:val="20"/>
                <w:szCs w:val="20"/>
                <w:color w:val="auto"/>
              </w:rPr>
            </w:pPr>
            <w:r>
              <w:rPr>
                <w:rFonts w:ascii="Arial" w:cs="Arial" w:eastAsia="Arial" w:hAnsi="Arial"/>
                <w:sz w:val="10"/>
                <w:szCs w:val="10"/>
                <w:color w:val="auto"/>
              </w:rPr>
              <w:t>Investments</w:t>
            </w:r>
          </w:p>
        </w:tc>
        <w:tc>
          <w:tcPr>
            <w:tcW w:w="186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January 2019</w:t>
            </w:r>
          </w:p>
        </w:tc>
        <w:tc>
          <w:tcPr>
            <w:tcW w:w="94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42,607</w:t>
            </w:r>
          </w:p>
        </w:tc>
        <w:tc>
          <w:tcPr>
            <w:tcW w:w="1020" w:type="dxa"/>
            <w:vAlign w:val="bottom"/>
          </w:tcPr>
          <w:p>
            <w:pPr>
              <w:spacing w:after="0" w:line="112"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9"/>
              </w:rPr>
              <w:t>Nomura International PLC (v)</w:t>
            </w:r>
          </w:p>
        </w:tc>
        <w:tc>
          <w:tcPr>
            <w:tcW w:w="1340" w:type="dxa"/>
            <w:vAlign w:val="bottom"/>
            <w:gridSpan w:val="3"/>
            <w:shd w:val="clear" w:color="auto" w:fill="CCEEFF"/>
          </w:tcPr>
          <w:p>
            <w:pPr>
              <w:ind w:left="80"/>
              <w:spacing w:after="0" w:line="99" w:lineRule="exact"/>
              <w:rPr>
                <w:sz w:val="20"/>
                <w:szCs w:val="20"/>
                <w:color w:val="auto"/>
              </w:rPr>
            </w:pPr>
            <w:r>
              <w:rPr>
                <w:rFonts w:ascii="Arial" w:cs="Arial" w:eastAsia="Arial" w:hAnsi="Arial"/>
                <w:sz w:val="10"/>
                <w:szCs w:val="10"/>
                <w:color w:val="auto"/>
              </w:rPr>
              <w:t>U.S. Dollar</w:t>
            </w:r>
          </w:p>
        </w:tc>
        <w:tc>
          <w:tcPr>
            <w:tcW w:w="1280" w:type="dxa"/>
            <w:vAlign w:val="bottom"/>
            <w:shd w:val="clear" w:color="auto" w:fill="CCEEFF"/>
          </w:tcPr>
          <w:p>
            <w:pPr>
              <w:ind w:left="10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ind w:lef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March 2019 / December 2019</w:t>
            </w:r>
          </w:p>
        </w:tc>
        <w:tc>
          <w:tcPr>
            <w:tcW w:w="9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505,950</w:t>
            </w: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tcPr>
          <w:p>
            <w:pPr>
              <w:spacing w:after="0" w:line="99" w:lineRule="exact"/>
              <w:rPr>
                <w:sz w:val="20"/>
                <w:szCs w:val="20"/>
                <w:color w:val="auto"/>
              </w:rPr>
            </w:pPr>
            <w:r>
              <w:rPr>
                <w:rFonts w:ascii="Arial" w:cs="Arial" w:eastAsia="Arial" w:hAnsi="Arial"/>
                <w:sz w:val="10"/>
                <w:szCs w:val="10"/>
                <w:color w:val="auto"/>
              </w:rPr>
              <w:t>Naitixis</w:t>
            </w:r>
          </w:p>
        </w:tc>
        <w:tc>
          <w:tcPr>
            <w:tcW w:w="1340" w:type="dxa"/>
            <w:vAlign w:val="bottom"/>
            <w:gridSpan w:val="3"/>
          </w:tcPr>
          <w:p>
            <w:pPr>
              <w:ind w:left="80"/>
              <w:spacing w:after="0" w:line="99" w:lineRule="exact"/>
              <w:rPr>
                <w:sz w:val="20"/>
                <w:szCs w:val="20"/>
                <w:color w:val="auto"/>
              </w:rPr>
            </w:pPr>
            <w:r>
              <w:rPr>
                <w:rFonts w:ascii="Arial" w:cs="Arial" w:eastAsia="Arial" w:hAnsi="Arial"/>
                <w:sz w:val="10"/>
                <w:szCs w:val="10"/>
                <w:color w:val="auto"/>
              </w:rPr>
              <w:t>U.S. Dollar</w:t>
            </w:r>
          </w:p>
        </w:tc>
        <w:tc>
          <w:tcPr>
            <w:tcW w:w="1280" w:type="dxa"/>
            <w:vAlign w:val="bottom"/>
          </w:tcPr>
          <w:p>
            <w:pPr>
              <w:ind w:left="10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8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20" w:type="dxa"/>
            <w:vAlign w:val="bottom"/>
            <w:gridSpan w:val="2"/>
          </w:tcPr>
          <w:p>
            <w:pPr>
              <w:ind w:left="20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60" w:type="dxa"/>
            <w:vAlign w:val="bottom"/>
            <w:gridSpan w:val="3"/>
          </w:tcPr>
          <w:p>
            <w:pPr>
              <w:ind w:left="100"/>
              <w:spacing w:after="0" w:line="99" w:lineRule="exact"/>
              <w:rPr>
                <w:sz w:val="20"/>
                <w:szCs w:val="20"/>
                <w:color w:val="auto"/>
              </w:rPr>
            </w:pPr>
            <w:r>
              <w:rPr>
                <w:rFonts w:ascii="Arial" w:cs="Arial" w:eastAsia="Arial" w:hAnsi="Arial"/>
                <w:sz w:val="10"/>
                <w:szCs w:val="10"/>
                <w:color w:val="auto"/>
              </w:rPr>
              <w:t>January 2019 / March 2019</w:t>
            </w:r>
          </w:p>
        </w:tc>
        <w:tc>
          <w:tcPr>
            <w:tcW w:w="9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566,962</w:t>
            </w:r>
          </w:p>
        </w:tc>
        <w:tc>
          <w:tcPr>
            <w:tcW w:w="1020" w:type="dxa"/>
            <w:vAlign w:val="bottom"/>
          </w:tcPr>
          <w:p>
            <w:pPr>
              <w:spacing w:after="0" w:line="99" w:lineRule="exact"/>
              <w:rPr>
                <w:sz w:val="20"/>
                <w:szCs w:val="20"/>
                <w:color w:val="auto"/>
              </w:rPr>
            </w:pPr>
            <w:r>
              <w:rPr>
                <w:rFonts w:ascii="Arial" w:cs="Arial" w:eastAsia="Arial" w:hAnsi="Arial"/>
                <w:sz w:val="10"/>
                <w:szCs w:val="10"/>
                <w:color w:val="auto"/>
              </w:rPr>
              <w:t>Investments</w:t>
            </w:r>
          </w:p>
        </w:tc>
      </w:tr>
      <w:tr>
        <w:trPr>
          <w:trHeight w:val="99"/>
        </w:trPr>
        <w:tc>
          <w:tcPr>
            <w:tcW w:w="13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Other below S/6.0 million</w:t>
            </w:r>
          </w:p>
        </w:tc>
        <w:tc>
          <w:tcPr>
            <w:tcW w:w="1240" w:type="dxa"/>
            <w:vAlign w:val="bottom"/>
            <w:gridSpan w:val="2"/>
            <w:shd w:val="clear" w:color="auto" w:fill="CCEEFF"/>
          </w:tcPr>
          <w:p>
            <w:pPr>
              <w:ind w:left="8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January 2020 / April 2033</w:t>
            </w:r>
          </w:p>
        </w:tc>
        <w:tc>
          <w:tcPr>
            <w:tcW w:w="10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64,970</w:t>
            </w:r>
          </w:p>
        </w:tc>
        <w:tc>
          <w:tcPr>
            <w:tcW w:w="200" w:type="dxa"/>
            <w:vAlign w:val="bottom"/>
            <w:shd w:val="clear" w:color="auto" w:fill="CCEEFF"/>
          </w:tcPr>
          <w:p>
            <w:pPr>
              <w:spacing w:after="0"/>
              <w:rPr>
                <w:sz w:val="8"/>
                <w:szCs w:val="8"/>
                <w:color w:val="auto"/>
              </w:rPr>
            </w:pPr>
          </w:p>
        </w:tc>
        <w:tc>
          <w:tcPr>
            <w:tcW w:w="11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1860" w:type="dxa"/>
            <w:vAlign w:val="bottom"/>
            <w:gridSpan w:val="3"/>
            <w:shd w:val="clear" w:color="auto" w:fill="CCEEFF"/>
          </w:tcPr>
          <w:p>
            <w:pPr>
              <w:ind w:left="100"/>
              <w:spacing w:after="0" w:line="99" w:lineRule="exact"/>
              <w:rPr>
                <w:sz w:val="20"/>
                <w:szCs w:val="20"/>
                <w:color w:val="auto"/>
              </w:rPr>
            </w:pPr>
            <w:r>
              <w:rPr>
                <w:rFonts w:ascii="Arial" w:cs="Arial" w:eastAsia="Arial" w:hAnsi="Arial"/>
                <w:sz w:val="10"/>
                <w:szCs w:val="10"/>
                <w:color w:val="auto"/>
              </w:rPr>
              <w:t>January 2019 / October 2033</w:t>
            </w:r>
          </w:p>
        </w:tc>
        <w:tc>
          <w:tcPr>
            <w:tcW w:w="9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70,298</w:t>
            </w:r>
          </w:p>
        </w:tc>
        <w:tc>
          <w:tcPr>
            <w:tcW w:w="1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r>
      <w:tr>
        <w:trPr>
          <w:trHeight w:val="108"/>
        </w:trPr>
        <w:tc>
          <w:tcPr>
            <w:tcW w:w="1320" w:type="dxa"/>
            <w:vAlign w:val="bottom"/>
          </w:tcPr>
          <w:p>
            <w:pPr>
              <w:spacing w:after="0" w:line="108" w:lineRule="exact"/>
              <w:rPr>
                <w:sz w:val="20"/>
                <w:szCs w:val="20"/>
                <w:color w:val="auto"/>
              </w:rPr>
            </w:pPr>
            <w:r>
              <w:rPr>
                <w:rFonts w:ascii="Arial" w:cs="Arial" w:eastAsia="Arial" w:hAnsi="Arial"/>
                <w:sz w:val="10"/>
                <w:szCs w:val="10"/>
                <w:color w:val="auto"/>
              </w:rPr>
              <w:t>Accrued interest</w:t>
            </w: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Arial" w:cs="Arial" w:eastAsia="Arial" w:hAnsi="Arial"/>
                <w:sz w:val="10"/>
                <w:szCs w:val="10"/>
                <w:color w:val="auto"/>
              </w:rPr>
              <w:t>99,801</w:t>
            </w: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88,207</w:t>
            </w:r>
          </w:p>
        </w:tc>
        <w:tc>
          <w:tcPr>
            <w:tcW w:w="1020" w:type="dxa"/>
            <w:vAlign w:val="bottom"/>
          </w:tcPr>
          <w:p>
            <w:pPr>
              <w:spacing w:after="0"/>
              <w:rPr>
                <w:sz w:val="9"/>
                <w:szCs w:val="9"/>
                <w:color w:val="auto"/>
              </w:rPr>
            </w:pPr>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2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6,331,465</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7,944,790</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CCEEFF"/>
              <w:bottom w:val="single" w:sz="8" w:color="CCEEFF"/>
            </w:tcBorders>
            <w:shd w:val="clear" w:color="auto" w:fill="CCEEFF"/>
          </w:tcPr>
          <w:p>
            <w:pPr>
              <w:spacing w:after="0"/>
              <w:rPr>
                <w:sz w:val="10"/>
                <w:szCs w:val="10"/>
                <w:color w:val="auto"/>
              </w:rPr>
            </w:pPr>
          </w:p>
        </w:tc>
      </w:tr>
    </w:tbl>
    <w:p>
      <w:pPr>
        <w:spacing w:after="0" w:line="13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At December 31, 2019, said operations accrue interest at fixed and variable rates between 2.6 percent and 7.20 percent and between Libor 3M + 0.80 percent and Libor 6M + 1.90 percent, respectively, (between 0.09 percent and 7.20 percent and between Libor 3M + 0.35 percent and Libor 6M + 1.90 percent, respectively, at December 31, 2018).</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Certain repurchase agreements were hedged using interest rate swaps (IRS) and cross-currency swaps (CCS), as detailed below:</w:t>
      </w:r>
    </w:p>
    <w:p>
      <w:pPr>
        <w:spacing w:after="0" w:line="150" w:lineRule="exact"/>
        <w:rPr>
          <w:sz w:val="20"/>
          <w:szCs w:val="20"/>
          <w:color w:val="auto"/>
        </w:rPr>
      </w:pPr>
    </w:p>
    <w:p>
      <w:pPr>
        <w:jc w:val="both"/>
        <w:ind w:left="240" w:hanging="232"/>
        <w:spacing w:after="0" w:line="263" w:lineRule="auto"/>
        <w:tabs>
          <w:tab w:leader="none" w:pos="2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At December 31, 2019, the Group maintains an IRS and a CCS which were together designated as a cash flow hedge of a repurchase agreement in U.S. Dollars at variable rate for a notional amount of US$80.0 million, equivalent to S/ 265.1 million (approximately US$ 80.0 million, equivalent to S/ 269.8 million, at December 31, 2018). By means of the IRS and the CCS, said repurchase agreement was economically converted to soles at fixed interest rate; see note 13(b).</w:t>
      </w:r>
    </w:p>
    <w:p>
      <w:pPr>
        <w:spacing w:after="0" w:line="122" w:lineRule="exact"/>
        <w:rPr>
          <w:rFonts w:ascii="Arial" w:cs="Arial" w:eastAsia="Arial" w:hAnsi="Arial"/>
          <w:sz w:val="12"/>
          <w:szCs w:val="12"/>
          <w:color w:val="auto"/>
        </w:rPr>
      </w:pPr>
    </w:p>
    <w:p>
      <w:pPr>
        <w:ind w:left="280" w:right="80" w:hanging="272"/>
        <w:spacing w:after="0" w:line="380" w:lineRule="auto"/>
        <w:tabs>
          <w:tab w:leader="none" w:pos="280" w:val="left"/>
        </w:tabs>
        <w:numPr>
          <w:ilvl w:val="0"/>
          <w:numId w:val="90"/>
        </w:numPr>
        <w:rPr>
          <w:rFonts w:ascii="Arial" w:cs="Arial" w:eastAsia="Arial" w:hAnsi="Arial"/>
          <w:sz w:val="10"/>
          <w:szCs w:val="10"/>
          <w:color w:val="auto"/>
        </w:rPr>
      </w:pPr>
      <w:r>
        <w:rPr>
          <w:rFonts w:ascii="Arial" w:cs="Arial" w:eastAsia="Arial" w:hAnsi="Arial"/>
          <w:sz w:val="10"/>
          <w:szCs w:val="10"/>
          <w:color w:val="auto"/>
        </w:rPr>
        <w:t>At December 31, 2019, the Group maintain a CCS, which was designated as a cash flow hedge of a repurchase agreement in U.S. Dollars at variable interest rate for a notional amount of US$ 70.0 million, equivalent to S/ 232.0 million (aproximately US$ 70.0 million, equivalent to S/ 236.1 million, at December 31, 2018). By means of the CCS, said repurchase agreement was economically converted to soles at a fixed interest rate, See note 13(b).</w:t>
      </w:r>
    </w:p>
    <w:p>
      <w:pPr>
        <w:spacing w:after="0" w:line="68" w:lineRule="exact"/>
        <w:rPr>
          <w:rFonts w:ascii="Arial" w:cs="Arial" w:eastAsia="Arial" w:hAnsi="Arial"/>
          <w:sz w:val="10"/>
          <w:szCs w:val="10"/>
          <w:color w:val="auto"/>
        </w:rPr>
      </w:pPr>
    </w:p>
    <w:p>
      <w:pPr>
        <w:ind w:left="280" w:right="60" w:hanging="272"/>
        <w:spacing w:after="0" w:line="323" w:lineRule="auto"/>
        <w:tabs>
          <w:tab w:leader="none" w:pos="280" w:val="left"/>
        </w:tabs>
        <w:numPr>
          <w:ilvl w:val="0"/>
          <w:numId w:val="90"/>
        </w:numPr>
        <w:rPr>
          <w:rFonts w:ascii="Arial" w:cs="Arial" w:eastAsia="Arial" w:hAnsi="Arial"/>
          <w:sz w:val="11"/>
          <w:szCs w:val="11"/>
          <w:color w:val="auto"/>
        </w:rPr>
      </w:pPr>
      <w:r>
        <w:rPr>
          <w:rFonts w:ascii="Arial" w:cs="Arial" w:eastAsia="Arial" w:hAnsi="Arial"/>
          <w:sz w:val="11"/>
          <w:szCs w:val="11"/>
          <w:color w:val="auto"/>
        </w:rPr>
        <w:t>At December 31, 2019, the Group maintains two CCS which were together designated as a cash flow hedge for two repurchase agreements in U.S. Dollars at variable rate for a notional amount of US$ 45.0 million, equivalent to S/ 149.1 million (approximately US$ 45.0 million, equivalent to S/ 151.8 million, at December 31, 2018). By means of these CCS, said repurchase agreements were economically converted to soles. See note 13(b).</w:t>
      </w:r>
    </w:p>
    <w:p>
      <w:pPr>
        <w:spacing w:after="0" w:line="91" w:lineRule="exact"/>
        <w:rPr>
          <w:rFonts w:ascii="Arial" w:cs="Arial" w:eastAsia="Arial" w:hAnsi="Arial"/>
          <w:sz w:val="11"/>
          <w:szCs w:val="11"/>
          <w:color w:val="auto"/>
        </w:rPr>
      </w:pPr>
    </w:p>
    <w:p>
      <w:pPr>
        <w:ind w:left="280" w:right="260" w:hanging="272"/>
        <w:spacing w:after="0" w:line="380" w:lineRule="auto"/>
        <w:tabs>
          <w:tab w:leader="none" w:pos="280" w:val="left"/>
        </w:tabs>
        <w:numPr>
          <w:ilvl w:val="0"/>
          <w:numId w:val="90"/>
        </w:numPr>
        <w:rPr>
          <w:rFonts w:ascii="Arial" w:cs="Arial" w:eastAsia="Arial" w:hAnsi="Arial"/>
          <w:sz w:val="10"/>
          <w:szCs w:val="10"/>
          <w:color w:val="auto"/>
        </w:rPr>
      </w:pPr>
      <w:r>
        <w:rPr>
          <w:rFonts w:ascii="Arial" w:cs="Arial" w:eastAsia="Arial" w:hAnsi="Arial"/>
          <w:sz w:val="10"/>
          <w:szCs w:val="10"/>
          <w:color w:val="auto"/>
        </w:rPr>
        <w:t>At December 31, 2019, the Group maintains a CCS which was designated as a cash flow hedge of a repurchase agreement in U.S. Dollars at variable rate for a total notional amount of US$ 25.0 million, equivalent to S/ 82.9 million (approximately US$ 25.0 million, equivalent to S/ 84.3 million, at December 31, 2018). By means of the CCS, said repurchase agreement was economically converted to soles at a fixed interest rate; see note 13(b).</w:t>
      </w:r>
    </w:p>
    <w:p>
      <w:pPr>
        <w:spacing w:after="0" w:line="68" w:lineRule="exact"/>
        <w:rPr>
          <w:rFonts w:ascii="Arial" w:cs="Arial" w:eastAsia="Arial" w:hAnsi="Arial"/>
          <w:sz w:val="10"/>
          <w:szCs w:val="10"/>
          <w:color w:val="auto"/>
        </w:rPr>
      </w:pPr>
    </w:p>
    <w:p>
      <w:pPr>
        <w:ind w:left="240" w:right="100" w:hanging="232"/>
        <w:spacing w:after="0" w:line="323" w:lineRule="auto"/>
        <w:tabs>
          <w:tab w:leader="none" w:pos="2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At December 31, 2018, the Group maintained five IRS which were designated as a cash flow hedge of a certain repurchase agreements in U.S. Dollars at variable rate for a notional amount of US$ 150.0 million, equivalent to S/ 506.0 million. By means of these IRS, said repurchase agreements were economically converted to a fixed interest rate; see note 13(b). Said IRS expired between March and December of 2019.</w:t>
      </w:r>
    </w:p>
    <w:p>
      <w:pPr>
        <w:spacing w:after="0" w:line="254" w:lineRule="exact"/>
        <w:rPr>
          <w:rFonts w:ascii="Arial" w:cs="Arial" w:eastAsia="Arial" w:hAnsi="Arial"/>
          <w:sz w:val="11"/>
          <w:szCs w:val="11"/>
          <w:color w:val="auto"/>
        </w:rPr>
      </w:pPr>
    </w:p>
    <w:p>
      <w:pPr>
        <w:ind w:left="5480" w:hanging="72"/>
        <w:spacing w:after="0"/>
        <w:tabs>
          <w:tab w:leader="none" w:pos="5480" w:val="left"/>
        </w:tabs>
        <w:numPr>
          <w:ilvl w:val="1"/>
          <w:numId w:val="90"/>
        </w:numPr>
        <w:rPr>
          <w:rFonts w:ascii="Arial" w:cs="Arial" w:eastAsia="Arial" w:hAnsi="Arial"/>
          <w:sz w:val="12"/>
          <w:szCs w:val="12"/>
          <w:color w:val="auto"/>
        </w:rPr>
      </w:pPr>
      <w:r>
        <w:rPr>
          <w:rFonts w:ascii="Arial" w:cs="Arial" w:eastAsia="Arial" w:hAnsi="Arial"/>
          <w:sz w:val="12"/>
          <w:szCs w:val="12"/>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74" w:name="page75"/>
    <w:bookmarkEnd w:id="74"/>
    <w:p>
      <w:pPr>
        <w:ind w:left="208" w:hanging="208"/>
        <w:spacing w:after="0"/>
        <w:tabs>
          <w:tab w:leader="none" w:pos="208"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91"/>
        </w:numPr>
        <w:rPr>
          <w:rFonts w:ascii="Arial" w:cs="Arial" w:eastAsia="Arial" w:hAnsi="Arial"/>
          <w:sz w:val="12"/>
          <w:szCs w:val="12"/>
          <w:color w:val="auto"/>
        </w:rPr>
      </w:pPr>
      <w:r>
        <w:rPr>
          <w:rFonts w:ascii="Arial" w:cs="Arial" w:eastAsia="Arial" w:hAnsi="Arial"/>
          <w:sz w:val="12"/>
          <w:szCs w:val="12"/>
          <w:color w:val="auto"/>
        </w:rPr>
        <w:t>Investment at fair value through profit or loss consist of the following:</w:t>
      </w:r>
    </w:p>
    <w:p>
      <w:pPr>
        <w:spacing w:after="0" w:line="146" w:lineRule="exact"/>
        <w:rPr>
          <w:sz w:val="20"/>
          <w:szCs w:val="20"/>
          <w:color w:val="auto"/>
        </w:rPr>
      </w:pPr>
    </w:p>
    <w:tbl>
      <w:tblPr>
        <w:tblLayout w:type="fixed"/>
        <w:tblInd w:w="428" w:type="dxa"/>
        <w:tblCellMar>
          <w:top w:w="0" w:type="dxa"/>
          <w:left w:w="0" w:type="dxa"/>
          <w:bottom w:w="0" w:type="dxa"/>
          <w:right w:w="0" w:type="dxa"/>
        </w:tblCellMar>
      </w:tblPr>
      <w:tr>
        <w:trPr>
          <w:trHeight w:val="157"/>
        </w:trPr>
        <w:tc>
          <w:tcPr>
            <w:tcW w:w="8140" w:type="dxa"/>
            <w:vAlign w:val="bottom"/>
          </w:tcPr>
          <w:p>
            <w:pPr>
              <w:spacing w:after="0"/>
              <w:rPr>
                <w:sz w:val="13"/>
                <w:szCs w:val="13"/>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140" w:type="dxa"/>
            <w:vAlign w:val="bottom"/>
          </w:tcPr>
          <w:p>
            <w:pPr>
              <w:spacing w:after="0"/>
              <w:rPr>
                <w:sz w:val="11"/>
                <w:szCs w:val="11"/>
                <w:color w:val="auto"/>
              </w:rPr>
            </w:pPr>
          </w:p>
        </w:tc>
        <w:tc>
          <w:tcPr>
            <w:tcW w:w="1200" w:type="dxa"/>
            <w:vAlign w:val="bottom"/>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180" w:type="dxa"/>
            <w:vAlign w:val="bottom"/>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Government treasury bonds (i)</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1,276,573</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1,318,311</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Mutual funds</w:t>
            </w:r>
          </w:p>
        </w:tc>
        <w:tc>
          <w:tcPr>
            <w:tcW w:w="1200" w:type="dxa"/>
            <w:vAlign w:val="bottom"/>
          </w:tcPr>
          <w:p>
            <w:pPr>
              <w:jc w:val="right"/>
              <w:spacing w:after="0"/>
              <w:rPr>
                <w:sz w:val="20"/>
                <w:szCs w:val="20"/>
                <w:color w:val="auto"/>
              </w:rPr>
            </w:pPr>
            <w:r>
              <w:rPr>
                <w:rFonts w:ascii="Arial" w:cs="Arial" w:eastAsia="Arial" w:hAnsi="Arial"/>
                <w:sz w:val="12"/>
                <w:szCs w:val="12"/>
                <w:color w:val="auto"/>
              </w:rPr>
              <w:t>593,552</w:t>
            </w:r>
          </w:p>
        </w:tc>
        <w:tc>
          <w:tcPr>
            <w:tcW w:w="22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397,918</w:t>
            </w: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Restricted mutual funds (ii)</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460,086</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407,350</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Corporate bonds</w:t>
            </w:r>
          </w:p>
        </w:tc>
        <w:tc>
          <w:tcPr>
            <w:tcW w:w="1200" w:type="dxa"/>
            <w:vAlign w:val="bottom"/>
          </w:tcPr>
          <w:p>
            <w:pPr>
              <w:jc w:val="right"/>
              <w:spacing w:after="0"/>
              <w:rPr>
                <w:sz w:val="20"/>
                <w:szCs w:val="20"/>
                <w:color w:val="auto"/>
              </w:rPr>
            </w:pPr>
            <w:r>
              <w:rPr>
                <w:rFonts w:ascii="Arial" w:cs="Arial" w:eastAsia="Arial" w:hAnsi="Arial"/>
                <w:sz w:val="12"/>
                <w:szCs w:val="12"/>
                <w:color w:val="auto"/>
              </w:rPr>
              <w:t>326,673</w:t>
            </w:r>
          </w:p>
        </w:tc>
        <w:tc>
          <w:tcPr>
            <w:tcW w:w="22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160,006</w:t>
            </w: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Investment funds</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327,659</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179,015</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Participation in RAL Funds (iii)</w:t>
            </w:r>
          </w:p>
        </w:tc>
        <w:tc>
          <w:tcPr>
            <w:tcW w:w="1200" w:type="dxa"/>
            <w:vAlign w:val="bottom"/>
          </w:tcPr>
          <w:p>
            <w:pPr>
              <w:jc w:val="right"/>
              <w:spacing w:after="0"/>
              <w:rPr>
                <w:sz w:val="20"/>
                <w:szCs w:val="20"/>
                <w:color w:val="auto"/>
              </w:rPr>
            </w:pPr>
            <w:r>
              <w:rPr>
                <w:rFonts w:ascii="Arial" w:cs="Arial" w:eastAsia="Arial" w:hAnsi="Arial"/>
                <w:sz w:val="12"/>
                <w:szCs w:val="12"/>
                <w:color w:val="auto"/>
              </w:rPr>
              <w:t>300,398</w:t>
            </w:r>
          </w:p>
        </w:tc>
        <w:tc>
          <w:tcPr>
            <w:tcW w:w="22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445,039</w:t>
            </w: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Central Bank of Chile bonds</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182,540</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30,382</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Shares</w:t>
            </w: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83,085</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101,068</w:t>
            </w: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Subordinated bonds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80,084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94,413</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Royalty Pharma (iv)</w:t>
            </w: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68,584</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56,787</w:t>
            </w:r>
          </w:p>
        </w:tc>
        <w:tc>
          <w:tcPr>
            <w:tcW w:w="0" w:type="dxa"/>
            <w:vAlign w:val="bottom"/>
          </w:tcPr>
          <w:p>
            <w:pPr>
              <w:spacing w:after="0"/>
              <w:rPr>
                <w:sz w:val="1"/>
                <w:szCs w:val="1"/>
                <w:color w:val="auto"/>
              </w:rPr>
            </w:pPr>
          </w:p>
        </w:tc>
      </w:tr>
      <w:tr>
        <w:trPr>
          <w:trHeight w:val="14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Multilateral organization bonds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53,353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193,395</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Others</w:t>
            </w: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93,204</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123,892</w:t>
            </w:r>
          </w:p>
        </w:tc>
        <w:tc>
          <w:tcPr>
            <w:tcW w:w="0" w:type="dxa"/>
            <w:vAlign w:val="bottom"/>
          </w:tcPr>
          <w:p>
            <w:pPr>
              <w:spacing w:after="0"/>
              <w:rPr>
                <w:sz w:val="1"/>
                <w:szCs w:val="1"/>
                <w:color w:val="auto"/>
              </w:rPr>
            </w:pPr>
          </w:p>
        </w:tc>
      </w:tr>
      <w:tr>
        <w:trPr>
          <w:trHeight w:val="133"/>
        </w:trPr>
        <w:tc>
          <w:tcPr>
            <w:tcW w:w="81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before accrued interest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3,845,791</w:t>
            </w:r>
          </w:p>
        </w:tc>
        <w:tc>
          <w:tcPr>
            <w:tcW w:w="2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3,507,576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140" w:type="dxa"/>
            <w:vAlign w:val="bottom"/>
          </w:tcPr>
          <w:p>
            <w:pPr>
              <w:spacing w:after="0"/>
              <w:rPr>
                <w:sz w:val="20"/>
                <w:szCs w:val="20"/>
                <w:color w:val="auto"/>
              </w:rPr>
            </w:pPr>
            <w:r>
              <w:rPr>
                <w:rFonts w:ascii="Arial" w:cs="Arial" w:eastAsia="Arial" w:hAnsi="Arial"/>
                <w:sz w:val="12"/>
                <w:szCs w:val="12"/>
                <w:color w:val="auto"/>
              </w:rPr>
              <w:t>Accrued interest</w:t>
            </w:r>
          </w:p>
        </w:tc>
        <w:tc>
          <w:tcPr>
            <w:tcW w:w="1200" w:type="dxa"/>
            <w:vAlign w:val="bottom"/>
          </w:tcPr>
          <w:p>
            <w:pPr>
              <w:jc w:val="right"/>
              <w:spacing w:after="0"/>
              <w:rPr>
                <w:sz w:val="20"/>
                <w:szCs w:val="20"/>
                <w:color w:val="auto"/>
              </w:rPr>
            </w:pPr>
            <w:r>
              <w:rPr>
                <w:rFonts w:ascii="Arial" w:cs="Arial" w:eastAsia="Arial" w:hAnsi="Arial"/>
                <w:sz w:val="12"/>
                <w:szCs w:val="12"/>
                <w:color w:val="auto"/>
              </w:rPr>
              <w:t>4,971</w:t>
            </w:r>
          </w:p>
        </w:tc>
        <w:tc>
          <w:tcPr>
            <w:tcW w:w="22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4,869</w:t>
            </w:r>
          </w:p>
        </w:tc>
        <w:tc>
          <w:tcPr>
            <w:tcW w:w="0" w:type="dxa"/>
            <w:vAlign w:val="bottom"/>
          </w:tcPr>
          <w:p>
            <w:pPr>
              <w:spacing w:after="0"/>
              <w:rPr>
                <w:sz w:val="1"/>
                <w:szCs w:val="1"/>
                <w:color w:val="auto"/>
              </w:rPr>
            </w:pPr>
          </w:p>
        </w:tc>
      </w:tr>
      <w:tr>
        <w:trPr>
          <w:trHeight w:val="20"/>
        </w:trPr>
        <w:tc>
          <w:tcPr>
            <w:tcW w:w="814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vMerge w:val="continue"/>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3,850,762</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3,512,445</w:t>
            </w:r>
          </w:p>
        </w:tc>
        <w:tc>
          <w:tcPr>
            <w:tcW w:w="0" w:type="dxa"/>
            <w:vAlign w:val="bottom"/>
          </w:tcPr>
          <w:p>
            <w:pPr>
              <w:spacing w:after="0"/>
              <w:rPr>
                <w:sz w:val="1"/>
                <w:szCs w:val="1"/>
                <w:color w:val="auto"/>
              </w:rPr>
            </w:pPr>
          </w:p>
        </w:tc>
      </w:tr>
      <w:tr>
        <w:trPr>
          <w:trHeight w:val="27"/>
        </w:trPr>
        <w:tc>
          <w:tcPr>
            <w:tcW w:w="814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268"/>
          </w:cols>
          <w:pgMar w:left="212" w:top="667" w:right="419" w:bottom="1440" w:gutter="0" w:footer="0" w:header="0"/>
        </w:sectPr>
      </w:pPr>
    </w:p>
    <w:p>
      <w:pPr>
        <w:ind w:left="648" w:hanging="216"/>
        <w:spacing w:after="0"/>
        <w:tabs>
          <w:tab w:leader="none" w:pos="648" w:val="left"/>
        </w:tabs>
        <w:numPr>
          <w:ilvl w:val="0"/>
          <w:numId w:val="92"/>
        </w:numPr>
        <w:rPr>
          <w:rFonts w:ascii="Arial" w:cs="Arial" w:eastAsia="Arial" w:hAnsi="Arial"/>
          <w:sz w:val="10"/>
          <w:szCs w:val="10"/>
          <w:color w:val="auto"/>
        </w:rPr>
      </w:pPr>
      <w:r>
        <w:rPr>
          <w:rFonts w:ascii="Arial" w:cs="Arial" w:eastAsia="Arial" w:hAnsi="Arial"/>
          <w:sz w:val="10"/>
          <w:szCs w:val="10"/>
          <w:color w:val="auto"/>
        </w:rPr>
        <w:t>At December 31, 2019 and 2018 the balance of these instruments includes the following government treasury bonds:</w:t>
      </w:r>
    </w:p>
    <w:p>
      <w:pPr>
        <w:spacing w:after="0" w:line="200" w:lineRule="exact"/>
        <w:rPr>
          <w:rFonts w:ascii="Arial" w:cs="Arial" w:eastAsia="Arial" w:hAnsi="Arial"/>
          <w:sz w:val="10"/>
          <w:szCs w:val="10"/>
          <w:color w:val="auto"/>
        </w:rPr>
      </w:pPr>
    </w:p>
    <w:p>
      <w:pPr>
        <w:spacing w:after="0" w:line="279" w:lineRule="exact"/>
        <w:rPr>
          <w:rFonts w:ascii="Arial" w:cs="Arial" w:eastAsia="Arial" w:hAnsi="Arial"/>
          <w:sz w:val="10"/>
          <w:szCs w:val="10"/>
          <w:color w:val="auto"/>
        </w:rPr>
      </w:pPr>
    </w:p>
    <w:p>
      <w:pPr>
        <w:ind w:left="648" w:right="5820"/>
        <w:spacing w:after="0" w:line="310" w:lineRule="auto"/>
        <w:rPr>
          <w:rFonts w:ascii="Arial" w:cs="Arial" w:eastAsia="Arial" w:hAnsi="Arial"/>
          <w:sz w:val="10"/>
          <w:szCs w:val="10"/>
          <w:color w:val="auto"/>
        </w:rPr>
      </w:pPr>
      <w:r>
        <w:rPr>
          <w:rFonts w:ascii="Arial" w:cs="Arial" w:eastAsia="Arial" w:hAnsi="Arial"/>
          <w:sz w:val="10"/>
          <w:szCs w:val="10"/>
          <w:color w:val="auto"/>
        </w:rPr>
        <w:t>Colombian Treasury bonds Peruvian Treasury bonds</w:t>
      </w:r>
    </w:p>
    <w:p>
      <w:pPr>
        <w:ind w:left="648"/>
        <w:spacing w:after="0"/>
        <w:rPr>
          <w:rFonts w:ascii="Arial" w:cs="Arial" w:eastAsia="Arial" w:hAnsi="Arial"/>
          <w:sz w:val="10"/>
          <w:szCs w:val="10"/>
          <w:color w:val="auto"/>
        </w:rPr>
      </w:pPr>
      <w:r>
        <w:rPr>
          <w:rFonts w:ascii="Arial" w:cs="Arial" w:eastAsia="Arial" w:hAnsi="Arial"/>
          <w:sz w:val="12"/>
          <w:szCs w:val="12"/>
          <w:color w:val="auto"/>
        </w:rPr>
        <w:t>U.S. treasury and federal agency bonds</w:t>
      </w:r>
    </w:p>
    <w:p>
      <w:pPr>
        <w:spacing w:after="0" w:line="29" w:lineRule="exact"/>
        <w:rPr>
          <w:rFonts w:ascii="Arial" w:cs="Arial" w:eastAsia="Arial" w:hAnsi="Arial"/>
          <w:sz w:val="10"/>
          <w:szCs w:val="10"/>
          <w:color w:val="auto"/>
        </w:rPr>
      </w:pPr>
    </w:p>
    <w:p>
      <w:pPr>
        <w:ind w:left="648"/>
        <w:spacing w:after="0"/>
        <w:rPr>
          <w:rFonts w:ascii="Arial" w:cs="Arial" w:eastAsia="Arial" w:hAnsi="Arial"/>
          <w:sz w:val="10"/>
          <w:szCs w:val="1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-375920</wp:posOffset>
            </wp:positionV>
            <wp:extent cx="6634480" cy="9144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6634480" cy="9144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-193040</wp:posOffset>
            </wp:positionV>
            <wp:extent cx="6634480" cy="971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663448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r>
      <w:tr>
        <w:trPr>
          <w:trHeight w:val="124"/>
        </w:trPr>
        <w:tc>
          <w:tcPr>
            <w:tcW w:w="1160" w:type="dxa"/>
            <w:vAlign w:val="bottom"/>
          </w:tcPr>
          <w:p>
            <w:pPr>
              <w:ind w:left="460"/>
              <w:spacing w:after="0" w:line="125"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0"/>
                <w:szCs w:val="10"/>
                <w:color w:val="auto"/>
              </w:rPr>
            </w:pPr>
          </w:p>
        </w:tc>
        <w:tc>
          <w:tcPr>
            <w:tcW w:w="1140" w:type="dxa"/>
            <w:vAlign w:val="bottom"/>
          </w:tcPr>
          <w:p>
            <w:pPr>
              <w:jc w:val="right"/>
              <w:ind w:right="280"/>
              <w:spacing w:after="0" w:line="125"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r>
      <w:tr>
        <w:trPr>
          <w:trHeight w:val="144"/>
        </w:trPr>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1,102,865</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1,259,516</w:t>
            </w:r>
          </w:p>
        </w:tc>
      </w:tr>
      <w:tr>
        <w:trPr>
          <w:trHeight w:val="153"/>
        </w:trPr>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95,308</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58,795</w:t>
            </w:r>
          </w:p>
        </w:tc>
      </w:tr>
      <w:tr>
        <w:trPr>
          <w:trHeight w:val="153"/>
        </w:trPr>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78,400</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9"/>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1,276,573</w:t>
            </w:r>
          </w:p>
        </w:tc>
        <w:tc>
          <w:tcPr>
            <w:tcW w:w="20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1,318,311</w:t>
            </w:r>
          </w:p>
        </w:tc>
      </w:tr>
    </w:tbl>
    <w:p>
      <w:pPr>
        <w:spacing w:after="0" w:line="135" w:lineRule="exact"/>
        <w:rPr>
          <w:sz w:val="20"/>
          <w:szCs w:val="20"/>
          <w:color w:val="auto"/>
        </w:rPr>
      </w:pPr>
    </w:p>
    <w:p>
      <w:pPr>
        <w:sectPr>
          <w:pgSz w:w="11900" w:h="16838" w:orient="portrait"/>
          <w:cols w:equalWidth="0" w:num="2">
            <w:col w:w="7768" w:space="720"/>
            <w:col w:w="2780"/>
          </w:cols>
          <w:pgMar w:left="212" w:top="667" w:right="419" w:bottom="1440" w:gutter="0" w:footer="0" w:header="0"/>
          <w:type w:val="continuous"/>
        </w:sectPr>
      </w:pPr>
    </w:p>
    <w:p>
      <w:pPr>
        <w:ind w:left="668" w:hanging="236"/>
        <w:spacing w:after="0" w:line="276" w:lineRule="auto"/>
        <w:tabs>
          <w:tab w:leader="none" w:pos="668"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14" w:lineRule="exact"/>
        <w:rPr>
          <w:rFonts w:ascii="Arial" w:cs="Arial" w:eastAsia="Arial" w:hAnsi="Arial"/>
          <w:sz w:val="12"/>
          <w:szCs w:val="12"/>
          <w:color w:val="auto"/>
        </w:rPr>
      </w:pPr>
    </w:p>
    <w:p>
      <w:pPr>
        <w:ind w:left="668" w:right="180" w:hanging="236"/>
        <w:spacing w:after="0" w:line="323" w:lineRule="auto"/>
        <w:tabs>
          <w:tab w:leader="none" w:pos="668" w:val="left"/>
        </w:tabs>
        <w:numPr>
          <w:ilvl w:val="0"/>
          <w:numId w:val="93"/>
        </w:numPr>
        <w:rPr>
          <w:rFonts w:ascii="Arial" w:cs="Arial" w:eastAsia="Arial" w:hAnsi="Arial"/>
          <w:sz w:val="11"/>
          <w:szCs w:val="11"/>
          <w:color w:val="auto"/>
        </w:rPr>
      </w:pPr>
      <w:r>
        <w:rPr>
          <w:rFonts w:ascii="Arial" w:cs="Arial" w:eastAsia="Arial" w:hAnsi="Arial"/>
          <w:sz w:val="11"/>
          <w:szCs w:val="11"/>
          <w:color w:val="auto"/>
        </w:rPr>
        <w:t>At December 31, 2019, these funds are approximately S/ 166.9 million in bolivianos and S/ 133.5 million in U.S. Dollars (S/ 174.3 million in bolivianos and S/ 270.7 million in U.S. Dollars at December 31, 2018) and comprise the investments made by the Group in the Central Bank of Bolivia as collateral for deposits received from the public. These funds have restrictions for their use and are required from all banks in Bolivia.</w:t>
      </w:r>
    </w:p>
    <w:p>
      <w:pPr>
        <w:spacing w:after="0" w:line="235" w:lineRule="exact"/>
        <w:rPr>
          <w:rFonts w:ascii="Arial" w:cs="Arial" w:eastAsia="Arial" w:hAnsi="Arial"/>
          <w:sz w:val="11"/>
          <w:szCs w:val="11"/>
          <w:color w:val="auto"/>
        </w:rPr>
      </w:pPr>
    </w:p>
    <w:p>
      <w:pPr>
        <w:ind w:left="5688" w:hanging="72"/>
        <w:spacing w:after="0"/>
        <w:tabs>
          <w:tab w:leader="none" w:pos="5688" w:val="left"/>
        </w:tabs>
        <w:numPr>
          <w:ilvl w:val="1"/>
          <w:numId w:val="93"/>
        </w:numPr>
        <w:rPr>
          <w:rFonts w:ascii="Arial" w:cs="Arial" w:eastAsia="Arial" w:hAnsi="Arial"/>
          <w:sz w:val="12"/>
          <w:szCs w:val="12"/>
          <w:color w:val="auto"/>
        </w:rPr>
      </w:pPr>
      <w:r>
        <w:rPr>
          <w:rFonts w:ascii="Arial" w:cs="Arial" w:eastAsia="Arial" w:hAnsi="Arial"/>
          <w:sz w:val="12"/>
          <w:szCs w:val="12"/>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8"/>
          </w:cols>
          <w:pgMar w:left="212" w:top="667" w:right="419" w:bottom="1440" w:gutter="0" w:footer="0" w:header="0"/>
          <w:type w:val="continuous"/>
        </w:sectPr>
      </w:pPr>
    </w:p>
    <w:bookmarkStart w:id="75" w:name="page76"/>
    <w:bookmarkEnd w:id="75"/>
    <w:p>
      <w:pPr>
        <w:ind w:left="236" w:right="40" w:hanging="236"/>
        <w:spacing w:after="0" w:line="323" w:lineRule="auto"/>
        <w:tabs>
          <w:tab w:leader="none" w:pos="236" w:val="left"/>
        </w:tabs>
        <w:numPr>
          <w:ilvl w:val="0"/>
          <w:numId w:val="94"/>
        </w:numPr>
        <w:rPr>
          <w:rFonts w:ascii="Arial" w:cs="Arial" w:eastAsia="Arial" w:hAnsi="Arial"/>
          <w:sz w:val="11"/>
          <w:szCs w:val="11"/>
          <w:color w:val="auto"/>
        </w:rPr>
      </w:pPr>
      <w:r>
        <w:rPr>
          <w:rFonts w:ascii="Arial" w:cs="Arial" w:eastAsia="Arial" w:hAnsi="Arial"/>
          <w:sz w:val="11"/>
          <w:szCs w:val="11"/>
          <w:color w:val="auto"/>
        </w:rPr>
        <w:t>It corresponds to participations in RPI International Holding, LP, who invests in a series of subordinate funds whose objective is to invest in Royalty Pharma Investments, an investment fund established under the laws of Ireland. This investment fund is dedicated to buying medical and biotechnology patents. Participations in RPI International Holdings, LP, are not liquid and require authorization for negotiation.</w:t>
      </w:r>
    </w:p>
    <w:p>
      <w:pPr>
        <w:spacing w:after="0" w:line="91" w:lineRule="exact"/>
        <w:rPr>
          <w:rFonts w:ascii="Arial" w:cs="Arial" w:eastAsia="Arial" w:hAnsi="Arial"/>
          <w:sz w:val="11"/>
          <w:szCs w:val="11"/>
          <w:color w:val="auto"/>
        </w:rPr>
      </w:pPr>
    </w:p>
    <w:p>
      <w:pPr>
        <w:ind w:left="216"/>
        <w:spacing w:after="0" w:line="276" w:lineRule="auto"/>
        <w:rPr>
          <w:rFonts w:ascii="Arial" w:cs="Arial" w:eastAsia="Arial" w:hAnsi="Arial"/>
          <w:sz w:val="11"/>
          <w:szCs w:val="11"/>
          <w:color w:val="auto"/>
        </w:rPr>
      </w:pPr>
      <w:r>
        <w:rPr>
          <w:rFonts w:ascii="Arial" w:cs="Arial" w:eastAsia="Arial" w:hAnsi="Arial"/>
          <w:sz w:val="12"/>
          <w:szCs w:val="12"/>
          <w:color w:val="auto"/>
        </w:rPr>
        <w:t>During the year of 2019 and 2018, the Group has received dividends from these participations for S/3,610.7 and S/3,689.4, respectively; which are presented in the item of “Interest and similar income” of the consolidated statement of income.</w:t>
      </w:r>
    </w:p>
    <w:p>
      <w:pPr>
        <w:spacing w:after="0" w:line="259" w:lineRule="exact"/>
        <w:rPr>
          <w:rFonts w:ascii="Arial" w:cs="Arial" w:eastAsia="Arial" w:hAnsi="Arial"/>
          <w:sz w:val="11"/>
          <w:szCs w:val="11"/>
          <w:color w:val="auto"/>
        </w:rPr>
      </w:pPr>
    </w:p>
    <w:p>
      <w:pPr>
        <w:ind w:left="5256" w:hanging="72"/>
        <w:spacing w:after="0"/>
        <w:tabs>
          <w:tab w:leader="none" w:pos="5256" w:val="left"/>
        </w:tabs>
        <w:numPr>
          <w:ilvl w:val="1"/>
          <w:numId w:val="94"/>
        </w:numPr>
        <w:rPr>
          <w:rFonts w:ascii="Arial" w:cs="Arial" w:eastAsia="Arial" w:hAnsi="Arial"/>
          <w:sz w:val="12"/>
          <w:szCs w:val="12"/>
          <w:color w:val="auto"/>
        </w:rPr>
      </w:pPr>
      <w:r>
        <w:rPr>
          <w:rFonts w:ascii="Arial" w:cs="Arial" w:eastAsia="Arial" w:hAnsi="Arial"/>
          <w:sz w:val="12"/>
          <w:szCs w:val="12"/>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16"/>
          </w:cols>
          <w:pgMar w:left="644" w:top="653" w:right="439" w:bottom="1440" w:gutter="0" w:footer="0" w:header="0"/>
        </w:sectPr>
      </w:pPr>
    </w:p>
    <w:bookmarkStart w:id="76" w:name="page77"/>
    <w:bookmarkEnd w:id="76"/>
    <w:p>
      <w:pPr>
        <w:spacing w:after="0"/>
        <w:tabs>
          <w:tab w:leader="none" w:pos="20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Investments at fair value through other comprehensive income consist of the following:</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2019</w:t>
            </w: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2018</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60" w:type="dxa"/>
            <w:vAlign w:val="bottom"/>
          </w:tcPr>
          <w:p>
            <w:pPr>
              <w:spacing w:after="0"/>
              <w:rPr>
                <w:sz w:val="8"/>
                <w:szCs w:val="8"/>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Amortized</w:t>
            </w:r>
          </w:p>
        </w:tc>
        <w:tc>
          <w:tcPr>
            <w:tcW w:w="1960" w:type="dxa"/>
            <w:vAlign w:val="bottom"/>
            <w:gridSpan w:val="4"/>
          </w:tcPr>
          <w:p>
            <w:pPr>
              <w:jc w:val="center"/>
              <w:ind w:right="220"/>
              <w:spacing w:after="0" w:line="97" w:lineRule="exact"/>
              <w:rPr>
                <w:sz w:val="20"/>
                <w:szCs w:val="20"/>
                <w:color w:val="auto"/>
              </w:rPr>
            </w:pPr>
            <w:r>
              <w:rPr>
                <w:rFonts w:ascii="Arial" w:cs="Arial" w:eastAsia="Arial" w:hAnsi="Arial"/>
                <w:sz w:val="10"/>
                <w:szCs w:val="10"/>
                <w:b w:val="1"/>
                <w:bCs w:val="1"/>
                <w:color w:val="auto"/>
                <w:w w:val="85"/>
              </w:rPr>
              <w:t>Unrealized gross amount</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Estimated</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Amortized</w:t>
            </w:r>
          </w:p>
        </w:tc>
        <w:tc>
          <w:tcPr>
            <w:tcW w:w="1940" w:type="dxa"/>
            <w:vAlign w:val="bottom"/>
            <w:gridSpan w:val="4"/>
          </w:tcPr>
          <w:p>
            <w:pPr>
              <w:jc w:val="center"/>
              <w:ind w:right="200"/>
              <w:spacing w:after="0" w:line="97" w:lineRule="exact"/>
              <w:rPr>
                <w:sz w:val="20"/>
                <w:szCs w:val="20"/>
                <w:color w:val="auto"/>
              </w:rPr>
            </w:pPr>
            <w:r>
              <w:rPr>
                <w:rFonts w:ascii="Arial" w:cs="Arial" w:eastAsia="Arial" w:hAnsi="Arial"/>
                <w:sz w:val="10"/>
                <w:szCs w:val="10"/>
                <w:b w:val="1"/>
                <w:bCs w:val="1"/>
                <w:color w:val="auto"/>
                <w:w w:val="85"/>
              </w:rPr>
              <w:t>Unrealized gross amount</w:t>
            </w:r>
          </w:p>
        </w:tc>
        <w:tc>
          <w:tcPr>
            <w:tcW w:w="8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7"/>
              </w:rPr>
              <w:t>Estimated</w:t>
            </w:r>
          </w:p>
        </w:tc>
        <w:tc>
          <w:tcPr>
            <w:tcW w:w="0" w:type="dxa"/>
            <w:vAlign w:val="bottom"/>
          </w:tcPr>
          <w:p>
            <w:pPr>
              <w:spacing w:after="0"/>
              <w:rPr>
                <w:sz w:val="1"/>
                <w:szCs w:val="1"/>
                <w:color w:val="auto"/>
              </w:rPr>
            </w:pPr>
          </w:p>
        </w:tc>
      </w:tr>
      <w:tr>
        <w:trPr>
          <w:trHeight w:val="65"/>
        </w:trPr>
        <w:tc>
          <w:tcPr>
            <w:tcW w:w="3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160" w:type="dxa"/>
            <w:vAlign w:val="bottom"/>
          </w:tcPr>
          <w:p>
            <w:pPr>
              <w:spacing w:after="0"/>
              <w:rPr>
                <w:sz w:val="9"/>
                <w:szCs w:val="9"/>
                <w:color w:val="auto"/>
              </w:rPr>
            </w:pPr>
          </w:p>
        </w:tc>
        <w:tc>
          <w:tcPr>
            <w:tcW w:w="9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77"/>
              </w:rPr>
              <w:t>cost</w:t>
            </w:r>
          </w:p>
        </w:tc>
        <w:tc>
          <w:tcPr>
            <w:tcW w:w="760" w:type="dxa"/>
            <w:vAlign w:val="bottom"/>
          </w:tcPr>
          <w:p>
            <w:pPr>
              <w:jc w:val="right"/>
              <w:ind w:right="132"/>
              <w:spacing w:after="0" w:line="114" w:lineRule="exact"/>
              <w:rPr>
                <w:sz w:val="20"/>
                <w:szCs w:val="20"/>
                <w:color w:val="auto"/>
              </w:rPr>
            </w:pPr>
            <w:r>
              <w:rPr>
                <w:rFonts w:ascii="Arial" w:cs="Arial" w:eastAsia="Arial" w:hAnsi="Arial"/>
                <w:sz w:val="10"/>
                <w:szCs w:val="10"/>
                <w:b w:val="1"/>
                <w:bCs w:val="1"/>
                <w:color w:val="auto"/>
              </w:rPr>
              <w:t>Profits</w:t>
            </w:r>
          </w:p>
        </w:tc>
        <w:tc>
          <w:tcPr>
            <w:tcW w:w="220" w:type="dxa"/>
            <w:vAlign w:val="bottom"/>
          </w:tcPr>
          <w:p>
            <w:pPr>
              <w:spacing w:after="0"/>
              <w:rPr>
                <w:sz w:val="9"/>
                <w:szCs w:val="9"/>
                <w:color w:val="auto"/>
              </w:rPr>
            </w:pPr>
          </w:p>
        </w:tc>
        <w:tc>
          <w:tcPr>
            <w:tcW w:w="98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Losses</w:t>
            </w:r>
          </w:p>
        </w:tc>
        <w:tc>
          <w:tcPr>
            <w:tcW w:w="9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fair value</w:t>
            </w:r>
          </w:p>
        </w:tc>
        <w:tc>
          <w:tcPr>
            <w:tcW w:w="9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77"/>
              </w:rPr>
              <w:t>cost</w:t>
            </w:r>
          </w:p>
        </w:tc>
        <w:tc>
          <w:tcPr>
            <w:tcW w:w="760" w:type="dxa"/>
            <w:vAlign w:val="bottom"/>
          </w:tcPr>
          <w:p>
            <w:pPr>
              <w:jc w:val="right"/>
              <w:ind w:right="152"/>
              <w:spacing w:after="0" w:line="114" w:lineRule="exact"/>
              <w:rPr>
                <w:sz w:val="20"/>
                <w:szCs w:val="20"/>
                <w:color w:val="auto"/>
              </w:rPr>
            </w:pPr>
            <w:r>
              <w:rPr>
                <w:rFonts w:ascii="Arial" w:cs="Arial" w:eastAsia="Arial" w:hAnsi="Arial"/>
                <w:sz w:val="10"/>
                <w:szCs w:val="10"/>
                <w:b w:val="1"/>
                <w:bCs w:val="1"/>
                <w:color w:val="auto"/>
              </w:rPr>
              <w:t>Profits</w:t>
            </w:r>
          </w:p>
        </w:tc>
        <w:tc>
          <w:tcPr>
            <w:tcW w:w="220" w:type="dxa"/>
            <w:vAlign w:val="bottom"/>
          </w:tcPr>
          <w:p>
            <w:pPr>
              <w:spacing w:after="0"/>
              <w:rPr>
                <w:sz w:val="9"/>
                <w:szCs w:val="9"/>
                <w:color w:val="auto"/>
              </w:rPr>
            </w:pPr>
          </w:p>
        </w:tc>
        <w:tc>
          <w:tcPr>
            <w:tcW w:w="96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Losses</w:t>
            </w:r>
          </w:p>
        </w:tc>
        <w:tc>
          <w:tcPr>
            <w:tcW w:w="8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90"/>
              </w:rPr>
              <w:t>fair value</w:t>
            </w: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780" w:type="dxa"/>
            <w:vAlign w:val="bottom"/>
            <w:tcBorders>
              <w:top w:val="single" w:sz="8" w:color="auto"/>
            </w:tcBorders>
          </w:tcPr>
          <w:p>
            <w:pPr>
              <w:jc w:val="center"/>
              <w:ind w:left="72"/>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76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740" w:type="dxa"/>
            <w:vAlign w:val="bottom"/>
            <w:tcBorders>
              <w:top w:val="single" w:sz="8" w:color="auto"/>
            </w:tcBorders>
          </w:tcPr>
          <w:p>
            <w:pPr>
              <w:jc w:val="center"/>
              <w:ind w:left="52"/>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760" w:type="dxa"/>
            <w:vAlign w:val="bottom"/>
            <w:tcBorders>
              <w:top w:val="single" w:sz="8" w:color="auto"/>
            </w:tcBorders>
          </w:tcPr>
          <w:p>
            <w:pPr>
              <w:jc w:val="center"/>
              <w:ind w:left="72"/>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74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760" w:type="dxa"/>
            <w:vAlign w:val="bottom"/>
            <w:tcBorders>
              <w:top w:val="single" w:sz="8" w:color="auto"/>
            </w:tcBorders>
          </w:tcPr>
          <w:p>
            <w:pPr>
              <w:jc w:val="center"/>
              <w:ind w:left="72"/>
              <w:spacing w:after="0" w:line="88" w:lineRule="exact"/>
              <w:rPr>
                <w:sz w:val="20"/>
                <w:szCs w:val="20"/>
                <w:color w:val="auto"/>
              </w:rPr>
            </w:pPr>
            <w:r>
              <w:rPr>
                <w:rFonts w:ascii="Arial" w:cs="Arial" w:eastAsia="Arial" w:hAnsi="Arial"/>
                <w:sz w:val="10"/>
                <w:szCs w:val="10"/>
                <w:b w:val="1"/>
                <w:bCs w:val="1"/>
                <w:color w:val="auto"/>
                <w:w w:val="85"/>
              </w:rPr>
              <w:t>S/(000)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Debts instruments:</w:t>
            </w: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Corporate bonds (i)</w:t>
            </w:r>
          </w:p>
        </w:tc>
        <w:tc>
          <w:tcPr>
            <w:tcW w:w="7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7,974,080</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706,394</w:t>
            </w:r>
          </w:p>
        </w:tc>
        <w:tc>
          <w:tcPr>
            <w:tcW w:w="12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(8,322)</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8,672,152</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8,263,943</w:t>
            </w: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208,409</w:t>
            </w:r>
          </w:p>
        </w:tc>
        <w:tc>
          <w:tcPr>
            <w:tcW w:w="11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(182,479)</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8,289,873</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Certificates of deposit BCRP (ii)</w:t>
            </w:r>
          </w:p>
        </w:tc>
        <w:tc>
          <w:tcPr>
            <w:tcW w:w="780" w:type="dxa"/>
            <w:vAlign w:val="bottom"/>
          </w:tcPr>
          <w:p>
            <w:pPr>
              <w:jc w:val="right"/>
              <w:spacing w:after="0" w:line="99" w:lineRule="exact"/>
              <w:rPr>
                <w:sz w:val="20"/>
                <w:szCs w:val="20"/>
                <w:color w:val="auto"/>
              </w:rPr>
            </w:pPr>
            <w:r>
              <w:rPr>
                <w:rFonts w:ascii="Arial" w:cs="Arial" w:eastAsia="Arial" w:hAnsi="Arial"/>
                <w:sz w:val="10"/>
                <w:szCs w:val="10"/>
                <w:color w:val="auto"/>
              </w:rPr>
              <w:t>8,649,885</w:t>
            </w:r>
          </w:p>
        </w:tc>
        <w:tc>
          <w:tcPr>
            <w:tcW w:w="20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15,388</w:t>
            </w:r>
          </w:p>
        </w:tc>
        <w:tc>
          <w:tcPr>
            <w:tcW w:w="120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rPr>
              <w:t>(1)</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8,665,272</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9,833,776</w:t>
            </w:r>
          </w:p>
        </w:tc>
        <w:tc>
          <w:tcPr>
            <w:tcW w:w="22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189</w:t>
            </w:r>
          </w:p>
        </w:tc>
        <w:tc>
          <w:tcPr>
            <w:tcW w:w="118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(4,381)</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9,829,584</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Government treasury bonds (iii)</w:t>
            </w:r>
          </w:p>
        </w:tc>
        <w:tc>
          <w:tcPr>
            <w:tcW w:w="7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6,009,137</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690,048</w:t>
            </w:r>
          </w:p>
        </w:tc>
        <w:tc>
          <w:tcPr>
            <w:tcW w:w="12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(1,109)</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6,698,076</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4,977,422</w:t>
            </w: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260,939</w:t>
            </w:r>
          </w:p>
        </w:tc>
        <w:tc>
          <w:tcPr>
            <w:tcW w:w="11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(47,613)</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5,190,748</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Securitization instruments (iv)</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580,778</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53,328</w:t>
            </w:r>
          </w:p>
        </w:tc>
        <w:tc>
          <w:tcPr>
            <w:tcW w:w="120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rPr>
              <w:t>(8,344)</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625,762</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505,976</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22,492</w:t>
            </w:r>
          </w:p>
        </w:tc>
        <w:tc>
          <w:tcPr>
            <w:tcW w:w="118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(9,980)</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518,488</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Negotiable certificates of deposit</w:t>
            </w: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369,016</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856</w:t>
            </w:r>
          </w:p>
        </w:tc>
        <w:tc>
          <w:tcPr>
            <w:tcW w:w="12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(303)</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369,569</w:t>
            </w:r>
          </w:p>
        </w:tc>
        <w:tc>
          <w:tcPr>
            <w:tcW w:w="9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280,828</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2,981</w:t>
            </w:r>
          </w:p>
        </w:tc>
        <w:tc>
          <w:tcPr>
            <w:tcW w:w="11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(250)</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283,559</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Subordinated bonds</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150,172</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14,085</w:t>
            </w:r>
          </w:p>
        </w:tc>
        <w:tc>
          <w:tcPr>
            <w:tcW w:w="120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rPr>
              <w:t>(100)</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164,157</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163,891</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3,900</w:t>
            </w:r>
          </w:p>
        </w:tc>
        <w:tc>
          <w:tcPr>
            <w:tcW w:w="118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(2,443)</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165,348</w:t>
            </w: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Others</w:t>
            </w: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167,529</w:t>
            </w:r>
          </w:p>
        </w:tc>
        <w:tc>
          <w:tcPr>
            <w:tcW w:w="7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7,896</w:t>
            </w:r>
          </w:p>
        </w:tc>
        <w:tc>
          <w:tcPr>
            <w:tcW w:w="120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175,425</w:t>
            </w:r>
          </w:p>
        </w:tc>
        <w:tc>
          <w:tcPr>
            <w:tcW w:w="9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54,384</w:t>
            </w:r>
          </w:p>
        </w:tc>
        <w:tc>
          <w:tcPr>
            <w:tcW w:w="7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240</w:t>
            </w:r>
          </w:p>
        </w:tc>
        <w:tc>
          <w:tcPr>
            <w:tcW w:w="118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(681)</w:t>
            </w:r>
          </w:p>
        </w:tc>
        <w:tc>
          <w:tcPr>
            <w:tcW w:w="8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53,943</w:t>
            </w: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7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23,900,597</w:t>
            </w:r>
          </w:p>
        </w:tc>
        <w:tc>
          <w:tcPr>
            <w:tcW w:w="200" w:type="dxa"/>
            <w:vAlign w:val="bottom"/>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1,487,995</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(18,179)</w:t>
            </w:r>
          </w:p>
        </w:tc>
        <w:tc>
          <w:tcPr>
            <w:tcW w:w="220" w:type="dxa"/>
            <w:vAlign w:val="bottom"/>
          </w:tcPr>
          <w:p>
            <w:pPr>
              <w:spacing w:after="0"/>
              <w:rPr>
                <w:sz w:val="7"/>
                <w:szCs w:val="7"/>
                <w:color w:val="auto"/>
              </w:rPr>
            </w:pPr>
          </w:p>
        </w:tc>
        <w:tc>
          <w:tcPr>
            <w:tcW w:w="7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25,370,413</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24,080,220</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499,150</w:t>
            </w:r>
          </w:p>
        </w:tc>
        <w:tc>
          <w:tcPr>
            <w:tcW w:w="220" w:type="dxa"/>
            <w:vAlign w:val="bottom"/>
          </w:tcPr>
          <w:p>
            <w:pPr>
              <w:spacing w:after="0"/>
              <w:rPr>
                <w:sz w:val="7"/>
                <w:szCs w:val="7"/>
                <w:color w:val="auto"/>
              </w:rPr>
            </w:pPr>
          </w:p>
        </w:tc>
        <w:tc>
          <w:tcPr>
            <w:tcW w:w="7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(247,827)</w:t>
            </w:r>
          </w:p>
        </w:tc>
        <w:tc>
          <w:tcPr>
            <w:tcW w:w="220" w:type="dxa"/>
            <w:vAlign w:val="bottom"/>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24,331,543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Equity instruments designated at the initial recognition</w:t>
            </w: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Shares issued by:</w:t>
            </w: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Alicorp S.A.A.</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12,198</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201,567</w:t>
            </w:r>
          </w:p>
        </w:tc>
        <w:tc>
          <w:tcPr>
            <w:tcW w:w="120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213,765</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12,198</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218,994</w:t>
            </w:r>
          </w:p>
        </w:tc>
        <w:tc>
          <w:tcPr>
            <w:tcW w:w="118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231,192</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Inversiones Centenario</w:t>
            </w:r>
          </w:p>
        </w:tc>
        <w:tc>
          <w:tcPr>
            <w:tcW w:w="7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112,647</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195,305</w:t>
            </w:r>
          </w:p>
        </w:tc>
        <w:tc>
          <w:tcPr>
            <w:tcW w:w="12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307,952</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112,647</w:t>
            </w: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236,063</w:t>
            </w:r>
          </w:p>
        </w:tc>
        <w:tc>
          <w:tcPr>
            <w:tcW w:w="118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348,710</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Bolsa de Valores de Lima</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19,423</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2,115</w:t>
            </w:r>
          </w:p>
        </w:tc>
        <w:tc>
          <w:tcPr>
            <w:tcW w:w="120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21,538</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19,698</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9,363</w:t>
            </w:r>
          </w:p>
        </w:tc>
        <w:tc>
          <w:tcPr>
            <w:tcW w:w="118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29,061</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Bolsa de Comercio de Santiago</w:t>
            </w: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4,964</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5,688</w:t>
            </w:r>
          </w:p>
        </w:tc>
        <w:tc>
          <w:tcPr>
            <w:tcW w:w="12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10,652</w:t>
            </w:r>
          </w:p>
        </w:tc>
        <w:tc>
          <w:tcPr>
            <w:tcW w:w="9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8,808</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5,360</w:t>
            </w:r>
          </w:p>
        </w:tc>
        <w:tc>
          <w:tcPr>
            <w:tcW w:w="118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14,168</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Compañía Universal Textil S.A.</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9,597</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248</w:t>
            </w:r>
          </w:p>
        </w:tc>
        <w:tc>
          <w:tcPr>
            <w:tcW w:w="120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rPr>
              <w:t>(3,432)</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6,413</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9,597</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248</w:t>
            </w:r>
          </w:p>
        </w:tc>
        <w:tc>
          <w:tcPr>
            <w:tcW w:w="118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(3,397)</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6,448</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Pagos Digitales Peruanos S.A.</w:t>
            </w: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5,197</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5,197</w:t>
            </w:r>
          </w:p>
        </w:tc>
        <w:tc>
          <w:tcPr>
            <w:tcW w:w="9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4,717</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18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4,717</w:t>
            </w:r>
          </w:p>
        </w:tc>
        <w:tc>
          <w:tcPr>
            <w:tcW w:w="0" w:type="dxa"/>
            <w:vAlign w:val="bottom"/>
          </w:tcPr>
          <w:p>
            <w:pPr>
              <w:spacing w:after="0"/>
              <w:rPr>
                <w:sz w:val="1"/>
                <w:szCs w:val="1"/>
                <w:color w:val="auto"/>
              </w:rPr>
            </w:pPr>
          </w:p>
        </w:tc>
      </w:tr>
      <w:tr>
        <w:trPr>
          <w:trHeight w:val="99"/>
        </w:trPr>
        <w:tc>
          <w:tcPr>
            <w:tcW w:w="3160" w:type="dxa"/>
            <w:vAlign w:val="bottom"/>
          </w:tcPr>
          <w:p>
            <w:pPr>
              <w:spacing w:after="0" w:line="99" w:lineRule="exact"/>
              <w:rPr>
                <w:sz w:val="20"/>
                <w:szCs w:val="20"/>
                <w:color w:val="auto"/>
              </w:rPr>
            </w:pPr>
            <w:r>
              <w:rPr>
                <w:rFonts w:ascii="Arial" w:cs="Arial" w:eastAsia="Arial" w:hAnsi="Arial"/>
                <w:sz w:val="10"/>
                <w:szCs w:val="10"/>
                <w:color w:val="auto"/>
              </w:rPr>
              <w:t>Corporación Andina de Fomento</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4,441</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181</w:t>
            </w:r>
          </w:p>
        </w:tc>
        <w:tc>
          <w:tcPr>
            <w:tcW w:w="120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4,622</w:t>
            </w:r>
          </w:p>
        </w:tc>
        <w:tc>
          <w:tcPr>
            <w:tcW w:w="9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4,428</w:t>
            </w: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57</w:t>
            </w:r>
          </w:p>
        </w:tc>
        <w:tc>
          <w:tcPr>
            <w:tcW w:w="118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4,485</w:t>
            </w:r>
          </w:p>
        </w:tc>
        <w:tc>
          <w:tcPr>
            <w:tcW w:w="0" w:type="dxa"/>
            <w:vAlign w:val="bottom"/>
          </w:tcPr>
          <w:p>
            <w:pPr>
              <w:spacing w:after="0"/>
              <w:rPr>
                <w:sz w:val="1"/>
                <w:szCs w:val="1"/>
                <w:color w:val="auto"/>
              </w:rPr>
            </w:pPr>
          </w:p>
        </w:tc>
      </w:tr>
      <w:tr>
        <w:trPr>
          <w:trHeight w:val="99"/>
        </w:trPr>
        <w:tc>
          <w:tcPr>
            <w:tcW w:w="31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Bolsa de Valores de Colombia</w:t>
            </w:r>
          </w:p>
        </w:tc>
        <w:tc>
          <w:tcPr>
            <w:tcW w:w="7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872</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4,070</w:t>
            </w:r>
          </w:p>
        </w:tc>
        <w:tc>
          <w:tcPr>
            <w:tcW w:w="12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(53)</w:t>
            </w:r>
          </w:p>
        </w:tc>
        <w:tc>
          <w:tcPr>
            <w:tcW w:w="9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4,889</w:t>
            </w:r>
          </w:p>
        </w:tc>
        <w:tc>
          <w:tcPr>
            <w:tcW w:w="9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4,681</w:t>
            </w:r>
          </w:p>
        </w:tc>
        <w:tc>
          <w:tcPr>
            <w:tcW w:w="7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1,958</w:t>
            </w:r>
          </w:p>
        </w:tc>
        <w:tc>
          <w:tcPr>
            <w:tcW w:w="118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6,639</w:t>
            </w:r>
          </w:p>
        </w:tc>
        <w:tc>
          <w:tcPr>
            <w:tcW w:w="0" w:type="dxa"/>
            <w:vAlign w:val="bottom"/>
          </w:tcPr>
          <w:p>
            <w:pPr>
              <w:spacing w:after="0"/>
              <w:rPr>
                <w:sz w:val="1"/>
                <w:szCs w:val="1"/>
                <w:color w:val="auto"/>
              </w:rPr>
            </w:pPr>
          </w:p>
        </w:tc>
      </w:tr>
      <w:tr>
        <w:trPr>
          <w:trHeight w:val="108"/>
        </w:trPr>
        <w:tc>
          <w:tcPr>
            <w:tcW w:w="3160" w:type="dxa"/>
            <w:vAlign w:val="bottom"/>
          </w:tcPr>
          <w:p>
            <w:pPr>
              <w:spacing w:after="0" w:line="108" w:lineRule="exact"/>
              <w:rPr>
                <w:sz w:val="20"/>
                <w:szCs w:val="20"/>
                <w:color w:val="auto"/>
              </w:rPr>
            </w:pPr>
            <w:r>
              <w:rPr>
                <w:rFonts w:ascii="Arial" w:cs="Arial" w:eastAsia="Arial" w:hAnsi="Arial"/>
                <w:sz w:val="10"/>
                <w:szCs w:val="10"/>
                <w:color w:val="auto"/>
              </w:rPr>
              <w:t>Others</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2,638</w:t>
            </w:r>
          </w:p>
        </w:tc>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1,533</w:t>
            </w:r>
          </w:p>
        </w:tc>
        <w:tc>
          <w:tcPr>
            <w:tcW w:w="120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4,171</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2,858</w:t>
            </w:r>
          </w:p>
        </w:tc>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1,192</w:t>
            </w:r>
          </w:p>
        </w:tc>
        <w:tc>
          <w:tcPr>
            <w:tcW w:w="118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4,050</w:t>
            </w:r>
          </w:p>
        </w:tc>
        <w:tc>
          <w:tcPr>
            <w:tcW w:w="0" w:type="dxa"/>
            <w:vAlign w:val="bottom"/>
          </w:tcPr>
          <w:p>
            <w:pPr>
              <w:spacing w:after="0"/>
              <w:rPr>
                <w:sz w:val="1"/>
                <w:szCs w:val="1"/>
                <w:color w:val="auto"/>
              </w:rPr>
            </w:pPr>
          </w:p>
        </w:tc>
      </w:tr>
      <w:tr>
        <w:trPr>
          <w:trHeight w:val="88"/>
        </w:trPr>
        <w:tc>
          <w:tcPr>
            <w:tcW w:w="31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171,977</w:t>
            </w:r>
          </w:p>
        </w:tc>
        <w:tc>
          <w:tcPr>
            <w:tcW w:w="2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410,707</w:t>
            </w:r>
          </w:p>
        </w:tc>
        <w:tc>
          <w:tcPr>
            <w:tcW w:w="2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(3,485)</w:t>
            </w:r>
          </w:p>
        </w:tc>
        <w:tc>
          <w:tcPr>
            <w:tcW w:w="2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579,199</w:t>
            </w:r>
          </w:p>
        </w:tc>
        <w:tc>
          <w:tcPr>
            <w:tcW w:w="2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179,632</w:t>
            </w:r>
          </w:p>
        </w:tc>
        <w:tc>
          <w:tcPr>
            <w:tcW w:w="2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473,235</w:t>
            </w:r>
          </w:p>
        </w:tc>
        <w:tc>
          <w:tcPr>
            <w:tcW w:w="2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(3,397)</w:t>
            </w:r>
          </w:p>
        </w:tc>
        <w:tc>
          <w:tcPr>
            <w:tcW w:w="2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649,470</w:t>
            </w: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6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60" w:type="dxa"/>
            <w:vAlign w:val="bottom"/>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before accrued interest</w:t>
            </w: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24,072,574</w:t>
            </w: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1,898,702</w:t>
            </w: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(21,664)</w:t>
            </w: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25,949,612</w:t>
            </w: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24,259,852</w:t>
            </w: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972,385</w:t>
            </w: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(251,224)</w:t>
            </w: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24,981,013</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line="108" w:lineRule="exact"/>
              <w:rPr>
                <w:sz w:val="20"/>
                <w:szCs w:val="20"/>
                <w:color w:val="auto"/>
              </w:rPr>
            </w:pPr>
            <w:r>
              <w:rPr>
                <w:rFonts w:ascii="Arial" w:cs="Arial" w:eastAsia="Arial" w:hAnsi="Arial"/>
                <w:sz w:val="10"/>
                <w:szCs w:val="10"/>
                <w:color w:val="auto"/>
              </w:rPr>
              <w:t>Accrued interest</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253,111</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214,822</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w:t>
            </w: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60" w:type="dxa"/>
            <w:vAlign w:val="bottom"/>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26,202,723</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25,195,835</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spacing w:after="0" w:line="327" w:lineRule="auto"/>
        <w:rPr>
          <w:sz w:val="20"/>
          <w:szCs w:val="20"/>
          <w:color w:val="auto"/>
        </w:rPr>
      </w:pPr>
      <w:r>
        <w:rPr>
          <w:rFonts w:ascii="Arial" w:cs="Arial" w:eastAsia="Arial" w:hAnsi="Arial"/>
          <w:sz w:val="10"/>
          <w:szCs w:val="10"/>
          <w:color w:val="auto"/>
        </w:rPr>
        <w:t>The Management of Credicorp has determined that the unrealized losses on investment at fair value through other comprehensive income at December 31, 2019 and 2018 are of a temporary nature, considering factors such as intended strategy in relation with the identified security or portfolio, its underlying collateral and credit rating of the issuers. During 2019, as a result of assesment of the impairment of its investments at fair value through other comprehensive income, the Group recorded a recovery of credit loss of S/0.7 million (recovery of credit loss of S/1.9 million during the year 2018), which is shown in “Net gain on securities”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movement of the “Reserve for investments at fair value through other comprehensive income” net of deferred income tax and non-controlling interest, is shown in note 18(c).</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2019 and 2018, the Group has not reclassified instruments from the portfolio of investments at fair value through other comprehensive income to investments at amortized cost.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60"/>
          </w:cols>
          <w:pgMar w:left="420" w:top="653" w:right="419" w:bottom="1440" w:gutter="0" w:footer="0" w:header="0"/>
        </w:sectPr>
      </w:pPr>
    </w:p>
    <w:bookmarkStart w:id="77" w:name="page78"/>
    <w:bookmarkEnd w:id="77"/>
    <w:p>
      <w:pPr>
        <w:spacing w:after="0"/>
        <w:rPr>
          <w:sz w:val="20"/>
          <w:szCs w:val="20"/>
          <w:color w:val="auto"/>
        </w:rPr>
      </w:pPr>
      <w:r>
        <w:rPr>
          <w:rFonts w:ascii="Arial" w:cs="Arial" w:eastAsia="Arial" w:hAnsi="Arial"/>
          <w:sz w:val="12"/>
          <w:szCs w:val="12"/>
          <w:color w:val="auto"/>
        </w:rPr>
        <w:t>The maturities and annual market rates of investments at fair value through other comprehensive income during the years of 2019 and 2018,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4"/>
          </w:tcPr>
          <w:p>
            <w:pPr>
              <w:ind w:left="340"/>
              <w:spacing w:after="0"/>
              <w:rPr>
                <w:sz w:val="20"/>
                <w:szCs w:val="20"/>
                <w:color w:val="auto"/>
              </w:rPr>
            </w:pPr>
            <w:r>
              <w:rPr>
                <w:rFonts w:ascii="Arial" w:cs="Arial" w:eastAsia="Arial" w:hAnsi="Arial"/>
                <w:sz w:val="10"/>
                <w:szCs w:val="10"/>
                <w:b w:val="1"/>
                <w:bCs w:val="1"/>
                <w:color w:val="auto"/>
              </w:rPr>
              <w:t>Maturities</w:t>
            </w: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3"/>
          </w:tcPr>
          <w:p>
            <w:pPr>
              <w:jc w:val="right"/>
              <w:ind w:right="73"/>
              <w:spacing w:after="0"/>
              <w:rPr>
                <w:sz w:val="20"/>
                <w:szCs w:val="20"/>
                <w:color w:val="auto"/>
              </w:rPr>
            </w:pPr>
            <w:r>
              <w:rPr>
                <w:rFonts w:ascii="Arial" w:cs="Arial" w:eastAsia="Arial" w:hAnsi="Arial"/>
                <w:sz w:val="10"/>
                <w:szCs w:val="10"/>
                <w:b w:val="1"/>
                <w:bCs w:val="1"/>
                <w:color w:val="auto"/>
                <w:w w:val="88"/>
              </w:rPr>
              <w:t>Annual effective interest rate</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88"/>
        </w:trPr>
        <w:tc>
          <w:tcPr>
            <w:tcW w:w="1400" w:type="dxa"/>
            <w:vAlign w:val="bottom"/>
          </w:tcPr>
          <w:p>
            <w:pPr>
              <w:spacing w:after="0"/>
              <w:rPr>
                <w:sz w:val="7"/>
                <w:szCs w:val="7"/>
                <w:color w:val="auto"/>
              </w:rPr>
            </w:pPr>
          </w:p>
        </w:tc>
        <w:tc>
          <w:tcPr>
            <w:tcW w:w="940" w:type="dxa"/>
            <w:vAlign w:val="bottom"/>
            <w:tcBorders>
              <w:top w:val="single" w:sz="8" w:color="auto"/>
              <w:bottom w:val="single" w:sz="8" w:color="auto"/>
            </w:tcBorders>
            <w:gridSpan w:val="2"/>
          </w:tcPr>
          <w:p>
            <w:pPr>
              <w:jc w:val="right"/>
              <w:ind w:right="312"/>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ind w:left="360"/>
              <w:spacing w:after="0" w:line="88"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353"/>
              <w:spacing w:after="0" w:line="88" w:lineRule="exact"/>
              <w:rPr>
                <w:sz w:val="20"/>
                <w:szCs w:val="20"/>
                <w:color w:val="auto"/>
              </w:rPr>
            </w:pPr>
            <w:r>
              <w:rPr>
                <w:rFonts w:ascii="Arial" w:cs="Arial" w:eastAsia="Arial" w:hAnsi="Arial"/>
                <w:sz w:val="10"/>
                <w:szCs w:val="10"/>
                <w:b w:val="1"/>
                <w:bCs w:val="1"/>
                <w:color w:val="auto"/>
                <w:w w:val="80"/>
              </w:rPr>
              <w:t>2019</w:t>
            </w:r>
          </w:p>
        </w:tc>
        <w:tc>
          <w:tcPr>
            <w:tcW w:w="2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373"/>
              <w:spacing w:after="0" w:line="88" w:lineRule="exact"/>
              <w:rPr>
                <w:sz w:val="20"/>
                <w:szCs w:val="20"/>
                <w:color w:val="auto"/>
              </w:rPr>
            </w:pPr>
            <w:r>
              <w:rPr>
                <w:rFonts w:ascii="Arial" w:cs="Arial" w:eastAsia="Arial" w:hAnsi="Arial"/>
                <w:sz w:val="10"/>
                <w:szCs w:val="10"/>
                <w:b w:val="1"/>
                <w:bCs w:val="1"/>
                <w:color w:val="auto"/>
                <w:w w:val="80"/>
              </w:rPr>
              <w:t>2018</w:t>
            </w:r>
          </w:p>
        </w:tc>
        <w:tc>
          <w:tcPr>
            <w:tcW w:w="20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gridSpan w:val="2"/>
          </w:tcPr>
          <w:p>
            <w:pPr>
              <w:jc w:val="right"/>
              <w:ind w:right="660"/>
              <w:spacing w:after="0" w:line="88" w:lineRule="exact"/>
              <w:rPr>
                <w:sz w:val="20"/>
                <w:szCs w:val="20"/>
                <w:color w:val="auto"/>
              </w:rPr>
            </w:pPr>
            <w:r>
              <w:rPr>
                <w:rFonts w:ascii="Arial" w:cs="Arial" w:eastAsia="Arial" w:hAnsi="Arial"/>
                <w:sz w:val="10"/>
                <w:szCs w:val="10"/>
                <w:b w:val="1"/>
                <w:bCs w:val="1"/>
                <w:color w:val="auto"/>
              </w:rPr>
              <w:t>S/</w:t>
            </w:r>
          </w:p>
        </w:tc>
        <w:tc>
          <w:tcPr>
            <w:tcW w:w="400" w:type="dxa"/>
            <w:vAlign w:val="bottom"/>
          </w:tcPr>
          <w:p>
            <w:pPr>
              <w:spacing w:after="0"/>
              <w:rPr>
                <w:sz w:val="7"/>
                <w:szCs w:val="7"/>
                <w:color w:val="auto"/>
              </w:rPr>
            </w:pPr>
          </w:p>
        </w:tc>
        <w:tc>
          <w:tcPr>
            <w:tcW w:w="800" w:type="dxa"/>
            <w:vAlign w:val="bottom"/>
            <w:gridSpan w:val="2"/>
          </w:tcPr>
          <w:p>
            <w:pPr>
              <w:jc w:val="center"/>
              <w:ind w:right="600"/>
              <w:spacing w:after="0" w:line="88" w:lineRule="exact"/>
              <w:rPr>
                <w:sz w:val="20"/>
                <w:szCs w:val="20"/>
                <w:color w:val="auto"/>
              </w:rPr>
            </w:pPr>
            <w:r>
              <w:rPr>
                <w:rFonts w:ascii="Arial" w:cs="Arial" w:eastAsia="Arial" w:hAnsi="Arial"/>
                <w:sz w:val="10"/>
                <w:szCs w:val="10"/>
                <w:b w:val="1"/>
                <w:bCs w:val="1"/>
                <w:color w:val="auto"/>
                <w:w w:val="82"/>
              </w:rPr>
              <w:t>US$</w:t>
            </w:r>
          </w:p>
        </w:tc>
        <w:tc>
          <w:tcPr>
            <w:tcW w:w="1020" w:type="dxa"/>
            <w:vAlign w:val="bottom"/>
            <w:gridSpan w:val="2"/>
          </w:tcPr>
          <w:p>
            <w:pPr>
              <w:jc w:val="right"/>
              <w:ind w:right="113"/>
              <w:spacing w:after="0" w:line="88" w:lineRule="exact"/>
              <w:rPr>
                <w:sz w:val="20"/>
                <w:szCs w:val="20"/>
                <w:color w:val="auto"/>
              </w:rPr>
            </w:pPr>
            <w:r>
              <w:rPr>
                <w:rFonts w:ascii="Arial" w:cs="Arial" w:eastAsia="Arial" w:hAnsi="Arial"/>
                <w:sz w:val="10"/>
                <w:szCs w:val="10"/>
                <w:b w:val="1"/>
                <w:bCs w:val="1"/>
                <w:color w:val="auto"/>
              </w:rPr>
              <w:t>Other currencies</w:t>
            </w:r>
          </w:p>
        </w:tc>
        <w:tc>
          <w:tcPr>
            <w:tcW w:w="200" w:type="dxa"/>
            <w:vAlign w:val="bottom"/>
          </w:tcPr>
          <w:p>
            <w:pPr>
              <w:spacing w:after="0"/>
              <w:rPr>
                <w:sz w:val="7"/>
                <w:szCs w:val="7"/>
                <w:color w:val="auto"/>
              </w:rPr>
            </w:pPr>
          </w:p>
        </w:tc>
        <w:tc>
          <w:tcPr>
            <w:tcW w:w="620" w:type="dxa"/>
            <w:vAlign w:val="bottom"/>
          </w:tcPr>
          <w:p>
            <w:pPr>
              <w:jc w:val="right"/>
              <w:ind w:right="33"/>
              <w:spacing w:after="0" w:line="88" w:lineRule="exact"/>
              <w:rPr>
                <w:sz w:val="20"/>
                <w:szCs w:val="20"/>
                <w:color w:val="auto"/>
              </w:rPr>
            </w:pPr>
            <w:r>
              <w:rPr>
                <w:rFonts w:ascii="Arial" w:cs="Arial" w:eastAsia="Arial" w:hAnsi="Arial"/>
                <w:sz w:val="10"/>
                <w:szCs w:val="10"/>
                <w:b w:val="1"/>
                <w:bCs w:val="1"/>
                <w:color w:val="auto"/>
              </w:rPr>
              <w:t>S/</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US$</w:t>
            </w:r>
          </w:p>
        </w:tc>
        <w:tc>
          <w:tcPr>
            <w:tcW w:w="102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Other currencies</w:t>
            </w:r>
          </w:p>
        </w:tc>
        <w:tc>
          <w:tcPr>
            <w:tcW w:w="100" w:type="dxa"/>
            <w:vAlign w:val="bottom"/>
          </w:tcPr>
          <w:p>
            <w:pPr>
              <w:spacing w:after="0"/>
              <w:rPr>
                <w:sz w:val="7"/>
                <w:szCs w:val="7"/>
                <w:color w:val="auto"/>
              </w:rPr>
            </w:pPr>
          </w:p>
        </w:tc>
      </w:tr>
      <w:tr>
        <w:trPr>
          <w:trHeight w:val="74"/>
        </w:trPr>
        <w:tc>
          <w:tcPr>
            <w:tcW w:w="1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jc w:val="right"/>
              <w:ind w:right="93"/>
              <w:spacing w:after="0" w:line="74" w:lineRule="exact"/>
              <w:rPr>
                <w:sz w:val="20"/>
                <w:szCs w:val="20"/>
                <w:color w:val="auto"/>
              </w:rPr>
            </w:pPr>
            <w:r>
              <w:rPr>
                <w:rFonts w:ascii="Arial" w:cs="Arial" w:eastAsia="Arial" w:hAnsi="Arial"/>
                <w:sz w:val="8"/>
                <w:szCs w:val="8"/>
                <w:b w:val="1"/>
                <w:bCs w:val="1"/>
                <w:color w:val="auto"/>
              </w:rPr>
              <w:t>Min</w:t>
            </w:r>
          </w:p>
        </w:tc>
        <w:tc>
          <w:tcPr>
            <w:tcW w:w="58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Max</w:t>
            </w:r>
          </w:p>
        </w:tc>
        <w:tc>
          <w:tcPr>
            <w:tcW w:w="200" w:type="dxa"/>
            <w:vAlign w:val="bottom"/>
          </w:tcPr>
          <w:p>
            <w:pPr>
              <w:spacing w:after="0"/>
              <w:rPr>
                <w:sz w:val="6"/>
                <w:szCs w:val="6"/>
                <w:color w:val="auto"/>
              </w:rPr>
            </w:pPr>
          </w:p>
        </w:tc>
        <w:tc>
          <w:tcPr>
            <w:tcW w:w="40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Min</w:t>
            </w:r>
          </w:p>
        </w:tc>
        <w:tc>
          <w:tcPr>
            <w:tcW w:w="600" w:type="dxa"/>
            <w:vAlign w:val="bottom"/>
            <w:tcBorders>
              <w:top w:val="single" w:sz="8" w:color="auto"/>
            </w:tcBorders>
          </w:tcPr>
          <w:p>
            <w:pPr>
              <w:jc w:val="center"/>
              <w:ind w:left="173"/>
              <w:spacing w:after="0" w:line="74" w:lineRule="exact"/>
              <w:rPr>
                <w:sz w:val="20"/>
                <w:szCs w:val="20"/>
                <w:color w:val="auto"/>
              </w:rPr>
            </w:pPr>
            <w:r>
              <w:rPr>
                <w:rFonts w:ascii="Arial" w:cs="Arial" w:eastAsia="Arial" w:hAnsi="Arial"/>
                <w:sz w:val="8"/>
                <w:szCs w:val="8"/>
                <w:b w:val="1"/>
                <w:bCs w:val="1"/>
                <w:color w:val="auto"/>
              </w:rPr>
              <w:t>Max</w:t>
            </w:r>
          </w:p>
        </w:tc>
        <w:tc>
          <w:tcPr>
            <w:tcW w:w="200" w:type="dxa"/>
            <w:vAlign w:val="bottom"/>
          </w:tcPr>
          <w:p>
            <w:pPr>
              <w:spacing w:after="0"/>
              <w:rPr>
                <w:sz w:val="6"/>
                <w:szCs w:val="6"/>
                <w:color w:val="auto"/>
              </w:rPr>
            </w:pPr>
          </w:p>
        </w:tc>
        <w:tc>
          <w:tcPr>
            <w:tcW w:w="480" w:type="dxa"/>
            <w:vAlign w:val="bottom"/>
            <w:tcBorders>
              <w:top w:val="single" w:sz="8" w:color="auto"/>
            </w:tcBorders>
          </w:tcPr>
          <w:p>
            <w:pPr>
              <w:jc w:val="right"/>
              <w:ind w:right="133"/>
              <w:spacing w:after="0" w:line="74" w:lineRule="exact"/>
              <w:rPr>
                <w:sz w:val="20"/>
                <w:szCs w:val="20"/>
                <w:color w:val="auto"/>
              </w:rPr>
            </w:pPr>
            <w:r>
              <w:rPr>
                <w:rFonts w:ascii="Arial" w:cs="Arial" w:eastAsia="Arial" w:hAnsi="Arial"/>
                <w:sz w:val="8"/>
                <w:szCs w:val="8"/>
                <w:b w:val="1"/>
                <w:bCs w:val="1"/>
                <w:color w:val="auto"/>
              </w:rPr>
              <w:t>Min</w:t>
            </w:r>
          </w:p>
        </w:tc>
        <w:tc>
          <w:tcPr>
            <w:tcW w:w="54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Max</w:t>
            </w:r>
          </w:p>
        </w:tc>
        <w:tc>
          <w:tcPr>
            <w:tcW w:w="200" w:type="dxa"/>
            <w:vAlign w:val="bottom"/>
          </w:tcPr>
          <w:p>
            <w:pPr>
              <w:spacing w:after="0"/>
              <w:rPr>
                <w:sz w:val="6"/>
                <w:szCs w:val="6"/>
                <w:color w:val="auto"/>
              </w:rPr>
            </w:pPr>
          </w:p>
        </w:tc>
        <w:tc>
          <w:tcPr>
            <w:tcW w:w="620" w:type="dxa"/>
            <w:vAlign w:val="bottom"/>
            <w:tcBorders>
              <w:top w:val="single" w:sz="8" w:color="auto"/>
            </w:tcBorders>
          </w:tcPr>
          <w:p>
            <w:pPr>
              <w:jc w:val="right"/>
              <w:ind w:right="293"/>
              <w:spacing w:after="0" w:line="74" w:lineRule="exact"/>
              <w:rPr>
                <w:sz w:val="20"/>
                <w:szCs w:val="20"/>
                <w:color w:val="auto"/>
              </w:rPr>
            </w:pPr>
            <w:r>
              <w:rPr>
                <w:rFonts w:ascii="Arial" w:cs="Arial" w:eastAsia="Arial" w:hAnsi="Arial"/>
                <w:sz w:val="8"/>
                <w:szCs w:val="8"/>
                <w:b w:val="1"/>
                <w:bCs w:val="1"/>
                <w:color w:val="auto"/>
              </w:rPr>
              <w:t>Min</w:t>
            </w:r>
          </w:p>
        </w:tc>
        <w:tc>
          <w:tcPr>
            <w:tcW w:w="40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Max</w:t>
            </w:r>
          </w:p>
        </w:tc>
        <w:tc>
          <w:tcPr>
            <w:tcW w:w="180" w:type="dxa"/>
            <w:vAlign w:val="bottom"/>
          </w:tcPr>
          <w:p>
            <w:pPr>
              <w:spacing w:after="0"/>
              <w:rPr>
                <w:sz w:val="6"/>
                <w:szCs w:val="6"/>
                <w:color w:val="auto"/>
              </w:rPr>
            </w:pPr>
          </w:p>
        </w:tc>
        <w:tc>
          <w:tcPr>
            <w:tcW w:w="42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Min</w:t>
            </w:r>
          </w:p>
        </w:tc>
        <w:tc>
          <w:tcPr>
            <w:tcW w:w="620" w:type="dxa"/>
            <w:vAlign w:val="bottom"/>
            <w:tcBorders>
              <w:top w:val="single" w:sz="8" w:color="auto"/>
            </w:tcBorders>
          </w:tcPr>
          <w:p>
            <w:pPr>
              <w:jc w:val="right"/>
              <w:ind w:right="73"/>
              <w:spacing w:after="0" w:line="74" w:lineRule="exact"/>
              <w:rPr>
                <w:sz w:val="20"/>
                <w:szCs w:val="20"/>
                <w:color w:val="auto"/>
              </w:rPr>
            </w:pPr>
            <w:r>
              <w:rPr>
                <w:rFonts w:ascii="Arial" w:cs="Arial" w:eastAsia="Arial" w:hAnsi="Arial"/>
                <w:sz w:val="8"/>
                <w:szCs w:val="8"/>
                <w:b w:val="1"/>
                <w:bCs w:val="1"/>
                <w:color w:val="auto"/>
              </w:rPr>
              <w:t>Max</w:t>
            </w:r>
          </w:p>
        </w:tc>
        <w:tc>
          <w:tcPr>
            <w:tcW w:w="200" w:type="dxa"/>
            <w:vAlign w:val="bottom"/>
          </w:tcPr>
          <w:p>
            <w:pPr>
              <w:spacing w:after="0"/>
              <w:rPr>
                <w:sz w:val="6"/>
                <w:szCs w:val="6"/>
                <w:color w:val="auto"/>
              </w:rPr>
            </w:pPr>
          </w:p>
        </w:tc>
        <w:tc>
          <w:tcPr>
            <w:tcW w:w="560" w:type="dxa"/>
            <w:vAlign w:val="bottom"/>
            <w:tcBorders>
              <w:top w:val="single" w:sz="8" w:color="auto"/>
            </w:tcBorders>
          </w:tcPr>
          <w:p>
            <w:pPr>
              <w:jc w:val="right"/>
              <w:ind w:right="233"/>
              <w:spacing w:after="0" w:line="74" w:lineRule="exact"/>
              <w:rPr>
                <w:sz w:val="20"/>
                <w:szCs w:val="20"/>
                <w:color w:val="auto"/>
              </w:rPr>
            </w:pPr>
            <w:r>
              <w:rPr>
                <w:rFonts w:ascii="Arial" w:cs="Arial" w:eastAsia="Arial" w:hAnsi="Arial"/>
                <w:sz w:val="8"/>
                <w:szCs w:val="8"/>
                <w:b w:val="1"/>
                <w:bCs w:val="1"/>
                <w:color w:val="auto"/>
              </w:rPr>
              <w:t>Min</w:t>
            </w:r>
          </w:p>
        </w:tc>
        <w:tc>
          <w:tcPr>
            <w:tcW w:w="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Max</w:t>
            </w:r>
          </w:p>
        </w:tc>
        <w:tc>
          <w:tcPr>
            <w:tcW w:w="100" w:type="dxa"/>
            <w:vAlign w:val="bottom"/>
          </w:tcPr>
          <w:p>
            <w:pPr>
              <w:spacing w:after="0"/>
              <w:rPr>
                <w:sz w:val="6"/>
                <w:szCs w:val="6"/>
                <w:color w:val="auto"/>
              </w:rPr>
            </w:pPr>
          </w:p>
        </w:tc>
      </w:tr>
      <w:tr>
        <w:trPr>
          <w:trHeight w:val="114"/>
        </w:trPr>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ind w:right="133"/>
              <w:spacing w:after="0" w:line="114" w:lineRule="exact"/>
              <w:rPr>
                <w:sz w:val="20"/>
                <w:szCs w:val="20"/>
                <w:color w:val="auto"/>
              </w:rPr>
            </w:pPr>
            <w:r>
              <w:rPr>
                <w:rFonts w:ascii="Arial" w:cs="Arial" w:eastAsia="Arial" w:hAnsi="Arial"/>
                <w:sz w:val="10"/>
                <w:szCs w:val="10"/>
                <w:b w:val="1"/>
                <w:bCs w:val="1"/>
                <w:color w:val="auto"/>
              </w:rPr>
              <w:t>%</w:t>
            </w:r>
          </w:p>
        </w:tc>
        <w:tc>
          <w:tcPr>
            <w:tcW w:w="58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40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600" w:type="dxa"/>
            <w:vAlign w:val="bottom"/>
          </w:tcPr>
          <w:p>
            <w:pPr>
              <w:jc w:val="right"/>
              <w:ind w:right="93"/>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480" w:type="dxa"/>
            <w:vAlign w:val="bottom"/>
          </w:tcPr>
          <w:p>
            <w:pPr>
              <w:jc w:val="right"/>
              <w:ind w:right="173"/>
              <w:spacing w:after="0" w:line="114" w:lineRule="exact"/>
              <w:rPr>
                <w:sz w:val="20"/>
                <w:szCs w:val="20"/>
                <w:color w:val="auto"/>
              </w:rPr>
            </w:pPr>
            <w:r>
              <w:rPr>
                <w:rFonts w:ascii="Arial" w:cs="Arial" w:eastAsia="Arial" w:hAnsi="Arial"/>
                <w:sz w:val="10"/>
                <w:szCs w:val="10"/>
                <w:b w:val="1"/>
                <w:bCs w:val="1"/>
                <w:color w:val="auto"/>
              </w:rPr>
              <w:t>%</w:t>
            </w:r>
          </w:p>
        </w:tc>
        <w:tc>
          <w:tcPr>
            <w:tcW w:w="54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620" w:type="dxa"/>
            <w:vAlign w:val="bottom"/>
          </w:tcPr>
          <w:p>
            <w:pPr>
              <w:jc w:val="right"/>
              <w:ind w:right="333"/>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42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62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560" w:type="dxa"/>
            <w:vAlign w:val="bottom"/>
          </w:tcPr>
          <w:p>
            <w:pPr>
              <w:jc w:val="right"/>
              <w:ind w:right="273"/>
              <w:spacing w:after="0" w:line="114" w:lineRule="exact"/>
              <w:rPr>
                <w:sz w:val="20"/>
                <w:szCs w:val="20"/>
                <w:color w:val="auto"/>
              </w:rPr>
            </w:pPr>
            <w:r>
              <w:rPr>
                <w:rFonts w:ascii="Arial" w:cs="Arial" w:eastAsia="Arial" w:hAnsi="Arial"/>
                <w:sz w:val="10"/>
                <w:szCs w:val="10"/>
                <w:b w:val="1"/>
                <w:bCs w:val="1"/>
                <w:color w:val="auto"/>
              </w:rPr>
              <w:t>%</w:t>
            </w:r>
          </w:p>
        </w:tc>
        <w:tc>
          <w:tcPr>
            <w:tcW w:w="460" w:type="dxa"/>
            <w:vAlign w:val="bottom"/>
          </w:tcPr>
          <w:p>
            <w:pPr>
              <w:jc w:val="right"/>
              <w:ind w:right="113"/>
              <w:spacing w:after="0" w:line="114"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r>
      <w:tr>
        <w:trPr>
          <w:trHeight w:val="99"/>
        </w:trPr>
        <w:tc>
          <w:tcPr>
            <w:tcW w:w="14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Corporate bonds</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Jan-2020</w:t>
            </w:r>
          </w:p>
        </w:tc>
        <w:tc>
          <w:tcPr>
            <w:tcW w:w="66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 Feb-2065</w:t>
            </w:r>
          </w:p>
        </w:tc>
        <w:tc>
          <w:tcPr>
            <w:tcW w:w="110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Jan-2019 / Feb-2065</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1.09</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8.16</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0.47</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8.25</w:t>
            </w:r>
          </w:p>
        </w:tc>
        <w:tc>
          <w:tcPr>
            <w:tcW w:w="480" w:type="dxa"/>
            <w:vAlign w:val="bottom"/>
            <w:shd w:val="clear" w:color="auto" w:fill="CCEEFF"/>
          </w:tcPr>
          <w:p>
            <w:pPr>
              <w:jc w:val="right"/>
              <w:ind w:right="13"/>
              <w:spacing w:after="0" w:line="99" w:lineRule="exact"/>
              <w:rPr>
                <w:sz w:val="20"/>
                <w:szCs w:val="20"/>
                <w:color w:val="auto"/>
              </w:rPr>
            </w:pPr>
            <w:r>
              <w:rPr>
                <w:rFonts w:ascii="Arial" w:cs="Arial" w:eastAsia="Arial" w:hAnsi="Arial"/>
                <w:sz w:val="10"/>
                <w:szCs w:val="10"/>
                <w:color w:val="auto"/>
              </w:rPr>
              <w:t>0.62</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6.55</w:t>
            </w:r>
          </w:p>
        </w:tc>
        <w:tc>
          <w:tcPr>
            <w:tcW w:w="62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1.49</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11.90</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1.16</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11.39</w:t>
            </w:r>
          </w:p>
        </w:tc>
        <w:tc>
          <w:tcPr>
            <w:tcW w:w="560" w:type="dxa"/>
            <w:vAlign w:val="bottom"/>
            <w:shd w:val="clear" w:color="auto" w:fill="CCEEFF"/>
          </w:tcPr>
          <w:p>
            <w:pPr>
              <w:jc w:val="right"/>
              <w:ind w:right="113"/>
              <w:spacing w:after="0" w:line="99" w:lineRule="exact"/>
              <w:rPr>
                <w:sz w:val="20"/>
                <w:szCs w:val="20"/>
                <w:color w:val="auto"/>
              </w:rPr>
            </w:pPr>
            <w:r>
              <w:rPr>
                <w:rFonts w:ascii="Arial" w:cs="Arial" w:eastAsia="Arial" w:hAnsi="Arial"/>
                <w:sz w:val="10"/>
                <w:szCs w:val="10"/>
                <w:color w:val="auto"/>
              </w:rPr>
              <w:t>0.94</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8.39</w:t>
            </w:r>
          </w:p>
        </w:tc>
      </w:tr>
      <w:tr>
        <w:trPr>
          <w:trHeight w:val="99"/>
        </w:trPr>
        <w:tc>
          <w:tcPr>
            <w:tcW w:w="1400" w:type="dxa"/>
            <w:vAlign w:val="bottom"/>
          </w:tcPr>
          <w:p>
            <w:pPr>
              <w:spacing w:after="0" w:line="99" w:lineRule="exact"/>
              <w:rPr>
                <w:sz w:val="20"/>
                <w:szCs w:val="20"/>
                <w:color w:val="auto"/>
              </w:rPr>
            </w:pPr>
            <w:r>
              <w:rPr>
                <w:rFonts w:ascii="Arial" w:cs="Arial" w:eastAsia="Arial" w:hAnsi="Arial"/>
                <w:sz w:val="10"/>
                <w:szCs w:val="10"/>
                <w:color w:val="auto"/>
              </w:rPr>
              <w:t>Certificates of deposit BCRP</w:t>
            </w:r>
          </w:p>
        </w:tc>
        <w:tc>
          <w:tcPr>
            <w:tcW w:w="1140" w:type="dxa"/>
            <w:vAlign w:val="bottom"/>
            <w:gridSpan w:val="3"/>
          </w:tcPr>
          <w:p>
            <w:pPr>
              <w:jc w:val="center"/>
              <w:ind w:right="100"/>
              <w:spacing w:after="0" w:line="99" w:lineRule="exact"/>
              <w:rPr>
                <w:sz w:val="20"/>
                <w:szCs w:val="20"/>
                <w:color w:val="auto"/>
              </w:rPr>
            </w:pPr>
            <w:r>
              <w:rPr>
                <w:rFonts w:ascii="Arial" w:cs="Arial" w:eastAsia="Arial" w:hAnsi="Arial"/>
                <w:sz w:val="10"/>
                <w:szCs w:val="10"/>
                <w:color w:val="auto"/>
                <w:w w:val="85"/>
              </w:rPr>
              <w:t>Jan-2020 / Jul-2021</w:t>
            </w:r>
          </w:p>
        </w:tc>
        <w:tc>
          <w:tcPr>
            <w:tcW w:w="110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Jan-2019 / Jun-2020</w:t>
            </w:r>
          </w:p>
        </w:tc>
        <w:tc>
          <w:tcPr>
            <w:tcW w:w="440" w:type="dxa"/>
            <w:vAlign w:val="bottom"/>
          </w:tcPr>
          <w:p>
            <w:pPr>
              <w:jc w:val="right"/>
              <w:spacing w:after="0" w:line="99" w:lineRule="exact"/>
              <w:rPr>
                <w:sz w:val="20"/>
                <w:szCs w:val="20"/>
                <w:color w:val="auto"/>
              </w:rPr>
            </w:pPr>
            <w:r>
              <w:rPr>
                <w:rFonts w:ascii="Arial" w:cs="Arial" w:eastAsia="Arial" w:hAnsi="Arial"/>
                <w:sz w:val="10"/>
                <w:szCs w:val="10"/>
                <w:color w:val="auto"/>
              </w:rPr>
              <w:t>2.02</w:t>
            </w:r>
          </w:p>
        </w:tc>
        <w:tc>
          <w:tcPr>
            <w:tcW w:w="7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2.35</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3"/>
              <w:spacing w:after="0" w:line="99"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20" w:type="dxa"/>
            <w:vAlign w:val="bottom"/>
          </w:tcPr>
          <w:p>
            <w:pPr>
              <w:jc w:val="right"/>
              <w:ind w:right="173"/>
              <w:spacing w:after="0" w:line="99" w:lineRule="exact"/>
              <w:rPr>
                <w:sz w:val="20"/>
                <w:szCs w:val="20"/>
                <w:color w:val="auto"/>
              </w:rPr>
            </w:pPr>
            <w:r>
              <w:rPr>
                <w:rFonts w:ascii="Arial" w:cs="Arial" w:eastAsia="Arial" w:hAnsi="Arial"/>
                <w:sz w:val="10"/>
                <w:szCs w:val="10"/>
                <w:color w:val="auto"/>
              </w:rPr>
              <w:t>2.59</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3.04</w:t>
            </w:r>
          </w:p>
        </w:tc>
        <w:tc>
          <w:tcPr>
            <w:tcW w:w="1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13"/>
              <w:spacing w:after="0" w:line="9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r>
      <w:tr>
        <w:trPr>
          <w:trHeight w:val="99"/>
        </w:trPr>
        <w:tc>
          <w:tcPr>
            <w:tcW w:w="14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Government treasury bonds</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Jan-2020</w:t>
            </w:r>
          </w:p>
        </w:tc>
        <w:tc>
          <w:tcPr>
            <w:tcW w:w="66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 Feb-2055</w:t>
            </w:r>
          </w:p>
        </w:tc>
        <w:tc>
          <w:tcPr>
            <w:tcW w:w="110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Jan-2019 / Feb-2055</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0.55</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5.31</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1.11</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4.61</w:t>
            </w:r>
          </w:p>
        </w:tc>
        <w:tc>
          <w:tcPr>
            <w:tcW w:w="480" w:type="dxa"/>
            <w:vAlign w:val="bottom"/>
            <w:shd w:val="clear" w:color="auto" w:fill="CCEEFF"/>
          </w:tcPr>
          <w:p>
            <w:pPr>
              <w:jc w:val="right"/>
              <w:ind w:right="13"/>
              <w:spacing w:after="0" w:line="99" w:lineRule="exact"/>
              <w:rPr>
                <w:sz w:val="20"/>
                <w:szCs w:val="20"/>
                <w:color w:val="auto"/>
              </w:rPr>
            </w:pPr>
            <w:r>
              <w:rPr>
                <w:rFonts w:ascii="Arial" w:cs="Arial" w:eastAsia="Arial" w:hAnsi="Arial"/>
                <w:sz w:val="10"/>
                <w:szCs w:val="10"/>
                <w:color w:val="auto"/>
              </w:rPr>
              <w:t>0.43</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0.82</w:t>
            </w:r>
          </w:p>
        </w:tc>
        <w:tc>
          <w:tcPr>
            <w:tcW w:w="62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2.37</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6.50</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1.22</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7.07</w:t>
            </w:r>
          </w:p>
        </w:tc>
        <w:tc>
          <w:tcPr>
            <w:tcW w:w="560" w:type="dxa"/>
            <w:vAlign w:val="bottom"/>
            <w:shd w:val="clear" w:color="auto" w:fill="CCEEFF"/>
          </w:tcPr>
          <w:p>
            <w:pPr>
              <w:jc w:val="right"/>
              <w:ind w:right="113"/>
              <w:spacing w:after="0" w:line="99" w:lineRule="exact"/>
              <w:rPr>
                <w:sz w:val="20"/>
                <w:szCs w:val="20"/>
                <w:color w:val="auto"/>
              </w:rPr>
            </w:pPr>
            <w:r>
              <w:rPr>
                <w:rFonts w:ascii="Arial" w:cs="Arial" w:eastAsia="Arial" w:hAnsi="Arial"/>
                <w:sz w:val="10"/>
                <w:szCs w:val="10"/>
                <w:color w:val="auto"/>
              </w:rPr>
              <w:t>0.60</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0.60</w:t>
            </w:r>
          </w:p>
        </w:tc>
      </w:tr>
      <w:tr>
        <w:trPr>
          <w:trHeight w:val="99"/>
        </w:trPr>
        <w:tc>
          <w:tcPr>
            <w:tcW w:w="1400" w:type="dxa"/>
            <w:vAlign w:val="bottom"/>
          </w:tcPr>
          <w:p>
            <w:pPr>
              <w:spacing w:after="0" w:line="99" w:lineRule="exact"/>
              <w:rPr>
                <w:sz w:val="20"/>
                <w:szCs w:val="20"/>
                <w:color w:val="auto"/>
              </w:rPr>
            </w:pPr>
            <w:r>
              <w:rPr>
                <w:rFonts w:ascii="Arial" w:cs="Arial" w:eastAsia="Arial" w:hAnsi="Arial"/>
                <w:sz w:val="10"/>
                <w:szCs w:val="10"/>
                <w:color w:val="auto"/>
              </w:rPr>
              <w:t>Securitization instruments</w:t>
            </w:r>
          </w:p>
        </w:tc>
        <w:tc>
          <w:tcPr>
            <w:tcW w:w="1140" w:type="dxa"/>
            <w:vAlign w:val="bottom"/>
            <w:gridSpan w:val="3"/>
          </w:tcPr>
          <w:p>
            <w:pPr>
              <w:jc w:val="center"/>
              <w:ind w:right="100"/>
              <w:spacing w:after="0" w:line="99" w:lineRule="exact"/>
              <w:rPr>
                <w:sz w:val="20"/>
                <w:szCs w:val="20"/>
                <w:color w:val="auto"/>
              </w:rPr>
            </w:pPr>
            <w:r>
              <w:rPr>
                <w:rFonts w:ascii="Arial" w:cs="Arial" w:eastAsia="Arial" w:hAnsi="Arial"/>
                <w:sz w:val="10"/>
                <w:szCs w:val="10"/>
                <w:color w:val="auto"/>
                <w:w w:val="87"/>
              </w:rPr>
              <w:t>May-2020 / Sep-2045</w:t>
            </w:r>
          </w:p>
        </w:tc>
        <w:tc>
          <w:tcPr>
            <w:tcW w:w="110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Jun-2019 / Sep-2045</w:t>
            </w:r>
          </w:p>
        </w:tc>
        <w:tc>
          <w:tcPr>
            <w:tcW w:w="440" w:type="dxa"/>
            <w:vAlign w:val="bottom"/>
          </w:tcPr>
          <w:p>
            <w:pPr>
              <w:jc w:val="right"/>
              <w:spacing w:after="0" w:line="99" w:lineRule="exact"/>
              <w:rPr>
                <w:sz w:val="20"/>
                <w:szCs w:val="20"/>
                <w:color w:val="auto"/>
              </w:rPr>
            </w:pPr>
            <w:r>
              <w:rPr>
                <w:rFonts w:ascii="Arial" w:cs="Arial" w:eastAsia="Arial" w:hAnsi="Arial"/>
                <w:sz w:val="10"/>
                <w:szCs w:val="10"/>
                <w:color w:val="auto"/>
              </w:rPr>
              <w:t>2.46</w:t>
            </w:r>
          </w:p>
        </w:tc>
        <w:tc>
          <w:tcPr>
            <w:tcW w:w="7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13.26</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3.08</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9.14</w:t>
            </w:r>
          </w:p>
        </w:tc>
        <w:tc>
          <w:tcPr>
            <w:tcW w:w="480" w:type="dxa"/>
            <w:vAlign w:val="bottom"/>
          </w:tcPr>
          <w:p>
            <w:pPr>
              <w:jc w:val="right"/>
              <w:ind w:right="13"/>
              <w:spacing w:after="0" w:line="99" w:lineRule="exact"/>
              <w:rPr>
                <w:sz w:val="20"/>
                <w:szCs w:val="20"/>
                <w:color w:val="auto"/>
              </w:rPr>
            </w:pPr>
            <w:r>
              <w:rPr>
                <w:rFonts w:ascii="Arial" w:cs="Arial" w:eastAsia="Arial" w:hAnsi="Arial"/>
                <w:sz w:val="10"/>
                <w:szCs w:val="10"/>
                <w:color w:val="auto"/>
              </w:rPr>
              <w:t>1.68</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6.00</w:t>
            </w:r>
          </w:p>
        </w:tc>
        <w:tc>
          <w:tcPr>
            <w:tcW w:w="620" w:type="dxa"/>
            <w:vAlign w:val="bottom"/>
          </w:tcPr>
          <w:p>
            <w:pPr>
              <w:jc w:val="right"/>
              <w:ind w:right="173"/>
              <w:spacing w:after="0" w:line="99" w:lineRule="exact"/>
              <w:rPr>
                <w:sz w:val="20"/>
                <w:szCs w:val="20"/>
                <w:color w:val="auto"/>
              </w:rPr>
            </w:pPr>
            <w:r>
              <w:rPr>
                <w:rFonts w:ascii="Arial" w:cs="Arial" w:eastAsia="Arial" w:hAnsi="Arial"/>
                <w:sz w:val="10"/>
                <w:szCs w:val="10"/>
                <w:color w:val="auto"/>
              </w:rPr>
              <w:t>3.40</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14.81</w:t>
            </w:r>
          </w:p>
        </w:tc>
        <w:tc>
          <w:tcPr>
            <w:tcW w:w="1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10"/>
                <w:szCs w:val="10"/>
                <w:color w:val="auto"/>
              </w:rPr>
              <w:t>4.56</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6.85</w:t>
            </w:r>
          </w:p>
        </w:tc>
        <w:tc>
          <w:tcPr>
            <w:tcW w:w="560" w:type="dxa"/>
            <w:vAlign w:val="bottom"/>
          </w:tcPr>
          <w:p>
            <w:pPr>
              <w:jc w:val="right"/>
              <w:ind w:right="113"/>
              <w:spacing w:after="0" w:line="99" w:lineRule="exact"/>
              <w:rPr>
                <w:sz w:val="20"/>
                <w:szCs w:val="20"/>
                <w:color w:val="auto"/>
              </w:rPr>
            </w:pPr>
            <w:r>
              <w:rPr>
                <w:rFonts w:ascii="Arial" w:cs="Arial" w:eastAsia="Arial" w:hAnsi="Arial"/>
                <w:sz w:val="10"/>
                <w:szCs w:val="10"/>
                <w:color w:val="auto"/>
              </w:rPr>
              <w:t>1.68</w:t>
            </w:r>
          </w:p>
        </w:tc>
        <w:tc>
          <w:tcPr>
            <w:tcW w:w="5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6.00</w:t>
            </w:r>
          </w:p>
        </w:tc>
      </w:tr>
      <w:tr>
        <w:trPr>
          <w:trHeight w:val="99"/>
        </w:trPr>
        <w:tc>
          <w:tcPr>
            <w:tcW w:w="14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2"/>
              </w:rPr>
              <w:t>Negotiable certificates of deposits</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Jan-2020</w:t>
            </w:r>
          </w:p>
        </w:tc>
        <w:tc>
          <w:tcPr>
            <w:tcW w:w="66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 Dec 2026</w:t>
            </w:r>
          </w:p>
        </w:tc>
        <w:tc>
          <w:tcPr>
            <w:tcW w:w="110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Jan-2019 / Dec-2026</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3.27</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4.01</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2.48</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2.68</w:t>
            </w:r>
          </w:p>
        </w:tc>
        <w:tc>
          <w:tcPr>
            <w:tcW w:w="480" w:type="dxa"/>
            <w:vAlign w:val="bottom"/>
            <w:shd w:val="clear" w:color="auto" w:fill="CCEEFF"/>
          </w:tcPr>
          <w:p>
            <w:pPr>
              <w:jc w:val="right"/>
              <w:ind w:right="13"/>
              <w:spacing w:after="0" w:line="99" w:lineRule="exact"/>
              <w:rPr>
                <w:sz w:val="20"/>
                <w:szCs w:val="20"/>
                <w:color w:val="auto"/>
              </w:rPr>
            </w:pPr>
            <w:r>
              <w:rPr>
                <w:rFonts w:ascii="Arial" w:cs="Arial" w:eastAsia="Arial" w:hAnsi="Arial"/>
                <w:sz w:val="10"/>
                <w:szCs w:val="10"/>
                <w:color w:val="auto"/>
              </w:rPr>
              <w:t>1.00</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4.98</w:t>
            </w:r>
          </w:p>
        </w:tc>
        <w:tc>
          <w:tcPr>
            <w:tcW w:w="62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4.54</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4.54</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3"/>
              <w:spacing w:after="0" w:line="99" w:lineRule="exact"/>
              <w:rPr>
                <w:sz w:val="20"/>
                <w:szCs w:val="20"/>
                <w:color w:val="auto"/>
              </w:rPr>
            </w:pPr>
            <w:r>
              <w:rPr>
                <w:rFonts w:ascii="Arial" w:cs="Arial" w:eastAsia="Arial" w:hAnsi="Arial"/>
                <w:sz w:val="10"/>
                <w:szCs w:val="10"/>
                <w:color w:val="auto"/>
              </w:rPr>
              <w:t>1.40</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4.98</w:t>
            </w:r>
          </w:p>
        </w:tc>
      </w:tr>
      <w:tr>
        <w:trPr>
          <w:trHeight w:val="99"/>
        </w:trPr>
        <w:tc>
          <w:tcPr>
            <w:tcW w:w="1400" w:type="dxa"/>
            <w:vAlign w:val="bottom"/>
          </w:tcPr>
          <w:p>
            <w:pPr>
              <w:spacing w:after="0" w:line="99" w:lineRule="exact"/>
              <w:rPr>
                <w:sz w:val="20"/>
                <w:szCs w:val="20"/>
                <w:color w:val="auto"/>
              </w:rPr>
            </w:pPr>
            <w:r>
              <w:rPr>
                <w:rFonts w:ascii="Arial" w:cs="Arial" w:eastAsia="Arial" w:hAnsi="Arial"/>
                <w:sz w:val="10"/>
                <w:szCs w:val="10"/>
                <w:color w:val="auto"/>
              </w:rPr>
              <w:t>Subordinated bonds</w:t>
            </w:r>
          </w:p>
        </w:tc>
        <w:tc>
          <w:tcPr>
            <w:tcW w:w="480" w:type="dxa"/>
            <w:vAlign w:val="bottom"/>
          </w:tcPr>
          <w:p>
            <w:pPr>
              <w:jc w:val="right"/>
              <w:spacing w:after="0" w:line="99" w:lineRule="exact"/>
              <w:rPr>
                <w:sz w:val="20"/>
                <w:szCs w:val="20"/>
                <w:color w:val="auto"/>
              </w:rPr>
            </w:pPr>
            <w:r>
              <w:rPr>
                <w:rFonts w:ascii="Arial" w:cs="Arial" w:eastAsia="Arial" w:hAnsi="Arial"/>
                <w:sz w:val="10"/>
                <w:szCs w:val="10"/>
                <w:color w:val="auto"/>
              </w:rPr>
              <w:t>Apr-2022</w:t>
            </w:r>
          </w:p>
        </w:tc>
        <w:tc>
          <w:tcPr>
            <w:tcW w:w="660" w:type="dxa"/>
            <w:vAlign w:val="bottom"/>
            <w:gridSpan w:val="2"/>
          </w:tcPr>
          <w:p>
            <w:pPr>
              <w:ind w:left="20"/>
              <w:spacing w:after="0" w:line="99" w:lineRule="exact"/>
              <w:rPr>
                <w:sz w:val="20"/>
                <w:szCs w:val="20"/>
                <w:color w:val="auto"/>
              </w:rPr>
            </w:pPr>
            <w:r>
              <w:rPr>
                <w:rFonts w:ascii="Arial" w:cs="Arial" w:eastAsia="Arial" w:hAnsi="Arial"/>
                <w:sz w:val="10"/>
                <w:szCs w:val="10"/>
                <w:color w:val="auto"/>
              </w:rPr>
              <w:t>/ Aug-2045</w:t>
            </w:r>
          </w:p>
        </w:tc>
        <w:tc>
          <w:tcPr>
            <w:tcW w:w="1100" w:type="dxa"/>
            <w:vAlign w:val="bottom"/>
            <w:gridSpan w:val="2"/>
          </w:tcPr>
          <w:p>
            <w:pPr>
              <w:ind w:left="100"/>
              <w:spacing w:after="0" w:line="99" w:lineRule="exact"/>
              <w:rPr>
                <w:sz w:val="20"/>
                <w:szCs w:val="20"/>
                <w:color w:val="auto"/>
              </w:rPr>
            </w:pPr>
            <w:r>
              <w:rPr>
                <w:rFonts w:ascii="Arial" w:cs="Arial" w:eastAsia="Arial" w:hAnsi="Arial"/>
                <w:sz w:val="10"/>
                <w:szCs w:val="10"/>
                <w:color w:val="auto"/>
              </w:rPr>
              <w:t>Jan-2021 / Feb-2057</w:t>
            </w:r>
          </w:p>
        </w:tc>
        <w:tc>
          <w:tcPr>
            <w:tcW w:w="440" w:type="dxa"/>
            <w:vAlign w:val="bottom"/>
          </w:tcPr>
          <w:p>
            <w:pPr>
              <w:jc w:val="right"/>
              <w:spacing w:after="0" w:line="99" w:lineRule="exact"/>
              <w:rPr>
                <w:sz w:val="20"/>
                <w:szCs w:val="20"/>
                <w:color w:val="auto"/>
              </w:rPr>
            </w:pPr>
            <w:r>
              <w:rPr>
                <w:rFonts w:ascii="Arial" w:cs="Arial" w:eastAsia="Arial" w:hAnsi="Arial"/>
                <w:sz w:val="10"/>
                <w:szCs w:val="10"/>
                <w:color w:val="auto"/>
              </w:rPr>
              <w:t>1.21</w:t>
            </w:r>
          </w:p>
        </w:tc>
        <w:tc>
          <w:tcPr>
            <w:tcW w:w="7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5.52</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3.27</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5.23</w:t>
            </w:r>
          </w:p>
        </w:tc>
        <w:tc>
          <w:tcPr>
            <w:tcW w:w="480" w:type="dxa"/>
            <w:vAlign w:val="bottom"/>
          </w:tcPr>
          <w:p>
            <w:pPr>
              <w:jc w:val="right"/>
              <w:ind w:right="13"/>
              <w:spacing w:after="0" w:line="99" w:lineRule="exact"/>
              <w:rPr>
                <w:sz w:val="20"/>
                <w:szCs w:val="20"/>
                <w:color w:val="auto"/>
              </w:rPr>
            </w:pPr>
            <w:r>
              <w:rPr>
                <w:rFonts w:ascii="Arial" w:cs="Arial" w:eastAsia="Arial" w:hAnsi="Arial"/>
                <w:sz w:val="10"/>
                <w:szCs w:val="10"/>
                <w:color w:val="auto"/>
              </w:rPr>
              <w:t>1.53</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1.53</w:t>
            </w:r>
          </w:p>
        </w:tc>
        <w:tc>
          <w:tcPr>
            <w:tcW w:w="620" w:type="dxa"/>
            <w:vAlign w:val="bottom"/>
          </w:tcPr>
          <w:p>
            <w:pPr>
              <w:jc w:val="right"/>
              <w:ind w:right="173"/>
              <w:spacing w:after="0" w:line="99" w:lineRule="exact"/>
              <w:rPr>
                <w:sz w:val="20"/>
                <w:szCs w:val="20"/>
                <w:color w:val="auto"/>
              </w:rPr>
            </w:pPr>
            <w:r>
              <w:rPr>
                <w:rFonts w:ascii="Arial" w:cs="Arial" w:eastAsia="Arial" w:hAnsi="Arial"/>
                <w:sz w:val="10"/>
                <w:szCs w:val="10"/>
                <w:color w:val="auto"/>
              </w:rPr>
              <w:t>3.21</w:t>
            </w:r>
          </w:p>
        </w:tc>
        <w:tc>
          <w:tcPr>
            <w:tcW w:w="400" w:type="dxa"/>
            <w:vAlign w:val="bottom"/>
          </w:tcPr>
          <w:p>
            <w:pPr>
              <w:jc w:val="right"/>
              <w:spacing w:after="0" w:line="99" w:lineRule="exact"/>
              <w:rPr>
                <w:sz w:val="20"/>
                <w:szCs w:val="20"/>
                <w:color w:val="auto"/>
              </w:rPr>
            </w:pPr>
            <w:r>
              <w:rPr>
                <w:rFonts w:ascii="Arial" w:cs="Arial" w:eastAsia="Arial" w:hAnsi="Arial"/>
                <w:sz w:val="10"/>
                <w:szCs w:val="10"/>
                <w:color w:val="auto"/>
              </w:rPr>
              <w:t>7.41</w:t>
            </w:r>
          </w:p>
        </w:tc>
        <w:tc>
          <w:tcPr>
            <w:tcW w:w="1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10"/>
                <w:szCs w:val="10"/>
                <w:color w:val="auto"/>
              </w:rPr>
              <w:t>3.60</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7.26</w:t>
            </w:r>
          </w:p>
        </w:tc>
        <w:tc>
          <w:tcPr>
            <w:tcW w:w="560" w:type="dxa"/>
            <w:vAlign w:val="bottom"/>
          </w:tcPr>
          <w:p>
            <w:pPr>
              <w:jc w:val="right"/>
              <w:ind w:right="113"/>
              <w:spacing w:after="0" w:line="99" w:lineRule="exact"/>
              <w:rPr>
                <w:sz w:val="20"/>
                <w:szCs w:val="20"/>
                <w:color w:val="auto"/>
              </w:rPr>
            </w:pPr>
            <w:r>
              <w:rPr>
                <w:rFonts w:ascii="Arial" w:cs="Arial" w:eastAsia="Arial" w:hAnsi="Arial"/>
                <w:sz w:val="10"/>
                <w:szCs w:val="10"/>
                <w:color w:val="auto"/>
              </w:rPr>
              <w:t>2.52</w:t>
            </w:r>
          </w:p>
        </w:tc>
        <w:tc>
          <w:tcPr>
            <w:tcW w:w="5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2.52</w:t>
            </w:r>
          </w:p>
        </w:tc>
      </w:tr>
      <w:tr>
        <w:trPr>
          <w:trHeight w:val="99"/>
        </w:trPr>
        <w:tc>
          <w:tcPr>
            <w:tcW w:w="14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Others</w:t>
            </w:r>
          </w:p>
        </w:tc>
        <w:tc>
          <w:tcPr>
            <w:tcW w:w="1140" w:type="dxa"/>
            <w:vAlign w:val="bottom"/>
            <w:gridSpan w:val="3"/>
            <w:shd w:val="clear" w:color="auto" w:fill="CCEEFF"/>
          </w:tcPr>
          <w:p>
            <w:pPr>
              <w:jc w:val="center"/>
              <w:ind w:right="80"/>
              <w:spacing w:after="0" w:line="99" w:lineRule="exact"/>
              <w:rPr>
                <w:sz w:val="20"/>
                <w:szCs w:val="20"/>
                <w:color w:val="auto"/>
              </w:rPr>
            </w:pPr>
            <w:r>
              <w:rPr>
                <w:rFonts w:ascii="Arial" w:cs="Arial" w:eastAsia="Arial" w:hAnsi="Arial"/>
                <w:sz w:val="10"/>
                <w:szCs w:val="10"/>
                <w:color w:val="auto"/>
                <w:w w:val="84"/>
              </w:rPr>
              <w:t>Jan-2020 / Jan-2028</w:t>
            </w:r>
          </w:p>
        </w:tc>
        <w:tc>
          <w:tcPr>
            <w:tcW w:w="1100" w:type="dxa"/>
            <w:vAlign w:val="bottom"/>
            <w:gridSpan w:val="2"/>
            <w:shd w:val="clear" w:color="auto" w:fill="CCEEFF"/>
          </w:tcPr>
          <w:p>
            <w:pPr>
              <w:ind w:left="100"/>
              <w:spacing w:after="0" w:line="99" w:lineRule="exact"/>
              <w:rPr>
                <w:sz w:val="20"/>
                <w:szCs w:val="20"/>
                <w:color w:val="auto"/>
              </w:rPr>
            </w:pPr>
            <w:r>
              <w:rPr>
                <w:rFonts w:ascii="Arial" w:cs="Arial" w:eastAsia="Arial" w:hAnsi="Arial"/>
                <w:sz w:val="10"/>
                <w:szCs w:val="10"/>
                <w:color w:val="auto"/>
              </w:rPr>
              <w:t>Oct-2019 / Jun-2021</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1.95</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3.73</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4.73</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6.92</w:t>
            </w:r>
          </w:p>
        </w:tc>
        <w:tc>
          <w:tcPr>
            <w:tcW w:w="480" w:type="dxa"/>
            <w:vAlign w:val="bottom"/>
            <w:shd w:val="clear" w:color="auto" w:fill="CCEEFF"/>
          </w:tcPr>
          <w:p>
            <w:pPr>
              <w:jc w:val="right"/>
              <w:ind w:right="13"/>
              <w:spacing w:after="0" w:line="99"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4.24</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6.14</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3"/>
              <w:spacing w:after="0" w:line="9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r>
    </w:tbl>
    <w:p>
      <w:pPr>
        <w:spacing w:after="0" w:line="13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At December 31, 2019, the Group maintains IRS, which have been designated as fair value hedges of certain bonds at a fixed rate in U.S. Dollars, issued by Government treasury bonds, corporate and multilateral organization entities, classified as investments at fair value through other comprehensive income, for a notional amount of S/618.8 million (S/923.9 million at December 31, 2018), see note 13(b); through these IRS these bonds were economically converted to a variable rate.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Likewise, at December 31, 2019, the Group entered into repurchase agreement transactions for corporate bonds, multilateral organization bonds and foreign government bonds classified as investments at fair value through other comprehensive income, for an estimated fair value of S/1,588.7 million (S/2,138.9 million at December 31, 2018), of which the related liability is presented in “Payables from repurchase agreements and securities lending” of the consolidated statement of financial position, see note 5(c).</w:t>
      </w:r>
    </w:p>
    <w:p>
      <w:pPr>
        <w:spacing w:after="0" w:line="267"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40"/>
          </w:cols>
          <w:pgMar w:left="640" w:top="653" w:right="319" w:bottom="1440" w:gutter="0" w:footer="0" w:header="0"/>
        </w:sectPr>
      </w:pPr>
    </w:p>
    <w:bookmarkStart w:id="78" w:name="page79"/>
    <w:bookmarkEnd w:id="78"/>
    <w:p>
      <w:pPr>
        <w:ind w:left="220" w:hanging="216"/>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At December 31, 2019 the most significant individual unrealized loss amounted to approximately S/ 1.5 million (S/8.2 million at December 31, 2018).</w:t>
      </w:r>
    </w:p>
    <w:p>
      <w:pPr>
        <w:spacing w:after="0" w:line="150" w:lineRule="exact"/>
        <w:rPr>
          <w:rFonts w:ascii="Arial" w:cs="Arial" w:eastAsia="Arial" w:hAnsi="Arial"/>
          <w:sz w:val="12"/>
          <w:szCs w:val="12"/>
          <w:color w:val="auto"/>
        </w:rPr>
      </w:pPr>
    </w:p>
    <w:p>
      <w:pPr>
        <w:ind w:left="220" w:right="120"/>
        <w:spacing w:after="0" w:line="276" w:lineRule="auto"/>
        <w:rPr>
          <w:rFonts w:ascii="Arial" w:cs="Arial" w:eastAsia="Arial" w:hAnsi="Arial"/>
          <w:sz w:val="12"/>
          <w:szCs w:val="12"/>
          <w:color w:val="auto"/>
        </w:rPr>
      </w:pPr>
      <w:r>
        <w:rPr>
          <w:rFonts w:ascii="Arial" w:cs="Arial" w:eastAsia="Arial" w:hAnsi="Arial"/>
          <w:sz w:val="12"/>
          <w:szCs w:val="12"/>
          <w:color w:val="auto"/>
        </w:rPr>
        <w:t>Likewise, at December 31, 2019, the Group maintains CCS, which were designated as cash flow hedges of certain corporate bonds for a notional amount of S/ 107.4 million (S/136.1 million at December 31, 2018), see note 13(b); by means of said CCS, the bonds were economically converted to soles at a fixed rate.</w:t>
      </w:r>
    </w:p>
    <w:p>
      <w:pPr>
        <w:spacing w:after="0" w:line="114" w:lineRule="exact"/>
        <w:rPr>
          <w:rFonts w:ascii="Arial" w:cs="Arial" w:eastAsia="Arial" w:hAnsi="Arial"/>
          <w:sz w:val="12"/>
          <w:szCs w:val="12"/>
          <w:color w:val="auto"/>
        </w:rPr>
      </w:pPr>
    </w:p>
    <w:p>
      <w:pPr>
        <w:ind w:left="220" w:right="460"/>
        <w:spacing w:after="0" w:line="276" w:lineRule="auto"/>
        <w:rPr>
          <w:rFonts w:ascii="Arial" w:cs="Arial" w:eastAsia="Arial" w:hAnsi="Arial"/>
          <w:sz w:val="12"/>
          <w:szCs w:val="12"/>
          <w:color w:val="auto"/>
        </w:rPr>
      </w:pPr>
      <w:r>
        <w:rPr>
          <w:rFonts w:ascii="Arial" w:cs="Arial" w:eastAsia="Arial" w:hAnsi="Arial"/>
          <w:sz w:val="12"/>
          <w:szCs w:val="12"/>
          <w:color w:val="auto"/>
        </w:rPr>
        <w:t>In December 2018, according to the foreign exchange exposure strategy, the Group discontinued the cash flow hedge of a certain corporate bond through the liquidation of the CCS whose notional amount at that date amounted to US$13.0 million, equivalent to S/43.8 million.</w:t>
      </w:r>
    </w:p>
    <w:p>
      <w:pPr>
        <w:spacing w:after="0" w:line="114" w:lineRule="exact"/>
        <w:rPr>
          <w:rFonts w:ascii="Arial" w:cs="Arial" w:eastAsia="Arial" w:hAnsi="Arial"/>
          <w:sz w:val="12"/>
          <w:szCs w:val="12"/>
          <w:color w:val="auto"/>
        </w:rPr>
      </w:pPr>
    </w:p>
    <w:p>
      <w:pPr>
        <w:ind w:left="240" w:right="140" w:hanging="236"/>
        <w:spacing w:after="0" w:line="27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At December 31, 2019, the Group maintains 87,530 certificates of deposits BCRP ( 99,587 at December 31, 2018); which are instruments issued at discount through public auction, traded on the Peruvian secondary market and payable in soles.</w:t>
      </w:r>
    </w:p>
    <w:p>
      <w:pPr>
        <w:spacing w:after="0" w:line="114" w:lineRule="exact"/>
        <w:rPr>
          <w:rFonts w:ascii="Arial" w:cs="Arial" w:eastAsia="Arial" w:hAnsi="Arial"/>
          <w:sz w:val="12"/>
          <w:szCs w:val="12"/>
          <w:color w:val="auto"/>
        </w:rPr>
      </w:pPr>
    </w:p>
    <w:p>
      <w:pPr>
        <w:ind w:left="240" w:hanging="236"/>
        <w:spacing w:after="0"/>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At December 31, 2019 and 2018, the balance includes the following Government Treasury Bonds: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7200" w:type="dxa"/>
            <w:vAlign w:val="bottom"/>
          </w:tcPr>
          <w:p>
            <w:pPr>
              <w:spacing w:after="0"/>
              <w:rPr>
                <w:sz w:val="13"/>
                <w:szCs w:val="13"/>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3"/>
                <w:szCs w:val="13"/>
                <w:color w:val="auto"/>
              </w:rPr>
            </w:pPr>
          </w:p>
        </w:tc>
      </w:tr>
      <w:tr>
        <w:trPr>
          <w:trHeight w:val="133"/>
        </w:trPr>
        <w:tc>
          <w:tcPr>
            <w:tcW w:w="72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1"/>
                <w:szCs w:val="11"/>
                <w:color w:val="auto"/>
              </w:rPr>
            </w:pPr>
          </w:p>
        </w:tc>
      </w:tr>
      <w:tr>
        <w:trPr>
          <w:trHeight w:val="144"/>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Peruvian treasury bonds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5,959,066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4,706,121</w:t>
            </w:r>
          </w:p>
        </w:tc>
      </w:tr>
      <w:tr>
        <w:trPr>
          <w:trHeight w:val="144"/>
        </w:trPr>
        <w:tc>
          <w:tcPr>
            <w:tcW w:w="7200" w:type="dxa"/>
            <w:vAlign w:val="bottom"/>
          </w:tcPr>
          <w:p>
            <w:pPr>
              <w:spacing w:after="0"/>
              <w:rPr>
                <w:sz w:val="20"/>
                <w:szCs w:val="20"/>
                <w:color w:val="auto"/>
              </w:rPr>
            </w:pPr>
            <w:r>
              <w:rPr>
                <w:rFonts w:ascii="Arial" w:cs="Arial" w:eastAsia="Arial" w:hAnsi="Arial"/>
                <w:sz w:val="12"/>
                <w:szCs w:val="12"/>
                <w:color w:val="auto"/>
              </w:rPr>
              <w:t>U.S. treasury and federal agency bonds</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391,475</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82,477</w:t>
            </w:r>
          </w:p>
        </w:tc>
      </w:tr>
      <w:tr>
        <w:trPr>
          <w:trHeight w:val="144"/>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Chilean treasury bonds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173,364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119,517</w:t>
            </w:r>
          </w:p>
        </w:tc>
      </w:tr>
      <w:tr>
        <w:trPr>
          <w:trHeight w:val="144"/>
        </w:trPr>
        <w:tc>
          <w:tcPr>
            <w:tcW w:w="7200" w:type="dxa"/>
            <w:vAlign w:val="bottom"/>
          </w:tcPr>
          <w:p>
            <w:pPr>
              <w:spacing w:after="0"/>
              <w:rPr>
                <w:sz w:val="20"/>
                <w:szCs w:val="20"/>
                <w:color w:val="auto"/>
              </w:rPr>
            </w:pPr>
            <w:r>
              <w:rPr>
                <w:rFonts w:ascii="Arial" w:cs="Arial" w:eastAsia="Arial" w:hAnsi="Arial"/>
                <w:sz w:val="12"/>
                <w:szCs w:val="12"/>
                <w:color w:val="auto"/>
              </w:rPr>
              <w:t>Bolivian treasury bonds</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72,516</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90,370</w:t>
            </w:r>
          </w:p>
        </w:tc>
      </w:tr>
      <w:tr>
        <w:trPr>
          <w:trHeight w:val="144"/>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Colombian treasury bonds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61,009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137,936</w:t>
            </w:r>
          </w:p>
        </w:tc>
      </w:tr>
      <w:tr>
        <w:trPr>
          <w:trHeight w:val="144"/>
        </w:trPr>
        <w:tc>
          <w:tcPr>
            <w:tcW w:w="7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40,646</w:t>
            </w:r>
          </w:p>
        </w:tc>
        <w:tc>
          <w:tcPr>
            <w:tcW w:w="1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54,327</w:t>
            </w:r>
          </w:p>
        </w:tc>
        <w:tc>
          <w:tcPr>
            <w:tcW w:w="80" w:type="dxa"/>
            <w:vAlign w:val="bottom"/>
            <w:tcBorders>
              <w:bottom w:val="single" w:sz="8" w:color="CCEEFF"/>
            </w:tcBorders>
          </w:tcPr>
          <w:p>
            <w:pPr>
              <w:spacing w:after="0"/>
              <w:rPr>
                <w:sz w:val="12"/>
                <w:szCs w:val="12"/>
                <w:color w:val="auto"/>
              </w:rPr>
            </w:pPr>
          </w:p>
        </w:tc>
      </w:tr>
      <w:tr>
        <w:trPr>
          <w:trHeight w:val="16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6,698,076</w:t>
            </w: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5,190,748</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35" w:lineRule="exact"/>
        <w:rPr>
          <w:sz w:val="20"/>
          <w:szCs w:val="20"/>
          <w:color w:val="auto"/>
        </w:rPr>
      </w:pPr>
    </w:p>
    <w:p>
      <w:pPr>
        <w:ind w:left="220" w:right="60"/>
        <w:spacing w:after="0" w:line="276" w:lineRule="auto"/>
        <w:rPr>
          <w:sz w:val="20"/>
          <w:szCs w:val="20"/>
          <w:color w:val="auto"/>
        </w:rPr>
      </w:pPr>
      <w:r>
        <w:rPr>
          <w:rFonts w:ascii="Arial" w:cs="Arial" w:eastAsia="Arial" w:hAnsi="Arial"/>
          <w:sz w:val="12"/>
          <w:szCs w:val="12"/>
          <w:color w:val="auto"/>
        </w:rPr>
        <w:t>At December 31, 2018, the Group maintained CCS, which were designated as cash flow hedges of certain government treasury bonds for a notional amount of S/ 77.8 million, see note 13(b); by means of said CCS, the bonds were economically converted to soles at a fixed rate. The CCS matured in March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20" w:type="dxa"/>
            <w:vAlign w:val="bottom"/>
            <w:gridSpan w:val="2"/>
          </w:tcPr>
          <w:p>
            <w:pPr>
              <w:spacing w:after="0"/>
              <w:rPr>
                <w:sz w:val="20"/>
                <w:szCs w:val="20"/>
                <w:color w:val="auto"/>
              </w:rPr>
            </w:pPr>
            <w:r>
              <w:rPr>
                <w:rFonts w:ascii="Arial" w:cs="Arial" w:eastAsia="Arial" w:hAnsi="Arial"/>
                <w:sz w:val="12"/>
                <w:szCs w:val="12"/>
                <w:color w:val="auto"/>
              </w:rPr>
              <w:t>(iv) At December 31, 2019 and 2018, the balance of securitization instruments includes the following:</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06"/>
        </w:trPr>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24"/>
                <w:szCs w:val="24"/>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2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60" w:type="dxa"/>
            <w:vAlign w:val="bottom"/>
          </w:tcPr>
          <w:p>
            <w:pPr>
              <w:jc w:val="right"/>
              <w:ind w:right="240"/>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1"/>
                <w:szCs w:val="11"/>
                <w:color w:val="auto"/>
              </w:rPr>
            </w:pPr>
          </w:p>
        </w:tc>
        <w:tc>
          <w:tcPr>
            <w:tcW w:w="1060" w:type="dxa"/>
            <w:vAlign w:val="bottom"/>
          </w:tcPr>
          <w:p>
            <w:pPr>
              <w:jc w:val="right"/>
              <w:ind w:right="240"/>
              <w:spacing w:after="0" w:line="133" w:lineRule="exact"/>
              <w:rPr>
                <w:sz w:val="20"/>
                <w:szCs w:val="20"/>
                <w:color w:val="auto"/>
              </w:rPr>
            </w:pPr>
            <w:r>
              <w:rPr>
                <w:rFonts w:ascii="Arial" w:cs="Arial" w:eastAsia="Arial" w:hAnsi="Arial"/>
                <w:sz w:val="12"/>
                <w:szCs w:val="12"/>
                <w:b w:val="1"/>
                <w:bCs w:val="1"/>
                <w:color w:val="auto"/>
              </w:rPr>
              <w:t>S/(000)</w:t>
            </w:r>
          </w:p>
        </w:tc>
        <w:tc>
          <w:tcPr>
            <w:tcW w:w="80" w:type="dxa"/>
            <w:vAlign w:val="bottom"/>
            <w:gridSpan w:val="2"/>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Inmuebles Panamericana</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169,959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153,953</w:t>
            </w:r>
          </w:p>
        </w:tc>
        <w:tc>
          <w:tcPr>
            <w:tcW w:w="6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Abengoa Transmisión del Norte</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87,377</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80,948</w:t>
            </w:r>
          </w:p>
        </w:tc>
        <w:tc>
          <w:tcPr>
            <w:tcW w:w="6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Industrias de Aceite S.A.</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32,050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48,231</w:t>
            </w:r>
          </w:p>
        </w:tc>
        <w:tc>
          <w:tcPr>
            <w:tcW w:w="6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Homecenters Peruanos S.A.</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35,269</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32,520</w:t>
            </w:r>
          </w:p>
        </w:tc>
        <w:tc>
          <w:tcPr>
            <w:tcW w:w="6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301,107</w:t>
            </w:r>
          </w:p>
        </w:tc>
        <w:tc>
          <w:tcPr>
            <w:tcW w:w="18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202,836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625,762</w:t>
            </w: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518,488</w:t>
            </w:r>
          </w:p>
        </w:tc>
        <w:tc>
          <w:tcPr>
            <w:tcW w:w="60" w:type="dxa"/>
            <w:vAlign w:val="bottom"/>
          </w:tcPr>
          <w:p>
            <w:pPr>
              <w:spacing w:after="0"/>
              <w:rPr>
                <w:sz w:val="14"/>
                <w:szCs w:val="14"/>
                <w:color w:val="auto"/>
              </w:rPr>
            </w:pPr>
          </w:p>
        </w:tc>
      </w:tr>
    </w:tbl>
    <w:p>
      <w:pPr>
        <w:spacing w:after="0" w:line="148"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The bonds have semiannual payments until 2045.The pool of underlying assets consists mainly of accounts receivable from income, revenues for services and from maintenance and marketing contributions (Inmuebles Panamericana), accounts receivable for electrical transmission services from the Carhuamayo - Cajamarca line (Abengoa Transmisión Norte), accounts receivable for the transformation and commercialization of agribusiness products (Industrias de Aceite S.A.) and accounts receivable for commercialization of construction products (Homecenters Peruanos S.A.).</w:t>
      </w:r>
    </w:p>
    <w:p>
      <w:pPr>
        <w:spacing w:after="0" w:line="266"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3"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53"/>
        </w:trPr>
        <w:tc>
          <w:tcPr>
            <w:tcW w:w="8320" w:type="dxa"/>
            <w:vAlign w:val="bottom"/>
            <w:gridSpan w:val="2"/>
          </w:tcPr>
          <w:p>
            <w:pPr>
              <w:spacing w:after="0"/>
              <w:rPr>
                <w:sz w:val="20"/>
                <w:szCs w:val="20"/>
                <w:color w:val="auto"/>
              </w:rPr>
            </w:pPr>
            <w:r>
              <w:rPr>
                <w:rFonts w:ascii="Arial" w:cs="Arial" w:eastAsia="Arial" w:hAnsi="Arial"/>
                <w:sz w:val="12"/>
                <w:szCs w:val="12"/>
                <w:color w:val="auto"/>
              </w:rPr>
              <w:t>c)  Amortized cost investments consist of the following:</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2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2019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0"/>
        </w:trPr>
        <w:tc>
          <w:tcPr>
            <w:tcW w:w="2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640" w:type="dxa"/>
            <w:vAlign w:val="bottom"/>
            <w:gridSpan w:val="3"/>
          </w:tcPr>
          <w:p>
            <w:pPr>
              <w:jc w:val="right"/>
              <w:ind w:right="800"/>
              <w:spacing w:after="0" w:line="121" w:lineRule="exact"/>
              <w:rPr>
                <w:sz w:val="20"/>
                <w:szCs w:val="20"/>
                <w:color w:val="auto"/>
              </w:rPr>
            </w:pPr>
            <w:r>
              <w:rPr>
                <w:rFonts w:ascii="Arial" w:cs="Arial" w:eastAsia="Arial" w:hAnsi="Arial"/>
                <w:sz w:val="12"/>
                <w:szCs w:val="12"/>
                <w:b w:val="1"/>
                <w:bCs w:val="1"/>
                <w:color w:val="auto"/>
              </w:rPr>
              <w:t>Carrying</w:t>
            </w:r>
          </w:p>
        </w:tc>
        <w:tc>
          <w:tcPr>
            <w:tcW w:w="960" w:type="dxa"/>
            <w:vAlign w:val="bottom"/>
          </w:tcPr>
          <w:p>
            <w:pPr>
              <w:jc w:val="right"/>
              <w:ind w:right="420"/>
              <w:spacing w:after="0" w:line="121"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r>
      <w:tr>
        <w:trPr>
          <w:trHeight w:val="157"/>
        </w:trPr>
        <w:tc>
          <w:tcPr>
            <w:tcW w:w="2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640" w:type="dxa"/>
            <w:vAlign w:val="bottom"/>
            <w:gridSpan w:val="3"/>
          </w:tcPr>
          <w:p>
            <w:pPr>
              <w:jc w:val="right"/>
              <w:ind w:right="84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value</w:t>
            </w:r>
          </w:p>
        </w:tc>
      </w:tr>
      <w:tr>
        <w:trPr>
          <w:trHeight w:val="133"/>
        </w:trPr>
        <w:tc>
          <w:tcPr>
            <w:tcW w:w="2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Peruvian sovereign bonds (i)</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3,277,667</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3,694,631</w:t>
            </w:r>
          </w:p>
        </w:tc>
        <w:tc>
          <w:tcPr>
            <w:tcW w:w="10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100" w:type="dxa"/>
            <w:vAlign w:val="bottom"/>
          </w:tcPr>
          <w:p>
            <w:pPr>
              <w:spacing w:after="0"/>
              <w:rPr>
                <w:sz w:val="20"/>
                <w:szCs w:val="20"/>
                <w:color w:val="auto"/>
              </w:rPr>
            </w:pPr>
            <w:r>
              <w:rPr>
                <w:rFonts w:ascii="Arial" w:cs="Arial" w:eastAsia="Arial" w:hAnsi="Arial"/>
                <w:sz w:val="12"/>
                <w:szCs w:val="12"/>
                <w:color w:val="auto"/>
              </w:rPr>
              <w:t>Foreign government bonds (i)</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21,168</w:t>
            </w:r>
          </w:p>
        </w:tc>
        <w:tc>
          <w:tcPr>
            <w:tcW w:w="2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21,168</w:t>
            </w: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Certificates of payment on work progress (CRPAO) (ii)</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100,298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103,015</w:t>
            </w:r>
          </w:p>
        </w:tc>
      </w:tr>
      <w:tr>
        <w:trPr>
          <w:trHeight w:val="133"/>
        </w:trPr>
        <w:tc>
          <w:tcPr>
            <w:tcW w:w="220" w:type="dxa"/>
            <w:vAlign w:val="bottom"/>
          </w:tcPr>
          <w:p>
            <w:pPr>
              <w:spacing w:after="0"/>
              <w:rPr>
                <w:sz w:val="11"/>
                <w:szCs w:val="11"/>
                <w:color w:val="auto"/>
              </w:rPr>
            </w:pPr>
          </w:p>
        </w:tc>
        <w:tc>
          <w:tcPr>
            <w:tcW w:w="8100" w:type="dxa"/>
            <w:vAlign w:val="bottom"/>
          </w:tcPr>
          <w:p>
            <w:pPr>
              <w:spacing w:after="0" w:line="133" w:lineRule="exact"/>
              <w:rPr>
                <w:sz w:val="20"/>
                <w:szCs w:val="20"/>
                <w:color w:val="auto"/>
              </w:rPr>
            </w:pPr>
            <w:r>
              <w:rPr>
                <w:rFonts w:ascii="Arial" w:cs="Arial" w:eastAsia="Arial" w:hAnsi="Arial"/>
                <w:sz w:val="12"/>
                <w:szCs w:val="12"/>
                <w:color w:val="auto"/>
              </w:rPr>
              <w:t>Sub total</w:t>
            </w: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3,399,133</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3,818,814</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78,180</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78,180</w:t>
            </w:r>
          </w:p>
        </w:tc>
      </w:tr>
      <w:tr>
        <w:trPr>
          <w:trHeight w:val="133"/>
        </w:trPr>
        <w:tc>
          <w:tcPr>
            <w:tcW w:w="220" w:type="dxa"/>
            <w:vAlign w:val="bottom"/>
          </w:tcPr>
          <w:p>
            <w:pPr>
              <w:spacing w:after="0"/>
              <w:rPr>
                <w:sz w:val="11"/>
                <w:szCs w:val="11"/>
                <w:color w:val="auto"/>
              </w:rPr>
            </w:pPr>
          </w:p>
        </w:tc>
        <w:tc>
          <w:tcPr>
            <w:tcW w:w="8100" w:type="dxa"/>
            <w:vAlign w:val="bottom"/>
          </w:tcPr>
          <w:p>
            <w:pPr>
              <w:spacing w:after="0" w:line="133" w:lineRule="exact"/>
              <w:rPr>
                <w:sz w:val="20"/>
                <w:szCs w:val="20"/>
                <w:color w:val="auto"/>
              </w:rPr>
            </w:pPr>
            <w:r>
              <w:rPr>
                <w:rFonts w:ascii="Arial" w:cs="Arial" w:eastAsia="Arial" w:hAnsi="Arial"/>
                <w:sz w:val="12"/>
                <w:szCs w:val="12"/>
                <w:color w:val="auto"/>
              </w:rPr>
              <w:t>Total investments at amortized cost</w:t>
            </w: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3,477,313</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3,896,994</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(267)</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(267)</w:t>
            </w:r>
          </w:p>
        </w:tc>
      </w:tr>
      <w:tr>
        <w:trPr>
          <w:trHeight w:val="149"/>
        </w:trPr>
        <w:tc>
          <w:tcPr>
            <w:tcW w:w="220" w:type="dxa"/>
            <w:vAlign w:val="bottom"/>
          </w:tcPr>
          <w:p>
            <w:pPr>
              <w:spacing w:after="0"/>
              <w:rPr>
                <w:sz w:val="12"/>
                <w:szCs w:val="12"/>
                <w:color w:val="auto"/>
              </w:rPr>
            </w:pPr>
          </w:p>
        </w:tc>
        <w:tc>
          <w:tcPr>
            <w:tcW w:w="8100" w:type="dxa"/>
            <w:vAlign w:val="bottom"/>
          </w:tcPr>
          <w:p>
            <w:pPr>
              <w:spacing w:after="0"/>
              <w:rPr>
                <w:sz w:val="20"/>
                <w:szCs w:val="20"/>
                <w:color w:val="auto"/>
              </w:rPr>
            </w:pPr>
            <w:r>
              <w:rPr>
                <w:rFonts w:ascii="Arial" w:cs="Arial" w:eastAsia="Arial" w:hAnsi="Arial"/>
                <w:sz w:val="12"/>
                <w:szCs w:val="12"/>
                <w:b w:val="1"/>
                <w:bCs w:val="1"/>
                <w:color w:val="auto"/>
              </w:rPr>
              <w:t>Total investments at amortized cost, net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3,477,046</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3,896,727</w:t>
            </w:r>
          </w:p>
        </w:tc>
        <w:tc>
          <w:tcPr>
            <w:tcW w:w="100" w:type="dxa"/>
            <w:vAlign w:val="bottom"/>
          </w:tcPr>
          <w:p>
            <w:pPr>
              <w:spacing w:after="0"/>
              <w:rPr>
                <w:sz w:val="12"/>
                <w:szCs w:val="12"/>
                <w:color w:val="auto"/>
              </w:rPr>
            </w:pPr>
          </w:p>
        </w:tc>
      </w:tr>
      <w:tr>
        <w:trPr>
          <w:trHeight w:val="288"/>
        </w:trPr>
        <w:tc>
          <w:tcPr>
            <w:tcW w:w="2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2018</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0"/>
        </w:trPr>
        <w:tc>
          <w:tcPr>
            <w:tcW w:w="2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640" w:type="dxa"/>
            <w:vAlign w:val="bottom"/>
            <w:gridSpan w:val="3"/>
          </w:tcPr>
          <w:p>
            <w:pPr>
              <w:jc w:val="right"/>
              <w:ind w:right="800"/>
              <w:spacing w:after="0" w:line="121" w:lineRule="exact"/>
              <w:rPr>
                <w:sz w:val="20"/>
                <w:szCs w:val="20"/>
                <w:color w:val="auto"/>
              </w:rPr>
            </w:pPr>
            <w:r>
              <w:rPr>
                <w:rFonts w:ascii="Arial" w:cs="Arial" w:eastAsia="Arial" w:hAnsi="Arial"/>
                <w:sz w:val="12"/>
                <w:szCs w:val="12"/>
                <w:b w:val="1"/>
                <w:bCs w:val="1"/>
                <w:color w:val="auto"/>
              </w:rPr>
              <w:t>Carrying</w:t>
            </w:r>
          </w:p>
        </w:tc>
        <w:tc>
          <w:tcPr>
            <w:tcW w:w="960" w:type="dxa"/>
            <w:vAlign w:val="bottom"/>
          </w:tcPr>
          <w:p>
            <w:pPr>
              <w:jc w:val="right"/>
              <w:ind w:right="420"/>
              <w:spacing w:after="0" w:line="121"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r>
      <w:tr>
        <w:trPr>
          <w:trHeight w:val="157"/>
        </w:trPr>
        <w:tc>
          <w:tcPr>
            <w:tcW w:w="2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640" w:type="dxa"/>
            <w:vAlign w:val="bottom"/>
            <w:gridSpan w:val="3"/>
          </w:tcPr>
          <w:p>
            <w:pPr>
              <w:jc w:val="right"/>
              <w:ind w:right="84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value</w:t>
            </w:r>
          </w:p>
        </w:tc>
      </w:tr>
      <w:tr>
        <w:trPr>
          <w:trHeight w:val="133"/>
        </w:trPr>
        <w:tc>
          <w:tcPr>
            <w:tcW w:w="2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Peruvian sovereign bonds (i)</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3,167,666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3,169,229</w:t>
            </w:r>
          </w:p>
        </w:tc>
        <w:tc>
          <w:tcPr>
            <w:tcW w:w="10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100" w:type="dxa"/>
            <w:vAlign w:val="bottom"/>
          </w:tcPr>
          <w:p>
            <w:pPr>
              <w:spacing w:after="0"/>
              <w:rPr>
                <w:sz w:val="20"/>
                <w:szCs w:val="20"/>
                <w:color w:val="auto"/>
              </w:rPr>
            </w:pPr>
            <w:r>
              <w:rPr>
                <w:rFonts w:ascii="Arial" w:cs="Arial" w:eastAsia="Arial" w:hAnsi="Arial"/>
                <w:sz w:val="12"/>
                <w:szCs w:val="12"/>
                <w:color w:val="auto"/>
              </w:rPr>
              <w:t>Foreign government bonds (i)</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347,824</w:t>
            </w:r>
          </w:p>
        </w:tc>
        <w:tc>
          <w:tcPr>
            <w:tcW w:w="2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347,502</w:t>
            </w: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Peruvian treasury bonds (i)</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215,769</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215,787</w:t>
            </w:r>
          </w:p>
        </w:tc>
      </w:tr>
      <w:tr>
        <w:trPr>
          <w:trHeight w:val="144"/>
        </w:trPr>
        <w:tc>
          <w:tcPr>
            <w:tcW w:w="220" w:type="dxa"/>
            <w:vAlign w:val="bottom"/>
          </w:tcPr>
          <w:p>
            <w:pPr>
              <w:spacing w:after="0"/>
              <w:rPr>
                <w:sz w:val="12"/>
                <w:szCs w:val="12"/>
                <w:color w:val="auto"/>
              </w:rPr>
            </w:pPr>
          </w:p>
        </w:tc>
        <w:tc>
          <w:tcPr>
            <w:tcW w:w="8100" w:type="dxa"/>
            <w:vAlign w:val="bottom"/>
          </w:tcPr>
          <w:p>
            <w:pPr>
              <w:spacing w:after="0"/>
              <w:rPr>
                <w:sz w:val="20"/>
                <w:szCs w:val="20"/>
                <w:color w:val="auto"/>
              </w:rPr>
            </w:pPr>
            <w:r>
              <w:rPr>
                <w:rFonts w:ascii="Arial" w:cs="Arial" w:eastAsia="Arial" w:hAnsi="Arial"/>
                <w:sz w:val="12"/>
                <w:szCs w:val="12"/>
                <w:color w:val="auto"/>
              </w:rPr>
              <w:t>Corporate bonds (i)</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220,583</w:t>
            </w:r>
          </w:p>
        </w:tc>
        <w:tc>
          <w:tcPr>
            <w:tcW w:w="2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218,373</w:t>
            </w:r>
          </w:p>
        </w:tc>
      </w:tr>
      <w:tr>
        <w:trPr>
          <w:trHeight w:val="135"/>
        </w:trPr>
        <w:tc>
          <w:tcPr>
            <w:tcW w:w="220" w:type="dxa"/>
            <w:vAlign w:val="bottom"/>
          </w:tcPr>
          <w:p>
            <w:pPr>
              <w:spacing w:after="0"/>
              <w:rPr>
                <w:sz w:val="11"/>
                <w:szCs w:val="11"/>
                <w:color w:val="auto"/>
              </w:rPr>
            </w:pPr>
          </w:p>
        </w:tc>
        <w:tc>
          <w:tcPr>
            <w:tcW w:w="8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Certificates of payment on work progress</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22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(CRPAO) (ii)</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117,173</w:t>
            </w:r>
          </w:p>
        </w:tc>
        <w:tc>
          <w:tcPr>
            <w:tcW w:w="2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117,209</w:t>
            </w:r>
          </w:p>
        </w:tc>
      </w:tr>
      <w:tr>
        <w:trPr>
          <w:trHeight w:val="133"/>
        </w:trPr>
        <w:tc>
          <w:tcPr>
            <w:tcW w:w="220" w:type="dxa"/>
            <w:vAlign w:val="bottom"/>
          </w:tcPr>
          <w:p>
            <w:pPr>
              <w:spacing w:after="0"/>
              <w:rPr>
                <w:sz w:val="11"/>
                <w:szCs w:val="11"/>
                <w:color w:val="auto"/>
              </w:rPr>
            </w:pPr>
          </w:p>
        </w:tc>
        <w:tc>
          <w:tcPr>
            <w:tcW w:w="8100" w:type="dxa"/>
            <w:vAlign w:val="bottom"/>
          </w:tcPr>
          <w:p>
            <w:pPr>
              <w:spacing w:after="0" w:line="133" w:lineRule="exact"/>
              <w:rPr>
                <w:sz w:val="20"/>
                <w:szCs w:val="20"/>
                <w:color w:val="auto"/>
              </w:rPr>
            </w:pPr>
            <w:r>
              <w:rPr>
                <w:rFonts w:ascii="Arial" w:cs="Arial" w:eastAsia="Arial" w:hAnsi="Arial"/>
                <w:sz w:val="12"/>
                <w:szCs w:val="12"/>
                <w:color w:val="auto"/>
              </w:rPr>
              <w:t>Sub total</w:t>
            </w: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4,069,015</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4,068,100</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87,357</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87,357</w:t>
            </w:r>
          </w:p>
        </w:tc>
      </w:tr>
      <w:tr>
        <w:trPr>
          <w:trHeight w:val="133"/>
        </w:trPr>
        <w:tc>
          <w:tcPr>
            <w:tcW w:w="220" w:type="dxa"/>
            <w:vAlign w:val="bottom"/>
          </w:tcPr>
          <w:p>
            <w:pPr>
              <w:spacing w:after="0"/>
              <w:rPr>
                <w:sz w:val="11"/>
                <w:szCs w:val="11"/>
                <w:color w:val="auto"/>
              </w:rPr>
            </w:pPr>
          </w:p>
        </w:tc>
        <w:tc>
          <w:tcPr>
            <w:tcW w:w="8100" w:type="dxa"/>
            <w:vAlign w:val="bottom"/>
          </w:tcPr>
          <w:p>
            <w:pPr>
              <w:spacing w:after="0" w:line="133" w:lineRule="exact"/>
              <w:rPr>
                <w:sz w:val="20"/>
                <w:szCs w:val="20"/>
                <w:color w:val="auto"/>
              </w:rPr>
            </w:pPr>
            <w:r>
              <w:rPr>
                <w:rFonts w:ascii="Arial" w:cs="Arial" w:eastAsia="Arial" w:hAnsi="Arial"/>
                <w:sz w:val="12"/>
                <w:szCs w:val="12"/>
                <w:color w:val="auto"/>
              </w:rPr>
              <w:t>Total investments at amortized cost</w:t>
            </w: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4,156,372</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4,155,457</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(1,534)</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(1,534)</w:t>
            </w:r>
          </w:p>
        </w:tc>
      </w:tr>
      <w:tr>
        <w:trPr>
          <w:trHeight w:val="149"/>
        </w:trPr>
        <w:tc>
          <w:tcPr>
            <w:tcW w:w="220" w:type="dxa"/>
            <w:vAlign w:val="bottom"/>
          </w:tcPr>
          <w:p>
            <w:pPr>
              <w:spacing w:after="0"/>
              <w:rPr>
                <w:sz w:val="12"/>
                <w:szCs w:val="12"/>
                <w:color w:val="auto"/>
              </w:rPr>
            </w:pPr>
          </w:p>
        </w:tc>
        <w:tc>
          <w:tcPr>
            <w:tcW w:w="8100" w:type="dxa"/>
            <w:vAlign w:val="bottom"/>
          </w:tcPr>
          <w:p>
            <w:pPr>
              <w:spacing w:after="0"/>
              <w:rPr>
                <w:sz w:val="20"/>
                <w:szCs w:val="20"/>
                <w:color w:val="auto"/>
              </w:rPr>
            </w:pPr>
            <w:r>
              <w:rPr>
                <w:rFonts w:ascii="Arial" w:cs="Arial" w:eastAsia="Arial" w:hAnsi="Arial"/>
                <w:sz w:val="12"/>
                <w:szCs w:val="12"/>
                <w:b w:val="1"/>
                <w:bCs w:val="1"/>
                <w:color w:val="auto"/>
              </w:rPr>
              <w:t>Total investments at amortized cost, net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4,154,838</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4,153,923</w:t>
            </w:r>
          </w:p>
        </w:tc>
        <w:tc>
          <w:tcPr>
            <w:tcW w:w="100" w:type="dxa"/>
            <w:vAlign w:val="bottom"/>
          </w:tcPr>
          <w:p>
            <w:pPr>
              <w:spacing w:after="0"/>
              <w:rPr>
                <w:sz w:val="12"/>
                <w:szCs w:val="12"/>
                <w:color w:val="auto"/>
              </w:rPr>
            </w:pPr>
          </w:p>
        </w:tc>
      </w:tr>
    </w:tbl>
    <w:p>
      <w:pPr>
        <w:spacing w:after="0" w:line="315" w:lineRule="exact"/>
        <w:rPr>
          <w:sz w:val="20"/>
          <w:szCs w:val="20"/>
          <w:color w:val="auto"/>
        </w:rPr>
      </w:pPr>
    </w:p>
    <w:p>
      <w:pPr>
        <w:ind w:left="440" w:hanging="216"/>
        <w:spacing w:after="0" w:line="263" w:lineRule="auto"/>
        <w:tabs>
          <w:tab w:leader="none" w:pos="4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At December 31, 2019, said bonds have maturities between January 2020 and February 2042, accruing interest at an annual effective interest rate between 2.14 percent and 5.28 percent on bonds denominated in soles and between 0.45 percent and 2.53 percent annual on bonds issued in other currencies. (at December 31, 2018 have maturities between January 2019 and February 2042, accruing interest at an annual effective interest rate between 3.15 percent and 6.24 percent on bonds denominated in soles and between 1.22 percent and 5.56 percent on bonds in U.S. Dollars).</w:t>
      </w:r>
    </w:p>
    <w:p>
      <w:pPr>
        <w:spacing w:after="0" w:line="122" w:lineRule="exact"/>
        <w:rPr>
          <w:rFonts w:ascii="Arial" w:cs="Arial" w:eastAsia="Arial" w:hAnsi="Arial"/>
          <w:sz w:val="12"/>
          <w:szCs w:val="12"/>
          <w:color w:val="auto"/>
        </w:rPr>
      </w:pPr>
    </w:p>
    <w:p>
      <w:pPr>
        <w:ind w:left="440" w:right="80"/>
        <w:spacing w:after="0" w:line="276" w:lineRule="auto"/>
        <w:rPr>
          <w:rFonts w:ascii="Arial" w:cs="Arial" w:eastAsia="Arial" w:hAnsi="Arial"/>
          <w:sz w:val="12"/>
          <w:szCs w:val="12"/>
          <w:color w:val="auto"/>
        </w:rPr>
      </w:pPr>
      <w:r>
        <w:rPr>
          <w:rFonts w:ascii="Arial" w:cs="Arial" w:eastAsia="Arial" w:hAnsi="Arial"/>
          <w:sz w:val="12"/>
          <w:szCs w:val="12"/>
          <w:color w:val="auto"/>
        </w:rPr>
        <w:t>Likewise, Credicorp Management has determined that at December 31, 2018, the difference between amortized cost and the fair value of these investments is temporary in nature and Credicorp has the intention and ability to hold each of these investments until its maturity.</w:t>
      </w:r>
    </w:p>
    <w:p>
      <w:pPr>
        <w:spacing w:after="0" w:line="114" w:lineRule="exact"/>
        <w:rPr>
          <w:rFonts w:ascii="Arial" w:cs="Arial" w:eastAsia="Arial" w:hAnsi="Arial"/>
          <w:sz w:val="12"/>
          <w:szCs w:val="12"/>
          <w:color w:val="auto"/>
        </w:rPr>
      </w:pPr>
    </w:p>
    <w:p>
      <w:pPr>
        <w:ind w:left="440" w:right="220"/>
        <w:spacing w:after="0" w:line="276" w:lineRule="auto"/>
        <w:rPr>
          <w:rFonts w:ascii="Arial" w:cs="Arial" w:eastAsia="Arial" w:hAnsi="Arial"/>
          <w:sz w:val="12"/>
          <w:szCs w:val="12"/>
          <w:color w:val="auto"/>
        </w:rPr>
      </w:pPr>
      <w:r>
        <w:rPr>
          <w:rFonts w:ascii="Arial" w:cs="Arial" w:eastAsia="Arial" w:hAnsi="Arial"/>
          <w:sz w:val="12"/>
          <w:szCs w:val="12"/>
          <w:color w:val="auto"/>
        </w:rPr>
        <w:t>At December 31, 2019, the Group has repurchase agreement transactions for investments at amortized cost for an estimated fair value of S/1,569.3 million (S/2,953.3 million at December 31, 2018), the related liability for which is presented in the caption “Payables from repurchase agreements and securities lending” of the consolidated statement of financial position, see note 5(c).</w:t>
      </w:r>
    </w:p>
    <w:p>
      <w:pPr>
        <w:spacing w:after="0" w:line="259" w:lineRule="exact"/>
        <w:rPr>
          <w:rFonts w:ascii="Arial" w:cs="Arial" w:eastAsia="Arial" w:hAnsi="Arial"/>
          <w:sz w:val="12"/>
          <w:szCs w:val="12"/>
          <w:color w:val="auto"/>
        </w:rPr>
      </w:pPr>
    </w:p>
    <w:p>
      <w:pPr>
        <w:ind w:left="5480" w:hanging="72"/>
        <w:spacing w:after="0"/>
        <w:tabs>
          <w:tab w:leader="none" w:pos="5480" w:val="left"/>
        </w:tabs>
        <w:numPr>
          <w:ilvl w:val="1"/>
          <w:numId w:val="96"/>
        </w:numPr>
        <w:rPr>
          <w:rFonts w:ascii="Arial" w:cs="Arial" w:eastAsia="Arial" w:hAnsi="Arial"/>
          <w:sz w:val="12"/>
          <w:szCs w:val="12"/>
          <w:color w:val="auto"/>
        </w:rPr>
      </w:pPr>
      <w:r>
        <w:rPr>
          <w:rFonts w:ascii="Arial" w:cs="Arial" w:eastAsia="Arial" w:hAnsi="Arial"/>
          <w:sz w:val="12"/>
          <w:szCs w:val="12"/>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80" w:name="page81"/>
    <w:bookmarkEnd w:id="80"/>
    <w:p>
      <w:pPr>
        <w:ind w:left="240" w:right="120" w:hanging="239"/>
        <w:spacing w:after="0" w:line="290" w:lineRule="auto"/>
        <w:tabs>
          <w:tab w:leader="none" w:pos="240" w:val="left"/>
        </w:tabs>
        <w:numPr>
          <w:ilvl w:val="0"/>
          <w:numId w:val="97"/>
        </w:numPr>
        <w:rPr>
          <w:rFonts w:ascii="Arial" w:cs="Arial" w:eastAsia="Arial" w:hAnsi="Arial"/>
          <w:sz w:val="11"/>
          <w:szCs w:val="11"/>
          <w:color w:val="auto"/>
        </w:rPr>
      </w:pPr>
      <w:r>
        <w:rPr>
          <w:rFonts w:ascii="Arial" w:cs="Arial" w:eastAsia="Arial" w:hAnsi="Arial"/>
          <w:sz w:val="11"/>
          <w:szCs w:val="11"/>
          <w:color w:val="auto"/>
        </w:rPr>
        <w:t>At December 31, 2019 there are 153 certificates of Annual Recognition of Payment on Work Progress - CRPAO from Spanish acronym (185 CRPAOs at December 31, 2018), issued by the Peruvian Government to finance projects and concessions. Said issuance is a mechanism established in the concession agreement signed between the State and the concessionaire, which allows the latter to obtain financing to continue with the work undertaken. Said investment matures between January 2020 and April 2026, accruing interest at an annual effective rate between 3.74 percent and 4.67 percent at December 31, 2019 (between January 2019 and April 2026, accruing interest at an annual effective rate between 4.72 percent and 6.02 percent at December 31, 2018).</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July 30, 2019, the Assets and Liabilities Committee (ALCO) approved the request to change the Atlantic Security Bank (ASB) business model to manage its investments according to its new balance sheet structure, which generated a reclassification of the entire investment portfolio classified as amortized cost to the investment portfolio at fair value with through other comprehensive income and then sell them and acquire new investments that adapt to the new investment portfolio strategy.</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value of the investments at amortized cost as of July 30, 2019 amounted to US$73,030.4 (in thousands) with a fluctuation amounting to US$2,117.5 (in thousands), with a market value of US$ 75,147.9 (in thousands) and finally an expected credit loss of US$82.4 (in thousands). The fluctuation and expected credit loss were recorded in other comprehensive income.</w:t>
      </w: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9525</wp:posOffset>
            </wp:positionV>
            <wp:extent cx="7292340" cy="571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780"/>
          </w:cols>
          <w:pgMar w:left="860" w:top="653" w:right="259" w:bottom="1440" w:gutter="0" w:footer="0" w:header="0"/>
        </w:sectPr>
      </w:pPr>
    </w:p>
    <w:bookmarkStart w:id="81" w:name="page82"/>
    <w:bookmarkEnd w:id="81"/>
    <w:p>
      <w:pPr>
        <w:spacing w:after="0"/>
        <w:tabs>
          <w:tab w:leader="none" w:pos="180" w:val="left"/>
        </w:tabs>
        <w:rPr>
          <w:sz w:val="20"/>
          <w:szCs w:val="20"/>
          <w:color w:val="auto"/>
        </w:rPr>
      </w:pPr>
      <w:r>
        <w:rPr>
          <w:rFonts w:ascii="Arial" w:cs="Arial" w:eastAsia="Arial" w:hAnsi="Arial"/>
          <w:sz w:val="12"/>
          <w:szCs w:val="12"/>
          <w:color w:val="auto"/>
        </w:rPr>
        <w:t>d)</w:t>
      </w:r>
      <w:r>
        <w:rPr>
          <w:sz w:val="20"/>
          <w:szCs w:val="20"/>
          <w:color w:val="auto"/>
        </w:rPr>
        <w:tab/>
      </w:r>
      <w:r>
        <w:rPr>
          <w:rFonts w:ascii="Arial" w:cs="Arial" w:eastAsia="Arial" w:hAnsi="Arial"/>
          <w:sz w:val="10"/>
          <w:szCs w:val="10"/>
          <w:color w:val="auto"/>
        </w:rPr>
        <w:t>The table below shows the balance of investments classified by maturity, without consider accrued interest or provision for credit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20"/>
        </w:trPr>
        <w:tc>
          <w:tcPr>
            <w:tcW w:w="4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At fair value</w:t>
            </w: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At fair value</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through other</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through profit</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comprehensive</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Amortized</w:t>
            </w:r>
          </w:p>
        </w:tc>
        <w:tc>
          <w:tcPr>
            <w:tcW w:w="38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or loss</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income</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0"/>
              </w:rPr>
              <w:t>cost</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Up to 3 months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237,624</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2,420,464</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9,969</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From 3 months to 1 year</w:t>
            </w:r>
          </w:p>
        </w:tc>
        <w:tc>
          <w:tcPr>
            <w:tcW w:w="4640" w:type="dxa"/>
            <w:vAlign w:val="bottom"/>
            <w:gridSpan w:val="3"/>
          </w:tcPr>
          <w:p>
            <w:pPr>
              <w:jc w:val="right"/>
              <w:ind w:right="220"/>
              <w:spacing w:after="0"/>
              <w:rPr>
                <w:sz w:val="20"/>
                <w:szCs w:val="20"/>
                <w:color w:val="auto"/>
              </w:rPr>
            </w:pPr>
            <w:r>
              <w:rPr>
                <w:rFonts w:ascii="Arial" w:cs="Arial" w:eastAsia="Arial" w:hAnsi="Arial"/>
                <w:sz w:val="12"/>
                <w:szCs w:val="12"/>
                <w:color w:val="auto"/>
              </w:rPr>
              <w:t>269,199</w:t>
            </w:r>
          </w:p>
        </w:tc>
        <w:tc>
          <w:tcPr>
            <w:tcW w:w="1280" w:type="dxa"/>
            <w:vAlign w:val="bottom"/>
          </w:tcPr>
          <w:p>
            <w:pPr>
              <w:jc w:val="right"/>
              <w:spacing w:after="0"/>
              <w:rPr>
                <w:sz w:val="20"/>
                <w:szCs w:val="20"/>
                <w:color w:val="auto"/>
              </w:rPr>
            </w:pPr>
            <w:r>
              <w:rPr>
                <w:rFonts w:ascii="Arial" w:cs="Arial" w:eastAsia="Arial" w:hAnsi="Arial"/>
                <w:sz w:val="12"/>
                <w:szCs w:val="12"/>
                <w:color w:val="auto"/>
              </w:rPr>
              <w:t>6,694,486</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908,271</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472,215</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2,155,053</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42,440</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From 3 to 5 years</w:t>
            </w:r>
          </w:p>
        </w:tc>
        <w:tc>
          <w:tcPr>
            <w:tcW w:w="4640" w:type="dxa"/>
            <w:vAlign w:val="bottom"/>
            <w:gridSpan w:val="3"/>
          </w:tcPr>
          <w:p>
            <w:pPr>
              <w:jc w:val="right"/>
              <w:ind w:right="220"/>
              <w:spacing w:after="0"/>
              <w:rPr>
                <w:sz w:val="20"/>
                <w:szCs w:val="20"/>
                <w:color w:val="auto"/>
              </w:rPr>
            </w:pPr>
            <w:r>
              <w:rPr>
                <w:rFonts w:ascii="Arial" w:cs="Arial" w:eastAsia="Arial" w:hAnsi="Arial"/>
                <w:sz w:val="12"/>
                <w:szCs w:val="12"/>
                <w:color w:val="auto"/>
              </w:rPr>
              <w:t>289,393</w:t>
            </w:r>
          </w:p>
        </w:tc>
        <w:tc>
          <w:tcPr>
            <w:tcW w:w="1280" w:type="dxa"/>
            <w:vAlign w:val="bottom"/>
          </w:tcPr>
          <w:p>
            <w:pPr>
              <w:jc w:val="right"/>
              <w:spacing w:after="0"/>
              <w:rPr>
                <w:sz w:val="20"/>
                <w:szCs w:val="20"/>
                <w:color w:val="auto"/>
              </w:rPr>
            </w:pPr>
            <w:r>
              <w:rPr>
                <w:rFonts w:ascii="Arial" w:cs="Arial" w:eastAsia="Arial" w:hAnsi="Arial"/>
                <w:sz w:val="12"/>
                <w:szCs w:val="12"/>
                <w:color w:val="auto"/>
              </w:rPr>
              <w:t>2,961,767</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690,289</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1,029,883</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11,138,643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1,748,164</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Without maturity</w:t>
            </w:r>
          </w:p>
        </w:tc>
        <w:tc>
          <w:tcPr>
            <w:tcW w:w="31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1,547,477</w:t>
            </w: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579,199</w:t>
            </w:r>
          </w:p>
        </w:tc>
        <w:tc>
          <w:tcPr>
            <w:tcW w:w="2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Pr>
          <w:p>
            <w:pPr>
              <w:spacing w:after="0"/>
              <w:rPr>
                <w:sz w:val="13"/>
                <w:szCs w:val="13"/>
                <w:color w:val="auto"/>
              </w:rPr>
            </w:pPr>
          </w:p>
        </w:tc>
      </w:tr>
      <w:tr>
        <w:trPr>
          <w:trHeight w:val="149"/>
        </w:trPr>
        <w:tc>
          <w:tcPr>
            <w:tcW w:w="420" w:type="dxa"/>
            <w:vAlign w:val="bottom"/>
          </w:tcPr>
          <w:p>
            <w:pPr>
              <w:spacing w:after="0"/>
              <w:rPr>
                <w:sz w:val="12"/>
                <w:szCs w:val="12"/>
                <w:color w:val="auto"/>
              </w:rPr>
            </w:pPr>
          </w:p>
        </w:tc>
        <w:tc>
          <w:tcPr>
            <w:tcW w:w="31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3,845,791</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25,949,612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3,399,133</w:t>
            </w:r>
          </w:p>
        </w:tc>
        <w:tc>
          <w:tcPr>
            <w:tcW w:w="380" w:type="dxa"/>
            <w:vAlign w:val="bottom"/>
          </w:tcPr>
          <w:p>
            <w:pPr>
              <w:spacing w:after="0"/>
              <w:rPr>
                <w:sz w:val="12"/>
                <w:szCs w:val="12"/>
                <w:color w:val="auto"/>
              </w:rPr>
            </w:pPr>
          </w:p>
        </w:tc>
      </w:tr>
      <w:tr>
        <w:trPr>
          <w:trHeight w:val="297"/>
        </w:trPr>
        <w:tc>
          <w:tcPr>
            <w:tcW w:w="42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At fair value</w:t>
            </w: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At fair value</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through other</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through profit</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comprehensive</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Amortized</w:t>
            </w:r>
          </w:p>
        </w:tc>
        <w:tc>
          <w:tcPr>
            <w:tcW w:w="38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or loss</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income</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0"/>
              </w:rPr>
              <w:t>cost</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Up to 3 months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318,648</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4,280,152</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372,525</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From 3 months to 1 year</w:t>
            </w:r>
          </w:p>
        </w:tc>
        <w:tc>
          <w:tcPr>
            <w:tcW w:w="4640" w:type="dxa"/>
            <w:vAlign w:val="bottom"/>
            <w:gridSpan w:val="3"/>
          </w:tcPr>
          <w:p>
            <w:pPr>
              <w:jc w:val="right"/>
              <w:ind w:right="220"/>
              <w:spacing w:after="0"/>
              <w:rPr>
                <w:sz w:val="20"/>
                <w:szCs w:val="20"/>
                <w:color w:val="auto"/>
              </w:rPr>
            </w:pPr>
            <w:r>
              <w:rPr>
                <w:rFonts w:ascii="Arial" w:cs="Arial" w:eastAsia="Arial" w:hAnsi="Arial"/>
                <w:sz w:val="12"/>
                <w:szCs w:val="12"/>
                <w:color w:val="auto"/>
              </w:rPr>
              <w:t>197,829</w:t>
            </w:r>
          </w:p>
        </w:tc>
        <w:tc>
          <w:tcPr>
            <w:tcW w:w="1280" w:type="dxa"/>
            <w:vAlign w:val="bottom"/>
          </w:tcPr>
          <w:p>
            <w:pPr>
              <w:jc w:val="right"/>
              <w:spacing w:after="0"/>
              <w:rPr>
                <w:sz w:val="20"/>
                <w:szCs w:val="20"/>
                <w:color w:val="auto"/>
              </w:rPr>
            </w:pPr>
            <w:r>
              <w:rPr>
                <w:rFonts w:ascii="Arial" w:cs="Arial" w:eastAsia="Arial" w:hAnsi="Arial"/>
                <w:sz w:val="12"/>
                <w:szCs w:val="12"/>
                <w:color w:val="auto"/>
              </w:rPr>
              <w:t>5,842,026</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208,812</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485,333</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2,145,494</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1,094,660</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From 3 to 5 years</w:t>
            </w:r>
          </w:p>
        </w:tc>
        <w:tc>
          <w:tcPr>
            <w:tcW w:w="4640" w:type="dxa"/>
            <w:vAlign w:val="bottom"/>
            <w:gridSpan w:val="3"/>
          </w:tcPr>
          <w:p>
            <w:pPr>
              <w:jc w:val="right"/>
              <w:ind w:right="220"/>
              <w:spacing w:after="0"/>
              <w:rPr>
                <w:sz w:val="20"/>
                <w:szCs w:val="20"/>
                <w:color w:val="auto"/>
              </w:rPr>
            </w:pPr>
            <w:r>
              <w:rPr>
                <w:rFonts w:ascii="Arial" w:cs="Arial" w:eastAsia="Arial" w:hAnsi="Arial"/>
                <w:sz w:val="12"/>
                <w:szCs w:val="12"/>
                <w:color w:val="auto"/>
              </w:rPr>
              <w:t>152,083</w:t>
            </w:r>
          </w:p>
        </w:tc>
        <w:tc>
          <w:tcPr>
            <w:tcW w:w="1280" w:type="dxa"/>
            <w:vAlign w:val="bottom"/>
          </w:tcPr>
          <w:p>
            <w:pPr>
              <w:jc w:val="right"/>
              <w:spacing w:after="0"/>
              <w:rPr>
                <w:sz w:val="20"/>
                <w:szCs w:val="20"/>
                <w:color w:val="auto"/>
              </w:rPr>
            </w:pPr>
            <w:r>
              <w:rPr>
                <w:rFonts w:ascii="Arial" w:cs="Arial" w:eastAsia="Arial" w:hAnsi="Arial"/>
                <w:sz w:val="12"/>
                <w:szCs w:val="12"/>
                <w:color w:val="auto"/>
              </w:rPr>
              <w:t>1,722,051</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273,343</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871,020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10,341,820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2,119,675</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Without maturity</w:t>
            </w:r>
          </w:p>
        </w:tc>
        <w:tc>
          <w:tcPr>
            <w:tcW w:w="31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1,482,663</w:t>
            </w: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649,470</w:t>
            </w:r>
          </w:p>
        </w:tc>
        <w:tc>
          <w:tcPr>
            <w:tcW w:w="2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420" w:type="dxa"/>
            <w:vAlign w:val="bottom"/>
          </w:tcPr>
          <w:p>
            <w:pPr>
              <w:spacing w:after="0"/>
              <w:rPr>
                <w:sz w:val="14"/>
                <w:szCs w:val="14"/>
                <w:color w:val="auto"/>
              </w:rPr>
            </w:pPr>
          </w:p>
        </w:tc>
        <w:tc>
          <w:tcPr>
            <w:tcW w:w="31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3,507,576</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24,981,013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4,069,015</w:t>
            </w:r>
          </w:p>
        </w:tc>
        <w:tc>
          <w:tcPr>
            <w:tcW w:w="380" w:type="dxa"/>
            <w:vAlign w:val="bottom"/>
          </w:tcPr>
          <w:p>
            <w:pPr>
              <w:spacing w:after="0"/>
              <w:rPr>
                <w:sz w:val="14"/>
                <w:szCs w:val="14"/>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tcPr>
          <w:p>
            <w:pPr>
              <w:jc w:val="right"/>
              <w:ind w:right="800"/>
              <w:spacing w:after="0"/>
              <w:rPr>
                <w:sz w:val="20"/>
                <w:szCs w:val="20"/>
                <w:color w:val="auto"/>
              </w:rPr>
            </w:pPr>
            <w:r>
              <w:rPr>
                <w:rFonts w:ascii="Arial" w:cs="Arial" w:eastAsia="Arial" w:hAnsi="Arial"/>
                <w:sz w:val="12"/>
                <w:szCs w:val="12"/>
                <w:color w:val="auto"/>
              </w:rPr>
              <w:t>- 77 -</w:t>
            </w: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797" w:right="19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20" w:type="dxa"/>
            <w:vAlign w:val="bottom"/>
            <w:gridSpan w:val="2"/>
          </w:tcPr>
          <w:p>
            <w:pPr>
              <w:spacing w:after="0"/>
              <w:rPr>
                <w:sz w:val="20"/>
                <w:szCs w:val="20"/>
                <w:color w:val="auto"/>
              </w:rPr>
            </w:pPr>
            <w:r>
              <w:rPr>
                <w:rFonts w:ascii="Arial" w:cs="Arial" w:eastAsia="Arial" w:hAnsi="Arial"/>
                <w:sz w:val="12"/>
                <w:szCs w:val="12"/>
                <w:b w:val="1"/>
                <w:bCs w:val="1"/>
                <w:color w:val="auto"/>
              </w:rPr>
              <w:t>7   LOANS, NET</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8220" w:type="dxa"/>
            <w:vAlign w:val="bottom"/>
            <w:gridSpan w:val="2"/>
          </w:tcPr>
          <w:p>
            <w:pPr>
              <w:ind w:left="200"/>
              <w:spacing w:after="0"/>
              <w:rPr>
                <w:sz w:val="20"/>
                <w:szCs w:val="20"/>
                <w:color w:val="auto"/>
              </w:rPr>
            </w:pPr>
            <w:r>
              <w:rPr>
                <w:rFonts w:ascii="Arial" w:cs="Arial" w:eastAsia="Arial" w:hAnsi="Arial"/>
                <w:sz w:val="12"/>
                <w:szCs w:val="12"/>
                <w:color w:val="auto"/>
              </w:rPr>
              <w:t>a)  This item consists of the following:</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24"/>
                <w:szCs w:val="24"/>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Direct loans -</w:t>
            </w: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Loans</w:t>
            </w: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91,481,200</w:t>
            </w: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86,898,040</w:t>
            </w: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Leasing receivables</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5,978,421</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6,322,477</w:t>
            </w:r>
          </w:p>
        </w:tc>
      </w:tr>
      <w:tr>
        <w:trPr>
          <w:trHeight w:val="144"/>
        </w:trPr>
        <w:tc>
          <w:tcPr>
            <w:tcW w:w="4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Credit cards</w:t>
            </w:r>
          </w:p>
        </w:tc>
        <w:tc>
          <w:tcPr>
            <w:tcW w:w="1300" w:type="dxa"/>
            <w:vAlign w:val="bottom"/>
          </w:tcPr>
          <w:p>
            <w:pPr>
              <w:jc w:val="right"/>
              <w:spacing w:after="0"/>
              <w:rPr>
                <w:sz w:val="20"/>
                <w:szCs w:val="20"/>
                <w:color w:val="auto"/>
              </w:rPr>
            </w:pPr>
            <w:r>
              <w:rPr>
                <w:rFonts w:ascii="Arial" w:cs="Arial" w:eastAsia="Arial" w:hAnsi="Arial"/>
                <w:sz w:val="12"/>
                <w:szCs w:val="12"/>
                <w:color w:val="auto"/>
              </w:rPr>
              <w:t>8,479,355</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7,847,038</w:t>
            </w: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Discounted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2,200,142</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2,313,478</w:t>
            </w:r>
          </w:p>
        </w:tc>
      </w:tr>
      <w:tr>
        <w:trPr>
          <w:trHeight w:val="144"/>
        </w:trPr>
        <w:tc>
          <w:tcPr>
            <w:tcW w:w="4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Factoring receivables</w:t>
            </w:r>
          </w:p>
        </w:tc>
        <w:tc>
          <w:tcPr>
            <w:tcW w:w="1300" w:type="dxa"/>
            <w:vAlign w:val="bottom"/>
          </w:tcPr>
          <w:p>
            <w:pPr>
              <w:jc w:val="right"/>
              <w:spacing w:after="0"/>
              <w:rPr>
                <w:sz w:val="20"/>
                <w:szCs w:val="20"/>
                <w:color w:val="auto"/>
              </w:rPr>
            </w:pPr>
            <w:r>
              <w:rPr>
                <w:rFonts w:ascii="Arial" w:cs="Arial" w:eastAsia="Arial" w:hAnsi="Arial"/>
                <w:sz w:val="12"/>
                <w:szCs w:val="12"/>
                <w:color w:val="auto"/>
              </w:rPr>
              <w:t>2,015,513</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1,923,456</w:t>
            </w: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Advances and overdrafts in current account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162,149</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255,027</w:t>
            </w:r>
          </w:p>
        </w:tc>
      </w:tr>
      <w:tr>
        <w:trPr>
          <w:trHeight w:val="144"/>
        </w:trPr>
        <w:tc>
          <w:tcPr>
            <w:tcW w:w="4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Refinanced loans</w:t>
            </w:r>
          </w:p>
        </w:tc>
        <w:tc>
          <w:tcPr>
            <w:tcW w:w="1300" w:type="dxa"/>
            <w:vAlign w:val="bottom"/>
          </w:tcPr>
          <w:p>
            <w:pPr>
              <w:jc w:val="right"/>
              <w:spacing w:after="0"/>
              <w:rPr>
                <w:sz w:val="20"/>
                <w:szCs w:val="20"/>
                <w:color w:val="auto"/>
              </w:rPr>
            </w:pPr>
            <w:r>
              <w:rPr>
                <w:rFonts w:ascii="Arial" w:cs="Arial" w:eastAsia="Arial" w:hAnsi="Arial"/>
                <w:sz w:val="12"/>
                <w:szCs w:val="12"/>
                <w:color w:val="auto"/>
              </w:rPr>
              <w:t>1,186,167</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1,281,360</w:t>
            </w:r>
          </w:p>
        </w:tc>
      </w:tr>
      <w:tr>
        <w:trPr>
          <w:trHeight w:val="153"/>
        </w:trPr>
        <w:tc>
          <w:tcPr>
            <w:tcW w:w="420" w:type="dxa"/>
            <w:vAlign w:val="bottom"/>
          </w:tcPr>
          <w:p>
            <w:pPr>
              <w:spacing w:after="0"/>
              <w:rPr>
                <w:sz w:val="13"/>
                <w:szCs w:val="13"/>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Restructured loans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127</w:t>
            </w:r>
          </w:p>
        </w:tc>
      </w:tr>
      <w:tr>
        <w:trPr>
          <w:trHeight w:val="133"/>
        </w:trPr>
        <w:tc>
          <w:tcPr>
            <w:tcW w:w="420" w:type="dxa"/>
            <w:vAlign w:val="bottom"/>
          </w:tcPr>
          <w:p>
            <w:pPr>
              <w:spacing w:after="0"/>
              <w:rPr>
                <w:sz w:val="11"/>
                <w:szCs w:val="11"/>
                <w:color w:val="auto"/>
              </w:rPr>
            </w:pPr>
          </w:p>
        </w:tc>
        <w:tc>
          <w:tcPr>
            <w:tcW w:w="7800" w:type="dxa"/>
            <w:vAlign w:val="bottom"/>
          </w:tcPr>
          <w:p>
            <w:pPr>
              <w:spacing w:after="0" w:line="133" w:lineRule="exact"/>
              <w:rPr>
                <w:sz w:val="20"/>
                <w:szCs w:val="20"/>
                <w:color w:val="auto"/>
              </w:rPr>
            </w:pPr>
            <w:r>
              <w:rPr>
                <w:rFonts w:ascii="Arial" w:cs="Arial" w:eastAsia="Arial" w:hAnsi="Arial"/>
                <w:sz w:val="12"/>
                <w:szCs w:val="12"/>
                <w:b w:val="1"/>
                <w:bCs w:val="1"/>
                <w:color w:val="auto"/>
              </w:rPr>
              <w:t>Total direct loans</w:t>
            </w:r>
          </w:p>
        </w:tc>
        <w:tc>
          <w:tcPr>
            <w:tcW w:w="1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111,503,072</w:t>
            </w:r>
          </w:p>
        </w:tc>
        <w:tc>
          <w:tcPr>
            <w:tcW w:w="20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106,841,003</w:t>
            </w:r>
          </w:p>
        </w:tc>
        <w:tc>
          <w:tcPr>
            <w:tcW w:w="1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Internal overdue loans and under legal collection loans</w:t>
            </w:r>
          </w:p>
        </w:tc>
        <w:tc>
          <w:tcPr>
            <w:tcW w:w="1300" w:type="dxa"/>
            <w:vAlign w:val="bottom"/>
          </w:tcPr>
          <w:p>
            <w:pPr>
              <w:jc w:val="right"/>
              <w:spacing w:after="0"/>
              <w:rPr>
                <w:sz w:val="20"/>
                <w:szCs w:val="20"/>
                <w:color w:val="auto"/>
              </w:rPr>
            </w:pPr>
            <w:r>
              <w:rPr>
                <w:rFonts w:ascii="Arial" w:cs="Arial" w:eastAsia="Arial" w:hAnsi="Arial"/>
                <w:sz w:val="12"/>
                <w:szCs w:val="12"/>
                <w:color w:val="auto"/>
              </w:rPr>
              <w:t>3,304,886</w:t>
            </w:r>
          </w:p>
        </w:tc>
        <w:tc>
          <w:tcPr>
            <w:tcW w:w="2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3,119,621</w:t>
            </w:r>
          </w:p>
        </w:tc>
      </w:tr>
      <w:tr>
        <w:trPr>
          <w:trHeight w:val="133"/>
        </w:trPr>
        <w:tc>
          <w:tcPr>
            <w:tcW w:w="420" w:type="dxa"/>
            <w:vAlign w:val="bottom"/>
          </w:tcPr>
          <w:p>
            <w:pPr>
              <w:spacing w:after="0"/>
              <w:rPr>
                <w:sz w:val="11"/>
                <w:szCs w:val="11"/>
                <w:color w:val="auto"/>
              </w:rPr>
            </w:pPr>
          </w:p>
        </w:tc>
        <w:tc>
          <w:tcPr>
            <w:tcW w:w="78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114,807,958</w:t>
            </w:r>
          </w:p>
        </w:tc>
        <w:tc>
          <w:tcPr>
            <w:tcW w:w="2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109,960,624</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b w:val="1"/>
                <w:bCs w:val="1"/>
                <w:color w:val="auto"/>
              </w:rPr>
              <w:t>Add (less) -</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870,410</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865,168</w:t>
            </w:r>
          </w:p>
        </w:tc>
      </w:tr>
      <w:tr>
        <w:trPr>
          <w:trHeight w:val="153"/>
        </w:trPr>
        <w:tc>
          <w:tcPr>
            <w:tcW w:w="42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Unearned interest</w:t>
            </w: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(68,689)</w:t>
            </w: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(66,402)</w:t>
            </w:r>
          </w:p>
        </w:tc>
      </w:tr>
      <w:tr>
        <w:trPr>
          <w:trHeight w:val="133"/>
        </w:trPr>
        <w:tc>
          <w:tcPr>
            <w:tcW w:w="420" w:type="dxa"/>
            <w:vAlign w:val="bottom"/>
          </w:tcPr>
          <w:p>
            <w:pPr>
              <w:spacing w:after="0"/>
              <w:rPr>
                <w:sz w:val="11"/>
                <w:szCs w:val="11"/>
                <w:color w:val="auto"/>
              </w:rPr>
            </w:pPr>
          </w:p>
        </w:tc>
        <w:tc>
          <w:tcPr>
            <w:tcW w:w="78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direct loans</w:t>
            </w: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115,609,679</w:t>
            </w:r>
          </w:p>
        </w:tc>
        <w:tc>
          <w:tcPr>
            <w:tcW w:w="2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110,759,390</w:t>
            </w: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Allowance for loan losses (c)</w:t>
            </w: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(5,123,962)</w:t>
            </w: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(4,952,392)</w:t>
            </w:r>
          </w:p>
        </w:tc>
      </w:tr>
      <w:tr>
        <w:trPr>
          <w:trHeight w:val="149"/>
        </w:trPr>
        <w:tc>
          <w:tcPr>
            <w:tcW w:w="420" w:type="dxa"/>
            <w:vAlign w:val="bottom"/>
          </w:tcPr>
          <w:p>
            <w:pPr>
              <w:spacing w:after="0"/>
              <w:rPr>
                <w:sz w:val="12"/>
                <w:szCs w:val="12"/>
                <w:color w:val="auto"/>
              </w:rPr>
            </w:pPr>
          </w:p>
        </w:tc>
        <w:tc>
          <w:tcPr>
            <w:tcW w:w="780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direct loans, net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110,485,717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105,806,998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sectPr>
          <w:pgSz w:w="11900" w:h="16838" w:orient="portrait"/>
          <w:cols w:equalWidth="0" w:num="1">
            <w:col w:w="11100"/>
          </w:cols>
          <w:pgMar w:left="220" w:top="649" w:right="579" w:bottom="1440" w:gutter="0" w:footer="0" w:header="0"/>
        </w:sectPr>
      </w:pPr>
    </w:p>
    <w:p>
      <w:pPr>
        <w:ind w:left="420" w:hanging="212"/>
        <w:spacing w:after="0"/>
        <w:tabs>
          <w:tab w:leader="none" w:pos="420" w:val="left"/>
        </w:tabs>
        <w:numPr>
          <w:ilvl w:val="0"/>
          <w:numId w:val="98"/>
        </w:numPr>
        <w:rPr>
          <w:rFonts w:ascii="Arial" w:cs="Arial" w:eastAsia="Arial" w:hAnsi="Arial"/>
          <w:sz w:val="10"/>
          <w:szCs w:val="10"/>
          <w:color w:val="auto"/>
        </w:rPr>
      </w:pPr>
      <w:r>
        <w:rPr>
          <w:rFonts w:ascii="Arial" w:cs="Arial" w:eastAsia="Arial" w:hAnsi="Arial"/>
          <w:sz w:val="10"/>
          <w:szCs w:val="10"/>
          <w:color w:val="auto"/>
        </w:rPr>
        <w:t>At December 31, 2019 and 2018, the composition of the gross credit balance is as follows:</w:t>
      </w:r>
    </w:p>
    <w:p>
      <w:pPr>
        <w:spacing w:after="0" w:line="200" w:lineRule="exact"/>
        <w:rPr>
          <w:rFonts w:ascii="Arial" w:cs="Arial" w:eastAsia="Arial" w:hAnsi="Arial"/>
          <w:sz w:val="10"/>
          <w:szCs w:val="10"/>
          <w:color w:val="auto"/>
        </w:rPr>
      </w:pPr>
    </w:p>
    <w:p>
      <w:pPr>
        <w:spacing w:after="0" w:line="279"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Direct loans</w:t>
      </w:r>
    </w:p>
    <w:p>
      <w:pPr>
        <w:spacing w:after="0" w:line="14" w:lineRule="exact"/>
        <w:rPr>
          <w:rFonts w:ascii="Arial" w:cs="Arial" w:eastAsia="Arial" w:hAnsi="Arial"/>
          <w:sz w:val="10"/>
          <w:szCs w:val="10"/>
          <w:color w:val="auto"/>
        </w:rPr>
      </w:pPr>
    </w:p>
    <w:p>
      <w:pPr>
        <w:ind w:left="420" w:right="5460"/>
        <w:spacing w:after="0" w:line="300" w:lineRule="auto"/>
        <w:rPr>
          <w:rFonts w:ascii="Arial" w:cs="Arial" w:eastAsia="Arial" w:hAnsi="Arial"/>
          <w:sz w:val="10"/>
          <w:szCs w:val="10"/>
          <w:color w:val="auto"/>
        </w:rPr>
      </w:pPr>
      <w:r>
        <w:rPr>
          <w:rFonts w:ascii="Arial" w:cs="Arial" w:eastAsia="Arial" w:hAnsi="Arial"/>
          <w:sz w:val="10"/>
          <w:szCs w:val="10"/>
          <w:color w:val="auto"/>
        </w:rPr>
        <w:t>Indirect loans, Note 21(a) Banker’s acceptances outstanding</w:t>
      </w:r>
    </w:p>
    <w:p>
      <w:pPr>
        <w:ind w:left="420"/>
        <w:spacing w:after="0"/>
        <w:rPr>
          <w:rFonts w:ascii="Arial" w:cs="Arial" w:eastAsia="Arial" w:hAnsi="Arial"/>
          <w:sz w:val="10"/>
          <w:szCs w:val="1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-361315</wp:posOffset>
            </wp:positionV>
            <wp:extent cx="6777355" cy="9144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6777355" cy="9144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-178435</wp:posOffset>
            </wp:positionV>
            <wp:extent cx="6777355" cy="971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6777355"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r>
      <w:tr>
        <w:trPr>
          <w:trHeight w:val="124"/>
        </w:trPr>
        <w:tc>
          <w:tcPr>
            <w:tcW w:w="13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2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0"/>
                <w:szCs w:val="10"/>
                <w:color w:val="auto"/>
              </w:rPr>
            </w:pPr>
          </w:p>
        </w:tc>
      </w:tr>
      <w:tr>
        <w:trPr>
          <w:trHeight w:val="144"/>
        </w:trPr>
        <w:tc>
          <w:tcPr>
            <w:tcW w:w="1300" w:type="dxa"/>
            <w:vAlign w:val="bottom"/>
          </w:tcPr>
          <w:p>
            <w:pPr>
              <w:jc w:val="right"/>
              <w:spacing w:after="0"/>
              <w:rPr>
                <w:sz w:val="20"/>
                <w:szCs w:val="20"/>
                <w:color w:val="auto"/>
              </w:rPr>
            </w:pPr>
            <w:r>
              <w:rPr>
                <w:rFonts w:ascii="Arial" w:cs="Arial" w:eastAsia="Arial" w:hAnsi="Arial"/>
                <w:sz w:val="12"/>
                <w:szCs w:val="12"/>
                <w:color w:val="auto"/>
              </w:rPr>
              <w:t>114,807,958</w:t>
            </w:r>
          </w:p>
        </w:tc>
        <w:tc>
          <w:tcPr>
            <w:tcW w:w="200" w:type="dxa"/>
            <w:vAlign w:val="bottom"/>
          </w:tcPr>
          <w:p>
            <w:pPr>
              <w:spacing w:after="0"/>
              <w:rPr>
                <w:sz w:val="12"/>
                <w:szCs w:val="1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2"/>
                <w:szCs w:val="12"/>
                <w:color w:val="auto"/>
              </w:rPr>
              <w:t>109,960,624</w:t>
            </w:r>
          </w:p>
        </w:tc>
      </w:tr>
      <w:tr>
        <w:trPr>
          <w:trHeight w:val="153"/>
        </w:trPr>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21,081,035</w:t>
            </w:r>
          </w:p>
        </w:tc>
        <w:tc>
          <w:tcPr>
            <w:tcW w:w="1300" w:type="dxa"/>
            <w:vAlign w:val="bottom"/>
            <w:gridSpan w:val="2"/>
          </w:tcPr>
          <w:p>
            <w:pPr>
              <w:jc w:val="right"/>
              <w:ind w:right="20"/>
              <w:spacing w:after="0"/>
              <w:rPr>
                <w:sz w:val="20"/>
                <w:szCs w:val="20"/>
                <w:color w:val="auto"/>
              </w:rPr>
            </w:pPr>
            <w:r>
              <w:rPr>
                <w:rFonts w:ascii="Arial" w:cs="Arial" w:eastAsia="Arial" w:hAnsi="Arial"/>
                <w:sz w:val="12"/>
                <w:szCs w:val="12"/>
                <w:color w:val="auto"/>
              </w:rPr>
              <w:t>20,774,271</w:t>
            </w:r>
          </w:p>
        </w:tc>
      </w:tr>
      <w:tr>
        <w:trPr>
          <w:trHeight w:val="15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535,222</w:t>
            </w:r>
          </w:p>
        </w:tc>
        <w:tc>
          <w:tcPr>
            <w:tcW w:w="20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967,968</w:t>
            </w:r>
          </w:p>
        </w:tc>
      </w:tr>
      <w:tr>
        <w:trPr>
          <w:trHeight w:val="149"/>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136,424,215</w:t>
            </w:r>
          </w:p>
        </w:tc>
        <w:tc>
          <w:tcPr>
            <w:tcW w:w="20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131,702,863</w:t>
            </w:r>
          </w:p>
        </w:tc>
      </w:tr>
    </w:tbl>
    <w:p>
      <w:pPr>
        <w:spacing w:after="0" w:line="200" w:lineRule="exact"/>
        <w:rPr>
          <w:sz w:val="20"/>
          <w:szCs w:val="20"/>
          <w:color w:val="auto"/>
        </w:rPr>
      </w:pPr>
    </w:p>
    <w:p>
      <w:pPr>
        <w:sectPr>
          <w:pgSz w:w="11900" w:h="16838" w:orient="portrait"/>
          <w:cols w:equalWidth="0" w:num="2">
            <w:col w:w="7500" w:space="720"/>
            <w:col w:w="2880"/>
          </w:cols>
          <w:pgMar w:left="220" w:top="649" w:right="579" w:bottom="1440" w:gutter="0" w:footer="0" w:header="0"/>
          <w:type w:val="continuous"/>
        </w:sectPr>
      </w:pP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92340" cy="571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00"/>
          </w:cols>
          <w:pgMar w:left="220" w:top="649" w:right="57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2"/>
          <w:szCs w:val="12"/>
          <w:color w:val="auto"/>
        </w:rPr>
        <w:t>The movement of gross balance of loan portfolio by stages is as follows for the periods of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600" w:type="dxa"/>
            <w:vAlign w:val="bottom"/>
            <w:gridSpan w:val="3"/>
          </w:tcPr>
          <w:p>
            <w:pPr>
              <w:spacing w:after="0"/>
              <w:rPr>
                <w:sz w:val="20"/>
                <w:szCs w:val="20"/>
                <w:color w:val="auto"/>
              </w:rPr>
            </w:pPr>
            <w:r>
              <w:rPr>
                <w:rFonts w:ascii="Arial" w:cs="Arial" w:eastAsia="Arial" w:hAnsi="Arial"/>
                <w:sz w:val="8"/>
                <w:szCs w:val="8"/>
                <w:b w:val="1"/>
                <w:bCs w:val="1"/>
                <w:color w:val="auto"/>
              </w:rPr>
              <w:t>Stage 1</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vMerge w:val="restart"/>
          </w:tcPr>
          <w:p>
            <w:pPr>
              <w:jc w:val="center"/>
              <w:ind w:right="215"/>
              <w:spacing w:after="0"/>
              <w:rPr>
                <w:sz w:val="20"/>
                <w:szCs w:val="20"/>
                <w:color w:val="auto"/>
              </w:rPr>
            </w:pPr>
            <w:r>
              <w:rPr>
                <w:rFonts w:ascii="Arial" w:cs="Arial" w:eastAsia="Arial" w:hAnsi="Arial"/>
                <w:sz w:val="8"/>
                <w:szCs w:val="8"/>
                <w:b w:val="1"/>
                <w:bCs w:val="1"/>
                <w:color w:val="auto"/>
                <w:w w:val="90"/>
              </w:rPr>
              <w:t>New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right"/>
              <w:ind w:right="24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19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w w:val="91"/>
              </w:rPr>
              <w:t>business, Note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3"/>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2</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60" w:type="dxa"/>
            <w:vAlign w:val="bottom"/>
            <w:gridSpan w:val="2"/>
          </w:tcPr>
          <w:p>
            <w:pPr>
              <w:jc w:val="center"/>
              <w:ind w:right="23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8"/>
              </w:rPr>
              <w:t>2(a)</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74,210,068</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(1,157,585)</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(569,032)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1,511,304</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13,724</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1,608,096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370,433</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(312,259)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163,499</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75,838,248</w:t>
            </w:r>
          </w:p>
        </w:tc>
        <w:tc>
          <w:tcPr>
            <w:tcW w:w="0" w:type="dxa"/>
            <w:vAlign w:val="bottom"/>
          </w:tcPr>
          <w:p>
            <w:pPr>
              <w:spacing w:after="0"/>
              <w:rPr>
                <w:sz w:val="1"/>
                <w:szCs w:val="1"/>
                <w:color w:val="auto"/>
              </w:rPr>
            </w:pPr>
          </w:p>
        </w:tc>
      </w:tr>
      <w:tr>
        <w:trPr>
          <w:trHeight w:val="90"/>
        </w:trPr>
        <w:tc>
          <w:tcPr>
            <w:tcW w:w="2600" w:type="dxa"/>
            <w:vAlign w:val="bottom"/>
            <w:gridSpan w:val="3"/>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16,049,110</w:t>
            </w:r>
          </w:p>
        </w:tc>
        <w:tc>
          <w:tcPr>
            <w:tcW w:w="220" w:type="dxa"/>
            <w:vAlign w:val="bottom"/>
          </w:tcPr>
          <w:p>
            <w:pPr>
              <w:spacing w:after="0"/>
              <w:rPr>
                <w:sz w:val="7"/>
                <w:szCs w:val="7"/>
                <w:color w:val="auto"/>
              </w:rPr>
            </w:pP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(411,622)</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(135,231)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315,586</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12,980</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2,108,051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2,633</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(64,077)</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25,598</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17,903,028</w:t>
            </w: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12,236,140</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(504,971)</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(440,088)</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491,781</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12,896</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1,973,561</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(355,466)</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(462)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368,932</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13,782,323</w:t>
            </w:r>
          </w:p>
        </w:tc>
        <w:tc>
          <w:tcPr>
            <w:tcW w:w="0" w:type="dxa"/>
            <w:vAlign w:val="bottom"/>
          </w:tcPr>
          <w:p>
            <w:pPr>
              <w:spacing w:after="0"/>
              <w:rPr>
                <w:sz w:val="1"/>
                <w:szCs w:val="1"/>
                <w:color w:val="auto"/>
              </w:rPr>
            </w:pPr>
          </w:p>
        </w:tc>
      </w:tr>
      <w:tr>
        <w:trPr>
          <w:trHeight w:val="99"/>
        </w:trPr>
        <w:tc>
          <w:tcPr>
            <w:tcW w:w="2600" w:type="dxa"/>
            <w:vAlign w:val="bottom"/>
            <w:gridSpan w:val="3"/>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10,712,871</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(624,147)</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(307,297)</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527,363</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17,725</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1,832,590</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(17,600)</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(9,896)</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91,249</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12,222,858</w:t>
            </w: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00" w:type="dxa"/>
            <w:vAlign w:val="bottom"/>
            <w:gridSpan w:val="3"/>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113,208,189</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(2,698,325</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(1,451,648)</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2,846,034</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57,325</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7,522,298</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(386,694</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649,278</w:t>
            </w: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119,746,457</w:t>
            </w:r>
          </w:p>
        </w:tc>
        <w:tc>
          <w:tcPr>
            <w:tcW w:w="0" w:type="dxa"/>
            <w:vAlign w:val="bottom"/>
          </w:tcPr>
          <w:p>
            <w:pPr>
              <w:spacing w:after="0"/>
              <w:rPr>
                <w:sz w:val="1"/>
                <w:szCs w:val="1"/>
                <w:color w:val="auto"/>
              </w:rPr>
            </w:pPr>
          </w:p>
        </w:tc>
      </w:tr>
      <w:tr>
        <w:trPr>
          <w:trHeight w:val="230"/>
        </w:trPr>
        <w:tc>
          <w:tcPr>
            <w:tcW w:w="2600" w:type="dxa"/>
            <w:vAlign w:val="bottom"/>
            <w:tcBorders>
              <w:top w:val="single" w:sz="8" w:color="CCEEFF"/>
            </w:tcBorders>
            <w:gridSpan w:val="3"/>
          </w:tcPr>
          <w:p>
            <w:pPr>
              <w:spacing w:after="0"/>
              <w:rPr>
                <w:sz w:val="20"/>
                <w:szCs w:val="20"/>
                <w:color w:val="auto"/>
              </w:rPr>
            </w:pPr>
            <w:r>
              <w:rPr>
                <w:rFonts w:ascii="Arial" w:cs="Arial" w:eastAsia="Arial" w:hAnsi="Arial"/>
                <w:sz w:val="8"/>
                <w:szCs w:val="8"/>
                <w:b w:val="1"/>
                <w:bCs w:val="1"/>
                <w:color w:val="auto"/>
              </w:rPr>
              <w:t>Stage 2</w:t>
            </w: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right"/>
              <w:ind w:right="24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19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w w:val="91"/>
              </w:rPr>
              <w:t>business, Note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3"/>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60" w:type="dxa"/>
            <w:vAlign w:val="bottom"/>
            <w:gridSpan w:val="2"/>
          </w:tcPr>
          <w:p>
            <w:pPr>
              <w:jc w:val="center"/>
              <w:ind w:right="23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8"/>
              </w:rPr>
              <w:t>2(a)</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7,530,106</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(1,511,304)</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(381,261)</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1,157,585</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8,894</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(1,960,025)</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54,299</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(20,022)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4,767</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4,883,039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00" w:type="dxa"/>
            <w:vAlign w:val="bottom"/>
            <w:gridSpan w:val="3"/>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762,549</w:t>
            </w:r>
          </w:p>
        </w:tc>
        <w:tc>
          <w:tcPr>
            <w:tcW w:w="220" w:type="dxa"/>
            <w:vAlign w:val="bottom"/>
          </w:tcPr>
          <w:p>
            <w:pPr>
              <w:spacing w:after="0"/>
              <w:rPr>
                <w:sz w:val="7"/>
                <w:szCs w:val="7"/>
                <w:color w:val="auto"/>
              </w:rPr>
            </w:pP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(315,586)</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(142,954)</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411,622</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4,840</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59,553</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155</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(1,813)</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336</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778,702</w:t>
            </w: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1,965,061</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(491,781)</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(208,610)</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504,971</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6,320</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95,835</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(53,193)</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(311)</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21,305</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1,839,597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3"/>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1,920,204</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(527,363)</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(166,708)</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624,147</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22,807</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330,963</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(1,261)</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95"/>
              <w:spacing w:after="0"/>
              <w:rPr>
                <w:sz w:val="20"/>
                <w:szCs w:val="20"/>
                <w:color w:val="auto"/>
              </w:rPr>
            </w:pPr>
            <w:r>
              <w:rPr>
                <w:rFonts w:ascii="Arial" w:cs="Arial" w:eastAsia="Arial" w:hAnsi="Arial"/>
                <w:sz w:val="8"/>
                <w:szCs w:val="8"/>
                <w:color w:val="auto"/>
              </w:rPr>
              <w:t>369</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7,346</w:t>
            </w:r>
          </w:p>
        </w:tc>
        <w:tc>
          <w:tcPr>
            <w:tcW w:w="540" w:type="dxa"/>
            <w:vAlign w:val="bottom"/>
          </w:tcPr>
          <w:p>
            <w:pPr>
              <w:jc w:val="right"/>
              <w:spacing w:after="0"/>
              <w:rPr>
                <w:sz w:val="20"/>
                <w:szCs w:val="20"/>
                <w:color w:val="auto"/>
              </w:rPr>
            </w:pPr>
            <w:r>
              <w:rPr>
                <w:rFonts w:ascii="Arial" w:cs="Arial" w:eastAsia="Arial" w:hAnsi="Arial"/>
                <w:sz w:val="8"/>
                <w:szCs w:val="8"/>
                <w:color w:val="auto"/>
              </w:rPr>
              <w:t>2,210,504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00" w:type="dxa"/>
            <w:vAlign w:val="bottom"/>
            <w:gridSpan w:val="3"/>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12,177,920</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(2,846,034</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(899,533</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2,698,325</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42,861</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(1,473,674</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(21,777</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33,754</w:t>
            </w: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9,711,842</w:t>
            </w:r>
          </w:p>
        </w:tc>
        <w:tc>
          <w:tcPr>
            <w:tcW w:w="0" w:type="dxa"/>
            <w:vAlign w:val="bottom"/>
          </w:tcPr>
          <w:p>
            <w:pPr>
              <w:spacing w:after="0"/>
              <w:rPr>
                <w:sz w:val="1"/>
                <w:szCs w:val="1"/>
                <w:color w:val="auto"/>
              </w:rPr>
            </w:pPr>
          </w:p>
        </w:tc>
      </w:tr>
      <w:tr>
        <w:trPr>
          <w:trHeight w:val="230"/>
        </w:trPr>
        <w:tc>
          <w:tcPr>
            <w:tcW w:w="2600" w:type="dxa"/>
            <w:vAlign w:val="bottom"/>
            <w:tcBorders>
              <w:top w:val="single" w:sz="8" w:color="CCEEFF"/>
            </w:tcBorders>
            <w:gridSpan w:val="3"/>
          </w:tcPr>
          <w:p>
            <w:pPr>
              <w:spacing w:after="0"/>
              <w:rPr>
                <w:sz w:val="20"/>
                <w:szCs w:val="20"/>
                <w:color w:val="auto"/>
              </w:rPr>
            </w:pPr>
            <w:r>
              <w:rPr>
                <w:rFonts w:ascii="Arial" w:cs="Arial" w:eastAsia="Arial" w:hAnsi="Arial"/>
                <w:sz w:val="8"/>
                <w:szCs w:val="8"/>
                <w:b w:val="1"/>
                <w:bCs w:val="1"/>
                <w:color w:val="auto"/>
              </w:rPr>
              <w:t>Stage 3</w:t>
            </w: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right"/>
              <w:ind w:right="24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19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w w:val="91"/>
              </w:rPr>
              <w:t>business, Note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3"/>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60" w:type="dxa"/>
            <w:vAlign w:val="bottom"/>
            <w:gridSpan w:val="2"/>
          </w:tcPr>
          <w:p>
            <w:pPr>
              <w:jc w:val="center"/>
              <w:ind w:right="23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8"/>
              </w:rPr>
              <w:t>2(a)</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3,398,900</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(13,724)</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(8,894)</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569,032</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381,261</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(446,188)</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(33,193)</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(72,219)</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(18,719)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15,161</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3,771,417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00" w:type="dxa"/>
            <w:vAlign w:val="bottom"/>
            <w:gridSpan w:val="3"/>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959,033</w:t>
            </w:r>
          </w:p>
        </w:tc>
        <w:tc>
          <w:tcPr>
            <w:tcW w:w="220" w:type="dxa"/>
            <w:vAlign w:val="bottom"/>
          </w:tcPr>
          <w:p>
            <w:pPr>
              <w:spacing w:after="0"/>
              <w:rPr>
                <w:sz w:val="7"/>
                <w:szCs w:val="7"/>
                <w:color w:val="auto"/>
              </w:rPr>
            </w:pP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(12,980)</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(4,840)</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135,231</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142,954</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(179,012)</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(41,080)</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(4,634)</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319</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994,991</w:t>
            </w: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1,257,956</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(12,896)</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(6,320)</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440,088</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208,610</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(591,241)</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32,745</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(33,262)</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(366)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55,544</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1,350,858</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3"/>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700,865</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(17,725)</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(22,807)</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307,297</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166,708</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(296,338)</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448</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(5,220)</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(481)</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15,903</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848,650</w:t>
            </w: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00" w:type="dxa"/>
            <w:vAlign w:val="bottom"/>
            <w:gridSpan w:val="3"/>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6,316,754</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(57,325</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(42,861)</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1,451,648</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899,533</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(1,512,779)</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(151,781</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(24,200)</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86,927</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6,965,916</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600" w:type="dxa"/>
            <w:vAlign w:val="bottom"/>
            <w:tcBorders>
              <w:top w:val="single" w:sz="8" w:color="CCEEFF"/>
            </w:tcBorders>
            <w:gridSpan w:val="3"/>
          </w:tcPr>
          <w:p>
            <w:pPr>
              <w:spacing w:after="0"/>
              <w:rPr>
                <w:sz w:val="20"/>
                <w:szCs w:val="20"/>
                <w:color w:val="auto"/>
              </w:rPr>
            </w:pPr>
            <w:r>
              <w:rPr>
                <w:rFonts w:ascii="Arial" w:cs="Arial" w:eastAsia="Arial" w:hAnsi="Arial"/>
                <w:sz w:val="8"/>
                <w:szCs w:val="8"/>
                <w:b w:val="1"/>
                <w:bCs w:val="1"/>
                <w:color w:val="auto"/>
              </w:rPr>
              <w:t>Consolidated 3 Stages</w:t>
            </w: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89"/>
              </w:rPr>
              <w:t>Balance at</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2"/>
              </w:rPr>
              <w:t>New loans and</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3"/>
              </w:rPr>
              <w:t>Transfers</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5"/>
              </w:rPr>
              <w:t>Exchange</w:t>
            </w:r>
          </w:p>
        </w:tc>
        <w:tc>
          <w:tcPr>
            <w:tcW w:w="20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b w:val="1"/>
                <w:bCs w:val="1"/>
                <w:color w:val="auto"/>
                <w:w w:val="93"/>
              </w:rPr>
              <w:t>Acquisition of</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4"/>
              </w:rPr>
              <w:t>Balance at</w:t>
            </w:r>
          </w:p>
        </w:tc>
        <w:tc>
          <w:tcPr>
            <w:tcW w:w="100" w:type="dxa"/>
            <w:vAlign w:val="bottom"/>
            <w:tcBorders>
              <w:top w:val="single" w:sz="8" w:color="CCEEFF"/>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1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00" w:type="dxa"/>
            <w:vAlign w:val="bottom"/>
            <w:tcBorders>
              <w:top w:val="single" w:sz="8" w:color="CCEEFF"/>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100" w:type="dxa"/>
            <w:vAlign w:val="bottom"/>
            <w:tcBorders>
              <w:top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2"/>
              </w:rPr>
              <w:t>December 31,</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8"/>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w w:val="91"/>
              </w:rPr>
              <w:t>business, Note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3"/>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60" w:type="dxa"/>
            <w:vAlign w:val="bottom"/>
            <w:gridSpan w:val="2"/>
          </w:tcPr>
          <w:p>
            <w:pPr>
              <w:jc w:val="center"/>
              <w:ind w:right="158"/>
              <w:spacing w:after="0"/>
              <w:rPr>
                <w:sz w:val="20"/>
                <w:szCs w:val="20"/>
                <w:color w:val="auto"/>
              </w:rPr>
            </w:pPr>
            <w:r>
              <w:rPr>
                <w:rFonts w:ascii="Arial" w:cs="Arial" w:eastAsia="Arial" w:hAnsi="Arial"/>
                <w:sz w:val="8"/>
                <w:szCs w:val="8"/>
                <w:b w:val="1"/>
                <w:bCs w:val="1"/>
                <w:color w:val="auto"/>
                <w:w w:val="96"/>
              </w:rPr>
              <w:t>Write-offs, net</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60" w:type="dxa"/>
            <w:vAlign w:val="bottom"/>
            <w:gridSpan w:val="2"/>
          </w:tcPr>
          <w:p>
            <w:pPr>
              <w:jc w:val="center"/>
              <w:ind w:right="23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8"/>
              </w:rPr>
              <w:t>2(a)</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85,139,074</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(175,761)</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(622,356)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391,539</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(72,219)</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(351,000)</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183,427</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84,492,704</w:t>
            </w:r>
          </w:p>
        </w:tc>
        <w:tc>
          <w:tcPr>
            <w:tcW w:w="0" w:type="dxa"/>
            <w:vAlign w:val="bottom"/>
          </w:tcPr>
          <w:p>
            <w:pPr>
              <w:spacing w:after="0"/>
              <w:rPr>
                <w:sz w:val="1"/>
                <w:szCs w:val="1"/>
                <w:color w:val="auto"/>
              </w:rPr>
            </w:pPr>
          </w:p>
        </w:tc>
      </w:tr>
      <w:tr>
        <w:trPr>
          <w:trHeight w:val="90"/>
        </w:trPr>
        <w:tc>
          <w:tcPr>
            <w:tcW w:w="2600" w:type="dxa"/>
            <w:vAlign w:val="bottom"/>
            <w:gridSpan w:val="3"/>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17,770,692</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(40,009)</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2,028,601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2,788</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(41,080)</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(70,524)</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26,253</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19,676,721</w:t>
            </w:r>
          </w:p>
        </w:tc>
        <w:tc>
          <w:tcPr>
            <w:tcW w:w="0" w:type="dxa"/>
            <w:vAlign w:val="bottom"/>
          </w:tcPr>
          <w:p>
            <w:pPr>
              <w:spacing w:after="0"/>
              <w:rPr>
                <w:sz w:val="1"/>
                <w:szCs w:val="1"/>
                <w:color w:val="auto"/>
              </w:rPr>
            </w:pPr>
          </w:p>
        </w:tc>
      </w:tr>
      <w:tr>
        <w:trPr>
          <w:trHeight w:val="90"/>
        </w:trPr>
        <w:tc>
          <w:tcPr>
            <w:tcW w:w="26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15,459,157</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(816,890)</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2,295,045</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(375,914)</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(33,262)</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(1,139)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445,781</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16,972,778</w:t>
            </w:r>
          </w:p>
        </w:tc>
        <w:tc>
          <w:tcPr>
            <w:tcW w:w="0" w:type="dxa"/>
            <w:vAlign w:val="bottom"/>
          </w:tcPr>
          <w:p>
            <w:pPr>
              <w:spacing w:after="0"/>
              <w:rPr>
                <w:sz w:val="1"/>
                <w:szCs w:val="1"/>
                <w:color w:val="auto"/>
              </w:rPr>
            </w:pPr>
          </w:p>
        </w:tc>
      </w:tr>
      <w:tr>
        <w:trPr>
          <w:trHeight w:val="99"/>
        </w:trPr>
        <w:tc>
          <w:tcPr>
            <w:tcW w:w="2600" w:type="dxa"/>
            <w:vAlign w:val="bottom"/>
            <w:gridSpan w:val="3"/>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13,333,940</w:t>
            </w: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(790,797)</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2,658,012</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(18,413)</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(5,220)</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(10,008)</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114,498</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15,282,012</w:t>
            </w: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00" w:type="dxa"/>
            <w:vAlign w:val="bottom"/>
            <w:gridSpan w:val="3"/>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131,702,863</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(1,823,457</w:t>
            </w:r>
          </w:p>
        </w:tc>
        <w:tc>
          <w:tcPr>
            <w:tcW w:w="22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6,359,302</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(151,781</w:t>
            </w:r>
          </w:p>
        </w:tc>
        <w:tc>
          <w:tcPr>
            <w:tcW w:w="22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(432,671</w:t>
            </w:r>
          </w:p>
        </w:tc>
        <w:tc>
          <w:tcPr>
            <w:tcW w:w="20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769,959</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136,424,215</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00"/>
          </w:cols>
          <w:pgMar w:left="640" w:top="653" w:right="4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01"/>
        </w:trPr>
        <w:tc>
          <w:tcPr>
            <w:tcW w:w="3360" w:type="dxa"/>
            <w:vAlign w:val="bottom"/>
            <w:gridSpan w:val="2"/>
          </w:tcPr>
          <w:p>
            <w:pPr>
              <w:spacing w:after="0"/>
              <w:rPr>
                <w:sz w:val="20"/>
                <w:szCs w:val="20"/>
                <w:color w:val="auto"/>
              </w:rPr>
            </w:pPr>
            <w:r>
              <w:rPr>
                <w:rFonts w:ascii="Arial" w:cs="Arial" w:eastAsia="Arial" w:hAnsi="Arial"/>
                <w:sz w:val="8"/>
                <w:szCs w:val="8"/>
                <w:b w:val="1"/>
                <w:bCs w:val="1"/>
                <w:color w:val="auto"/>
              </w:rPr>
              <w:t>Stage 1</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vMerge w:val="restart"/>
          </w:tcPr>
          <w:p>
            <w:pPr>
              <w:jc w:val="center"/>
              <w:ind w:right="215"/>
              <w:spacing w:after="0"/>
              <w:rPr>
                <w:sz w:val="20"/>
                <w:szCs w:val="20"/>
                <w:color w:val="auto"/>
              </w:rPr>
            </w:pPr>
            <w:r>
              <w:rPr>
                <w:rFonts w:ascii="Arial" w:cs="Arial" w:eastAsia="Arial" w:hAnsi="Arial"/>
                <w:sz w:val="8"/>
                <w:szCs w:val="8"/>
                <w:b w:val="1"/>
                <w:bCs w:val="1"/>
                <w:color w:val="auto"/>
                <w:w w:val="90"/>
              </w:rPr>
              <w:t>New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6"/>
              </w:rPr>
              <w:t>January 1rst,</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2"/>
              </w:rPr>
              <w:t>December 31,</w:t>
            </w:r>
          </w:p>
        </w:tc>
        <w:tc>
          <w:tcPr>
            <w:tcW w:w="0" w:type="dxa"/>
            <w:vAlign w:val="bottom"/>
          </w:tcPr>
          <w:p>
            <w:pPr>
              <w:spacing w:after="0"/>
              <w:rPr>
                <w:sz w:val="1"/>
                <w:szCs w:val="1"/>
                <w:color w:val="auto"/>
              </w:rPr>
            </w:pPr>
          </w:p>
        </w:tc>
      </w:tr>
      <w:tr>
        <w:trPr>
          <w:trHeight w:val="101"/>
        </w:trPr>
        <w:tc>
          <w:tcPr>
            <w:tcW w:w="336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4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2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70,538,767</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(2,216,860)</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(187,558)</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807,179</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18,884</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4,176,547</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379,440</w:t>
            </w:r>
          </w:p>
        </w:tc>
        <w:tc>
          <w:tcPr>
            <w:tcW w:w="74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693,669</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74,210,068</w:t>
            </w:r>
          </w:p>
        </w:tc>
        <w:tc>
          <w:tcPr>
            <w:tcW w:w="0" w:type="dxa"/>
            <w:vAlign w:val="bottom"/>
          </w:tcPr>
          <w:p>
            <w:pPr>
              <w:spacing w:after="0"/>
              <w:rPr>
                <w:sz w:val="1"/>
                <w:szCs w:val="1"/>
                <w:color w:val="auto"/>
              </w:rPr>
            </w:pPr>
          </w:p>
        </w:tc>
      </w:tr>
      <w:tr>
        <w:trPr>
          <w:trHeight w:val="90"/>
        </w:trPr>
        <w:tc>
          <w:tcPr>
            <w:tcW w:w="336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14,119,221</w:t>
            </w:r>
          </w:p>
        </w:tc>
        <w:tc>
          <w:tcPr>
            <w:tcW w:w="220" w:type="dxa"/>
            <w:vAlign w:val="bottom"/>
          </w:tcPr>
          <w:p>
            <w:pPr>
              <w:spacing w:after="0"/>
              <w:rPr>
                <w:sz w:val="7"/>
                <w:szCs w:val="7"/>
                <w:color w:val="auto"/>
              </w:rPr>
            </w:pP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(416,937)</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(159,561)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151,660</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11,333</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2,216,316</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14,782</w:t>
            </w:r>
          </w:p>
        </w:tc>
        <w:tc>
          <w:tcPr>
            <w:tcW w:w="74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112,296</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16,049,110</w:t>
            </w: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11,561,250</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(612,647)</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(325,773)</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412,930</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13,543</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1,512,206</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(360,158)</w:t>
            </w:r>
          </w:p>
        </w:tc>
        <w:tc>
          <w:tcPr>
            <w:tcW w:w="74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34,789</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12,236,140</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9,333,443</w:t>
            </w:r>
          </w:p>
        </w:tc>
        <w:tc>
          <w:tcPr>
            <w:tcW w:w="220" w:type="dxa"/>
            <w:vAlign w:val="bottom"/>
          </w:tcPr>
          <w:p>
            <w:pPr>
              <w:spacing w:after="0"/>
              <w:rPr>
                <w:sz w:val="8"/>
                <w:szCs w:val="8"/>
                <w:color w:val="auto"/>
              </w:rPr>
            </w:pP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(654,148)</w:t>
            </w: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(203,805)</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453,760</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21,458</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1,766,378</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(34,064)</w:t>
            </w:r>
          </w:p>
        </w:tc>
        <w:tc>
          <w:tcPr>
            <w:tcW w:w="740" w:type="dxa"/>
            <w:vAlign w:val="bottom"/>
            <w:gridSpan w:val="2"/>
          </w:tcPr>
          <w:p>
            <w:pPr>
              <w:jc w:val="right"/>
              <w:ind w:right="195"/>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29,849</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10,712,871</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6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105,552,681</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(3,900,592</w:t>
            </w:r>
          </w:p>
        </w:tc>
        <w:tc>
          <w:tcPr>
            <w:tcW w:w="20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(876,697</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1,825,529</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65,218</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9,671,447</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95"/>
              <w:spacing w:after="0" w:line="88"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870,603</w:t>
            </w: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113,208,189</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2</w:t>
            </w: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3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89"/>
              </w:rPr>
              <w:t>Balance at</w:t>
            </w: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6"/>
              </w:rPr>
              <w:t>January 1rst,</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2"/>
              </w:rPr>
              <w:t>December 31,</w:t>
            </w:r>
          </w:p>
        </w:tc>
        <w:tc>
          <w:tcPr>
            <w:tcW w:w="0" w:type="dxa"/>
            <w:vAlign w:val="bottom"/>
          </w:tcPr>
          <w:p>
            <w:pPr>
              <w:spacing w:after="0"/>
              <w:rPr>
                <w:sz w:val="1"/>
                <w:szCs w:val="1"/>
                <w:color w:val="auto"/>
              </w:rPr>
            </w:pPr>
          </w:p>
        </w:tc>
      </w:tr>
      <w:tr>
        <w:trPr>
          <w:trHeight w:val="101"/>
        </w:trPr>
        <w:tc>
          <w:tcPr>
            <w:tcW w:w="336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4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2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3,549,605</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(807,179)</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(306,268)</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2,216,860</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16,587</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2,764,890</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45,734</w:t>
            </w:r>
          </w:p>
        </w:tc>
        <w:tc>
          <w:tcPr>
            <w:tcW w:w="74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49,877</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7,530,106</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36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569,685</w:t>
            </w:r>
          </w:p>
        </w:tc>
        <w:tc>
          <w:tcPr>
            <w:tcW w:w="220" w:type="dxa"/>
            <w:vAlign w:val="bottom"/>
          </w:tcPr>
          <w:p>
            <w:pPr>
              <w:spacing w:after="0"/>
              <w:rPr>
                <w:sz w:val="7"/>
                <w:szCs w:val="7"/>
                <w:color w:val="auto"/>
              </w:rPr>
            </w:pP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(151,660)</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(123,255)</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416,937</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6,586</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942</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240</w:t>
            </w:r>
          </w:p>
        </w:tc>
        <w:tc>
          <w:tcPr>
            <w:tcW w:w="74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43,074</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762,549</w:t>
            </w: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1,986,325</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(412,930)</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(205,492)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612,647</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8,582</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20,395</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(45,172)</w:t>
            </w:r>
          </w:p>
        </w:tc>
        <w:tc>
          <w:tcPr>
            <w:tcW w:w="74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706</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1,965,061</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1,764,494</w:t>
            </w:r>
          </w:p>
        </w:tc>
        <w:tc>
          <w:tcPr>
            <w:tcW w:w="220" w:type="dxa"/>
            <w:vAlign w:val="bottom"/>
          </w:tcPr>
          <w:p>
            <w:pPr>
              <w:spacing w:after="0"/>
              <w:rPr>
                <w:sz w:val="8"/>
                <w:szCs w:val="8"/>
                <w:color w:val="auto"/>
              </w:rPr>
            </w:pP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(453,760)</w:t>
            </w: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(199,903)</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654,148</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24,345</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131,201</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(802)</w:t>
            </w:r>
          </w:p>
        </w:tc>
        <w:tc>
          <w:tcPr>
            <w:tcW w:w="740" w:type="dxa"/>
            <w:vAlign w:val="bottom"/>
            <w:gridSpan w:val="2"/>
          </w:tcPr>
          <w:p>
            <w:pPr>
              <w:jc w:val="right"/>
              <w:ind w:right="195"/>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481</w:t>
            </w:r>
          </w:p>
        </w:tc>
        <w:tc>
          <w:tcPr>
            <w:tcW w:w="540" w:type="dxa"/>
            <w:vAlign w:val="bottom"/>
          </w:tcPr>
          <w:p>
            <w:pPr>
              <w:jc w:val="right"/>
              <w:spacing w:after="0"/>
              <w:rPr>
                <w:sz w:val="20"/>
                <w:szCs w:val="20"/>
                <w:color w:val="auto"/>
              </w:rPr>
            </w:pPr>
            <w:r>
              <w:rPr>
                <w:rFonts w:ascii="Arial" w:cs="Arial" w:eastAsia="Arial" w:hAnsi="Arial"/>
                <w:sz w:val="8"/>
                <w:szCs w:val="8"/>
                <w:color w:val="auto"/>
              </w:rPr>
              <w:t>1,920,204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6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7,870,109</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(1,825,529</w:t>
            </w:r>
          </w:p>
        </w:tc>
        <w:tc>
          <w:tcPr>
            <w:tcW w:w="20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(834,918</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3,900,592</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56,100</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2,917,428</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95"/>
              <w:spacing w:after="0" w:line="88"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94,138</w:t>
            </w: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12,177,920</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3</w:t>
            </w: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vMerge w:val="restart"/>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3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3"/>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Transfers</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6"/>
              </w:rPr>
              <w:t>January 1rst,</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and write-offs,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2"/>
              </w:rPr>
              <w:t>December 31,</w:t>
            </w:r>
          </w:p>
        </w:tc>
        <w:tc>
          <w:tcPr>
            <w:tcW w:w="0" w:type="dxa"/>
            <w:vAlign w:val="bottom"/>
          </w:tcPr>
          <w:p>
            <w:pPr>
              <w:spacing w:after="0"/>
              <w:rPr>
                <w:sz w:val="1"/>
                <w:szCs w:val="1"/>
                <w:color w:val="auto"/>
              </w:rPr>
            </w:pPr>
          </w:p>
        </w:tc>
      </w:tr>
      <w:tr>
        <w:trPr>
          <w:trHeight w:val="101"/>
        </w:trPr>
        <w:tc>
          <w:tcPr>
            <w:tcW w:w="336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4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2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3,253,560</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(18,884)</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(16,587)</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187,558</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306,268</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(258,918)</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(33,127)</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(57,956)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36,986</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3,398,900</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36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862,645</w:t>
            </w:r>
          </w:p>
        </w:tc>
        <w:tc>
          <w:tcPr>
            <w:tcW w:w="220" w:type="dxa"/>
            <w:vAlign w:val="bottom"/>
          </w:tcPr>
          <w:p>
            <w:pPr>
              <w:spacing w:after="0"/>
              <w:rPr>
                <w:sz w:val="7"/>
                <w:szCs w:val="7"/>
                <w:color w:val="auto"/>
              </w:rPr>
            </w:pP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(11,333)</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(6,586)</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159,561</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123,255</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(128,110)</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353</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(49,908)</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9,156</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959,033</w:t>
            </w: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1,295,025</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(13,543)</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(8,582)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325,773</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205,492</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(509,009)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32,923</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(75,916)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5,793</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1,257,956</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832,487</w:t>
            </w:r>
          </w:p>
        </w:tc>
        <w:tc>
          <w:tcPr>
            <w:tcW w:w="220" w:type="dxa"/>
            <w:vAlign w:val="bottom"/>
          </w:tcPr>
          <w:p>
            <w:pPr>
              <w:spacing w:after="0"/>
              <w:rPr>
                <w:sz w:val="8"/>
                <w:szCs w:val="8"/>
                <w:color w:val="auto"/>
              </w:rPr>
            </w:pP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(21,458)</w:t>
            </w: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(24,345)</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203,805</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199,903</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(477,389)</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(149)</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(13,843)</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1,854</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700,865</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6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6,243,717</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(65,218</w:t>
            </w:r>
          </w:p>
        </w:tc>
        <w:tc>
          <w:tcPr>
            <w:tcW w:w="20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(56,100</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876,697</w:t>
            </w: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834,918</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(1,373,426</w:t>
            </w:r>
          </w:p>
        </w:tc>
        <w:tc>
          <w:tcPr>
            <w:tcW w:w="22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(197,623)</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53,789</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6,316,754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Consolidated 3 Stages</w:t>
            </w: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4"/>
              </w:rPr>
              <w:t>Balance at</w:t>
            </w:r>
          </w:p>
        </w:tc>
        <w:tc>
          <w:tcPr>
            <w:tcW w:w="220" w:type="dxa"/>
            <w:vAlign w:val="bottom"/>
            <w:tcBorders>
              <w:top w:val="single" w:sz="8" w:color="CCEEFF"/>
            </w:tcBorders>
            <w:vMerge w:val="restart"/>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2"/>
              </w:rPr>
              <w:t>New loans and</w:t>
            </w:r>
          </w:p>
        </w:tc>
        <w:tc>
          <w:tcPr>
            <w:tcW w:w="220" w:type="dxa"/>
            <w:vAlign w:val="bottom"/>
            <w:tcBorders>
              <w:top w:val="single" w:sz="8" w:color="CCEEFF"/>
            </w:tcBorders>
            <w:vMerge w:val="restart"/>
          </w:tcPr>
          <w:p>
            <w:pPr>
              <w:spacing w:after="0"/>
              <w:rPr>
                <w:sz w:val="21"/>
                <w:szCs w:val="21"/>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3"/>
              </w:rPr>
              <w:t>Transfers</w:t>
            </w:r>
          </w:p>
        </w:tc>
        <w:tc>
          <w:tcPr>
            <w:tcW w:w="220" w:type="dxa"/>
            <w:vAlign w:val="bottom"/>
            <w:tcBorders>
              <w:top w:val="single" w:sz="8" w:color="CCEEFF"/>
            </w:tcBorders>
            <w:vMerge w:val="restart"/>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5"/>
              </w:rPr>
              <w:t>Exchange</w:t>
            </w:r>
          </w:p>
        </w:tc>
        <w:tc>
          <w:tcPr>
            <w:tcW w:w="220" w:type="dxa"/>
            <w:vAlign w:val="bottom"/>
            <w:tcBorders>
              <w:top w:val="single" w:sz="8" w:color="CCEEFF"/>
            </w:tcBorders>
            <w:vMerge w:val="restart"/>
          </w:tcPr>
          <w:p>
            <w:pPr>
              <w:spacing w:after="0"/>
              <w:rPr>
                <w:sz w:val="21"/>
                <w:szCs w:val="21"/>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4"/>
              </w:rPr>
              <w:t>Balance at</w:t>
            </w:r>
          </w:p>
        </w:tc>
        <w:tc>
          <w:tcPr>
            <w:tcW w:w="100" w:type="dxa"/>
            <w:vAlign w:val="bottom"/>
            <w:tcBorders>
              <w:top w:val="single" w:sz="8" w:color="CCEEFF"/>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100" w:type="dxa"/>
            <w:vAlign w:val="bottom"/>
            <w:tcBorders>
              <w:top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6"/>
              </w:rPr>
              <w:t>January 1rst,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8"/>
              </w:rPr>
              <w:t>liquidation,</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2"/>
              </w:rPr>
              <w:t>December 31,</w:t>
            </w:r>
          </w:p>
        </w:tc>
        <w:tc>
          <w:tcPr>
            <w:tcW w:w="0" w:type="dxa"/>
            <w:vAlign w:val="bottom"/>
          </w:tcPr>
          <w:p>
            <w:pPr>
              <w:spacing w:after="0"/>
              <w:rPr>
                <w:sz w:val="1"/>
                <w:szCs w:val="1"/>
                <w:color w:val="auto"/>
              </w:rPr>
            </w:pPr>
          </w:p>
        </w:tc>
      </w:tr>
      <w:tr>
        <w:trPr>
          <w:trHeight w:val="101"/>
        </w:trPr>
        <w:tc>
          <w:tcPr>
            <w:tcW w:w="336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6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6"/>
              </w:rPr>
              <w:t>Write-offs, net</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82"/>
              </w:rPr>
              <w:t>net</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4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2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77,341,932</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(115,040)</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6,797,559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392,047</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(57,956)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780,532</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85,139,074</w:t>
            </w:r>
          </w:p>
        </w:tc>
        <w:tc>
          <w:tcPr>
            <w:tcW w:w="0" w:type="dxa"/>
            <w:vAlign w:val="bottom"/>
          </w:tcPr>
          <w:p>
            <w:pPr>
              <w:spacing w:after="0"/>
              <w:rPr>
                <w:sz w:val="1"/>
                <w:szCs w:val="1"/>
                <w:color w:val="auto"/>
              </w:rPr>
            </w:pPr>
          </w:p>
        </w:tc>
      </w:tr>
      <w:tr>
        <w:trPr>
          <w:trHeight w:val="90"/>
        </w:trPr>
        <w:tc>
          <w:tcPr>
            <w:tcW w:w="336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15,551,551</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(11,671)</w:t>
            </w:r>
          </w:p>
        </w:tc>
        <w:tc>
          <w:tcPr>
            <w:tcW w:w="760" w:type="dxa"/>
            <w:vAlign w:val="bottom"/>
            <w:gridSpan w:val="2"/>
          </w:tcPr>
          <w:p>
            <w:pPr>
              <w:jc w:val="right"/>
              <w:ind w:right="215"/>
              <w:spacing w:after="0" w:line="90" w:lineRule="exact"/>
              <w:rPr>
                <w:sz w:val="20"/>
                <w:szCs w:val="20"/>
                <w:color w:val="auto"/>
              </w:rPr>
            </w:pPr>
            <w:r>
              <w:rPr>
                <w:rFonts w:ascii="Arial" w:cs="Arial" w:eastAsia="Arial" w:hAnsi="Arial"/>
                <w:sz w:val="8"/>
                <w:szCs w:val="8"/>
                <w:color w:val="auto"/>
              </w:rPr>
              <w:t>2,100,819</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15,375</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(49,908)</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164,526</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17,770,692</w:t>
            </w:r>
          </w:p>
        </w:tc>
        <w:tc>
          <w:tcPr>
            <w:tcW w:w="0" w:type="dxa"/>
            <w:vAlign w:val="bottom"/>
          </w:tcPr>
          <w:p>
            <w:pPr>
              <w:spacing w:after="0"/>
              <w:rPr>
                <w:sz w:val="1"/>
                <w:szCs w:val="1"/>
                <w:color w:val="auto"/>
              </w:rPr>
            </w:pPr>
          </w:p>
        </w:tc>
      </w:tr>
      <w:tr>
        <w:trPr>
          <w:trHeight w:val="90"/>
        </w:trPr>
        <w:tc>
          <w:tcPr>
            <w:tcW w:w="33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14,842,600</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(666,506)</w:t>
            </w:r>
          </w:p>
        </w:tc>
        <w:tc>
          <w:tcPr>
            <w:tcW w:w="760" w:type="dxa"/>
            <w:vAlign w:val="bottom"/>
            <w:gridSpan w:val="2"/>
            <w:shd w:val="clear" w:color="auto" w:fill="CCEEFF"/>
          </w:tcPr>
          <w:p>
            <w:pPr>
              <w:jc w:val="right"/>
              <w:ind w:right="215"/>
              <w:spacing w:after="0" w:line="90" w:lineRule="exact"/>
              <w:rPr>
                <w:sz w:val="20"/>
                <w:szCs w:val="20"/>
                <w:color w:val="auto"/>
              </w:rPr>
            </w:pPr>
            <w:r>
              <w:rPr>
                <w:rFonts w:ascii="Arial" w:cs="Arial" w:eastAsia="Arial" w:hAnsi="Arial"/>
                <w:sz w:val="8"/>
                <w:szCs w:val="8"/>
                <w:color w:val="auto"/>
              </w:rPr>
              <w:t>1,690,098</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(372,407)</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(75,916)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41,288</w:t>
            </w: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15,459,157</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11,930,424</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(747,948)</w:t>
            </w:r>
          </w:p>
        </w:tc>
        <w:tc>
          <w:tcPr>
            <w:tcW w:w="760" w:type="dxa"/>
            <w:vAlign w:val="bottom"/>
            <w:gridSpan w:val="2"/>
          </w:tcPr>
          <w:p>
            <w:pPr>
              <w:jc w:val="right"/>
              <w:ind w:right="215"/>
              <w:spacing w:after="0"/>
              <w:rPr>
                <w:sz w:val="20"/>
                <w:szCs w:val="20"/>
                <w:color w:val="auto"/>
              </w:rPr>
            </w:pPr>
            <w:r>
              <w:rPr>
                <w:rFonts w:ascii="Arial" w:cs="Arial" w:eastAsia="Arial" w:hAnsi="Arial"/>
                <w:sz w:val="8"/>
                <w:szCs w:val="8"/>
                <w:color w:val="auto"/>
              </w:rPr>
              <w:t>2,168,138</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(35,015)</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(13,843)</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32,184</w:t>
            </w: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13,333,940</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6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119,666,507</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(1,541,165</w:t>
            </w:r>
          </w:p>
        </w:tc>
        <w:tc>
          <w:tcPr>
            <w:tcW w:w="22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215"/>
              <w:spacing w:after="0" w:line="88" w:lineRule="exact"/>
              <w:rPr>
                <w:sz w:val="20"/>
                <w:szCs w:val="20"/>
                <w:color w:val="auto"/>
              </w:rPr>
            </w:pPr>
            <w:r>
              <w:rPr>
                <w:rFonts w:ascii="Arial" w:cs="Arial" w:eastAsia="Arial" w:hAnsi="Arial"/>
                <w:sz w:val="8"/>
                <w:szCs w:val="8"/>
                <w:color w:val="auto"/>
              </w:rPr>
              <w:t>12,756,614</w:t>
            </w: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(197,623</w:t>
            </w:r>
          </w:p>
        </w:tc>
        <w:tc>
          <w:tcPr>
            <w:tcW w:w="20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1,018,530</w:t>
            </w: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131,702,863</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00"/>
          </w:cols>
          <w:pgMar w:left="640" w:top="660" w:right="459" w:bottom="1440" w:gutter="0" w:footer="0" w:header="0"/>
        </w:sectPr>
      </w:pPr>
    </w:p>
    <w:bookmarkStart w:id="85" w:name="page86"/>
    <w:bookmarkEnd w:id="85"/>
    <w:p>
      <w:pPr>
        <w:ind w:left="208" w:hanging="208"/>
        <w:spacing w:after="0" w:line="276" w:lineRule="auto"/>
        <w:tabs>
          <w:tab w:leader="none" w:pos="208" w:val="left"/>
        </w:tabs>
        <w:numPr>
          <w:ilvl w:val="0"/>
          <w:numId w:val="99"/>
        </w:numPr>
        <w:rPr>
          <w:rFonts w:ascii="Arial" w:cs="Arial" w:eastAsia="Arial" w:hAnsi="Arial"/>
          <w:sz w:val="12"/>
          <w:szCs w:val="12"/>
          <w:color w:val="auto"/>
        </w:rPr>
      </w:pPr>
      <w:r>
        <w:rPr>
          <w:rFonts w:ascii="Arial" w:cs="Arial" w:eastAsia="Arial" w:hAnsi="Arial"/>
          <w:sz w:val="12"/>
          <w:szCs w:val="12"/>
          <w:color w:val="auto"/>
        </w:rPr>
        <w:t>At December 31, 2019 and 2018, the allowance for loan loss for direct and indirect loans was determined under the expected credit loss model as established in IFRS 9. The movement in the allowance for loan loss is shown below for direct and indirect loans:</w:t>
      </w:r>
    </w:p>
    <w:p>
      <w:pPr>
        <w:spacing w:after="0" w:line="68" w:lineRule="exact"/>
        <w:rPr>
          <w:sz w:val="20"/>
          <w:szCs w:val="20"/>
          <w:color w:val="auto"/>
        </w:rPr>
      </w:pPr>
    </w:p>
    <w:tbl>
      <w:tblPr>
        <w:tblLayout w:type="fixed"/>
        <w:tblInd w:w="428" w:type="dxa"/>
        <w:tblCellMar>
          <w:top w:w="0" w:type="dxa"/>
          <w:left w:w="0" w:type="dxa"/>
          <w:bottom w:w="0" w:type="dxa"/>
          <w:right w:w="0" w:type="dxa"/>
        </w:tblCellMar>
      </w:tblPr>
      <w:tr>
        <w:trPr>
          <w:trHeight w:val="101"/>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Stage 1</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8"/>
                <w:szCs w:val="8"/>
                <w:b w:val="1"/>
                <w:bCs w:val="1"/>
                <w:color w:val="auto"/>
                <w:w w:val="90"/>
              </w:rPr>
              <w:t>New loans</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2"/>
              </w:rPr>
              <w:t>Changes in</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Transfers</w:t>
            </w: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7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86"/>
              </w:rPr>
              <w:t>business,</w:t>
            </w:r>
          </w:p>
        </w:tc>
        <w:tc>
          <w:tcPr>
            <w:tcW w:w="118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Balance at December 31,</w:t>
            </w:r>
          </w:p>
        </w:tc>
        <w:tc>
          <w:tcPr>
            <w:tcW w:w="0" w:type="dxa"/>
            <w:vAlign w:val="bottom"/>
          </w:tcPr>
          <w:p>
            <w:pPr>
              <w:spacing w:after="0"/>
              <w:rPr>
                <w:sz w:val="1"/>
                <w:szCs w:val="1"/>
                <w:color w:val="auto"/>
              </w:rPr>
            </w:pPr>
          </w:p>
        </w:tc>
      </w:tr>
      <w:tr>
        <w:trPr>
          <w:trHeight w:val="101"/>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3</w:t>
            </w:r>
          </w:p>
        </w:tc>
        <w:tc>
          <w:tcPr>
            <w:tcW w:w="7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99"/>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9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3"/>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Note 2(a)</w:t>
            </w: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w w:val="89"/>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10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311,767</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(11,258)</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(9,281)</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41,033</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9,492</w:t>
            </w:r>
          </w:p>
        </w:tc>
        <w:tc>
          <w:tcPr>
            <w:tcW w:w="600" w:type="dxa"/>
            <w:vAlign w:val="bottom"/>
            <w:gridSpan w:val="2"/>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36,768</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10,982</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4,886</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(8,834)</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3,130</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388,685</w:t>
            </w:r>
          </w:p>
        </w:tc>
        <w:tc>
          <w:tcPr>
            <w:tcW w:w="0" w:type="dxa"/>
            <w:vAlign w:val="bottom"/>
          </w:tcPr>
          <w:p>
            <w:pPr>
              <w:spacing w:after="0"/>
              <w:rPr>
                <w:sz w:val="1"/>
                <w:szCs w:val="1"/>
                <w:color w:val="auto"/>
              </w:rPr>
            </w:pPr>
          </w:p>
        </w:tc>
      </w:tr>
      <w:tr>
        <w:trPr>
          <w:trHeight w:val="90"/>
        </w:trPr>
        <w:tc>
          <w:tcPr>
            <w:tcW w:w="13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31,479</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(2,069)</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(726)</w:t>
            </w: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7,857</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6,178</w:t>
            </w:r>
          </w:p>
        </w:tc>
        <w:tc>
          <w:tcPr>
            <w:tcW w:w="600" w:type="dxa"/>
            <w:vAlign w:val="bottom"/>
            <w:gridSpan w:val="2"/>
          </w:tcPr>
          <w:p>
            <w:pPr>
              <w:jc w:val="right"/>
              <w:ind w:right="18"/>
              <w:spacing w:after="0" w:line="90" w:lineRule="exact"/>
              <w:rPr>
                <w:sz w:val="20"/>
                <w:szCs w:val="20"/>
                <w:color w:val="auto"/>
              </w:rPr>
            </w:pPr>
            <w:r>
              <w:rPr>
                <w:rFonts w:ascii="Arial" w:cs="Arial" w:eastAsia="Arial" w:hAnsi="Arial"/>
                <w:sz w:val="8"/>
                <w:szCs w:val="8"/>
                <w:color w:val="auto"/>
              </w:rPr>
              <w:t>6,850</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(11,675)</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134</w:t>
            </w:r>
          </w:p>
        </w:tc>
        <w:tc>
          <w:tcPr>
            <w:tcW w:w="220" w:type="dxa"/>
            <w:vAlign w:val="bottom"/>
          </w:tcPr>
          <w:p>
            <w:pPr>
              <w:spacing w:after="0"/>
              <w:rPr>
                <w:sz w:val="7"/>
                <w:szCs w:val="7"/>
                <w:color w:val="auto"/>
              </w:rPr>
            </w:pPr>
          </w:p>
        </w:tc>
        <w:tc>
          <w:tcPr>
            <w:tcW w:w="540" w:type="dxa"/>
            <w:vAlign w:val="bottom"/>
            <w:gridSpan w:val="2"/>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80" w:type="dxa"/>
            <w:vAlign w:val="bottom"/>
            <w:gridSpan w:val="2"/>
          </w:tcPr>
          <w:p>
            <w:pPr>
              <w:jc w:val="right"/>
              <w:ind w:right="15"/>
              <w:spacing w:after="0" w:line="90" w:lineRule="exact"/>
              <w:rPr>
                <w:sz w:val="20"/>
                <w:szCs w:val="20"/>
                <w:color w:val="auto"/>
              </w:rPr>
            </w:pPr>
            <w:r>
              <w:rPr>
                <w:rFonts w:ascii="Arial" w:cs="Arial" w:eastAsia="Arial" w:hAnsi="Arial"/>
                <w:sz w:val="8"/>
                <w:szCs w:val="8"/>
                <w:color w:val="auto"/>
              </w:rPr>
              <w:t>(490)</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547</w:t>
            </w:r>
          </w:p>
        </w:tc>
        <w:tc>
          <w:tcPr>
            <w:tcW w:w="200" w:type="dxa"/>
            <w:vAlign w:val="bottom"/>
          </w:tcPr>
          <w:p>
            <w:pPr>
              <w:spacing w:after="0"/>
              <w:rPr>
                <w:sz w:val="7"/>
                <w:szCs w:val="7"/>
                <w:color w:val="auto"/>
              </w:rPr>
            </w:pPr>
          </w:p>
        </w:tc>
        <w:tc>
          <w:tcPr>
            <w:tcW w:w="118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38,085</w:t>
            </w: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342,519</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(22,272)</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(49,368)</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57,319</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9,631</w:t>
            </w:r>
          </w:p>
        </w:tc>
        <w:tc>
          <w:tcPr>
            <w:tcW w:w="6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(71,852)</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149,468</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(6,511)</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(5,759)</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22,467</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425,642</w:t>
            </w:r>
          </w:p>
        </w:tc>
        <w:tc>
          <w:tcPr>
            <w:tcW w:w="0" w:type="dxa"/>
            <w:vAlign w:val="bottom"/>
          </w:tcPr>
          <w:p>
            <w:pPr>
              <w:spacing w:after="0"/>
              <w:rPr>
                <w:sz w:val="1"/>
                <w:szCs w:val="1"/>
                <w:color w:val="auto"/>
              </w:rPr>
            </w:pPr>
          </w:p>
        </w:tc>
      </w:tr>
      <w:tr>
        <w:trPr>
          <w:trHeight w:val="99"/>
        </w:trPr>
        <w:tc>
          <w:tcPr>
            <w:tcW w:w="13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276,019</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(18,691)</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(80,991)</w:t>
            </w:r>
          </w:p>
        </w:tc>
        <w:tc>
          <w:tcPr>
            <w:tcW w:w="740" w:type="dxa"/>
            <w:vAlign w:val="bottom"/>
            <w:gridSpan w:val="2"/>
          </w:tcPr>
          <w:p>
            <w:pPr>
              <w:jc w:val="right"/>
              <w:ind w:right="200"/>
              <w:spacing w:after="0"/>
              <w:rPr>
                <w:sz w:val="20"/>
                <w:szCs w:val="20"/>
                <w:color w:val="auto"/>
              </w:rPr>
            </w:pPr>
            <w:r>
              <w:rPr>
                <w:rFonts w:ascii="Arial" w:cs="Arial" w:eastAsia="Arial" w:hAnsi="Arial"/>
                <w:sz w:val="8"/>
                <w:szCs w:val="8"/>
                <w:color w:val="auto"/>
              </w:rPr>
              <w:t>90,915</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16,831</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(97,213)</w:t>
            </w:r>
          </w:p>
        </w:tc>
        <w:tc>
          <w:tcPr>
            <w:tcW w:w="160" w:type="dxa"/>
            <w:vAlign w:val="bottom"/>
          </w:tcPr>
          <w:p>
            <w:pPr>
              <w:spacing w:after="0"/>
              <w:rPr>
                <w:sz w:val="8"/>
                <w:szCs w:val="8"/>
                <w:color w:val="auto"/>
              </w:rPr>
            </w:pPr>
          </w:p>
        </w:tc>
        <w:tc>
          <w:tcPr>
            <w:tcW w:w="600" w:type="dxa"/>
            <w:vAlign w:val="bottom"/>
          </w:tcPr>
          <w:p>
            <w:pPr>
              <w:jc w:val="right"/>
              <w:ind w:right="18"/>
              <w:spacing w:after="0"/>
              <w:rPr>
                <w:sz w:val="20"/>
                <w:szCs w:val="20"/>
                <w:color w:val="auto"/>
              </w:rPr>
            </w:pPr>
            <w:r>
              <w:rPr>
                <w:rFonts w:ascii="Arial" w:cs="Arial" w:eastAsia="Arial" w:hAnsi="Arial"/>
                <w:sz w:val="8"/>
                <w:szCs w:val="8"/>
                <w:color w:val="auto"/>
              </w:rPr>
              <w:t>57,927</w:t>
            </w:r>
          </w:p>
        </w:tc>
        <w:tc>
          <w:tcPr>
            <w:tcW w:w="2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1,491</w:t>
            </w:r>
          </w:p>
        </w:tc>
        <w:tc>
          <w:tcPr>
            <w:tcW w:w="220" w:type="dxa"/>
            <w:vAlign w:val="bottom"/>
          </w:tcPr>
          <w:p>
            <w:pPr>
              <w:spacing w:after="0"/>
              <w:rPr>
                <w:sz w:val="8"/>
                <w:szCs w:val="8"/>
                <w:color w:val="auto"/>
              </w:rPr>
            </w:pPr>
          </w:p>
        </w:tc>
        <w:tc>
          <w:tcPr>
            <w:tcW w:w="540" w:type="dxa"/>
            <w:vAlign w:val="bottom"/>
            <w:gridSpan w:val="2"/>
          </w:tcPr>
          <w:p>
            <w:pPr>
              <w:jc w:val="right"/>
              <w:ind w:right="55"/>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580" w:type="dxa"/>
            <w:vAlign w:val="bottom"/>
            <w:gridSpan w:val="2"/>
          </w:tcPr>
          <w:p>
            <w:pPr>
              <w:jc w:val="right"/>
              <w:ind w:right="15"/>
              <w:spacing w:after="0"/>
              <w:rPr>
                <w:sz w:val="20"/>
                <w:szCs w:val="20"/>
                <w:color w:val="auto"/>
              </w:rPr>
            </w:pPr>
            <w:r>
              <w:rPr>
                <w:rFonts w:ascii="Arial" w:cs="Arial" w:eastAsia="Arial" w:hAnsi="Arial"/>
                <w:sz w:val="8"/>
                <w:szCs w:val="8"/>
                <w:color w:val="auto"/>
              </w:rPr>
              <w:t>(176)</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2,243</w:t>
            </w:r>
          </w:p>
        </w:tc>
        <w:tc>
          <w:tcPr>
            <w:tcW w:w="20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248,355</w:t>
            </w:r>
          </w:p>
        </w:tc>
        <w:tc>
          <w:tcPr>
            <w:tcW w:w="0" w:type="dxa"/>
            <w:vAlign w:val="bottom"/>
          </w:tcPr>
          <w:p>
            <w:pPr>
              <w:spacing w:after="0"/>
              <w:rPr>
                <w:sz w:val="1"/>
                <w:szCs w:val="1"/>
                <w:color w:val="auto"/>
              </w:rPr>
            </w:pPr>
          </w:p>
        </w:tc>
      </w:tr>
      <w:tr>
        <w:trPr>
          <w:trHeight w:val="20"/>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0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961,784</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(54,290</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(140,366</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197,124</w:t>
            </w: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42,132</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(125,447</w:t>
            </w:r>
          </w:p>
        </w:tc>
        <w:tc>
          <w:tcPr>
            <w:tcW w:w="6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206,702</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gridSpan w:val="2"/>
            <w:shd w:val="clear" w:color="auto" w:fill="CCEEFF"/>
          </w:tcPr>
          <w:p>
            <w:pPr>
              <w:jc w:val="right"/>
              <w:ind w:right="55"/>
              <w:spacing w:after="0" w:line="88"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9"/>
                <w:szCs w:val="9"/>
                <w:color w:val="auto"/>
              </w:rPr>
            </w:pPr>
          </w:p>
        </w:tc>
        <w:tc>
          <w:tcPr>
            <w:tcW w:w="540" w:type="dxa"/>
            <w:vAlign w:val="bottom"/>
            <w:tcBorders>
              <w:lef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(15,259</w:t>
            </w:r>
          </w:p>
        </w:tc>
        <w:tc>
          <w:tcPr>
            <w:tcW w:w="4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28,387</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1,100,767</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2</w:t>
            </w: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gridSpan w:val="2"/>
            <w:vMerge w:val="restart"/>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2"/>
              </w:rPr>
              <w:t>Changes in</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Transfers</w:t>
            </w: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7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86"/>
              </w:rPr>
              <w:t>business,</w:t>
            </w:r>
          </w:p>
        </w:tc>
        <w:tc>
          <w:tcPr>
            <w:tcW w:w="118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Balance at December 31,</w:t>
            </w:r>
          </w:p>
        </w:tc>
        <w:tc>
          <w:tcPr>
            <w:tcW w:w="0" w:type="dxa"/>
            <w:vAlign w:val="bottom"/>
          </w:tcPr>
          <w:p>
            <w:pPr>
              <w:spacing w:after="0"/>
              <w:rPr>
                <w:sz w:val="1"/>
                <w:szCs w:val="1"/>
                <w:color w:val="auto"/>
              </w:rPr>
            </w:pPr>
          </w:p>
        </w:tc>
      </w:tr>
      <w:tr>
        <w:trPr>
          <w:trHeight w:val="101"/>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3</w:t>
            </w:r>
          </w:p>
        </w:tc>
        <w:tc>
          <w:tcPr>
            <w:tcW w:w="7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99"/>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9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3"/>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Note 2(a)</w:t>
            </w: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w w:val="89"/>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10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151,999</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(41,033)</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(21,988)</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11,258</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6,102</w:t>
            </w:r>
          </w:p>
        </w:tc>
        <w:tc>
          <w:tcPr>
            <w:tcW w:w="6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(4,601)</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62,277</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994</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(511)</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1,638</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166,135</w:t>
            </w:r>
          </w:p>
        </w:tc>
        <w:tc>
          <w:tcPr>
            <w:tcW w:w="0" w:type="dxa"/>
            <w:vAlign w:val="bottom"/>
          </w:tcPr>
          <w:p>
            <w:pPr>
              <w:spacing w:after="0"/>
              <w:rPr>
                <w:sz w:val="1"/>
                <w:szCs w:val="1"/>
                <w:color w:val="auto"/>
              </w:rPr>
            </w:pPr>
          </w:p>
        </w:tc>
      </w:tr>
      <w:tr>
        <w:trPr>
          <w:trHeight w:val="90"/>
        </w:trPr>
        <w:tc>
          <w:tcPr>
            <w:tcW w:w="13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22,404</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(7,857)</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(4,562)</w:t>
            </w: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2,069</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2,434</w:t>
            </w:r>
          </w:p>
        </w:tc>
        <w:tc>
          <w:tcPr>
            <w:tcW w:w="600" w:type="dxa"/>
            <w:vAlign w:val="bottom"/>
            <w:gridSpan w:val="2"/>
          </w:tcPr>
          <w:p>
            <w:pPr>
              <w:jc w:val="right"/>
              <w:ind w:right="18"/>
              <w:spacing w:after="0" w:line="90" w:lineRule="exact"/>
              <w:rPr>
                <w:sz w:val="20"/>
                <w:szCs w:val="20"/>
                <w:color w:val="auto"/>
              </w:rPr>
            </w:pPr>
            <w:r>
              <w:rPr>
                <w:rFonts w:ascii="Arial" w:cs="Arial" w:eastAsia="Arial" w:hAnsi="Arial"/>
                <w:sz w:val="8"/>
                <w:szCs w:val="8"/>
                <w:color w:val="auto"/>
              </w:rPr>
              <w:t>2,780</w:t>
            </w:r>
          </w:p>
        </w:tc>
        <w:tc>
          <w:tcPr>
            <w:tcW w:w="160" w:type="dxa"/>
            <w:vAlign w:val="bottom"/>
          </w:tcPr>
          <w:p>
            <w:pPr>
              <w:spacing w:after="0"/>
              <w:rPr>
                <w:sz w:val="7"/>
                <w:szCs w:val="7"/>
                <w:color w:val="auto"/>
              </w:rPr>
            </w:pPr>
          </w:p>
        </w:tc>
        <w:tc>
          <w:tcPr>
            <w:tcW w:w="600" w:type="dxa"/>
            <w:vAlign w:val="bottom"/>
          </w:tcPr>
          <w:p>
            <w:pPr>
              <w:jc w:val="right"/>
              <w:ind w:right="18"/>
              <w:spacing w:after="0" w:line="90" w:lineRule="exact"/>
              <w:rPr>
                <w:sz w:val="20"/>
                <w:szCs w:val="20"/>
                <w:color w:val="auto"/>
              </w:rPr>
            </w:pPr>
            <w:r>
              <w:rPr>
                <w:rFonts w:ascii="Arial" w:cs="Arial" w:eastAsia="Arial" w:hAnsi="Arial"/>
                <w:sz w:val="8"/>
                <w:szCs w:val="8"/>
                <w:color w:val="auto"/>
              </w:rPr>
              <w:t>8,409</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42</w:t>
            </w:r>
          </w:p>
        </w:tc>
        <w:tc>
          <w:tcPr>
            <w:tcW w:w="220" w:type="dxa"/>
            <w:vAlign w:val="bottom"/>
          </w:tcPr>
          <w:p>
            <w:pPr>
              <w:spacing w:after="0"/>
              <w:rPr>
                <w:sz w:val="7"/>
                <w:szCs w:val="7"/>
                <w:color w:val="auto"/>
              </w:rPr>
            </w:pPr>
          </w:p>
        </w:tc>
        <w:tc>
          <w:tcPr>
            <w:tcW w:w="540" w:type="dxa"/>
            <w:vAlign w:val="bottom"/>
            <w:gridSpan w:val="2"/>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80" w:type="dxa"/>
            <w:vAlign w:val="bottom"/>
            <w:gridSpan w:val="2"/>
          </w:tcPr>
          <w:p>
            <w:pPr>
              <w:jc w:val="right"/>
              <w:ind w:right="15"/>
              <w:spacing w:after="0" w:line="90" w:lineRule="exact"/>
              <w:rPr>
                <w:sz w:val="20"/>
                <w:szCs w:val="20"/>
                <w:color w:val="auto"/>
              </w:rPr>
            </w:pPr>
            <w:r>
              <w:rPr>
                <w:rFonts w:ascii="Arial" w:cs="Arial" w:eastAsia="Arial" w:hAnsi="Arial"/>
                <w:sz w:val="8"/>
                <w:szCs w:val="8"/>
                <w:color w:val="auto"/>
              </w:rPr>
              <w:t>(100)</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65</w:t>
            </w:r>
          </w:p>
        </w:tc>
        <w:tc>
          <w:tcPr>
            <w:tcW w:w="200" w:type="dxa"/>
            <w:vAlign w:val="bottom"/>
          </w:tcPr>
          <w:p>
            <w:pPr>
              <w:spacing w:after="0"/>
              <w:rPr>
                <w:sz w:val="7"/>
                <w:szCs w:val="7"/>
                <w:color w:val="auto"/>
              </w:rPr>
            </w:pPr>
          </w:p>
        </w:tc>
        <w:tc>
          <w:tcPr>
            <w:tcW w:w="118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25,684</w:t>
            </w: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263,593</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(57,319)</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(43,113)</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22,272</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5,576</w:t>
            </w:r>
          </w:p>
        </w:tc>
        <w:tc>
          <w:tcPr>
            <w:tcW w:w="6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(121,662)</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172,546</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(956)</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40" w:type="dxa"/>
            <w:vAlign w:val="bottom"/>
            <w:tcBorders>
              <w:lef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63</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8,960</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249,960</w:t>
            </w:r>
          </w:p>
        </w:tc>
        <w:tc>
          <w:tcPr>
            <w:tcW w:w="0" w:type="dxa"/>
            <w:vAlign w:val="bottom"/>
          </w:tcPr>
          <w:p>
            <w:pPr>
              <w:spacing w:after="0"/>
              <w:rPr>
                <w:sz w:val="1"/>
                <w:szCs w:val="1"/>
                <w:color w:val="auto"/>
              </w:rPr>
            </w:pPr>
          </w:p>
        </w:tc>
      </w:tr>
      <w:tr>
        <w:trPr>
          <w:trHeight w:val="99"/>
        </w:trPr>
        <w:tc>
          <w:tcPr>
            <w:tcW w:w="13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500,535</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(90,915)</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(43,031)</w:t>
            </w:r>
          </w:p>
        </w:tc>
        <w:tc>
          <w:tcPr>
            <w:tcW w:w="740" w:type="dxa"/>
            <w:vAlign w:val="bottom"/>
            <w:gridSpan w:val="2"/>
          </w:tcPr>
          <w:p>
            <w:pPr>
              <w:jc w:val="right"/>
              <w:ind w:right="200"/>
              <w:spacing w:after="0"/>
              <w:rPr>
                <w:sz w:val="20"/>
                <w:szCs w:val="20"/>
                <w:color w:val="auto"/>
              </w:rPr>
            </w:pPr>
            <w:r>
              <w:rPr>
                <w:rFonts w:ascii="Arial" w:cs="Arial" w:eastAsia="Arial" w:hAnsi="Arial"/>
                <w:sz w:val="8"/>
                <w:szCs w:val="8"/>
                <w:color w:val="auto"/>
              </w:rPr>
              <w:t>18,691</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21,996</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(153,370)</w:t>
            </w:r>
          </w:p>
        </w:tc>
        <w:tc>
          <w:tcPr>
            <w:tcW w:w="160" w:type="dxa"/>
            <w:vAlign w:val="bottom"/>
          </w:tcPr>
          <w:p>
            <w:pPr>
              <w:spacing w:after="0"/>
              <w:rPr>
                <w:sz w:val="8"/>
                <w:szCs w:val="8"/>
                <w:color w:val="auto"/>
              </w:rPr>
            </w:pPr>
          </w:p>
        </w:tc>
        <w:tc>
          <w:tcPr>
            <w:tcW w:w="600" w:type="dxa"/>
            <w:vAlign w:val="bottom"/>
          </w:tcPr>
          <w:p>
            <w:pPr>
              <w:jc w:val="right"/>
              <w:ind w:right="18"/>
              <w:spacing w:after="0"/>
              <w:rPr>
                <w:sz w:val="20"/>
                <w:szCs w:val="20"/>
                <w:color w:val="auto"/>
              </w:rPr>
            </w:pPr>
            <w:r>
              <w:rPr>
                <w:rFonts w:ascii="Arial" w:cs="Arial" w:eastAsia="Arial" w:hAnsi="Arial"/>
                <w:sz w:val="8"/>
                <w:szCs w:val="8"/>
                <w:color w:val="auto"/>
              </w:rPr>
              <w:t>257,845</w:t>
            </w: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(80)</w:t>
            </w:r>
          </w:p>
        </w:tc>
        <w:tc>
          <w:tcPr>
            <w:tcW w:w="220" w:type="dxa"/>
            <w:vAlign w:val="bottom"/>
          </w:tcPr>
          <w:p>
            <w:pPr>
              <w:spacing w:after="0"/>
              <w:rPr>
                <w:sz w:val="8"/>
                <w:szCs w:val="8"/>
                <w:color w:val="auto"/>
              </w:rPr>
            </w:pPr>
          </w:p>
        </w:tc>
        <w:tc>
          <w:tcPr>
            <w:tcW w:w="540" w:type="dxa"/>
            <w:vAlign w:val="bottom"/>
            <w:gridSpan w:val="2"/>
          </w:tcPr>
          <w:p>
            <w:pPr>
              <w:jc w:val="right"/>
              <w:ind w:right="55"/>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580" w:type="dxa"/>
            <w:vAlign w:val="bottom"/>
            <w:gridSpan w:val="2"/>
          </w:tcPr>
          <w:p>
            <w:pPr>
              <w:jc w:val="right"/>
              <w:ind w:right="15"/>
              <w:spacing w:after="0"/>
              <w:rPr>
                <w:sz w:val="20"/>
                <w:szCs w:val="20"/>
                <w:color w:val="auto"/>
              </w:rPr>
            </w:pPr>
            <w:r>
              <w:rPr>
                <w:rFonts w:ascii="Arial" w:cs="Arial" w:eastAsia="Arial" w:hAnsi="Arial"/>
                <w:sz w:val="8"/>
                <w:szCs w:val="8"/>
                <w:color w:val="auto"/>
              </w:rPr>
              <w:t>(19)</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1,779</w:t>
            </w:r>
          </w:p>
        </w:tc>
        <w:tc>
          <w:tcPr>
            <w:tcW w:w="20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513,431</w:t>
            </w:r>
          </w:p>
        </w:tc>
        <w:tc>
          <w:tcPr>
            <w:tcW w:w="0" w:type="dxa"/>
            <w:vAlign w:val="bottom"/>
          </w:tcPr>
          <w:p>
            <w:pPr>
              <w:spacing w:after="0"/>
              <w:rPr>
                <w:sz w:val="1"/>
                <w:szCs w:val="1"/>
                <w:color w:val="auto"/>
              </w:rPr>
            </w:pPr>
          </w:p>
        </w:tc>
      </w:tr>
      <w:tr>
        <w:trPr>
          <w:trHeight w:val="20"/>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0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938,531</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(197,124</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(112,694</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54,290</w:t>
            </w: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36,108</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(276,853</w:t>
            </w:r>
          </w:p>
        </w:tc>
        <w:tc>
          <w:tcPr>
            <w:tcW w:w="6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501,077</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gridSpan w:val="2"/>
            <w:shd w:val="clear" w:color="auto" w:fill="CCEEFF"/>
          </w:tcPr>
          <w:p>
            <w:pPr>
              <w:jc w:val="right"/>
              <w:ind w:right="55"/>
              <w:spacing w:after="0" w:line="88"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9"/>
                <w:szCs w:val="9"/>
                <w:color w:val="auto"/>
              </w:rPr>
            </w:pPr>
          </w:p>
        </w:tc>
        <w:tc>
          <w:tcPr>
            <w:tcW w:w="540" w:type="dxa"/>
            <w:vAlign w:val="bottom"/>
            <w:tcBorders>
              <w:lef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(567</w:t>
            </w:r>
          </w:p>
        </w:tc>
        <w:tc>
          <w:tcPr>
            <w:tcW w:w="4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12,442</w:t>
            </w:r>
          </w:p>
        </w:tc>
        <w:tc>
          <w:tcPr>
            <w:tcW w:w="2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955,210</w:t>
            </w:r>
          </w:p>
        </w:tc>
        <w:tc>
          <w:tcPr>
            <w:tcW w:w="0" w:type="dxa"/>
            <w:vAlign w:val="bottom"/>
          </w:tcPr>
          <w:p>
            <w:pPr>
              <w:spacing w:after="0"/>
              <w:rPr>
                <w:sz w:val="1"/>
                <w:szCs w:val="1"/>
                <w:color w:val="auto"/>
              </w:rPr>
            </w:pPr>
          </w:p>
        </w:tc>
      </w:tr>
      <w:tr>
        <w:trPr>
          <w:trHeight w:val="176"/>
        </w:trPr>
        <w:tc>
          <w:tcPr>
            <w:tcW w:w="130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3</w:t>
            </w: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0"/>
              </w:rPr>
              <w:t>New loans</w:t>
            </w:r>
          </w:p>
        </w:tc>
        <w:tc>
          <w:tcPr>
            <w:tcW w:w="220" w:type="dxa"/>
            <w:vAlign w:val="bottom"/>
            <w:tcBorders>
              <w:top w:val="single" w:sz="8" w:color="CCEEFF"/>
            </w:tcBorders>
            <w:gridSpan w:val="2"/>
            <w:vMerge w:val="restart"/>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2"/>
              </w:rPr>
              <w:t>Changes in</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Transfers</w:t>
            </w: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5"/>
              </w:rPr>
              <w:t>Exchange</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Acquisition of</w:t>
            </w: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December 31,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6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7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3"/>
          </w:tcPr>
          <w:p>
            <w:pPr>
              <w:jc w:val="center"/>
              <w:ind w:right="215"/>
              <w:spacing w:after="0" w:line="90" w:lineRule="exact"/>
              <w:rPr>
                <w:sz w:val="20"/>
                <w:szCs w:val="20"/>
                <w:color w:val="auto"/>
              </w:rPr>
            </w:pPr>
            <w:r>
              <w:rPr>
                <w:rFonts w:ascii="Arial" w:cs="Arial" w:eastAsia="Arial" w:hAnsi="Arial"/>
                <w:sz w:val="8"/>
                <w:szCs w:val="8"/>
                <w:b w:val="1"/>
                <w:bCs w:val="1"/>
                <w:color w:val="auto"/>
                <w:w w:val="93"/>
              </w:rPr>
              <w:t>differences</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86"/>
              </w:rPr>
              <w:t>business,</w:t>
            </w:r>
          </w:p>
        </w:tc>
        <w:tc>
          <w:tcPr>
            <w:tcW w:w="118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Balance at December 31,</w:t>
            </w:r>
          </w:p>
        </w:tc>
        <w:tc>
          <w:tcPr>
            <w:tcW w:w="0" w:type="dxa"/>
            <w:vAlign w:val="bottom"/>
          </w:tcPr>
          <w:p>
            <w:pPr>
              <w:spacing w:after="0"/>
              <w:rPr>
                <w:sz w:val="1"/>
                <w:szCs w:val="1"/>
                <w:color w:val="auto"/>
              </w:rPr>
            </w:pPr>
          </w:p>
        </w:tc>
      </w:tr>
      <w:tr>
        <w:trPr>
          <w:trHeight w:val="101"/>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2</w:t>
            </w:r>
          </w:p>
        </w:tc>
        <w:tc>
          <w:tcPr>
            <w:tcW w:w="7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99"/>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95"/>
              <w:spacing w:after="0"/>
              <w:rPr>
                <w:sz w:val="20"/>
                <w:szCs w:val="20"/>
                <w:color w:val="auto"/>
              </w:rPr>
            </w:pPr>
            <w:r>
              <w:rPr>
                <w:rFonts w:ascii="Arial" w:cs="Arial" w:eastAsia="Arial" w:hAnsi="Arial"/>
                <w:sz w:val="8"/>
                <w:szCs w:val="8"/>
                <w:b w:val="1"/>
                <w:bCs w:val="1"/>
                <w:color w:val="auto"/>
                <w:w w:val="98"/>
              </w:rPr>
              <w:t>portfolio</w:t>
            </w:r>
          </w:p>
        </w:tc>
        <w:tc>
          <w:tcPr>
            <w:tcW w:w="740" w:type="dxa"/>
            <w:vAlign w:val="bottom"/>
            <w:gridSpan w:val="3"/>
          </w:tcPr>
          <w:p>
            <w:pPr>
              <w:jc w:val="center"/>
              <w:ind w:right="19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Note 2(a)</w:t>
            </w: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w w:val="89"/>
              </w:rPr>
              <w:t>2019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10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1,355,363</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(9,492)</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(6,102)</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9,281</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21,988</w:t>
            </w:r>
          </w:p>
        </w:tc>
        <w:tc>
          <w:tcPr>
            <w:tcW w:w="6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(275,028)</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301,493</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(33,973)</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(55,783)</w:t>
            </w:r>
          </w:p>
        </w:tc>
        <w:tc>
          <w:tcPr>
            <w:tcW w:w="160" w:type="dxa"/>
            <w:vAlign w:val="bottom"/>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(6,348)</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13,828</w:t>
            </w: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1,315,227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470,286</w:t>
            </w:r>
          </w:p>
        </w:tc>
        <w:tc>
          <w:tcPr>
            <w:tcW w:w="220" w:type="dxa"/>
            <w:vAlign w:val="bottom"/>
          </w:tcPr>
          <w:p>
            <w:pPr>
              <w:spacing w:after="0"/>
              <w:rPr>
                <w:sz w:val="7"/>
                <w:szCs w:val="7"/>
                <w:color w:val="auto"/>
              </w:rPr>
            </w:pP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(6,178)</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(2,434)</w:t>
            </w: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726</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4,562</w:t>
            </w:r>
          </w:p>
        </w:tc>
        <w:tc>
          <w:tcPr>
            <w:tcW w:w="600" w:type="dxa"/>
            <w:vAlign w:val="bottom"/>
            <w:gridSpan w:val="2"/>
          </w:tcPr>
          <w:p>
            <w:pPr>
              <w:jc w:val="right"/>
              <w:spacing w:after="0" w:line="90" w:lineRule="exact"/>
              <w:rPr>
                <w:sz w:val="20"/>
                <w:szCs w:val="20"/>
                <w:color w:val="auto"/>
              </w:rPr>
            </w:pPr>
            <w:r>
              <w:rPr>
                <w:rFonts w:ascii="Arial" w:cs="Arial" w:eastAsia="Arial" w:hAnsi="Arial"/>
                <w:sz w:val="8"/>
                <w:szCs w:val="8"/>
                <w:color w:val="auto"/>
              </w:rPr>
              <w:t>(101,740)</w:t>
            </w:r>
          </w:p>
        </w:tc>
        <w:tc>
          <w:tcPr>
            <w:tcW w:w="160" w:type="dxa"/>
            <w:vAlign w:val="bottom"/>
          </w:tcPr>
          <w:p>
            <w:pPr>
              <w:spacing w:after="0"/>
              <w:rPr>
                <w:sz w:val="7"/>
                <w:szCs w:val="7"/>
                <w:color w:val="auto"/>
              </w:rPr>
            </w:pPr>
          </w:p>
        </w:tc>
        <w:tc>
          <w:tcPr>
            <w:tcW w:w="600" w:type="dxa"/>
            <w:vAlign w:val="bottom"/>
          </w:tcPr>
          <w:p>
            <w:pPr>
              <w:jc w:val="right"/>
              <w:ind w:right="18"/>
              <w:spacing w:after="0" w:line="90" w:lineRule="exact"/>
              <w:rPr>
                <w:sz w:val="20"/>
                <w:szCs w:val="20"/>
                <w:color w:val="auto"/>
              </w:rPr>
            </w:pPr>
            <w:r>
              <w:rPr>
                <w:rFonts w:ascii="Arial" w:cs="Arial" w:eastAsia="Arial" w:hAnsi="Arial"/>
                <w:sz w:val="8"/>
                <w:szCs w:val="8"/>
                <w:color w:val="auto"/>
              </w:rPr>
              <w:t>146,860</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540" w:type="dxa"/>
            <w:vAlign w:val="bottom"/>
            <w:gridSpan w:val="2"/>
          </w:tcPr>
          <w:p>
            <w:pPr>
              <w:jc w:val="right"/>
              <w:ind w:right="35"/>
              <w:spacing w:after="0" w:line="90" w:lineRule="exact"/>
              <w:rPr>
                <w:sz w:val="20"/>
                <w:szCs w:val="20"/>
                <w:color w:val="auto"/>
              </w:rPr>
            </w:pPr>
            <w:r>
              <w:rPr>
                <w:rFonts w:ascii="Arial" w:cs="Arial" w:eastAsia="Arial" w:hAnsi="Arial"/>
                <w:sz w:val="8"/>
                <w:szCs w:val="8"/>
                <w:color w:val="auto"/>
              </w:rPr>
              <w:t>(24,319)</w:t>
            </w:r>
          </w:p>
        </w:tc>
        <w:tc>
          <w:tcPr>
            <w:tcW w:w="160" w:type="dxa"/>
            <w:vAlign w:val="bottom"/>
          </w:tcPr>
          <w:p>
            <w:pPr>
              <w:spacing w:after="0"/>
              <w:rPr>
                <w:sz w:val="7"/>
                <w:szCs w:val="7"/>
                <w:color w:val="auto"/>
              </w:rPr>
            </w:pPr>
          </w:p>
        </w:tc>
        <w:tc>
          <w:tcPr>
            <w:tcW w:w="580" w:type="dxa"/>
            <w:vAlign w:val="bottom"/>
            <w:gridSpan w:val="2"/>
          </w:tcPr>
          <w:p>
            <w:pPr>
              <w:jc w:val="right"/>
              <w:ind w:right="15"/>
              <w:spacing w:after="0" w:line="90" w:lineRule="exact"/>
              <w:rPr>
                <w:sz w:val="20"/>
                <w:szCs w:val="20"/>
                <w:color w:val="auto"/>
              </w:rPr>
            </w:pPr>
            <w:r>
              <w:rPr>
                <w:rFonts w:ascii="Arial" w:cs="Arial" w:eastAsia="Arial" w:hAnsi="Arial"/>
                <w:sz w:val="8"/>
                <w:szCs w:val="8"/>
                <w:color w:val="auto"/>
              </w:rPr>
              <w:t>(15,245)</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193</w:t>
            </w:r>
          </w:p>
        </w:tc>
        <w:tc>
          <w:tcPr>
            <w:tcW w:w="200" w:type="dxa"/>
            <w:vAlign w:val="bottom"/>
          </w:tcPr>
          <w:p>
            <w:pPr>
              <w:spacing w:after="0"/>
              <w:rPr>
                <w:sz w:val="7"/>
                <w:szCs w:val="7"/>
                <w:color w:val="auto"/>
              </w:rPr>
            </w:pPr>
          </w:p>
        </w:tc>
        <w:tc>
          <w:tcPr>
            <w:tcW w:w="1080" w:type="dxa"/>
            <w:vAlign w:val="bottom"/>
          </w:tcPr>
          <w:p>
            <w:pPr>
              <w:jc w:val="right"/>
              <w:spacing w:after="0" w:line="90" w:lineRule="exact"/>
              <w:rPr>
                <w:sz w:val="20"/>
                <w:szCs w:val="20"/>
                <w:color w:val="auto"/>
              </w:rPr>
            </w:pPr>
            <w:r>
              <w:rPr>
                <w:rFonts w:ascii="Arial" w:cs="Arial" w:eastAsia="Arial" w:hAnsi="Arial"/>
                <w:sz w:val="8"/>
                <w:szCs w:val="8"/>
                <w:color w:val="auto"/>
              </w:rPr>
              <w:t>472,711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979,292</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(9,631)</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(5,576)</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49,368</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43,113</w:t>
            </w:r>
          </w:p>
        </w:tc>
        <w:tc>
          <w:tcPr>
            <w:tcW w:w="6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(457,093)</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327,884</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32,878</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(27,267)</w:t>
            </w:r>
          </w:p>
        </w:tc>
        <w:tc>
          <w:tcPr>
            <w:tcW w:w="160" w:type="dxa"/>
            <w:vAlign w:val="bottom"/>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(22,688)</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50,605</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960,885</w:t>
            </w:r>
          </w:p>
        </w:tc>
        <w:tc>
          <w:tcPr>
            <w:tcW w:w="0" w:type="dxa"/>
            <w:vAlign w:val="bottom"/>
          </w:tcPr>
          <w:p>
            <w:pPr>
              <w:spacing w:after="0"/>
              <w:rPr>
                <w:sz w:val="1"/>
                <w:szCs w:val="1"/>
                <w:color w:val="auto"/>
              </w:rPr>
            </w:pPr>
          </w:p>
        </w:tc>
      </w:tr>
      <w:tr>
        <w:trPr>
          <w:trHeight w:val="99"/>
        </w:trPr>
        <w:tc>
          <w:tcPr>
            <w:tcW w:w="13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609,275</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(16,831)</w:t>
            </w: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(21,996)</w:t>
            </w:r>
          </w:p>
        </w:tc>
        <w:tc>
          <w:tcPr>
            <w:tcW w:w="740" w:type="dxa"/>
            <w:vAlign w:val="bottom"/>
            <w:gridSpan w:val="2"/>
          </w:tcPr>
          <w:p>
            <w:pPr>
              <w:jc w:val="right"/>
              <w:ind w:right="200"/>
              <w:spacing w:after="0"/>
              <w:rPr>
                <w:sz w:val="20"/>
                <w:szCs w:val="20"/>
                <w:color w:val="auto"/>
              </w:rPr>
            </w:pPr>
            <w:r>
              <w:rPr>
                <w:rFonts w:ascii="Arial" w:cs="Arial" w:eastAsia="Arial" w:hAnsi="Arial"/>
                <w:sz w:val="8"/>
                <w:szCs w:val="8"/>
                <w:color w:val="auto"/>
              </w:rPr>
              <w:t>80,991</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43,031</w:t>
            </w:r>
          </w:p>
        </w:tc>
        <w:tc>
          <w:tcPr>
            <w:tcW w:w="600" w:type="dxa"/>
            <w:vAlign w:val="bottom"/>
            <w:gridSpan w:val="2"/>
          </w:tcPr>
          <w:p>
            <w:pPr>
              <w:jc w:val="right"/>
              <w:spacing w:after="0"/>
              <w:rPr>
                <w:sz w:val="20"/>
                <w:szCs w:val="20"/>
                <w:color w:val="auto"/>
              </w:rPr>
            </w:pPr>
            <w:r>
              <w:rPr>
                <w:rFonts w:ascii="Arial" w:cs="Arial" w:eastAsia="Arial" w:hAnsi="Arial"/>
                <w:sz w:val="8"/>
                <w:szCs w:val="8"/>
                <w:color w:val="auto"/>
              </w:rPr>
              <w:t>(255,086)</w:t>
            </w:r>
          </w:p>
        </w:tc>
        <w:tc>
          <w:tcPr>
            <w:tcW w:w="160" w:type="dxa"/>
            <w:vAlign w:val="bottom"/>
          </w:tcPr>
          <w:p>
            <w:pPr>
              <w:spacing w:after="0"/>
              <w:rPr>
                <w:sz w:val="8"/>
                <w:szCs w:val="8"/>
                <w:color w:val="auto"/>
              </w:rPr>
            </w:pPr>
          </w:p>
        </w:tc>
        <w:tc>
          <w:tcPr>
            <w:tcW w:w="600" w:type="dxa"/>
            <w:vAlign w:val="bottom"/>
          </w:tcPr>
          <w:p>
            <w:pPr>
              <w:jc w:val="right"/>
              <w:ind w:right="18"/>
              <w:spacing w:after="0"/>
              <w:rPr>
                <w:sz w:val="20"/>
                <w:szCs w:val="20"/>
                <w:color w:val="auto"/>
              </w:rPr>
            </w:pPr>
            <w:r>
              <w:rPr>
                <w:rFonts w:ascii="Arial" w:cs="Arial" w:eastAsia="Arial" w:hAnsi="Arial"/>
                <w:sz w:val="8"/>
                <w:szCs w:val="8"/>
                <w:color w:val="auto"/>
              </w:rPr>
              <w:t>284,403</w:t>
            </w:r>
          </w:p>
        </w:tc>
        <w:tc>
          <w:tcPr>
            <w:tcW w:w="2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1,095</w:t>
            </w:r>
          </w:p>
        </w:tc>
        <w:tc>
          <w:tcPr>
            <w:tcW w:w="220" w:type="dxa"/>
            <w:vAlign w:val="bottom"/>
          </w:tcPr>
          <w:p>
            <w:pPr>
              <w:spacing w:after="0"/>
              <w:rPr>
                <w:sz w:val="8"/>
                <w:szCs w:val="8"/>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8"/>
                <w:szCs w:val="8"/>
                <w:color w:val="auto"/>
              </w:rPr>
              <w:t>(3,943)</w:t>
            </w:r>
          </w:p>
        </w:tc>
        <w:tc>
          <w:tcPr>
            <w:tcW w:w="160" w:type="dxa"/>
            <w:vAlign w:val="bottom"/>
          </w:tcPr>
          <w:p>
            <w:pPr>
              <w:spacing w:after="0"/>
              <w:rPr>
                <w:sz w:val="8"/>
                <w:szCs w:val="8"/>
                <w:color w:val="auto"/>
              </w:rPr>
            </w:pPr>
          </w:p>
        </w:tc>
        <w:tc>
          <w:tcPr>
            <w:tcW w:w="580" w:type="dxa"/>
            <w:vAlign w:val="bottom"/>
            <w:gridSpan w:val="2"/>
          </w:tcPr>
          <w:p>
            <w:pPr>
              <w:jc w:val="right"/>
              <w:ind w:right="15"/>
              <w:spacing w:after="0"/>
              <w:rPr>
                <w:sz w:val="20"/>
                <w:szCs w:val="20"/>
                <w:color w:val="auto"/>
              </w:rPr>
            </w:pPr>
            <w:r>
              <w:rPr>
                <w:rFonts w:ascii="Arial" w:cs="Arial" w:eastAsia="Arial" w:hAnsi="Arial"/>
                <w:sz w:val="8"/>
                <w:szCs w:val="8"/>
                <w:color w:val="auto"/>
              </w:rPr>
              <w:t>(30,628)</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12,648</w:t>
            </w:r>
          </w:p>
        </w:tc>
        <w:tc>
          <w:tcPr>
            <w:tcW w:w="20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702,959</w:t>
            </w:r>
          </w:p>
        </w:tc>
        <w:tc>
          <w:tcPr>
            <w:tcW w:w="0" w:type="dxa"/>
            <w:vAlign w:val="bottom"/>
          </w:tcPr>
          <w:p>
            <w:pPr>
              <w:spacing w:after="0"/>
              <w:rPr>
                <w:sz w:val="1"/>
                <w:szCs w:val="1"/>
                <w:color w:val="auto"/>
              </w:rPr>
            </w:pPr>
          </w:p>
        </w:tc>
      </w:tr>
      <w:tr>
        <w:trPr>
          <w:trHeight w:val="20"/>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ind w:right="3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30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3,414,216</w:t>
            </w: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(42,132</w:t>
            </w:r>
          </w:p>
        </w:tc>
        <w:tc>
          <w:tcPr>
            <w:tcW w:w="22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(36,108</w:t>
            </w:r>
          </w:p>
        </w:tc>
        <w:tc>
          <w:tcPr>
            <w:tcW w:w="22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140,366</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112,694</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(1,088,947</w:t>
            </w:r>
          </w:p>
        </w:tc>
        <w:tc>
          <w:tcPr>
            <w:tcW w:w="6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1,060,640</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spacing w:after="0"/>
              <w:rPr>
                <w:sz w:val="7"/>
                <w:szCs w:val="7"/>
                <w:color w:val="auto"/>
              </w:rPr>
            </w:pPr>
          </w:p>
        </w:tc>
        <w:tc>
          <w:tcPr>
            <w:tcW w:w="4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(111,312</w:t>
            </w:r>
          </w:p>
        </w:tc>
        <w:tc>
          <w:tcPr>
            <w:tcW w:w="6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540" w:type="dxa"/>
            <w:vAlign w:val="bottom"/>
            <w:tcBorders>
              <w:lef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(74,909</w:t>
            </w:r>
          </w:p>
        </w:tc>
        <w:tc>
          <w:tcPr>
            <w:tcW w:w="4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77,274</w:t>
            </w: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3,451,782</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tcBorders>
              <w:left w:val="single" w:sz="8" w:color="auto"/>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tcBorders>
              <w:left w:val="single" w:sz="8" w:color="auto"/>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Consolidated 3 Stages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4"/>
              </w:rPr>
              <w:t>Balance at</w:t>
            </w:r>
          </w:p>
        </w:tc>
        <w:tc>
          <w:tcPr>
            <w:tcW w:w="20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8"/>
                <w:szCs w:val="8"/>
                <w:b w:val="1"/>
                <w:bCs w:val="1"/>
                <w:color w:val="auto"/>
              </w:rPr>
              <w:t>Credit loss of the period</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Transfers</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restart"/>
          </w:tcPr>
          <w:p>
            <w:pPr>
              <w:jc w:val="center"/>
              <w:ind w:right="115"/>
              <w:spacing w:after="0"/>
              <w:rPr>
                <w:sz w:val="20"/>
                <w:szCs w:val="20"/>
                <w:color w:val="auto"/>
              </w:rPr>
            </w:pPr>
            <w:r>
              <w:rPr>
                <w:rFonts w:ascii="Arial" w:cs="Arial" w:eastAsia="Arial" w:hAnsi="Arial"/>
                <w:sz w:val="8"/>
                <w:szCs w:val="8"/>
                <w:b w:val="1"/>
                <w:bCs w:val="1"/>
                <w:color w:val="auto"/>
                <w:w w:val="89"/>
              </w:rPr>
              <w:t>Exchange</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auto"/>
              </w:rPr>
              <w:t>Acquisition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top w:val="single" w:sz="8" w:color="auto"/>
            </w:tcBorders>
            <w:gridSpan w:val="3"/>
          </w:tcPr>
          <w:p>
            <w:pPr>
              <w:jc w:val="center"/>
              <w:ind w:right="160"/>
              <w:spacing w:after="0" w:line="69" w:lineRule="exact"/>
              <w:rPr>
                <w:sz w:val="20"/>
                <w:szCs w:val="20"/>
                <w:color w:val="auto"/>
              </w:rPr>
            </w:pPr>
            <w:r>
              <w:rPr>
                <w:rFonts w:ascii="Arial" w:cs="Arial" w:eastAsia="Arial" w:hAnsi="Arial"/>
                <w:sz w:val="7"/>
                <w:szCs w:val="7"/>
                <w:b w:val="1"/>
                <w:bCs w:val="1"/>
                <w:color w:val="auto"/>
              </w:rPr>
              <w:t>New loans</w:t>
            </w:r>
          </w:p>
        </w:tc>
        <w:tc>
          <w:tcPr>
            <w:tcW w:w="600" w:type="dxa"/>
            <w:vAlign w:val="bottom"/>
            <w:tcBorders>
              <w:top w:val="single" w:sz="8" w:color="auto"/>
            </w:tcBorders>
          </w:tcPr>
          <w:p>
            <w:pPr>
              <w:jc w:val="center"/>
              <w:ind w:left="38"/>
              <w:spacing w:after="0" w:line="69" w:lineRule="exact"/>
              <w:rPr>
                <w:sz w:val="20"/>
                <w:szCs w:val="20"/>
                <w:color w:val="auto"/>
              </w:rPr>
            </w:pPr>
            <w:r>
              <w:rPr>
                <w:rFonts w:ascii="Arial" w:cs="Arial" w:eastAsia="Arial" w:hAnsi="Arial"/>
                <w:sz w:val="7"/>
                <w:szCs w:val="7"/>
                <w:b w:val="1"/>
                <w:bCs w:val="1"/>
                <w:color w:val="auto"/>
              </w:rPr>
              <w:t>Changes in</w:t>
            </w: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2"/>
              </w:rPr>
              <w:t>December 31,</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140"/>
              <w:spacing w:after="0" w:line="90" w:lineRule="exact"/>
              <w:rPr>
                <w:sz w:val="20"/>
                <w:szCs w:val="20"/>
                <w:color w:val="auto"/>
              </w:rPr>
            </w:pPr>
            <w:r>
              <w:rPr>
                <w:rFonts w:ascii="Arial" w:cs="Arial" w:eastAsia="Arial" w:hAnsi="Arial"/>
                <w:sz w:val="8"/>
                <w:szCs w:val="8"/>
                <w:b w:val="1"/>
                <w:bCs w:val="1"/>
                <w:color w:val="auto"/>
                <w:w w:val="98"/>
              </w:rPr>
              <w:t>and liquidation,</w:t>
            </w:r>
          </w:p>
        </w:tc>
        <w:tc>
          <w:tcPr>
            <w:tcW w:w="82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6"/>
              </w:rPr>
              <w:t>PDs, LGDs,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155"/>
              <w:spacing w:after="0" w:line="90" w:lineRule="exact"/>
              <w:rPr>
                <w:sz w:val="20"/>
                <w:szCs w:val="20"/>
                <w:color w:val="auto"/>
              </w:rPr>
            </w:pPr>
            <w:r>
              <w:rPr>
                <w:rFonts w:ascii="Arial" w:cs="Arial" w:eastAsia="Arial" w:hAnsi="Arial"/>
                <w:sz w:val="8"/>
                <w:szCs w:val="8"/>
                <w:b w:val="1"/>
                <w:bCs w:val="1"/>
                <w:color w:val="auto"/>
                <w:w w:val="93"/>
              </w:rPr>
              <w:t>Sale of loan</w:t>
            </w:r>
          </w:p>
        </w:tc>
        <w:tc>
          <w:tcPr>
            <w:tcW w:w="740" w:type="dxa"/>
            <w:vAlign w:val="bottom"/>
            <w:gridSpan w:val="3"/>
          </w:tcPr>
          <w:p>
            <w:pPr>
              <w:jc w:val="center"/>
              <w:ind w:right="115"/>
              <w:spacing w:after="0" w:line="90" w:lineRule="exact"/>
              <w:rPr>
                <w:sz w:val="20"/>
                <w:szCs w:val="20"/>
                <w:color w:val="auto"/>
              </w:rPr>
            </w:pPr>
            <w:r>
              <w:rPr>
                <w:rFonts w:ascii="Arial" w:cs="Arial" w:eastAsia="Arial" w:hAnsi="Arial"/>
                <w:sz w:val="8"/>
                <w:szCs w:val="8"/>
                <w:b w:val="1"/>
                <w:bCs w:val="1"/>
                <w:color w:val="auto"/>
                <w:w w:val="88"/>
              </w:rPr>
              <w:t>differences</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b w:val="1"/>
                <w:bCs w:val="1"/>
                <w:color w:val="auto"/>
                <w:w w:val="94"/>
              </w:rPr>
              <w:t>business, Note</w:t>
            </w:r>
          </w:p>
        </w:tc>
        <w:tc>
          <w:tcPr>
            <w:tcW w:w="118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Balance at December 31,</w:t>
            </w:r>
          </w:p>
        </w:tc>
        <w:tc>
          <w:tcPr>
            <w:tcW w:w="0" w:type="dxa"/>
            <w:vAlign w:val="bottom"/>
          </w:tcPr>
          <w:p>
            <w:pPr>
              <w:spacing w:after="0"/>
              <w:rPr>
                <w:sz w:val="1"/>
                <w:szCs w:val="1"/>
                <w:color w:val="auto"/>
              </w:rPr>
            </w:pPr>
          </w:p>
        </w:tc>
      </w:tr>
      <w:tr>
        <w:trPr>
          <w:trHeight w:val="101"/>
        </w:trPr>
        <w:tc>
          <w:tcPr>
            <w:tcW w:w="13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00" w:type="dxa"/>
            <w:vAlign w:val="bottom"/>
          </w:tcPr>
          <w:p>
            <w:pPr>
              <w:spacing w:after="0"/>
              <w:rPr>
                <w:sz w:val="8"/>
                <w:szCs w:val="8"/>
                <w:color w:val="auto"/>
              </w:rPr>
            </w:pPr>
          </w:p>
        </w:tc>
        <w:tc>
          <w:tcPr>
            <w:tcW w:w="760" w:type="dxa"/>
            <w:vAlign w:val="bottom"/>
            <w:gridSpan w:val="2"/>
          </w:tcPr>
          <w:p>
            <w:pPr>
              <w:jc w:val="center"/>
              <w:ind w:right="158"/>
              <w:spacing w:after="0"/>
              <w:rPr>
                <w:sz w:val="20"/>
                <w:szCs w:val="20"/>
                <w:color w:val="auto"/>
              </w:rPr>
            </w:pPr>
            <w:r>
              <w:rPr>
                <w:rFonts w:ascii="Arial" w:cs="Arial" w:eastAsia="Arial" w:hAnsi="Arial"/>
                <w:sz w:val="8"/>
                <w:szCs w:val="8"/>
                <w:b w:val="1"/>
                <w:bCs w:val="1"/>
                <w:color w:val="auto"/>
                <w:w w:val="96"/>
              </w:rPr>
              <w:t>Write-offs, net</w:t>
            </w:r>
          </w:p>
        </w:tc>
        <w:tc>
          <w:tcPr>
            <w:tcW w:w="76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w w:val="82"/>
              </w:rPr>
              <w:t>net</w:t>
            </w: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EADs</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7"/>
              </w:rPr>
              <w:t>classes of loans</w:t>
            </w:r>
          </w:p>
        </w:tc>
        <w:tc>
          <w:tcPr>
            <w:tcW w:w="700" w:type="dxa"/>
            <w:vAlign w:val="bottom"/>
            <w:gridSpan w:val="3"/>
          </w:tcPr>
          <w:p>
            <w:pPr>
              <w:jc w:val="center"/>
              <w:ind w:right="155"/>
              <w:spacing w:after="0"/>
              <w:rPr>
                <w:sz w:val="20"/>
                <w:szCs w:val="20"/>
                <w:color w:val="auto"/>
              </w:rPr>
            </w:pPr>
            <w:r>
              <w:rPr>
                <w:rFonts w:ascii="Arial" w:cs="Arial" w:eastAsia="Arial" w:hAnsi="Arial"/>
                <w:sz w:val="8"/>
                <w:szCs w:val="8"/>
                <w:b w:val="1"/>
                <w:bCs w:val="1"/>
                <w:color w:val="auto"/>
                <w:w w:val="92"/>
              </w:rPr>
              <w:t>portfolio</w:t>
            </w:r>
          </w:p>
        </w:tc>
        <w:tc>
          <w:tcPr>
            <w:tcW w:w="740" w:type="dxa"/>
            <w:vAlign w:val="bottom"/>
            <w:gridSpan w:val="3"/>
          </w:tcPr>
          <w:p>
            <w:pPr>
              <w:jc w:val="center"/>
              <w:ind w:right="115"/>
              <w:spacing w:after="0"/>
              <w:rPr>
                <w:sz w:val="20"/>
                <w:szCs w:val="20"/>
                <w:color w:val="auto"/>
              </w:rPr>
            </w:pPr>
            <w:r>
              <w:rPr>
                <w:rFonts w:ascii="Arial" w:cs="Arial" w:eastAsia="Arial" w:hAnsi="Arial"/>
                <w:sz w:val="8"/>
                <w:szCs w:val="8"/>
                <w:b w:val="1"/>
                <w:bCs w:val="1"/>
                <w:color w:val="auto"/>
                <w:w w:val="92"/>
              </w:rPr>
              <w:t>and others</w:t>
            </w:r>
          </w:p>
        </w:tc>
        <w:tc>
          <w:tcPr>
            <w:tcW w:w="76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8"/>
              </w:rPr>
              <w:t>2(a)</w:t>
            </w: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w w:val="98"/>
              </w:rPr>
              <w:t>2019 (*)</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60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lef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60" w:type="dxa"/>
            <w:vAlign w:val="bottom"/>
          </w:tcPr>
          <w:p>
            <w:pPr>
              <w:spacing w:after="0"/>
              <w:rPr>
                <w:sz w:val="6"/>
                <w:szCs w:val="6"/>
                <w:color w:val="auto"/>
              </w:rPr>
            </w:pPr>
          </w:p>
        </w:tc>
        <w:tc>
          <w:tcPr>
            <w:tcW w:w="58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10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1,819,129</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(181,520)</w:t>
            </w:r>
          </w:p>
        </w:tc>
        <w:tc>
          <w:tcPr>
            <w:tcW w:w="76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(61,341)</w:t>
            </w:r>
          </w:p>
        </w:tc>
        <w:tc>
          <w:tcPr>
            <w:tcW w:w="820" w:type="dxa"/>
            <w:vAlign w:val="bottom"/>
            <w:tcBorders>
              <w:left w:val="single" w:sz="8" w:color="CCEEFF"/>
              <w:right w:val="single" w:sz="8" w:color="CCEEFF"/>
            </w:tcBorders>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374,752</w:t>
            </w:r>
          </w:p>
        </w:tc>
        <w:tc>
          <w:tcPr>
            <w:tcW w:w="760" w:type="dxa"/>
            <w:vAlign w:val="bottom"/>
            <w:tcBorders>
              <w:right w:val="single" w:sz="8" w:color="CCEEFF"/>
            </w:tcBorders>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(28,093)</w:t>
            </w:r>
          </w:p>
        </w:tc>
        <w:tc>
          <w:tcPr>
            <w:tcW w:w="700" w:type="dxa"/>
            <w:vAlign w:val="bottom"/>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(55,783)</w:t>
            </w:r>
          </w:p>
        </w:tc>
        <w:tc>
          <w:tcPr>
            <w:tcW w:w="740" w:type="dxa"/>
            <w:vAlign w:val="bottom"/>
            <w:tcBorders>
              <w:left w:val="single" w:sz="8" w:color="CCEEFF"/>
            </w:tcBorders>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(15,693)</w:t>
            </w:r>
          </w:p>
        </w:tc>
        <w:tc>
          <w:tcPr>
            <w:tcW w:w="760" w:type="dxa"/>
            <w:vAlign w:val="bottom"/>
            <w:tcBorders>
              <w:left w:val="single" w:sz="8" w:color="CCEEFF"/>
            </w:tcBorders>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18,596</w:t>
            </w:r>
          </w:p>
        </w:tc>
        <w:tc>
          <w:tcPr>
            <w:tcW w:w="10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1,870,047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524,169</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(42,920)</w:t>
            </w:r>
          </w:p>
        </w:tc>
        <w:tc>
          <w:tcPr>
            <w:tcW w:w="76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(49,190)</w:t>
            </w:r>
          </w:p>
        </w:tc>
        <w:tc>
          <w:tcPr>
            <w:tcW w:w="82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143,594</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176</w:t>
            </w:r>
          </w:p>
        </w:tc>
        <w:tc>
          <w:tcPr>
            <w:tcW w:w="700" w:type="dxa"/>
            <w:vAlign w:val="bottom"/>
            <w:gridSpan w:val="3"/>
          </w:tcPr>
          <w:p>
            <w:pPr>
              <w:jc w:val="right"/>
              <w:ind w:right="135"/>
              <w:spacing w:after="0" w:line="90" w:lineRule="exact"/>
              <w:rPr>
                <w:sz w:val="20"/>
                <w:szCs w:val="20"/>
                <w:color w:val="auto"/>
              </w:rPr>
            </w:pPr>
            <w:r>
              <w:rPr>
                <w:rFonts w:ascii="Arial" w:cs="Arial" w:eastAsia="Arial" w:hAnsi="Arial"/>
                <w:sz w:val="8"/>
                <w:szCs w:val="8"/>
                <w:color w:val="auto"/>
              </w:rPr>
              <w:t>(24,319)</w:t>
            </w:r>
          </w:p>
        </w:tc>
        <w:tc>
          <w:tcPr>
            <w:tcW w:w="740" w:type="dxa"/>
            <w:vAlign w:val="bottom"/>
            <w:gridSpan w:val="3"/>
          </w:tcPr>
          <w:p>
            <w:pPr>
              <w:jc w:val="right"/>
              <w:ind w:right="135"/>
              <w:spacing w:after="0" w:line="90" w:lineRule="exact"/>
              <w:rPr>
                <w:sz w:val="20"/>
                <w:szCs w:val="20"/>
                <w:color w:val="auto"/>
              </w:rPr>
            </w:pPr>
            <w:r>
              <w:rPr>
                <w:rFonts w:ascii="Arial" w:cs="Arial" w:eastAsia="Arial" w:hAnsi="Arial"/>
                <w:sz w:val="8"/>
                <w:szCs w:val="8"/>
                <w:color w:val="auto"/>
              </w:rPr>
              <w:t>(15,835)</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805</w:t>
            </w:r>
          </w:p>
        </w:tc>
        <w:tc>
          <w:tcPr>
            <w:tcW w:w="118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536,480</w:t>
            </w:r>
          </w:p>
        </w:tc>
        <w:tc>
          <w:tcPr>
            <w:tcW w:w="0" w:type="dxa"/>
            <w:vAlign w:val="bottom"/>
          </w:tcPr>
          <w:p>
            <w:pPr>
              <w:spacing w:after="0"/>
              <w:rPr>
                <w:sz w:val="1"/>
                <w:szCs w:val="1"/>
                <w:color w:val="auto"/>
              </w:rPr>
            </w:pPr>
          </w:p>
        </w:tc>
      </w:tr>
      <w:tr>
        <w:trPr>
          <w:trHeight w:val="90"/>
        </w:trPr>
        <w:tc>
          <w:tcPr>
            <w:tcW w:w="13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1,585,404</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(816,886)</w:t>
            </w:r>
          </w:p>
        </w:tc>
        <w:tc>
          <w:tcPr>
            <w:tcW w:w="760" w:type="dxa"/>
            <w:vAlign w:val="bottom"/>
            <w:gridSpan w:val="3"/>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166,279</w:t>
            </w:r>
          </w:p>
        </w:tc>
        <w:tc>
          <w:tcPr>
            <w:tcW w:w="820" w:type="dxa"/>
            <w:vAlign w:val="bottom"/>
            <w:tcBorders>
              <w:left w:val="single" w:sz="8" w:color="CCEEFF"/>
              <w:right w:val="single" w:sz="8" w:color="CCEEFF"/>
            </w:tcBorders>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649,898</w:t>
            </w:r>
          </w:p>
        </w:tc>
        <w:tc>
          <w:tcPr>
            <w:tcW w:w="760" w:type="dxa"/>
            <w:vAlign w:val="bottom"/>
            <w:tcBorders>
              <w:right w:val="single" w:sz="8" w:color="CCEEFF"/>
            </w:tcBorders>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25,411</w:t>
            </w:r>
          </w:p>
        </w:tc>
        <w:tc>
          <w:tcPr>
            <w:tcW w:w="700" w:type="dxa"/>
            <w:vAlign w:val="bottom"/>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(27,267)</w:t>
            </w:r>
          </w:p>
        </w:tc>
        <w:tc>
          <w:tcPr>
            <w:tcW w:w="740" w:type="dxa"/>
            <w:vAlign w:val="bottom"/>
            <w:tcBorders>
              <w:left w:val="single" w:sz="8" w:color="CCEEFF"/>
            </w:tcBorders>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(28,384)</w:t>
            </w:r>
          </w:p>
        </w:tc>
        <w:tc>
          <w:tcPr>
            <w:tcW w:w="760" w:type="dxa"/>
            <w:vAlign w:val="bottom"/>
            <w:tcBorders>
              <w:left w:val="single" w:sz="8" w:color="CCEEFF"/>
            </w:tcBorders>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82,032</w:t>
            </w:r>
          </w:p>
        </w:tc>
        <w:tc>
          <w:tcPr>
            <w:tcW w:w="10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1,636,487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1,385,829</w:t>
            </w:r>
          </w:p>
        </w:tc>
        <w:tc>
          <w:tcPr>
            <w:tcW w:w="200" w:type="dxa"/>
            <w:vAlign w:val="bottom"/>
          </w:tcPr>
          <w:p>
            <w:pPr>
              <w:spacing w:after="0"/>
              <w:rPr>
                <w:sz w:val="8"/>
                <w:szCs w:val="8"/>
                <w:color w:val="auto"/>
              </w:rPr>
            </w:pP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(781,593)</w:t>
            </w:r>
          </w:p>
        </w:tc>
        <w:tc>
          <w:tcPr>
            <w:tcW w:w="760" w:type="dxa"/>
            <w:vAlign w:val="bottom"/>
            <w:gridSpan w:val="3"/>
          </w:tcPr>
          <w:p>
            <w:pPr>
              <w:jc w:val="right"/>
              <w:ind w:right="160"/>
              <w:spacing w:after="0"/>
              <w:rPr>
                <w:sz w:val="20"/>
                <w:szCs w:val="20"/>
                <w:color w:val="auto"/>
              </w:rPr>
            </w:pPr>
            <w:r>
              <w:rPr>
                <w:rFonts w:ascii="Arial" w:cs="Arial" w:eastAsia="Arial" w:hAnsi="Arial"/>
                <w:sz w:val="8"/>
                <w:szCs w:val="8"/>
                <w:color w:val="auto"/>
              </w:rPr>
              <w:t>275,924</w:t>
            </w:r>
          </w:p>
        </w:tc>
        <w:tc>
          <w:tcPr>
            <w:tcW w:w="820" w:type="dxa"/>
            <w:vAlign w:val="bottom"/>
            <w:gridSpan w:val="2"/>
          </w:tcPr>
          <w:p>
            <w:pPr>
              <w:jc w:val="right"/>
              <w:ind w:right="220"/>
              <w:spacing w:after="0"/>
              <w:rPr>
                <w:sz w:val="20"/>
                <w:szCs w:val="20"/>
                <w:color w:val="auto"/>
              </w:rPr>
            </w:pPr>
            <w:r>
              <w:rPr>
                <w:rFonts w:ascii="Arial" w:cs="Arial" w:eastAsia="Arial" w:hAnsi="Arial"/>
                <w:sz w:val="8"/>
                <w:szCs w:val="8"/>
                <w:color w:val="auto"/>
              </w:rPr>
              <w:t>600,175</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2,506</w:t>
            </w:r>
          </w:p>
        </w:tc>
        <w:tc>
          <w:tcPr>
            <w:tcW w:w="700" w:type="dxa"/>
            <w:vAlign w:val="bottom"/>
            <w:gridSpan w:val="3"/>
          </w:tcPr>
          <w:p>
            <w:pPr>
              <w:jc w:val="right"/>
              <w:ind w:right="135"/>
              <w:spacing w:after="0"/>
              <w:rPr>
                <w:sz w:val="20"/>
                <w:szCs w:val="20"/>
                <w:color w:val="auto"/>
              </w:rPr>
            </w:pPr>
            <w:r>
              <w:rPr>
                <w:rFonts w:ascii="Arial" w:cs="Arial" w:eastAsia="Arial" w:hAnsi="Arial"/>
                <w:sz w:val="8"/>
                <w:szCs w:val="8"/>
                <w:color w:val="auto"/>
              </w:rPr>
              <w:t>(3,943)</w:t>
            </w:r>
          </w:p>
        </w:tc>
        <w:tc>
          <w:tcPr>
            <w:tcW w:w="740" w:type="dxa"/>
            <w:vAlign w:val="bottom"/>
            <w:gridSpan w:val="3"/>
          </w:tcPr>
          <w:p>
            <w:pPr>
              <w:jc w:val="right"/>
              <w:ind w:right="135"/>
              <w:spacing w:after="0"/>
              <w:rPr>
                <w:sz w:val="20"/>
                <w:szCs w:val="20"/>
                <w:color w:val="auto"/>
              </w:rPr>
            </w:pPr>
            <w:r>
              <w:rPr>
                <w:rFonts w:ascii="Arial" w:cs="Arial" w:eastAsia="Arial" w:hAnsi="Arial"/>
                <w:sz w:val="8"/>
                <w:szCs w:val="8"/>
                <w:color w:val="auto"/>
              </w:rPr>
              <w:t>(30,823)</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16,670</w:t>
            </w:r>
          </w:p>
        </w:tc>
        <w:tc>
          <w:tcPr>
            <w:tcW w:w="1080" w:type="dxa"/>
            <w:vAlign w:val="bottom"/>
          </w:tcPr>
          <w:p>
            <w:pPr>
              <w:jc w:val="right"/>
              <w:spacing w:after="0"/>
              <w:rPr>
                <w:sz w:val="20"/>
                <w:szCs w:val="20"/>
                <w:color w:val="auto"/>
              </w:rPr>
            </w:pPr>
            <w:r>
              <w:rPr>
                <w:rFonts w:ascii="Arial" w:cs="Arial" w:eastAsia="Arial" w:hAnsi="Arial"/>
                <w:sz w:val="8"/>
                <w:szCs w:val="8"/>
                <w:color w:val="auto"/>
              </w:rPr>
              <w:t>1,464,745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ind w:right="135"/>
              <w:spacing w:after="0"/>
              <w:rPr>
                <w:sz w:val="20"/>
                <w:szCs w:val="20"/>
                <w:color w:val="auto"/>
              </w:rPr>
            </w:pPr>
            <w:r>
              <w:rPr>
                <w:rFonts w:ascii="Arial" w:cs="Arial" w:eastAsia="Arial" w:hAnsi="Arial"/>
                <w:sz w:val="1"/>
                <w:szCs w:val="1"/>
                <w:color w:val="auto"/>
                <w:w w:val="4294967281"/>
              </w:rPr>
              <w:t>)</w:t>
            </w: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ind w:right="135"/>
              <w:spacing w:after="0"/>
              <w:rPr>
                <w:sz w:val="20"/>
                <w:szCs w:val="20"/>
                <w:color w:val="auto"/>
              </w:rPr>
            </w:pPr>
            <w:r>
              <w:rPr>
                <w:rFonts w:ascii="Arial" w:cs="Arial" w:eastAsia="Arial" w:hAnsi="Arial"/>
                <w:sz w:val="1"/>
                <w:szCs w:val="1"/>
                <w:color w:val="auto"/>
                <w:w w:val="4294967281"/>
              </w:rPr>
              <w:t>)</w:t>
            </w:r>
          </w:p>
        </w:tc>
        <w:tc>
          <w:tcPr>
            <w:tcW w:w="5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30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5,314,531</w:t>
            </w: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(1,822,919</w:t>
            </w:r>
          </w:p>
        </w:tc>
        <w:tc>
          <w:tcPr>
            <w:tcW w:w="220" w:type="dxa"/>
            <w:vAlign w:val="bottom"/>
            <w:vMerge w:val="continue"/>
            <w:shd w:val="clear" w:color="auto" w:fill="CCEEFF"/>
          </w:tcPr>
          <w:p>
            <w:pPr>
              <w:spacing w:after="0"/>
              <w:rPr>
                <w:sz w:val="7"/>
                <w:szCs w:val="7"/>
                <w:color w:val="auto"/>
              </w:rPr>
            </w:pPr>
          </w:p>
        </w:tc>
        <w:tc>
          <w:tcPr>
            <w:tcW w:w="760" w:type="dxa"/>
            <w:vAlign w:val="bottom"/>
            <w:gridSpan w:val="3"/>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331,672</w:t>
            </w:r>
          </w:p>
        </w:tc>
        <w:tc>
          <w:tcPr>
            <w:tcW w:w="820" w:type="dxa"/>
            <w:vAlign w:val="bottom"/>
            <w:tcBorders>
              <w:left w:val="single" w:sz="8" w:color="CCEEFF"/>
              <w:right w:val="single" w:sz="8" w:color="CCEEFF"/>
            </w:tcBorders>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1,768,419</w:t>
            </w:r>
          </w:p>
        </w:tc>
        <w:tc>
          <w:tcPr>
            <w:tcW w:w="760" w:type="dxa"/>
            <w:vAlign w:val="bottom"/>
            <w:tcBorders>
              <w:right w:val="single" w:sz="8" w:color="CCEEFF"/>
            </w:tcBorders>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(111,312</w:t>
            </w:r>
          </w:p>
        </w:tc>
        <w:tc>
          <w:tcPr>
            <w:tcW w:w="160" w:type="dxa"/>
            <w:vAlign w:val="bottom"/>
            <w:vMerge w:val="continue"/>
            <w:shd w:val="clear" w:color="auto" w:fill="CCEEFF"/>
          </w:tcPr>
          <w:p>
            <w:pPr>
              <w:spacing w:after="0"/>
              <w:rPr>
                <w:sz w:val="7"/>
                <w:szCs w:val="7"/>
                <w:color w:val="auto"/>
              </w:rPr>
            </w:pPr>
          </w:p>
        </w:tc>
        <w:tc>
          <w:tcPr>
            <w:tcW w:w="580" w:type="dxa"/>
            <w:vAlign w:val="bottom"/>
            <w:tcBorders>
              <w:left w:val="single" w:sz="8" w:color="CCEEFF"/>
            </w:tcBorders>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(90,735</w:t>
            </w:r>
          </w:p>
        </w:tc>
        <w:tc>
          <w:tcPr>
            <w:tcW w:w="160" w:type="dxa"/>
            <w:vAlign w:val="bottom"/>
            <w:vMerge w:val="continue"/>
            <w:shd w:val="clear" w:color="auto" w:fill="CCEEFF"/>
          </w:tcPr>
          <w:p>
            <w:pPr>
              <w:spacing w:after="0"/>
              <w:rPr>
                <w:sz w:val="7"/>
                <w:szCs w:val="7"/>
                <w:color w:val="auto"/>
              </w:rPr>
            </w:pPr>
          </w:p>
        </w:tc>
        <w:tc>
          <w:tcPr>
            <w:tcW w:w="760" w:type="dxa"/>
            <w:vAlign w:val="bottom"/>
            <w:tcBorders>
              <w:left w:val="single" w:sz="8" w:color="CCEEFF"/>
            </w:tcBorders>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118,103</w:t>
            </w:r>
          </w:p>
        </w:tc>
        <w:tc>
          <w:tcPr>
            <w:tcW w:w="10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5,507,759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tcBorders>
              <w:left w:val="single" w:sz="8" w:color="CCEEFF"/>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tcBorders>
              <w:left w:val="single" w:sz="8" w:color="CCEEFF"/>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86" w:name="page87"/>
    <w:bookmarkEnd w:id="86"/>
    <w:tbl>
      <w:tblPr>
        <w:tblLayout w:type="fixed"/>
        <w:tblInd w:w="212" w:type="dxa"/>
        <w:tblCellMar>
          <w:top w:w="0" w:type="dxa"/>
          <w:left w:w="0" w:type="dxa"/>
          <w:bottom w:w="0" w:type="dxa"/>
          <w:right w:w="0" w:type="dxa"/>
        </w:tblCellMar>
      </w:tblPr>
      <w:tr>
        <w:trPr>
          <w:trHeight w:val="101"/>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Stage 1</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88"/>
              </w:rPr>
              <w:t>Restated</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8"/>
                <w:szCs w:val="8"/>
                <w:b w:val="1"/>
                <w:bCs w:val="1"/>
                <w:color w:val="auto"/>
                <w:w w:val="95"/>
              </w:rPr>
              <w:t>New loans</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300"/>
              <w:spacing w:after="0" w:line="90" w:lineRule="exact"/>
              <w:rPr>
                <w:sz w:val="20"/>
                <w:szCs w:val="20"/>
                <w:color w:val="auto"/>
              </w:rPr>
            </w:pPr>
            <w:r>
              <w:rPr>
                <w:rFonts w:ascii="Arial" w:cs="Arial" w:eastAsia="Arial" w:hAnsi="Arial"/>
                <w:sz w:val="8"/>
                <w:szCs w:val="8"/>
                <w:b w:val="1"/>
                <w:bCs w:val="1"/>
                <w:color w:val="auto"/>
                <w:w w:val="92"/>
              </w:rPr>
              <w:t>Changes in</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Transfers</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January 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5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2</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82"/>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5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196"/>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280,211</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(13,311)</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(6,647)</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16,464</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10,864</w:t>
            </w:r>
          </w:p>
        </w:tc>
        <w:tc>
          <w:tcPr>
            <w:tcW w:w="60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22,404</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(5,007)</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5,238</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1,551</w:t>
            </w: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311,767</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18,614</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(1,716)</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(817)</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2,565</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5,556</w:t>
            </w:r>
          </w:p>
        </w:tc>
        <w:tc>
          <w:tcPr>
            <w:tcW w:w="600" w:type="dxa"/>
            <w:vAlign w:val="bottom"/>
            <w:gridSpan w:val="2"/>
          </w:tcPr>
          <w:p>
            <w:pPr>
              <w:jc w:val="right"/>
              <w:ind w:right="55"/>
              <w:spacing w:after="0" w:line="90" w:lineRule="exact"/>
              <w:rPr>
                <w:sz w:val="20"/>
                <w:szCs w:val="20"/>
                <w:color w:val="auto"/>
              </w:rPr>
            </w:pPr>
            <w:r>
              <w:rPr>
                <w:rFonts w:ascii="Arial" w:cs="Arial" w:eastAsia="Arial" w:hAnsi="Arial"/>
                <w:sz w:val="8"/>
                <w:szCs w:val="8"/>
                <w:color w:val="auto"/>
              </w:rPr>
              <w:t>7,532</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Arial" w:cs="Arial" w:eastAsia="Arial" w:hAnsi="Arial"/>
                <w:sz w:val="8"/>
                <w:szCs w:val="8"/>
                <w:color w:val="auto"/>
              </w:rPr>
              <w:t>(1,114)</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449</w:t>
            </w:r>
          </w:p>
        </w:tc>
        <w:tc>
          <w:tcPr>
            <w:tcW w:w="200" w:type="dxa"/>
            <w:vAlign w:val="bottom"/>
          </w:tcPr>
          <w:p>
            <w:pPr>
              <w:spacing w:after="0"/>
              <w:rPr>
                <w:sz w:val="7"/>
                <w:szCs w:val="7"/>
                <w:color w:val="auto"/>
              </w:rPr>
            </w:pPr>
          </w:p>
        </w:tc>
        <w:tc>
          <w:tcPr>
            <w:tcW w:w="540" w:type="dxa"/>
            <w:vAlign w:val="bottom"/>
            <w:gridSpan w:val="2"/>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410</w:t>
            </w:r>
          </w:p>
        </w:tc>
        <w:tc>
          <w:tcPr>
            <w:tcW w:w="200" w:type="dxa"/>
            <w:vAlign w:val="bottom"/>
          </w:tcPr>
          <w:p>
            <w:pPr>
              <w:spacing w:after="0"/>
              <w:rPr>
                <w:sz w:val="7"/>
                <w:szCs w:val="7"/>
                <w:color w:val="auto"/>
              </w:rPr>
            </w:pP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31,479</w:t>
            </w: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350,134</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(27,116)</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(17,238)</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46,522</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13,148</w:t>
            </w:r>
          </w:p>
        </w:tc>
        <w:tc>
          <w:tcPr>
            <w:tcW w:w="60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(110,425)</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86,904</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(5,634)</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6,224</w:t>
            </w:r>
          </w:p>
        </w:tc>
        <w:tc>
          <w:tcPr>
            <w:tcW w:w="2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342,519</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356,938</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(29,407)</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(9,568)</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91,969</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19,765</w:t>
            </w:r>
          </w:p>
        </w:tc>
        <w:tc>
          <w:tcPr>
            <w:tcW w:w="600" w:type="dxa"/>
            <w:vAlign w:val="bottom"/>
            <w:gridSpan w:val="2"/>
          </w:tcPr>
          <w:p>
            <w:pPr>
              <w:jc w:val="right"/>
              <w:ind w:right="35"/>
              <w:spacing w:after="0"/>
              <w:rPr>
                <w:sz w:val="20"/>
                <w:szCs w:val="20"/>
                <w:color w:val="auto"/>
              </w:rPr>
            </w:pPr>
            <w:r>
              <w:rPr>
                <w:rFonts w:ascii="Arial" w:cs="Arial" w:eastAsia="Arial" w:hAnsi="Arial"/>
                <w:sz w:val="8"/>
                <w:szCs w:val="8"/>
                <w:color w:val="auto"/>
              </w:rPr>
              <w:t>(111,150)</w:t>
            </w:r>
          </w:p>
        </w:tc>
        <w:tc>
          <w:tcPr>
            <w:tcW w:w="1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(43,030)</w:t>
            </w: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(53)</w:t>
            </w:r>
          </w:p>
        </w:tc>
        <w:tc>
          <w:tcPr>
            <w:tcW w:w="200" w:type="dxa"/>
            <w:vAlign w:val="bottom"/>
          </w:tcPr>
          <w:p>
            <w:pPr>
              <w:spacing w:after="0"/>
              <w:rPr>
                <w:sz w:val="8"/>
                <w:szCs w:val="8"/>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555</w:t>
            </w:r>
          </w:p>
        </w:tc>
        <w:tc>
          <w:tcPr>
            <w:tcW w:w="200" w:type="dxa"/>
            <w:vAlign w:val="bottom"/>
          </w:tcPr>
          <w:p>
            <w:pPr>
              <w:spacing w:after="0"/>
              <w:rPr>
                <w:sz w:val="8"/>
                <w:szCs w:val="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276,019</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ind w:right="3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0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1,005,897</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(71,550</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(34,270</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157,520</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49,333</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(191,639</w:t>
            </w:r>
          </w:p>
        </w:tc>
        <w:tc>
          <w:tcPr>
            <w:tcW w:w="6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37,753</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40" w:type="dxa"/>
            <w:vAlign w:val="bottom"/>
            <w:gridSpan w:val="2"/>
            <w:shd w:val="clear" w:color="auto" w:fill="CCEEFF"/>
          </w:tcPr>
          <w:p>
            <w:pPr>
              <w:jc w:val="right"/>
              <w:ind w:right="35"/>
              <w:spacing w:after="0" w:line="88"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9"/>
                <w:szCs w:val="9"/>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8,740</w:t>
            </w: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961,784</w:t>
            </w:r>
          </w:p>
        </w:tc>
        <w:tc>
          <w:tcPr>
            <w:tcW w:w="0" w:type="dxa"/>
            <w:vAlign w:val="bottom"/>
          </w:tcPr>
          <w:p>
            <w:pPr>
              <w:spacing w:after="0"/>
              <w:rPr>
                <w:sz w:val="1"/>
                <w:szCs w:val="1"/>
                <w:color w:val="auto"/>
              </w:rPr>
            </w:pPr>
          </w:p>
        </w:tc>
      </w:tr>
      <w:tr>
        <w:trPr>
          <w:trHeight w:val="176"/>
        </w:trPr>
        <w:tc>
          <w:tcPr>
            <w:tcW w:w="260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2</w:t>
            </w: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88"/>
              </w:rPr>
              <w:t>Restated</w:t>
            </w:r>
          </w:p>
        </w:tc>
        <w:tc>
          <w:tcPr>
            <w:tcW w:w="220" w:type="dxa"/>
            <w:vAlign w:val="bottom"/>
            <w:tcBorders>
              <w:top w:val="single" w:sz="8" w:color="CCEEFF"/>
            </w:tcBorders>
            <w:vMerge w:val="restart"/>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5"/>
              </w:rPr>
              <w:t>New loans</w:t>
            </w:r>
          </w:p>
        </w:tc>
        <w:tc>
          <w:tcPr>
            <w:tcW w:w="220" w:type="dxa"/>
            <w:vAlign w:val="bottom"/>
            <w:tcBorders>
              <w:top w:val="single" w:sz="8" w:color="CCEEFF"/>
            </w:tcBorders>
            <w:gridSpan w:val="2"/>
            <w:vMerge w:val="restart"/>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300"/>
              <w:spacing w:after="0" w:line="90" w:lineRule="exact"/>
              <w:rPr>
                <w:sz w:val="20"/>
                <w:szCs w:val="20"/>
                <w:color w:val="auto"/>
              </w:rPr>
            </w:pPr>
            <w:r>
              <w:rPr>
                <w:rFonts w:ascii="Arial" w:cs="Arial" w:eastAsia="Arial" w:hAnsi="Arial"/>
                <w:sz w:val="8"/>
                <w:szCs w:val="8"/>
                <w:b w:val="1"/>
                <w:bCs w:val="1"/>
                <w:color w:val="auto"/>
                <w:w w:val="92"/>
              </w:rPr>
              <w:t>Changes in</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Transfers</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January 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5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3</w:t>
            </w:r>
          </w:p>
        </w:tc>
        <w:tc>
          <w:tcPr>
            <w:tcW w:w="76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82"/>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5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196"/>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99,004</w:t>
            </w: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(16,464)</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(20,602)</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13,311</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13,696</w:t>
            </w:r>
          </w:p>
        </w:tc>
        <w:tc>
          <w:tcPr>
            <w:tcW w:w="600" w:type="dxa"/>
            <w:vAlign w:val="bottom"/>
            <w:gridSpan w:val="2"/>
            <w:shd w:val="clear" w:color="auto" w:fill="CCEEFF"/>
          </w:tcPr>
          <w:p>
            <w:pPr>
              <w:jc w:val="right"/>
              <w:ind w:right="55"/>
              <w:spacing w:after="0" w:line="90" w:lineRule="exact"/>
              <w:rPr>
                <w:sz w:val="20"/>
                <w:szCs w:val="20"/>
                <w:color w:val="auto"/>
              </w:rPr>
            </w:pPr>
            <w:r>
              <w:rPr>
                <w:rFonts w:ascii="Arial" w:cs="Arial" w:eastAsia="Arial" w:hAnsi="Arial"/>
                <w:sz w:val="8"/>
                <w:szCs w:val="8"/>
                <w:color w:val="auto"/>
              </w:rPr>
              <w:t>29,284</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33,375</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(254)</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649</w:t>
            </w:r>
          </w:p>
        </w:tc>
        <w:tc>
          <w:tcPr>
            <w:tcW w:w="2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151,999</w:t>
            </w:r>
          </w:p>
        </w:tc>
        <w:tc>
          <w:tcPr>
            <w:tcW w:w="0" w:type="dxa"/>
            <w:vAlign w:val="bottom"/>
          </w:tcPr>
          <w:p>
            <w:pPr>
              <w:spacing w:after="0"/>
              <w:rPr>
                <w:sz w:val="1"/>
                <w:szCs w:val="1"/>
                <w:color w:val="auto"/>
              </w:rPr>
            </w:pPr>
          </w:p>
        </w:tc>
      </w:tr>
      <w:tr>
        <w:trPr>
          <w:trHeight w:val="90"/>
        </w:trPr>
        <w:tc>
          <w:tcPr>
            <w:tcW w:w="26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13,747</w:t>
            </w: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(2,565)</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(2,945)</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1,716</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3,201</w:t>
            </w:r>
          </w:p>
        </w:tc>
        <w:tc>
          <w:tcPr>
            <w:tcW w:w="600" w:type="dxa"/>
            <w:vAlign w:val="bottom"/>
            <w:gridSpan w:val="2"/>
          </w:tcPr>
          <w:p>
            <w:pPr>
              <w:jc w:val="right"/>
              <w:ind w:right="55"/>
              <w:spacing w:after="0" w:line="90" w:lineRule="exact"/>
              <w:rPr>
                <w:sz w:val="20"/>
                <w:szCs w:val="20"/>
                <w:color w:val="auto"/>
              </w:rPr>
            </w:pPr>
            <w:r>
              <w:rPr>
                <w:rFonts w:ascii="Arial" w:cs="Arial" w:eastAsia="Arial" w:hAnsi="Arial"/>
                <w:sz w:val="8"/>
                <w:szCs w:val="8"/>
                <w:color w:val="auto"/>
              </w:rPr>
              <w:t>1,617</w:t>
            </w:r>
          </w:p>
        </w:tc>
        <w:tc>
          <w:tcPr>
            <w:tcW w:w="160" w:type="dxa"/>
            <w:vAlign w:val="bottom"/>
          </w:tcPr>
          <w:p>
            <w:pPr>
              <w:spacing w:after="0"/>
              <w:rPr>
                <w:sz w:val="7"/>
                <w:szCs w:val="7"/>
                <w:color w:val="auto"/>
              </w:rPr>
            </w:pPr>
          </w:p>
        </w:tc>
        <w:tc>
          <w:tcPr>
            <w:tcW w:w="600" w:type="dxa"/>
            <w:vAlign w:val="bottom"/>
          </w:tcPr>
          <w:p>
            <w:pPr>
              <w:jc w:val="right"/>
              <w:ind w:right="18"/>
              <w:spacing w:after="0" w:line="90" w:lineRule="exact"/>
              <w:rPr>
                <w:sz w:val="20"/>
                <w:szCs w:val="20"/>
                <w:color w:val="auto"/>
              </w:rPr>
            </w:pPr>
            <w:r>
              <w:rPr>
                <w:rFonts w:ascii="Arial" w:cs="Arial" w:eastAsia="Arial" w:hAnsi="Arial"/>
                <w:sz w:val="8"/>
                <w:szCs w:val="8"/>
                <w:color w:val="auto"/>
              </w:rPr>
              <w:t>7,296</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7</w:t>
            </w:r>
          </w:p>
        </w:tc>
        <w:tc>
          <w:tcPr>
            <w:tcW w:w="200" w:type="dxa"/>
            <w:vAlign w:val="bottom"/>
          </w:tcPr>
          <w:p>
            <w:pPr>
              <w:spacing w:after="0"/>
              <w:rPr>
                <w:sz w:val="7"/>
                <w:szCs w:val="7"/>
                <w:color w:val="auto"/>
              </w:rPr>
            </w:pPr>
          </w:p>
        </w:tc>
        <w:tc>
          <w:tcPr>
            <w:tcW w:w="540" w:type="dxa"/>
            <w:vAlign w:val="bottom"/>
            <w:gridSpan w:val="2"/>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330</w:t>
            </w:r>
          </w:p>
        </w:tc>
        <w:tc>
          <w:tcPr>
            <w:tcW w:w="200" w:type="dxa"/>
            <w:vAlign w:val="bottom"/>
          </w:tcPr>
          <w:p>
            <w:pPr>
              <w:spacing w:after="0"/>
              <w:rPr>
                <w:sz w:val="7"/>
                <w:szCs w:val="7"/>
                <w:color w:val="auto"/>
              </w:rPr>
            </w:pP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22,404</w:t>
            </w: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281,227</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(46,522)</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(43,715)</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27,116</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7,817</w:t>
            </w:r>
          </w:p>
        </w:tc>
        <w:tc>
          <w:tcPr>
            <w:tcW w:w="60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(134,037)</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168,748</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378</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2,581</w:t>
            </w:r>
          </w:p>
        </w:tc>
        <w:tc>
          <w:tcPr>
            <w:tcW w:w="2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263,593</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507,726</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(91,969)</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(53,473)</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29,407</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22,834</w:t>
            </w:r>
          </w:p>
        </w:tc>
        <w:tc>
          <w:tcPr>
            <w:tcW w:w="600" w:type="dxa"/>
            <w:vAlign w:val="bottom"/>
            <w:gridSpan w:val="2"/>
          </w:tcPr>
          <w:p>
            <w:pPr>
              <w:jc w:val="right"/>
              <w:ind w:right="35"/>
              <w:spacing w:after="0"/>
              <w:rPr>
                <w:sz w:val="20"/>
                <w:szCs w:val="20"/>
                <w:color w:val="auto"/>
              </w:rPr>
            </w:pPr>
            <w:r>
              <w:rPr>
                <w:rFonts w:ascii="Arial" w:cs="Arial" w:eastAsia="Arial" w:hAnsi="Arial"/>
                <w:sz w:val="8"/>
                <w:szCs w:val="8"/>
                <w:color w:val="auto"/>
              </w:rPr>
              <w:t>(145,865)</w:t>
            </w:r>
          </w:p>
        </w:tc>
        <w:tc>
          <w:tcPr>
            <w:tcW w:w="160" w:type="dxa"/>
            <w:vAlign w:val="bottom"/>
          </w:tcPr>
          <w:p>
            <w:pPr>
              <w:spacing w:after="0"/>
              <w:rPr>
                <w:sz w:val="8"/>
                <w:szCs w:val="8"/>
                <w:color w:val="auto"/>
              </w:rPr>
            </w:pPr>
          </w:p>
        </w:tc>
        <w:tc>
          <w:tcPr>
            <w:tcW w:w="600" w:type="dxa"/>
            <w:vAlign w:val="bottom"/>
          </w:tcPr>
          <w:p>
            <w:pPr>
              <w:jc w:val="right"/>
              <w:ind w:right="18"/>
              <w:spacing w:after="0"/>
              <w:rPr>
                <w:sz w:val="20"/>
                <w:szCs w:val="20"/>
                <w:color w:val="auto"/>
              </w:rPr>
            </w:pPr>
            <w:r>
              <w:rPr>
                <w:rFonts w:ascii="Arial" w:cs="Arial" w:eastAsia="Arial" w:hAnsi="Arial"/>
                <w:sz w:val="8"/>
                <w:szCs w:val="8"/>
                <w:color w:val="auto"/>
              </w:rPr>
              <w:t>231,922</w:t>
            </w: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(131)</w:t>
            </w:r>
          </w:p>
        </w:tc>
        <w:tc>
          <w:tcPr>
            <w:tcW w:w="200" w:type="dxa"/>
            <w:vAlign w:val="bottom"/>
          </w:tcPr>
          <w:p>
            <w:pPr>
              <w:spacing w:after="0"/>
              <w:rPr>
                <w:sz w:val="8"/>
                <w:szCs w:val="8"/>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84</w:t>
            </w:r>
          </w:p>
        </w:tc>
        <w:tc>
          <w:tcPr>
            <w:tcW w:w="200" w:type="dxa"/>
            <w:vAlign w:val="bottom"/>
          </w:tcPr>
          <w:p>
            <w:pPr>
              <w:spacing w:after="0"/>
              <w:rPr>
                <w:sz w:val="8"/>
                <w:szCs w:val="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500,535</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ind w:right="3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00" w:type="dxa"/>
            <w:vAlign w:val="bottom"/>
            <w:gridSpan w:val="2"/>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901,704</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(157,520</w:t>
            </w:r>
          </w:p>
        </w:tc>
        <w:tc>
          <w:tcPr>
            <w:tcW w:w="22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(120,735</w:t>
            </w:r>
          </w:p>
        </w:tc>
        <w:tc>
          <w:tcPr>
            <w:tcW w:w="20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71,550</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47,548</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(249,001</w:t>
            </w:r>
          </w:p>
        </w:tc>
        <w:tc>
          <w:tcPr>
            <w:tcW w:w="6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441,341</w:t>
            </w:r>
          </w:p>
        </w:tc>
        <w:tc>
          <w:tcPr>
            <w:tcW w:w="220" w:type="dxa"/>
            <w:vAlign w:val="bottom"/>
            <w:tcBorders>
              <w:right w:val="single" w:sz="8" w:color="CCEEFF"/>
            </w:tcBorders>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40" w:type="dxa"/>
            <w:vAlign w:val="bottom"/>
            <w:gridSpan w:val="2"/>
            <w:shd w:val="clear" w:color="auto" w:fill="CCEEFF"/>
          </w:tcPr>
          <w:p>
            <w:pPr>
              <w:jc w:val="right"/>
              <w:ind w:right="35"/>
              <w:spacing w:after="0" w:line="88"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9"/>
                <w:szCs w:val="9"/>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3,644</w:t>
            </w: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938,531</w:t>
            </w:r>
          </w:p>
        </w:tc>
        <w:tc>
          <w:tcPr>
            <w:tcW w:w="0" w:type="dxa"/>
            <w:vAlign w:val="bottom"/>
          </w:tcPr>
          <w:p>
            <w:pPr>
              <w:spacing w:after="0"/>
              <w:rPr>
                <w:sz w:val="1"/>
                <w:szCs w:val="1"/>
                <w:color w:val="auto"/>
              </w:rPr>
            </w:pPr>
          </w:p>
        </w:tc>
      </w:tr>
      <w:tr>
        <w:trPr>
          <w:trHeight w:val="176"/>
        </w:trPr>
        <w:tc>
          <w:tcPr>
            <w:tcW w:w="2600" w:type="dxa"/>
            <w:vAlign w:val="bottom"/>
            <w:tcBorders>
              <w:top w:val="single" w:sz="8" w:color="CCEEFF"/>
            </w:tcBorders>
            <w:gridSpan w:val="2"/>
          </w:tcPr>
          <w:p>
            <w:pPr>
              <w:spacing w:after="0"/>
              <w:rPr>
                <w:sz w:val="20"/>
                <w:szCs w:val="20"/>
                <w:color w:val="auto"/>
              </w:rPr>
            </w:pPr>
            <w:r>
              <w:rPr>
                <w:rFonts w:ascii="Arial" w:cs="Arial" w:eastAsia="Arial" w:hAnsi="Arial"/>
                <w:sz w:val="8"/>
                <w:szCs w:val="8"/>
                <w:b w:val="1"/>
                <w:bCs w:val="1"/>
                <w:color w:val="auto"/>
              </w:rPr>
              <w:t>Stage 3</w:t>
            </w: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88"/>
              </w:rPr>
              <w:t>Restated</w:t>
            </w:r>
          </w:p>
        </w:tc>
        <w:tc>
          <w:tcPr>
            <w:tcW w:w="220" w:type="dxa"/>
            <w:vAlign w:val="bottom"/>
            <w:tcBorders>
              <w:top w:val="single" w:sz="8" w:color="CCEEFF"/>
            </w:tcBorders>
            <w:vMerge w:val="restart"/>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5"/>
              </w:rPr>
              <w:t>New loans</w:t>
            </w:r>
          </w:p>
        </w:tc>
        <w:tc>
          <w:tcPr>
            <w:tcW w:w="220" w:type="dxa"/>
            <w:vAlign w:val="bottom"/>
            <w:tcBorders>
              <w:top w:val="single" w:sz="8" w:color="CCEEFF"/>
            </w:tcBorders>
            <w:gridSpan w:val="2"/>
            <w:vMerge w:val="restart"/>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vMerge w:val="continue"/>
          </w:tcPr>
          <w:p>
            <w:pPr>
              <w:spacing w:after="0"/>
              <w:rPr>
                <w:sz w:val="5"/>
                <w:szCs w:val="5"/>
                <w:color w:val="auto"/>
              </w:rPr>
            </w:pPr>
          </w:p>
        </w:tc>
        <w:tc>
          <w:tcPr>
            <w:tcW w:w="220" w:type="dxa"/>
            <w:vAlign w:val="bottom"/>
            <w:tcBorders>
              <w:top w:val="single" w:sz="8" w:color="CCEEFF"/>
            </w:tcBorders>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8"/>
              </w:rPr>
              <w:t>liquidation,</w:t>
            </w:r>
          </w:p>
        </w:tc>
        <w:tc>
          <w:tcPr>
            <w:tcW w:w="820" w:type="dxa"/>
            <w:vAlign w:val="bottom"/>
            <w:gridSpan w:val="2"/>
          </w:tcPr>
          <w:p>
            <w:pPr>
              <w:jc w:val="center"/>
              <w:ind w:right="300"/>
              <w:spacing w:after="0" w:line="90" w:lineRule="exact"/>
              <w:rPr>
                <w:sz w:val="20"/>
                <w:szCs w:val="20"/>
                <w:color w:val="auto"/>
              </w:rPr>
            </w:pPr>
            <w:r>
              <w:rPr>
                <w:rFonts w:ascii="Arial" w:cs="Arial" w:eastAsia="Arial" w:hAnsi="Arial"/>
                <w:sz w:val="8"/>
                <w:szCs w:val="8"/>
                <w:b w:val="1"/>
                <w:bCs w:val="1"/>
                <w:color w:val="auto"/>
                <w:w w:val="92"/>
              </w:rPr>
              <w:t>Changes in</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Transfers</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January 1,</w:t>
            </w:r>
          </w:p>
        </w:tc>
        <w:tc>
          <w:tcPr>
            <w:tcW w:w="760" w:type="dxa"/>
            <w:vAlign w:val="bottom"/>
            <w:gridSpan w:val="2"/>
          </w:tcPr>
          <w:p>
            <w:pPr>
              <w:jc w:val="center"/>
              <w:ind w:right="235"/>
              <w:spacing w:after="0" w:line="90" w:lineRule="exact"/>
              <w:rPr>
                <w:sz w:val="20"/>
                <w:szCs w:val="20"/>
                <w:color w:val="auto"/>
              </w:rPr>
            </w:pPr>
            <w:r>
              <w:rPr>
                <w:rFonts w:ascii="Arial" w:cs="Arial" w:eastAsia="Arial" w:hAnsi="Arial"/>
                <w:sz w:val="8"/>
                <w:szCs w:val="8"/>
                <w:b w:val="1"/>
                <w:bCs w:val="1"/>
                <w:color w:val="auto"/>
                <w:w w:val="95"/>
              </w:rPr>
              <w:t>Transfer to</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Transfer to</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9"/>
              </w:rPr>
              <w:t>Transfer from</w:t>
            </w:r>
          </w:p>
        </w:tc>
        <w:tc>
          <w:tcPr>
            <w:tcW w:w="7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6"/>
              </w:rPr>
              <w:t>Transfer from</w:t>
            </w:r>
          </w:p>
        </w:tc>
        <w:tc>
          <w:tcPr>
            <w:tcW w:w="760" w:type="dxa"/>
            <w:vAlign w:val="bottom"/>
            <w:gridSpan w:val="3"/>
          </w:tcPr>
          <w:p>
            <w:pPr>
              <w:jc w:val="center"/>
              <w:ind w:right="200"/>
              <w:spacing w:after="0" w:line="90" w:lineRule="exact"/>
              <w:rPr>
                <w:sz w:val="20"/>
                <w:szCs w:val="20"/>
                <w:color w:val="auto"/>
              </w:rPr>
            </w:pPr>
            <w:r>
              <w:rPr>
                <w:rFonts w:ascii="Arial" w:cs="Arial" w:eastAsia="Arial" w:hAnsi="Arial"/>
                <w:sz w:val="8"/>
                <w:szCs w:val="8"/>
                <w:b w:val="1"/>
                <w:bCs w:val="1"/>
                <w:color w:val="auto"/>
                <w:w w:val="95"/>
              </w:rPr>
              <w:t>and write-offs,</w:t>
            </w:r>
          </w:p>
        </w:tc>
        <w:tc>
          <w:tcPr>
            <w:tcW w:w="82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6"/>
              </w:rPr>
              <w:t>PDs, LGDs,</w:t>
            </w:r>
          </w:p>
        </w:tc>
        <w:tc>
          <w:tcPr>
            <w:tcW w:w="7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255"/>
              <w:spacing w:after="0" w:line="90" w:lineRule="exact"/>
              <w:rPr>
                <w:sz w:val="20"/>
                <w:szCs w:val="20"/>
                <w:color w:val="auto"/>
              </w:rPr>
            </w:pPr>
            <w:r>
              <w:rPr>
                <w:rFonts w:ascii="Arial" w:cs="Arial" w:eastAsia="Arial" w:hAnsi="Arial"/>
                <w:sz w:val="8"/>
                <w:szCs w:val="8"/>
                <w:b w:val="1"/>
                <w:bCs w:val="1"/>
                <w:color w:val="auto"/>
                <w:w w:val="88"/>
              </w:rPr>
              <w:t>Sale of loan</w:t>
            </w:r>
          </w:p>
        </w:tc>
        <w:tc>
          <w:tcPr>
            <w:tcW w:w="760" w:type="dxa"/>
            <w:vAlign w:val="bottom"/>
            <w:gridSpan w:val="2"/>
          </w:tcPr>
          <w:p>
            <w:pPr>
              <w:jc w:val="center"/>
              <w:ind w:right="176"/>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760" w:type="dxa"/>
            <w:vAlign w:val="bottom"/>
            <w:gridSpan w:val="2"/>
          </w:tcPr>
          <w:p>
            <w:pPr>
              <w:jc w:val="center"/>
              <w:ind w:right="215"/>
              <w:spacing w:after="0"/>
              <w:rPr>
                <w:sz w:val="20"/>
                <w:szCs w:val="20"/>
                <w:color w:val="auto"/>
              </w:rPr>
            </w:pPr>
            <w:r>
              <w:rPr>
                <w:rFonts w:ascii="Arial" w:cs="Arial" w:eastAsia="Arial" w:hAnsi="Arial"/>
                <w:sz w:val="8"/>
                <w:szCs w:val="8"/>
                <w:b w:val="1"/>
                <w:bCs w:val="1"/>
                <w:color w:val="auto"/>
                <w:w w:val="91"/>
              </w:rPr>
              <w:t>Stage 1</w:t>
            </w:r>
          </w:p>
        </w:tc>
        <w:tc>
          <w:tcPr>
            <w:tcW w:w="740" w:type="dxa"/>
            <w:vAlign w:val="bottom"/>
            <w:gridSpan w:val="2"/>
          </w:tcPr>
          <w:p>
            <w:pPr>
              <w:jc w:val="center"/>
              <w:ind w:right="195"/>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1"/>
              </w:rPr>
              <w:t>Stage 1</w:t>
            </w:r>
          </w:p>
        </w:tc>
        <w:tc>
          <w:tcPr>
            <w:tcW w:w="76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1"/>
              </w:rPr>
              <w:t>Stage 2</w:t>
            </w:r>
          </w:p>
        </w:tc>
        <w:tc>
          <w:tcPr>
            <w:tcW w:w="76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82"/>
              </w:rPr>
              <w:t>net</w:t>
            </w: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EADs</w:t>
            </w: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77"/>
              </w:rPr>
              <w:t>classes of loans</w:t>
            </w:r>
          </w:p>
        </w:tc>
        <w:tc>
          <w:tcPr>
            <w:tcW w:w="700" w:type="dxa"/>
            <w:vAlign w:val="bottom"/>
            <w:gridSpan w:val="3"/>
          </w:tcPr>
          <w:p>
            <w:pPr>
              <w:jc w:val="center"/>
              <w:ind w:right="255"/>
              <w:spacing w:after="0"/>
              <w:rPr>
                <w:sz w:val="20"/>
                <w:szCs w:val="20"/>
                <w:color w:val="auto"/>
              </w:rPr>
            </w:pPr>
            <w:r>
              <w:rPr>
                <w:rFonts w:ascii="Arial" w:cs="Arial" w:eastAsia="Arial" w:hAnsi="Arial"/>
                <w:sz w:val="8"/>
                <w:szCs w:val="8"/>
                <w:b w:val="1"/>
                <w:bCs w:val="1"/>
                <w:color w:val="auto"/>
                <w:w w:val="98"/>
              </w:rPr>
              <w:t>portfolio</w:t>
            </w:r>
          </w:p>
        </w:tc>
        <w:tc>
          <w:tcPr>
            <w:tcW w:w="760" w:type="dxa"/>
            <w:vAlign w:val="bottom"/>
            <w:gridSpan w:val="2"/>
          </w:tcPr>
          <w:p>
            <w:pPr>
              <w:jc w:val="center"/>
              <w:ind w:right="196"/>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ind w:right="78"/>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jc w:val="center"/>
              <w:ind w:right="18"/>
              <w:spacing w:after="0" w:line="79" w:lineRule="exact"/>
              <w:rPr>
                <w:sz w:val="20"/>
                <w:szCs w:val="20"/>
                <w:color w:val="auto"/>
              </w:rPr>
            </w:pPr>
            <w:r>
              <w:rPr>
                <w:rFonts w:ascii="Arial" w:cs="Arial" w:eastAsia="Arial" w:hAnsi="Arial"/>
                <w:sz w:val="8"/>
                <w:szCs w:val="8"/>
                <w:b w:val="1"/>
                <w:bCs w:val="1"/>
                <w:color w:val="auto"/>
                <w:w w:val="91"/>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1,259,258</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(10,864)</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(13,696)</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6,647</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20,602</w:t>
            </w:r>
          </w:p>
        </w:tc>
        <w:tc>
          <w:tcPr>
            <w:tcW w:w="60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(64,741)</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294,960</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(34,932)</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(48,442)</w:t>
            </w:r>
          </w:p>
        </w:tc>
        <w:tc>
          <w:tcPr>
            <w:tcW w:w="160" w:type="dxa"/>
            <w:vAlign w:val="bottom"/>
            <w:shd w:val="clear" w:color="auto" w:fill="CCEEFF"/>
          </w:tcPr>
          <w:p>
            <w:pPr>
              <w:spacing w:after="0"/>
              <w:rPr>
                <w:sz w:val="7"/>
                <w:szCs w:val="7"/>
                <w:color w:val="auto"/>
              </w:rPr>
            </w:pPr>
          </w:p>
        </w:tc>
        <w:tc>
          <w:tcPr>
            <w:tcW w:w="760" w:type="dxa"/>
            <w:vAlign w:val="bottom"/>
            <w:tcBorders>
              <w:left w:val="single" w:sz="8" w:color="CCEEFF"/>
            </w:tcBorders>
            <w:gridSpan w:val="2"/>
            <w:shd w:val="clear" w:color="auto" w:fill="CCEEFF"/>
          </w:tcPr>
          <w:p>
            <w:pPr>
              <w:jc w:val="right"/>
              <w:ind w:right="156"/>
              <w:spacing w:after="0" w:line="90" w:lineRule="exact"/>
              <w:rPr>
                <w:sz w:val="20"/>
                <w:szCs w:val="20"/>
                <w:color w:val="auto"/>
              </w:rPr>
            </w:pPr>
            <w:r>
              <w:rPr>
                <w:rFonts w:ascii="Arial" w:cs="Arial" w:eastAsia="Arial" w:hAnsi="Arial"/>
                <w:sz w:val="8"/>
                <w:szCs w:val="8"/>
                <w:color w:val="auto"/>
              </w:rPr>
              <w:t>(53,429)</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1,355,363</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411,087</w:t>
            </w:r>
          </w:p>
        </w:tc>
        <w:tc>
          <w:tcPr>
            <w:tcW w:w="220" w:type="dxa"/>
            <w:vAlign w:val="bottom"/>
          </w:tcPr>
          <w:p>
            <w:pPr>
              <w:spacing w:after="0"/>
              <w:rPr>
                <w:sz w:val="7"/>
                <w:szCs w:val="7"/>
                <w:color w:val="auto"/>
              </w:rPr>
            </w:pPr>
          </w:p>
        </w:tc>
        <w:tc>
          <w:tcPr>
            <w:tcW w:w="76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(5,556)</w:t>
            </w:r>
          </w:p>
        </w:tc>
        <w:tc>
          <w:tcPr>
            <w:tcW w:w="740" w:type="dxa"/>
            <w:vAlign w:val="bottom"/>
            <w:gridSpan w:val="2"/>
          </w:tcPr>
          <w:p>
            <w:pPr>
              <w:jc w:val="right"/>
              <w:ind w:right="175"/>
              <w:spacing w:after="0" w:line="90" w:lineRule="exact"/>
              <w:rPr>
                <w:sz w:val="20"/>
                <w:szCs w:val="20"/>
                <w:color w:val="auto"/>
              </w:rPr>
            </w:pPr>
            <w:r>
              <w:rPr>
                <w:rFonts w:ascii="Arial" w:cs="Arial" w:eastAsia="Arial" w:hAnsi="Arial"/>
                <w:sz w:val="8"/>
                <w:szCs w:val="8"/>
                <w:color w:val="auto"/>
              </w:rPr>
              <w:t>(3,201)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817</w:t>
            </w:r>
          </w:p>
        </w:tc>
        <w:tc>
          <w:tcPr>
            <w:tcW w:w="760" w:type="dxa"/>
            <w:vAlign w:val="bottom"/>
            <w:gridSpan w:val="2"/>
          </w:tcPr>
          <w:p>
            <w:pPr>
              <w:jc w:val="right"/>
              <w:ind w:right="178"/>
              <w:spacing w:after="0" w:line="90" w:lineRule="exact"/>
              <w:rPr>
                <w:sz w:val="20"/>
                <w:szCs w:val="20"/>
                <w:color w:val="auto"/>
              </w:rPr>
            </w:pPr>
            <w:r>
              <w:rPr>
                <w:rFonts w:ascii="Arial" w:cs="Arial" w:eastAsia="Arial" w:hAnsi="Arial"/>
                <w:sz w:val="8"/>
                <w:szCs w:val="8"/>
                <w:color w:val="auto"/>
              </w:rPr>
              <w:t>2,945</w:t>
            </w:r>
          </w:p>
        </w:tc>
        <w:tc>
          <w:tcPr>
            <w:tcW w:w="600" w:type="dxa"/>
            <w:vAlign w:val="bottom"/>
            <w:gridSpan w:val="2"/>
          </w:tcPr>
          <w:p>
            <w:pPr>
              <w:jc w:val="right"/>
              <w:ind w:right="35"/>
              <w:spacing w:after="0" w:line="90" w:lineRule="exact"/>
              <w:rPr>
                <w:sz w:val="20"/>
                <w:szCs w:val="20"/>
                <w:color w:val="auto"/>
              </w:rPr>
            </w:pPr>
            <w:r>
              <w:rPr>
                <w:rFonts w:ascii="Arial" w:cs="Arial" w:eastAsia="Arial" w:hAnsi="Arial"/>
                <w:sz w:val="8"/>
                <w:szCs w:val="8"/>
                <w:color w:val="auto"/>
              </w:rPr>
              <w:t>(56,676)</w:t>
            </w:r>
          </w:p>
        </w:tc>
        <w:tc>
          <w:tcPr>
            <w:tcW w:w="160" w:type="dxa"/>
            <w:vAlign w:val="bottom"/>
          </w:tcPr>
          <w:p>
            <w:pPr>
              <w:spacing w:after="0"/>
              <w:rPr>
                <w:sz w:val="7"/>
                <w:szCs w:val="7"/>
                <w:color w:val="auto"/>
              </w:rPr>
            </w:pPr>
          </w:p>
        </w:tc>
        <w:tc>
          <w:tcPr>
            <w:tcW w:w="600" w:type="dxa"/>
            <w:vAlign w:val="bottom"/>
          </w:tcPr>
          <w:p>
            <w:pPr>
              <w:jc w:val="right"/>
              <w:ind w:right="18"/>
              <w:spacing w:after="0" w:line="90" w:lineRule="exact"/>
              <w:rPr>
                <w:sz w:val="20"/>
                <w:szCs w:val="20"/>
                <w:color w:val="auto"/>
              </w:rPr>
            </w:pPr>
            <w:r>
              <w:rPr>
                <w:rFonts w:ascii="Arial" w:cs="Arial" w:eastAsia="Arial" w:hAnsi="Arial"/>
                <w:sz w:val="8"/>
                <w:szCs w:val="8"/>
                <w:color w:val="auto"/>
              </w:rPr>
              <w:t>142,064</w:t>
            </w:r>
          </w:p>
        </w:tc>
        <w:tc>
          <w:tcPr>
            <w:tcW w:w="220" w:type="dxa"/>
            <w:vAlign w:val="bottom"/>
          </w:tcPr>
          <w:p>
            <w:pPr>
              <w:spacing w:after="0"/>
              <w:rPr>
                <w:sz w:val="7"/>
                <w:szCs w:val="7"/>
                <w:color w:val="auto"/>
              </w:rPr>
            </w:pPr>
          </w:p>
        </w:tc>
        <w:tc>
          <w:tcPr>
            <w:tcW w:w="540" w:type="dxa"/>
            <w:vAlign w:val="bottom"/>
          </w:tcPr>
          <w:p>
            <w:pPr>
              <w:jc w:val="right"/>
              <w:ind w:right="18"/>
              <w:spacing w:after="0" w:line="90" w:lineRule="exact"/>
              <w:rPr>
                <w:sz w:val="20"/>
                <w:szCs w:val="20"/>
                <w:color w:val="auto"/>
              </w:rPr>
            </w:pPr>
            <w:r>
              <w:rPr>
                <w:rFonts w:ascii="Arial" w:cs="Arial" w:eastAsia="Arial" w:hAnsi="Arial"/>
                <w:sz w:val="8"/>
                <w:szCs w:val="8"/>
                <w:color w:val="auto"/>
              </w:rPr>
              <w:t>302</w:t>
            </w:r>
          </w:p>
        </w:tc>
        <w:tc>
          <w:tcPr>
            <w:tcW w:w="200" w:type="dxa"/>
            <w:vAlign w:val="bottom"/>
          </w:tcPr>
          <w:p>
            <w:pPr>
              <w:spacing w:after="0"/>
              <w:rPr>
                <w:sz w:val="7"/>
                <w:szCs w:val="7"/>
                <w:color w:val="auto"/>
              </w:rPr>
            </w:pPr>
          </w:p>
        </w:tc>
        <w:tc>
          <w:tcPr>
            <w:tcW w:w="540" w:type="dxa"/>
            <w:vAlign w:val="bottom"/>
            <w:gridSpan w:val="2"/>
          </w:tcPr>
          <w:p>
            <w:pPr>
              <w:jc w:val="right"/>
              <w:ind w:right="15"/>
              <w:spacing w:after="0" w:line="90" w:lineRule="exact"/>
              <w:rPr>
                <w:sz w:val="20"/>
                <w:szCs w:val="20"/>
                <w:color w:val="auto"/>
              </w:rPr>
            </w:pPr>
            <w:r>
              <w:rPr>
                <w:rFonts w:ascii="Arial" w:cs="Arial" w:eastAsia="Arial" w:hAnsi="Arial"/>
                <w:sz w:val="8"/>
                <w:szCs w:val="8"/>
                <w:color w:val="auto"/>
              </w:rPr>
              <w:t>(32,089)</w:t>
            </w:r>
          </w:p>
        </w:tc>
        <w:tc>
          <w:tcPr>
            <w:tcW w:w="16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10,593</w:t>
            </w:r>
          </w:p>
        </w:tc>
        <w:tc>
          <w:tcPr>
            <w:tcW w:w="200" w:type="dxa"/>
            <w:vAlign w:val="bottom"/>
          </w:tcPr>
          <w:p>
            <w:pPr>
              <w:spacing w:after="0"/>
              <w:rPr>
                <w:sz w:val="7"/>
                <w:szCs w:val="7"/>
                <w:color w:val="auto"/>
              </w:rPr>
            </w:pP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470,286</w:t>
            </w: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1,001,286</w:t>
            </w:r>
          </w:p>
        </w:tc>
        <w:tc>
          <w:tcPr>
            <w:tcW w:w="22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(13,148)</w:t>
            </w: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(7,817)</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17,238</w:t>
            </w:r>
          </w:p>
        </w:tc>
        <w:tc>
          <w:tcPr>
            <w:tcW w:w="760" w:type="dxa"/>
            <w:vAlign w:val="bottom"/>
            <w:gridSpan w:val="2"/>
            <w:shd w:val="clear" w:color="auto" w:fill="CCEEFF"/>
          </w:tcPr>
          <w:p>
            <w:pPr>
              <w:jc w:val="right"/>
              <w:ind w:right="178"/>
              <w:spacing w:after="0" w:line="90" w:lineRule="exact"/>
              <w:rPr>
                <w:sz w:val="20"/>
                <w:szCs w:val="20"/>
                <w:color w:val="auto"/>
              </w:rPr>
            </w:pPr>
            <w:r>
              <w:rPr>
                <w:rFonts w:ascii="Arial" w:cs="Arial" w:eastAsia="Arial" w:hAnsi="Arial"/>
                <w:sz w:val="8"/>
                <w:szCs w:val="8"/>
                <w:color w:val="auto"/>
              </w:rPr>
              <w:t>43,715</w:t>
            </w:r>
          </w:p>
        </w:tc>
        <w:tc>
          <w:tcPr>
            <w:tcW w:w="600" w:type="dxa"/>
            <w:vAlign w:val="bottom"/>
            <w:gridSpan w:val="2"/>
            <w:shd w:val="clear" w:color="auto" w:fill="CCEEFF"/>
          </w:tcPr>
          <w:p>
            <w:pPr>
              <w:jc w:val="right"/>
              <w:ind w:right="35"/>
              <w:spacing w:after="0" w:line="90" w:lineRule="exact"/>
              <w:rPr>
                <w:sz w:val="20"/>
                <w:szCs w:val="20"/>
                <w:color w:val="auto"/>
              </w:rPr>
            </w:pPr>
            <w:r>
              <w:rPr>
                <w:rFonts w:ascii="Arial" w:cs="Arial" w:eastAsia="Arial" w:hAnsi="Arial"/>
                <w:sz w:val="8"/>
                <w:szCs w:val="8"/>
                <w:color w:val="auto"/>
              </w:rPr>
              <w:t>(327,426)</w:t>
            </w:r>
          </w:p>
        </w:tc>
        <w:tc>
          <w:tcPr>
            <w:tcW w:w="160" w:type="dxa"/>
            <w:vAlign w:val="bottom"/>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296,807</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90" w:lineRule="exact"/>
              <w:rPr>
                <w:sz w:val="20"/>
                <w:szCs w:val="20"/>
                <w:color w:val="auto"/>
              </w:rPr>
            </w:pPr>
            <w:r>
              <w:rPr>
                <w:rFonts w:ascii="Arial" w:cs="Arial" w:eastAsia="Arial" w:hAnsi="Arial"/>
                <w:sz w:val="8"/>
                <w:szCs w:val="8"/>
                <w:color w:val="auto"/>
              </w:rPr>
              <w:t>34,709</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5"/>
              <w:spacing w:after="0" w:line="90" w:lineRule="exact"/>
              <w:rPr>
                <w:sz w:val="20"/>
                <w:szCs w:val="20"/>
                <w:color w:val="auto"/>
              </w:rPr>
            </w:pPr>
            <w:r>
              <w:rPr>
                <w:rFonts w:ascii="Arial" w:cs="Arial" w:eastAsia="Arial" w:hAnsi="Arial"/>
                <w:sz w:val="8"/>
                <w:szCs w:val="8"/>
                <w:color w:val="auto"/>
              </w:rPr>
              <w:t>(67,682)</w:t>
            </w:r>
          </w:p>
        </w:tc>
        <w:tc>
          <w:tcPr>
            <w:tcW w:w="160" w:type="dxa"/>
            <w:vAlign w:val="bottom"/>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1,610</w:t>
            </w:r>
          </w:p>
        </w:tc>
        <w:tc>
          <w:tcPr>
            <w:tcW w:w="2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979,292</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jc w:val="right"/>
              <w:spacing w:after="0"/>
              <w:rPr>
                <w:sz w:val="20"/>
                <w:szCs w:val="20"/>
                <w:color w:val="auto"/>
              </w:rPr>
            </w:pPr>
            <w:r>
              <w:rPr>
                <w:rFonts w:ascii="Arial" w:cs="Arial" w:eastAsia="Arial" w:hAnsi="Arial"/>
                <w:sz w:val="8"/>
                <w:szCs w:val="8"/>
                <w:color w:val="auto"/>
              </w:rPr>
              <w:t>684,728</w:t>
            </w:r>
          </w:p>
        </w:tc>
        <w:tc>
          <w:tcPr>
            <w:tcW w:w="220" w:type="dxa"/>
            <w:vAlign w:val="bottom"/>
          </w:tcPr>
          <w:p>
            <w:pPr>
              <w:spacing w:after="0"/>
              <w:rPr>
                <w:sz w:val="8"/>
                <w:szCs w:val="8"/>
                <w:color w:val="auto"/>
              </w:rPr>
            </w:pPr>
          </w:p>
        </w:tc>
        <w:tc>
          <w:tcPr>
            <w:tcW w:w="760" w:type="dxa"/>
            <w:vAlign w:val="bottom"/>
            <w:gridSpan w:val="2"/>
          </w:tcPr>
          <w:p>
            <w:pPr>
              <w:jc w:val="right"/>
              <w:ind w:right="195"/>
              <w:spacing w:after="0"/>
              <w:rPr>
                <w:sz w:val="20"/>
                <w:szCs w:val="20"/>
                <w:color w:val="auto"/>
              </w:rPr>
            </w:pPr>
            <w:r>
              <w:rPr>
                <w:rFonts w:ascii="Arial" w:cs="Arial" w:eastAsia="Arial" w:hAnsi="Arial"/>
                <w:sz w:val="8"/>
                <w:szCs w:val="8"/>
                <w:color w:val="auto"/>
              </w:rPr>
              <w:t>(19,765)</w:t>
            </w: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(22,834)</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9,568</w:t>
            </w:r>
          </w:p>
        </w:tc>
        <w:tc>
          <w:tcPr>
            <w:tcW w:w="760" w:type="dxa"/>
            <w:vAlign w:val="bottom"/>
            <w:gridSpan w:val="2"/>
          </w:tcPr>
          <w:p>
            <w:pPr>
              <w:jc w:val="right"/>
              <w:ind w:right="178"/>
              <w:spacing w:after="0"/>
              <w:rPr>
                <w:sz w:val="20"/>
                <w:szCs w:val="20"/>
                <w:color w:val="auto"/>
              </w:rPr>
            </w:pPr>
            <w:r>
              <w:rPr>
                <w:rFonts w:ascii="Arial" w:cs="Arial" w:eastAsia="Arial" w:hAnsi="Arial"/>
                <w:sz w:val="8"/>
                <w:szCs w:val="8"/>
                <w:color w:val="auto"/>
              </w:rPr>
              <w:t>53,473</w:t>
            </w:r>
          </w:p>
        </w:tc>
        <w:tc>
          <w:tcPr>
            <w:tcW w:w="600" w:type="dxa"/>
            <w:vAlign w:val="bottom"/>
            <w:gridSpan w:val="2"/>
          </w:tcPr>
          <w:p>
            <w:pPr>
              <w:jc w:val="right"/>
              <w:ind w:right="35"/>
              <w:spacing w:after="0"/>
              <w:rPr>
                <w:sz w:val="20"/>
                <w:szCs w:val="20"/>
                <w:color w:val="auto"/>
              </w:rPr>
            </w:pPr>
            <w:r>
              <w:rPr>
                <w:rFonts w:ascii="Arial" w:cs="Arial" w:eastAsia="Arial" w:hAnsi="Arial"/>
                <w:sz w:val="8"/>
                <w:szCs w:val="8"/>
                <w:color w:val="auto"/>
              </w:rPr>
              <w:t>(385,261)</w:t>
            </w:r>
          </w:p>
        </w:tc>
        <w:tc>
          <w:tcPr>
            <w:tcW w:w="160" w:type="dxa"/>
            <w:vAlign w:val="bottom"/>
          </w:tcPr>
          <w:p>
            <w:pPr>
              <w:spacing w:after="0"/>
              <w:rPr>
                <w:sz w:val="8"/>
                <w:szCs w:val="8"/>
                <w:color w:val="auto"/>
              </w:rPr>
            </w:pPr>
          </w:p>
        </w:tc>
        <w:tc>
          <w:tcPr>
            <w:tcW w:w="600" w:type="dxa"/>
            <w:vAlign w:val="bottom"/>
          </w:tcPr>
          <w:p>
            <w:pPr>
              <w:jc w:val="right"/>
              <w:ind w:right="18"/>
              <w:spacing w:after="0"/>
              <w:rPr>
                <w:sz w:val="20"/>
                <w:szCs w:val="20"/>
                <w:color w:val="auto"/>
              </w:rPr>
            </w:pPr>
            <w:r>
              <w:rPr>
                <w:rFonts w:ascii="Arial" w:cs="Arial" w:eastAsia="Arial" w:hAnsi="Arial"/>
                <w:sz w:val="8"/>
                <w:szCs w:val="8"/>
                <w:color w:val="auto"/>
              </w:rPr>
              <w:t>294,521</w:t>
            </w: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(79)</w:t>
            </w:r>
          </w:p>
        </w:tc>
        <w:tc>
          <w:tcPr>
            <w:tcW w:w="200" w:type="dxa"/>
            <w:vAlign w:val="bottom"/>
          </w:tcPr>
          <w:p>
            <w:pPr>
              <w:spacing w:after="0"/>
              <w:rPr>
                <w:sz w:val="8"/>
                <w:szCs w:val="8"/>
                <w:color w:val="auto"/>
              </w:rPr>
            </w:pPr>
          </w:p>
        </w:tc>
        <w:tc>
          <w:tcPr>
            <w:tcW w:w="540" w:type="dxa"/>
            <w:vAlign w:val="bottom"/>
            <w:gridSpan w:val="2"/>
          </w:tcPr>
          <w:p>
            <w:pPr>
              <w:jc w:val="right"/>
              <w:ind w:right="15"/>
              <w:spacing w:after="0"/>
              <w:rPr>
                <w:sz w:val="20"/>
                <w:szCs w:val="20"/>
                <w:color w:val="auto"/>
              </w:rPr>
            </w:pPr>
            <w:r>
              <w:rPr>
                <w:rFonts w:ascii="Arial" w:cs="Arial" w:eastAsia="Arial" w:hAnsi="Arial"/>
                <w:sz w:val="8"/>
                <w:szCs w:val="8"/>
                <w:color w:val="auto"/>
              </w:rPr>
              <w:t>(10,338)</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5,262</w:t>
            </w:r>
          </w:p>
        </w:tc>
        <w:tc>
          <w:tcPr>
            <w:tcW w:w="200" w:type="dxa"/>
            <w:vAlign w:val="bottom"/>
          </w:tcPr>
          <w:p>
            <w:pPr>
              <w:spacing w:after="0"/>
              <w:rPr>
                <w:sz w:val="8"/>
                <w:szCs w:val="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8"/>
                <w:szCs w:val="8"/>
                <w:color w:val="auto"/>
              </w:rPr>
              <w:t>609,275</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9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ind w:right="3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56"/>
              <w:spacing w:after="0"/>
              <w:rPr>
                <w:sz w:val="20"/>
                <w:szCs w:val="20"/>
                <w:color w:val="auto"/>
              </w:rPr>
            </w:pPr>
            <w:r>
              <w:rPr>
                <w:rFonts w:ascii="Arial" w:cs="Arial" w:eastAsia="Arial" w:hAnsi="Arial"/>
                <w:sz w:val="1"/>
                <w:szCs w:val="1"/>
                <w:color w:val="auto"/>
                <w:w w:val="4294967281"/>
              </w:rPr>
              <w:t>)</w:t>
            </w: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0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3,356,359</w:t>
            </w: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(49,333</w:t>
            </w:r>
          </w:p>
        </w:tc>
        <w:tc>
          <w:tcPr>
            <w:tcW w:w="22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(47,548</w:t>
            </w:r>
          </w:p>
        </w:tc>
        <w:tc>
          <w:tcPr>
            <w:tcW w:w="200" w:type="dxa"/>
            <w:vAlign w:val="bottom"/>
            <w:vMerge w:val="continue"/>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34,270</w:t>
            </w:r>
          </w:p>
        </w:tc>
        <w:tc>
          <w:tcPr>
            <w:tcW w:w="760" w:type="dxa"/>
            <w:vAlign w:val="bottom"/>
            <w:gridSpan w:val="2"/>
            <w:shd w:val="clear" w:color="auto" w:fill="CCEEFF"/>
          </w:tcPr>
          <w:p>
            <w:pPr>
              <w:jc w:val="right"/>
              <w:ind w:right="178"/>
              <w:spacing w:after="0" w:line="88" w:lineRule="exact"/>
              <w:rPr>
                <w:sz w:val="20"/>
                <w:szCs w:val="20"/>
                <w:color w:val="auto"/>
              </w:rPr>
            </w:pPr>
            <w:r>
              <w:rPr>
                <w:rFonts w:ascii="Arial" w:cs="Arial" w:eastAsia="Arial" w:hAnsi="Arial"/>
                <w:sz w:val="8"/>
                <w:szCs w:val="8"/>
                <w:color w:val="auto"/>
              </w:rPr>
              <w:t>120,735</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(834,104</w:t>
            </w:r>
          </w:p>
        </w:tc>
        <w:tc>
          <w:tcPr>
            <w:tcW w:w="6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00" w:type="dxa"/>
            <w:vAlign w:val="bottom"/>
            <w:tcBorders>
              <w:left w:val="single" w:sz="8" w:color="CCEEFF"/>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1,028,352</w:t>
            </w:r>
          </w:p>
        </w:tc>
        <w:tc>
          <w:tcPr>
            <w:tcW w:w="220" w:type="dxa"/>
            <w:vAlign w:val="bottom"/>
            <w:tcBorders>
              <w:right w:val="single" w:sz="8" w:color="CCEEFF"/>
            </w:tcBorders>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(158,551</w:t>
            </w:r>
          </w:p>
        </w:tc>
        <w:tc>
          <w:tcPr>
            <w:tcW w:w="4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(35,964</w:t>
            </w:r>
          </w:p>
        </w:tc>
        <w:tc>
          <w:tcPr>
            <w:tcW w:w="20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3,414,216</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00" w:type="dxa"/>
            <w:vAlign w:val="bottom"/>
            <w:gridSpan w:val="2"/>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tcBorders>
              <w:left w:val="single" w:sz="8" w:color="auto"/>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tcBorders>
              <w:left w:val="single" w:sz="8" w:color="auto"/>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Consolidated 3 Stages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4"/>
              </w:rPr>
              <w:t>Restated</w:t>
            </w:r>
          </w:p>
        </w:tc>
        <w:tc>
          <w:tcPr>
            <w:tcW w:w="22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right"/>
              <w:ind w:right="700"/>
              <w:spacing w:after="0"/>
              <w:rPr>
                <w:sz w:val="20"/>
                <w:szCs w:val="20"/>
                <w:color w:val="auto"/>
              </w:rPr>
            </w:pPr>
            <w:r>
              <w:rPr>
                <w:rFonts w:ascii="Arial" w:cs="Arial" w:eastAsia="Arial" w:hAnsi="Arial"/>
                <w:sz w:val="8"/>
                <w:szCs w:val="8"/>
                <w:b w:val="1"/>
                <w:bCs w:val="1"/>
                <w:color w:val="auto"/>
                <w:w w:val="93"/>
              </w:rPr>
              <w:t>Credit loss of the period</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4"/>
              </w:rPr>
              <w:t>Balance at</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9"/>
              </w:rPr>
              <w:t>Effect of</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1"/>
              </w:rPr>
              <w:t>balance at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160"/>
              <w:spacing w:after="0" w:line="90" w:lineRule="exact"/>
              <w:rPr>
                <w:sz w:val="20"/>
                <w:szCs w:val="20"/>
                <w:color w:val="auto"/>
              </w:rPr>
            </w:pPr>
            <w:r>
              <w:rPr>
                <w:rFonts w:ascii="Arial" w:cs="Arial" w:eastAsia="Arial" w:hAnsi="Arial"/>
                <w:sz w:val="8"/>
                <w:szCs w:val="8"/>
                <w:b w:val="1"/>
                <w:bCs w:val="1"/>
                <w:color w:val="auto"/>
                <w:w w:val="90"/>
              </w:rPr>
              <w:t>New loans</w:t>
            </w:r>
          </w:p>
        </w:tc>
        <w:tc>
          <w:tcPr>
            <w:tcW w:w="820" w:type="dxa"/>
            <w:vAlign w:val="bottom"/>
            <w:gridSpan w:val="2"/>
          </w:tcPr>
          <w:p>
            <w:pPr>
              <w:jc w:val="center"/>
              <w:ind w:right="140"/>
              <w:spacing w:after="0" w:line="90" w:lineRule="exact"/>
              <w:rPr>
                <w:sz w:val="20"/>
                <w:szCs w:val="20"/>
                <w:color w:val="auto"/>
              </w:rPr>
            </w:pPr>
            <w:r>
              <w:rPr>
                <w:rFonts w:ascii="Arial" w:cs="Arial" w:eastAsia="Arial" w:hAnsi="Arial"/>
                <w:sz w:val="8"/>
                <w:szCs w:val="8"/>
                <w:b w:val="1"/>
                <w:bCs w:val="1"/>
                <w:color w:val="auto"/>
                <w:w w:val="92"/>
              </w:rPr>
              <w:t>Changes in</w:t>
            </w:r>
          </w:p>
        </w:tc>
        <w:tc>
          <w:tcPr>
            <w:tcW w:w="74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Transfers</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tcPr>
          <w:p>
            <w:pPr>
              <w:jc w:val="center"/>
              <w:ind w:right="136"/>
              <w:spacing w:after="0" w:line="90" w:lineRule="exact"/>
              <w:rPr>
                <w:sz w:val="20"/>
                <w:szCs w:val="20"/>
                <w:color w:val="auto"/>
              </w:rPr>
            </w:pPr>
            <w:r>
              <w:rPr>
                <w:rFonts w:ascii="Arial" w:cs="Arial" w:eastAsia="Arial" w:hAnsi="Arial"/>
                <w:sz w:val="8"/>
                <w:szCs w:val="8"/>
                <w:b w:val="1"/>
                <w:bCs w:val="1"/>
                <w:color w:val="auto"/>
                <w:w w:val="95"/>
              </w:rPr>
              <w:t>Exchange</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4"/>
              </w:rPr>
              <w:t>Balance at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6"/>
              </w:rPr>
              <w:t>December 31,</w:t>
            </w:r>
          </w:p>
        </w:tc>
        <w:tc>
          <w:tcPr>
            <w:tcW w:w="740" w:type="dxa"/>
            <w:vAlign w:val="bottom"/>
            <w:gridSpan w:val="2"/>
          </w:tcPr>
          <w:p>
            <w:pPr>
              <w:jc w:val="center"/>
              <w:ind w:right="215"/>
              <w:spacing w:after="0" w:line="90" w:lineRule="exact"/>
              <w:rPr>
                <w:sz w:val="20"/>
                <w:szCs w:val="20"/>
                <w:color w:val="auto"/>
              </w:rPr>
            </w:pPr>
            <w:r>
              <w:rPr>
                <w:rFonts w:ascii="Arial" w:cs="Arial" w:eastAsia="Arial" w:hAnsi="Arial"/>
                <w:sz w:val="8"/>
                <w:szCs w:val="8"/>
                <w:b w:val="1"/>
                <w:bCs w:val="1"/>
                <w:color w:val="auto"/>
                <w:w w:val="95"/>
              </w:rPr>
              <w:t>adopting IFRS</w:t>
            </w: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January 1,</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tcPr>
          <w:p>
            <w:pPr>
              <w:jc w:val="center"/>
              <w:ind w:right="160"/>
              <w:spacing w:after="0" w:line="90" w:lineRule="exact"/>
              <w:rPr>
                <w:sz w:val="20"/>
                <w:szCs w:val="20"/>
                <w:color w:val="auto"/>
              </w:rPr>
            </w:pPr>
            <w:r>
              <w:rPr>
                <w:rFonts w:ascii="Arial" w:cs="Arial" w:eastAsia="Arial" w:hAnsi="Arial"/>
                <w:sz w:val="8"/>
                <w:szCs w:val="8"/>
                <w:b w:val="1"/>
                <w:bCs w:val="1"/>
                <w:color w:val="auto"/>
              </w:rPr>
              <w:t>and liquidation,</w:t>
            </w:r>
          </w:p>
        </w:tc>
        <w:tc>
          <w:tcPr>
            <w:tcW w:w="82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6"/>
              </w:rPr>
              <w:t>PDs, LGDs,</w:t>
            </w:r>
          </w:p>
        </w:tc>
        <w:tc>
          <w:tcPr>
            <w:tcW w:w="74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between</w:t>
            </w:r>
          </w:p>
        </w:tc>
        <w:tc>
          <w:tcPr>
            <w:tcW w:w="700" w:type="dxa"/>
            <w:vAlign w:val="bottom"/>
            <w:gridSpan w:val="3"/>
          </w:tcPr>
          <w:p>
            <w:pPr>
              <w:jc w:val="center"/>
              <w:ind w:right="155"/>
              <w:spacing w:after="0" w:line="90" w:lineRule="exact"/>
              <w:rPr>
                <w:sz w:val="20"/>
                <w:szCs w:val="20"/>
                <w:color w:val="auto"/>
              </w:rPr>
            </w:pPr>
            <w:r>
              <w:rPr>
                <w:rFonts w:ascii="Arial" w:cs="Arial" w:eastAsia="Arial" w:hAnsi="Arial"/>
                <w:sz w:val="8"/>
                <w:szCs w:val="8"/>
                <w:b w:val="1"/>
                <w:bCs w:val="1"/>
                <w:color w:val="auto"/>
                <w:w w:val="93"/>
              </w:rPr>
              <w:t>Sale of loan</w:t>
            </w:r>
          </w:p>
        </w:tc>
        <w:tc>
          <w:tcPr>
            <w:tcW w:w="760" w:type="dxa"/>
            <w:vAlign w:val="bottom"/>
            <w:gridSpan w:val="2"/>
          </w:tcPr>
          <w:p>
            <w:pPr>
              <w:jc w:val="center"/>
              <w:ind w:right="136"/>
              <w:spacing w:after="0" w:line="90" w:lineRule="exact"/>
              <w:rPr>
                <w:sz w:val="20"/>
                <w:szCs w:val="20"/>
                <w:color w:val="auto"/>
              </w:rPr>
            </w:pPr>
            <w:r>
              <w:rPr>
                <w:rFonts w:ascii="Arial" w:cs="Arial" w:eastAsia="Arial" w:hAnsi="Arial"/>
                <w:sz w:val="8"/>
                <w:szCs w:val="8"/>
                <w:b w:val="1"/>
                <w:bCs w:val="1"/>
                <w:color w:val="auto"/>
                <w:w w:val="93"/>
              </w:rPr>
              <w:t>differences</w:t>
            </w:r>
          </w:p>
        </w:tc>
        <w:tc>
          <w:tcPr>
            <w:tcW w:w="64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December 31,</w:t>
            </w:r>
          </w:p>
        </w:tc>
        <w:tc>
          <w:tcPr>
            <w:tcW w:w="0" w:type="dxa"/>
            <w:vAlign w:val="bottom"/>
          </w:tcPr>
          <w:p>
            <w:pPr>
              <w:spacing w:after="0"/>
              <w:rPr>
                <w:sz w:val="1"/>
                <w:szCs w:val="1"/>
                <w:color w:val="auto"/>
              </w:rPr>
            </w:pPr>
          </w:p>
        </w:tc>
      </w:tr>
      <w:tr>
        <w:trPr>
          <w:trHeight w:val="101"/>
        </w:trPr>
        <w:tc>
          <w:tcPr>
            <w:tcW w:w="2600" w:type="dxa"/>
            <w:vAlign w:val="bottom"/>
            <w:gridSpan w:val="2"/>
          </w:tcPr>
          <w:p>
            <w:pPr>
              <w:spacing w:after="0"/>
              <w:rPr>
                <w:sz w:val="20"/>
                <w:szCs w:val="20"/>
                <w:color w:val="auto"/>
              </w:rPr>
            </w:pPr>
            <w:r>
              <w:rPr>
                <w:rFonts w:ascii="Arial" w:cs="Arial" w:eastAsia="Arial" w:hAnsi="Arial"/>
                <w:sz w:val="8"/>
                <w:szCs w:val="8"/>
                <w:b w:val="1"/>
                <w:bCs w:val="1"/>
                <w:color w:val="auto"/>
              </w:rPr>
              <w:t>Loans by class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2017</w:t>
            </w:r>
          </w:p>
        </w:tc>
        <w:tc>
          <w:tcPr>
            <w:tcW w:w="22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8"/>
              </w:rPr>
              <w:t>9</w:t>
            </w:r>
          </w:p>
        </w:tc>
        <w:tc>
          <w:tcPr>
            <w:tcW w:w="20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2018</w:t>
            </w:r>
          </w:p>
        </w:tc>
        <w:tc>
          <w:tcPr>
            <w:tcW w:w="220" w:type="dxa"/>
            <w:vAlign w:val="bottom"/>
          </w:tcPr>
          <w:p>
            <w:pPr>
              <w:spacing w:after="0"/>
              <w:rPr>
                <w:sz w:val="8"/>
                <w:szCs w:val="8"/>
                <w:color w:val="auto"/>
              </w:rPr>
            </w:pPr>
          </w:p>
        </w:tc>
        <w:tc>
          <w:tcPr>
            <w:tcW w:w="760" w:type="dxa"/>
            <w:vAlign w:val="bottom"/>
            <w:gridSpan w:val="2"/>
          </w:tcPr>
          <w:p>
            <w:pPr>
              <w:jc w:val="center"/>
              <w:ind w:right="158"/>
              <w:spacing w:after="0"/>
              <w:rPr>
                <w:sz w:val="20"/>
                <w:szCs w:val="20"/>
                <w:color w:val="auto"/>
              </w:rPr>
            </w:pPr>
            <w:r>
              <w:rPr>
                <w:rFonts w:ascii="Arial" w:cs="Arial" w:eastAsia="Arial" w:hAnsi="Arial"/>
                <w:sz w:val="8"/>
                <w:szCs w:val="8"/>
                <w:b w:val="1"/>
                <w:bCs w:val="1"/>
                <w:color w:val="auto"/>
                <w:w w:val="96"/>
              </w:rPr>
              <w:t>Write-offs, net</w:t>
            </w:r>
          </w:p>
        </w:tc>
        <w:tc>
          <w:tcPr>
            <w:tcW w:w="760" w:type="dxa"/>
            <w:vAlign w:val="bottom"/>
            <w:gridSpan w:val="3"/>
          </w:tcPr>
          <w:p>
            <w:pPr>
              <w:jc w:val="center"/>
              <w:ind w:right="160"/>
              <w:spacing w:after="0"/>
              <w:rPr>
                <w:sz w:val="20"/>
                <w:szCs w:val="20"/>
                <w:color w:val="auto"/>
              </w:rPr>
            </w:pPr>
            <w:r>
              <w:rPr>
                <w:rFonts w:ascii="Arial" w:cs="Arial" w:eastAsia="Arial" w:hAnsi="Arial"/>
                <w:sz w:val="8"/>
                <w:szCs w:val="8"/>
                <w:b w:val="1"/>
                <w:bCs w:val="1"/>
                <w:color w:val="auto"/>
                <w:w w:val="99"/>
              </w:rPr>
              <w:t>net</w:t>
            </w: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EADs</w:t>
            </w:r>
          </w:p>
        </w:tc>
        <w:tc>
          <w:tcPr>
            <w:tcW w:w="7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classes of loans</w:t>
            </w:r>
          </w:p>
        </w:tc>
        <w:tc>
          <w:tcPr>
            <w:tcW w:w="700" w:type="dxa"/>
            <w:vAlign w:val="bottom"/>
            <w:gridSpan w:val="3"/>
          </w:tcPr>
          <w:p>
            <w:pPr>
              <w:jc w:val="center"/>
              <w:ind w:right="155"/>
              <w:spacing w:after="0"/>
              <w:rPr>
                <w:sz w:val="20"/>
                <w:szCs w:val="20"/>
                <w:color w:val="auto"/>
              </w:rPr>
            </w:pPr>
            <w:r>
              <w:rPr>
                <w:rFonts w:ascii="Arial" w:cs="Arial" w:eastAsia="Arial" w:hAnsi="Arial"/>
                <w:sz w:val="8"/>
                <w:szCs w:val="8"/>
                <w:b w:val="1"/>
                <w:bCs w:val="1"/>
                <w:color w:val="auto"/>
                <w:w w:val="92"/>
              </w:rPr>
              <w:t>portfolio</w:t>
            </w:r>
          </w:p>
        </w:tc>
        <w:tc>
          <w:tcPr>
            <w:tcW w:w="760" w:type="dxa"/>
            <w:vAlign w:val="bottom"/>
            <w:gridSpan w:val="2"/>
          </w:tcPr>
          <w:p>
            <w:pPr>
              <w:jc w:val="center"/>
              <w:ind w:right="116"/>
              <w:spacing w:after="0"/>
              <w:rPr>
                <w:sz w:val="20"/>
                <w:szCs w:val="20"/>
                <w:color w:val="auto"/>
              </w:rPr>
            </w:pPr>
            <w:r>
              <w:rPr>
                <w:rFonts w:ascii="Arial" w:cs="Arial" w:eastAsia="Arial" w:hAnsi="Arial"/>
                <w:sz w:val="8"/>
                <w:szCs w:val="8"/>
                <w:b w:val="1"/>
                <w:bCs w:val="1"/>
                <w:color w:val="auto"/>
                <w:w w:val="92"/>
              </w:rPr>
              <w:t>and others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2018 (*)</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60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60" w:type="dxa"/>
            <w:vAlign w:val="bottom"/>
          </w:tcPr>
          <w:p>
            <w:pPr>
              <w:spacing w:after="0"/>
              <w:rPr>
                <w:sz w:val="6"/>
                <w:szCs w:val="6"/>
                <w:color w:val="auto"/>
              </w:rPr>
            </w:pPr>
          </w:p>
        </w:tc>
        <w:tc>
          <w:tcPr>
            <w:tcW w:w="600" w:type="dxa"/>
            <w:vAlign w:val="bottom"/>
            <w:tcBorders>
              <w:top w:val="single" w:sz="8" w:color="auto"/>
            </w:tcBorders>
          </w:tcPr>
          <w:p>
            <w:pPr>
              <w:jc w:val="center"/>
              <w:ind w:left="18"/>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4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6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Commercial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1,680,126</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75"/>
              <w:spacing w:after="0" w:line="90" w:lineRule="exact"/>
              <w:rPr>
                <w:sz w:val="20"/>
                <w:szCs w:val="20"/>
                <w:color w:val="auto"/>
              </w:rPr>
            </w:pPr>
            <w:r>
              <w:rPr>
                <w:rFonts w:ascii="Arial" w:cs="Arial" w:eastAsia="Arial" w:hAnsi="Arial"/>
                <w:sz w:val="8"/>
                <w:szCs w:val="8"/>
                <w:color w:val="auto"/>
              </w:rPr>
              <w:t>(41,653)</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1,638,473</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(115,366)</w:t>
            </w:r>
          </w:p>
        </w:tc>
        <w:tc>
          <w:tcPr>
            <w:tcW w:w="760" w:type="dxa"/>
            <w:vAlign w:val="bottom"/>
            <w:gridSpan w:val="3"/>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102,313</w:t>
            </w:r>
          </w:p>
        </w:tc>
        <w:tc>
          <w:tcPr>
            <w:tcW w:w="820" w:type="dxa"/>
            <w:vAlign w:val="bottom"/>
            <w:tcBorders>
              <w:left w:val="single" w:sz="8" w:color="CCEEFF"/>
              <w:right w:val="single" w:sz="8" w:color="CCEEFF"/>
            </w:tcBorders>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323,328</w:t>
            </w:r>
          </w:p>
        </w:tc>
        <w:tc>
          <w:tcPr>
            <w:tcW w:w="740" w:type="dxa"/>
            <w:vAlign w:val="bottom"/>
            <w:tcBorders>
              <w:right w:val="single" w:sz="8" w:color="CCEEFF"/>
            </w:tcBorders>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(29,948)</w:t>
            </w:r>
          </w:p>
        </w:tc>
        <w:tc>
          <w:tcPr>
            <w:tcW w:w="700" w:type="dxa"/>
            <w:vAlign w:val="bottom"/>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(48,442)</w:t>
            </w:r>
          </w:p>
        </w:tc>
        <w:tc>
          <w:tcPr>
            <w:tcW w:w="760" w:type="dxa"/>
            <w:vAlign w:val="bottom"/>
            <w:tcBorders>
              <w:left w:val="single" w:sz="8" w:color="CCEEFF"/>
            </w:tcBorders>
            <w:gridSpan w:val="2"/>
            <w:shd w:val="clear" w:color="auto" w:fill="CCEEFF"/>
          </w:tcPr>
          <w:p>
            <w:pPr>
              <w:jc w:val="right"/>
              <w:ind w:right="136"/>
              <w:spacing w:after="0" w:line="90" w:lineRule="exact"/>
              <w:rPr>
                <w:sz w:val="20"/>
                <w:szCs w:val="20"/>
                <w:color w:val="auto"/>
              </w:rPr>
            </w:pPr>
            <w:r>
              <w:rPr>
                <w:rFonts w:ascii="Arial" w:cs="Arial" w:eastAsia="Arial" w:hAnsi="Arial"/>
                <w:sz w:val="8"/>
                <w:szCs w:val="8"/>
                <w:color w:val="auto"/>
              </w:rPr>
              <w:t>(51,229)</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1,819,129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00" w:type="dxa"/>
            <w:vAlign w:val="bottom"/>
            <w:gridSpan w:val="2"/>
          </w:tcPr>
          <w:p>
            <w:pPr>
              <w:spacing w:after="0" w:line="90" w:lineRule="exact"/>
              <w:rPr>
                <w:sz w:val="20"/>
                <w:szCs w:val="20"/>
                <w:color w:val="auto"/>
              </w:rPr>
            </w:pPr>
            <w:r>
              <w:rPr>
                <w:rFonts w:ascii="Arial" w:cs="Arial" w:eastAsia="Arial" w:hAnsi="Arial"/>
                <w:sz w:val="8"/>
                <w:szCs w:val="8"/>
                <w:color w:val="auto"/>
              </w:rPr>
              <w:t>Residential mortgage loans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228,287</w:t>
            </w:r>
          </w:p>
        </w:tc>
        <w:tc>
          <w:tcPr>
            <w:tcW w:w="220" w:type="dxa"/>
            <w:vAlign w:val="bottom"/>
          </w:tcPr>
          <w:p>
            <w:pPr>
              <w:spacing w:after="0"/>
              <w:rPr>
                <w:sz w:val="7"/>
                <w:szCs w:val="7"/>
                <w:color w:val="auto"/>
              </w:rPr>
            </w:pPr>
          </w:p>
        </w:tc>
        <w:tc>
          <w:tcPr>
            <w:tcW w:w="740" w:type="dxa"/>
            <w:vAlign w:val="bottom"/>
            <w:gridSpan w:val="2"/>
          </w:tcPr>
          <w:p>
            <w:pPr>
              <w:jc w:val="right"/>
              <w:ind w:right="195"/>
              <w:spacing w:after="0" w:line="90" w:lineRule="exact"/>
              <w:rPr>
                <w:sz w:val="20"/>
                <w:szCs w:val="20"/>
                <w:color w:val="auto"/>
              </w:rPr>
            </w:pPr>
            <w:r>
              <w:rPr>
                <w:rFonts w:ascii="Arial" w:cs="Arial" w:eastAsia="Arial" w:hAnsi="Arial"/>
                <w:sz w:val="8"/>
                <w:szCs w:val="8"/>
                <w:color w:val="auto"/>
              </w:rPr>
              <w:t>215,161</w:t>
            </w:r>
          </w:p>
        </w:tc>
        <w:tc>
          <w:tcPr>
            <w:tcW w:w="7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443,448</w:t>
            </w:r>
          </w:p>
        </w:tc>
        <w:tc>
          <w:tcPr>
            <w:tcW w:w="7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(11,764)</w:t>
            </w:r>
          </w:p>
        </w:tc>
        <w:tc>
          <w:tcPr>
            <w:tcW w:w="76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(35,763)</w:t>
            </w:r>
          </w:p>
        </w:tc>
        <w:tc>
          <w:tcPr>
            <w:tcW w:w="82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148,246</w:t>
            </w: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758</w:t>
            </w:r>
          </w:p>
        </w:tc>
        <w:tc>
          <w:tcPr>
            <w:tcW w:w="700" w:type="dxa"/>
            <w:vAlign w:val="bottom"/>
            <w:gridSpan w:val="3"/>
          </w:tcPr>
          <w:p>
            <w:pPr>
              <w:jc w:val="right"/>
              <w:ind w:right="135"/>
              <w:spacing w:after="0" w:line="90" w:lineRule="exact"/>
              <w:rPr>
                <w:sz w:val="20"/>
                <w:szCs w:val="20"/>
                <w:color w:val="auto"/>
              </w:rPr>
            </w:pPr>
            <w:r>
              <w:rPr>
                <w:rFonts w:ascii="Arial" w:cs="Arial" w:eastAsia="Arial" w:hAnsi="Arial"/>
                <w:sz w:val="8"/>
                <w:szCs w:val="8"/>
                <w:color w:val="auto"/>
              </w:rPr>
              <w:t>(32,089)</w:t>
            </w:r>
          </w:p>
        </w:tc>
        <w:tc>
          <w:tcPr>
            <w:tcW w:w="760" w:type="dxa"/>
            <w:vAlign w:val="bottom"/>
            <w:gridSpan w:val="2"/>
          </w:tcPr>
          <w:p>
            <w:pPr>
              <w:jc w:val="right"/>
              <w:ind w:right="176"/>
              <w:spacing w:after="0" w:line="90" w:lineRule="exact"/>
              <w:rPr>
                <w:sz w:val="20"/>
                <w:szCs w:val="20"/>
                <w:color w:val="auto"/>
              </w:rPr>
            </w:pPr>
            <w:r>
              <w:rPr>
                <w:rFonts w:ascii="Arial" w:cs="Arial" w:eastAsia="Arial" w:hAnsi="Arial"/>
                <w:sz w:val="8"/>
                <w:szCs w:val="8"/>
                <w:color w:val="auto"/>
              </w:rPr>
              <w:t>11,333</w:t>
            </w:r>
          </w:p>
        </w:tc>
        <w:tc>
          <w:tcPr>
            <w:tcW w:w="6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524,169</w:t>
            </w:r>
          </w:p>
        </w:tc>
        <w:tc>
          <w:tcPr>
            <w:tcW w:w="0" w:type="dxa"/>
            <w:vAlign w:val="bottom"/>
          </w:tcPr>
          <w:p>
            <w:pPr>
              <w:spacing w:after="0"/>
              <w:rPr>
                <w:sz w:val="1"/>
                <w:szCs w:val="1"/>
                <w:color w:val="auto"/>
              </w:rPr>
            </w:pPr>
          </w:p>
        </w:tc>
      </w:tr>
      <w:tr>
        <w:trPr>
          <w:trHeight w:val="90"/>
        </w:trPr>
        <w:tc>
          <w:tcPr>
            <w:tcW w:w="2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Micro-business loans</w:t>
            </w: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1,476,578</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95"/>
              <w:spacing w:after="0" w:line="90" w:lineRule="exact"/>
              <w:rPr>
                <w:sz w:val="20"/>
                <w:szCs w:val="20"/>
                <w:color w:val="auto"/>
              </w:rPr>
            </w:pPr>
            <w:r>
              <w:rPr>
                <w:rFonts w:ascii="Arial" w:cs="Arial" w:eastAsia="Arial" w:hAnsi="Arial"/>
                <w:sz w:val="8"/>
                <w:szCs w:val="8"/>
                <w:color w:val="auto"/>
              </w:rPr>
              <w:t>156,069</w:t>
            </w:r>
          </w:p>
        </w:tc>
        <w:tc>
          <w:tcPr>
            <w:tcW w:w="7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1,632,647</w:t>
            </w:r>
          </w:p>
        </w:tc>
        <w:tc>
          <w:tcPr>
            <w:tcW w:w="7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(695,445)</w:t>
            </w:r>
          </w:p>
        </w:tc>
        <w:tc>
          <w:tcPr>
            <w:tcW w:w="760" w:type="dxa"/>
            <w:vAlign w:val="bottom"/>
            <w:gridSpan w:val="3"/>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123,557</w:t>
            </w:r>
          </w:p>
        </w:tc>
        <w:tc>
          <w:tcPr>
            <w:tcW w:w="820" w:type="dxa"/>
            <w:vAlign w:val="bottom"/>
            <w:tcBorders>
              <w:left w:val="single" w:sz="8" w:color="CCEEFF"/>
              <w:right w:val="single" w:sz="8" w:color="CCEEFF"/>
            </w:tcBorders>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552,459</w:t>
            </w:r>
          </w:p>
        </w:tc>
        <w:tc>
          <w:tcPr>
            <w:tcW w:w="740" w:type="dxa"/>
            <w:vAlign w:val="bottom"/>
            <w:tcBorders>
              <w:right w:val="single" w:sz="8" w:color="CCEEFF"/>
            </w:tcBorders>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29,453</w:t>
            </w:r>
          </w:p>
        </w:tc>
        <w:tc>
          <w:tcPr>
            <w:tcW w:w="700" w:type="dxa"/>
            <w:vAlign w:val="bottom"/>
            <w:gridSpan w:val="3"/>
            <w:shd w:val="clear" w:color="auto" w:fill="CCEEFF"/>
          </w:tcPr>
          <w:p>
            <w:pPr>
              <w:jc w:val="right"/>
              <w:ind w:right="135"/>
              <w:spacing w:after="0" w:line="90" w:lineRule="exact"/>
              <w:rPr>
                <w:sz w:val="20"/>
                <w:szCs w:val="20"/>
                <w:color w:val="auto"/>
              </w:rPr>
            </w:pPr>
            <w:r>
              <w:rPr>
                <w:rFonts w:ascii="Arial" w:cs="Arial" w:eastAsia="Arial" w:hAnsi="Arial"/>
                <w:sz w:val="8"/>
                <w:szCs w:val="8"/>
                <w:color w:val="auto"/>
              </w:rPr>
              <w:t>(67,682)</w:t>
            </w:r>
          </w:p>
        </w:tc>
        <w:tc>
          <w:tcPr>
            <w:tcW w:w="760" w:type="dxa"/>
            <w:vAlign w:val="bottom"/>
            <w:tcBorders>
              <w:left w:val="single" w:sz="8" w:color="CCEEFF"/>
            </w:tcBorders>
            <w:gridSpan w:val="2"/>
            <w:shd w:val="clear" w:color="auto" w:fill="CCEEFF"/>
          </w:tcPr>
          <w:p>
            <w:pPr>
              <w:jc w:val="right"/>
              <w:ind w:right="176"/>
              <w:spacing w:after="0" w:line="90" w:lineRule="exact"/>
              <w:rPr>
                <w:sz w:val="20"/>
                <w:szCs w:val="20"/>
                <w:color w:val="auto"/>
              </w:rPr>
            </w:pPr>
            <w:r>
              <w:rPr>
                <w:rFonts w:ascii="Arial" w:cs="Arial" w:eastAsia="Arial" w:hAnsi="Arial"/>
                <w:sz w:val="8"/>
                <w:szCs w:val="8"/>
                <w:color w:val="auto"/>
              </w:rPr>
              <w:t>10,415</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1,585,404</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rPr>
                <w:sz w:val="20"/>
                <w:szCs w:val="20"/>
                <w:color w:val="auto"/>
              </w:rPr>
            </w:pPr>
            <w:r>
              <w:rPr>
                <w:rFonts w:ascii="Arial" w:cs="Arial" w:eastAsia="Arial" w:hAnsi="Arial"/>
                <w:sz w:val="8"/>
                <w:szCs w:val="8"/>
                <w:color w:val="auto"/>
              </w:rPr>
              <w:t>Consumer loans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1,558,017</w:t>
            </w:r>
          </w:p>
        </w:tc>
        <w:tc>
          <w:tcPr>
            <w:tcW w:w="220" w:type="dxa"/>
            <w:vAlign w:val="bottom"/>
          </w:tcPr>
          <w:p>
            <w:pPr>
              <w:spacing w:after="0"/>
              <w:rPr>
                <w:sz w:val="8"/>
                <w:szCs w:val="8"/>
                <w:color w:val="auto"/>
              </w:rPr>
            </w:pPr>
          </w:p>
        </w:tc>
        <w:tc>
          <w:tcPr>
            <w:tcW w:w="740" w:type="dxa"/>
            <w:vAlign w:val="bottom"/>
            <w:gridSpan w:val="2"/>
          </w:tcPr>
          <w:p>
            <w:pPr>
              <w:jc w:val="right"/>
              <w:ind w:right="175"/>
              <w:spacing w:after="0"/>
              <w:rPr>
                <w:sz w:val="20"/>
                <w:szCs w:val="20"/>
                <w:color w:val="auto"/>
              </w:rPr>
            </w:pPr>
            <w:r>
              <w:rPr>
                <w:rFonts w:ascii="Arial" w:cs="Arial" w:eastAsia="Arial" w:hAnsi="Arial"/>
                <w:sz w:val="8"/>
                <w:szCs w:val="8"/>
                <w:color w:val="auto"/>
              </w:rPr>
              <w:t>(8,625)</w:t>
            </w:r>
          </w:p>
        </w:tc>
        <w:tc>
          <w:tcPr>
            <w:tcW w:w="760" w:type="dxa"/>
            <w:vAlign w:val="bottom"/>
            <w:gridSpan w:val="2"/>
          </w:tcPr>
          <w:p>
            <w:pPr>
              <w:jc w:val="right"/>
              <w:ind w:right="220"/>
              <w:spacing w:after="0"/>
              <w:rPr>
                <w:sz w:val="20"/>
                <w:szCs w:val="20"/>
                <w:color w:val="auto"/>
              </w:rPr>
            </w:pPr>
            <w:r>
              <w:rPr>
                <w:rFonts w:ascii="Arial" w:cs="Arial" w:eastAsia="Arial" w:hAnsi="Arial"/>
                <w:sz w:val="8"/>
                <w:szCs w:val="8"/>
                <w:color w:val="auto"/>
              </w:rPr>
              <w:t>1,549,392</w:t>
            </w:r>
          </w:p>
        </w:tc>
        <w:tc>
          <w:tcPr>
            <w:tcW w:w="760" w:type="dxa"/>
            <w:vAlign w:val="bottom"/>
            <w:gridSpan w:val="2"/>
          </w:tcPr>
          <w:p>
            <w:pPr>
              <w:jc w:val="right"/>
              <w:ind w:right="138"/>
              <w:spacing w:after="0"/>
              <w:rPr>
                <w:sz w:val="20"/>
                <w:szCs w:val="20"/>
                <w:color w:val="auto"/>
              </w:rPr>
            </w:pPr>
            <w:r>
              <w:rPr>
                <w:rFonts w:ascii="Arial" w:cs="Arial" w:eastAsia="Arial" w:hAnsi="Arial"/>
                <w:sz w:val="8"/>
                <w:szCs w:val="8"/>
                <w:color w:val="auto"/>
              </w:rPr>
              <w:t>(759,621)</w:t>
            </w:r>
          </w:p>
        </w:tc>
        <w:tc>
          <w:tcPr>
            <w:tcW w:w="760" w:type="dxa"/>
            <w:vAlign w:val="bottom"/>
            <w:gridSpan w:val="3"/>
          </w:tcPr>
          <w:p>
            <w:pPr>
              <w:jc w:val="right"/>
              <w:ind w:right="160"/>
              <w:spacing w:after="0"/>
              <w:rPr>
                <w:sz w:val="20"/>
                <w:szCs w:val="20"/>
                <w:color w:val="auto"/>
              </w:rPr>
            </w:pPr>
            <w:r>
              <w:rPr>
                <w:rFonts w:ascii="Arial" w:cs="Arial" w:eastAsia="Arial" w:hAnsi="Arial"/>
                <w:sz w:val="8"/>
                <w:szCs w:val="8"/>
                <w:color w:val="auto"/>
              </w:rPr>
              <w:t>117,345</w:t>
            </w:r>
          </w:p>
        </w:tc>
        <w:tc>
          <w:tcPr>
            <w:tcW w:w="820" w:type="dxa"/>
            <w:vAlign w:val="bottom"/>
            <w:gridSpan w:val="2"/>
          </w:tcPr>
          <w:p>
            <w:pPr>
              <w:jc w:val="right"/>
              <w:ind w:right="220"/>
              <w:spacing w:after="0"/>
              <w:rPr>
                <w:sz w:val="20"/>
                <w:szCs w:val="20"/>
                <w:color w:val="auto"/>
              </w:rPr>
            </w:pPr>
            <w:r>
              <w:rPr>
                <w:rFonts w:ascii="Arial" w:cs="Arial" w:eastAsia="Arial" w:hAnsi="Arial"/>
                <w:sz w:val="8"/>
                <w:szCs w:val="8"/>
                <w:color w:val="auto"/>
              </w:rPr>
              <w:t>483,413</w:t>
            </w:r>
          </w:p>
        </w:tc>
        <w:tc>
          <w:tcPr>
            <w:tcW w:w="740" w:type="dxa"/>
            <w:vAlign w:val="bottom"/>
            <w:gridSpan w:val="2"/>
          </w:tcPr>
          <w:p>
            <w:pPr>
              <w:jc w:val="right"/>
              <w:ind w:right="180"/>
              <w:spacing w:after="0"/>
              <w:rPr>
                <w:sz w:val="20"/>
                <w:szCs w:val="20"/>
                <w:color w:val="auto"/>
              </w:rPr>
            </w:pPr>
            <w:r>
              <w:rPr>
                <w:rFonts w:ascii="Arial" w:cs="Arial" w:eastAsia="Arial" w:hAnsi="Arial"/>
                <w:sz w:val="8"/>
                <w:szCs w:val="8"/>
                <w:color w:val="auto"/>
              </w:rPr>
              <w:t>(263)</w:t>
            </w:r>
          </w:p>
        </w:tc>
        <w:tc>
          <w:tcPr>
            <w:tcW w:w="700" w:type="dxa"/>
            <w:vAlign w:val="bottom"/>
            <w:gridSpan w:val="3"/>
          </w:tcPr>
          <w:p>
            <w:pPr>
              <w:jc w:val="right"/>
              <w:ind w:right="135"/>
              <w:spacing w:after="0"/>
              <w:rPr>
                <w:sz w:val="20"/>
                <w:szCs w:val="20"/>
                <w:color w:val="auto"/>
              </w:rPr>
            </w:pPr>
            <w:r>
              <w:rPr>
                <w:rFonts w:ascii="Arial" w:cs="Arial" w:eastAsia="Arial" w:hAnsi="Arial"/>
                <w:sz w:val="8"/>
                <w:szCs w:val="8"/>
                <w:color w:val="auto"/>
              </w:rPr>
              <w:t>(10,338)</w:t>
            </w:r>
          </w:p>
        </w:tc>
        <w:tc>
          <w:tcPr>
            <w:tcW w:w="760" w:type="dxa"/>
            <w:vAlign w:val="bottom"/>
            <w:gridSpan w:val="2"/>
          </w:tcPr>
          <w:p>
            <w:pPr>
              <w:jc w:val="right"/>
              <w:ind w:right="176"/>
              <w:spacing w:after="0"/>
              <w:rPr>
                <w:sz w:val="20"/>
                <w:szCs w:val="20"/>
                <w:color w:val="auto"/>
              </w:rPr>
            </w:pPr>
            <w:r>
              <w:rPr>
                <w:rFonts w:ascii="Arial" w:cs="Arial" w:eastAsia="Arial" w:hAnsi="Arial"/>
                <w:sz w:val="8"/>
                <w:szCs w:val="8"/>
                <w:color w:val="auto"/>
              </w:rPr>
              <w:t>5,901</w:t>
            </w:r>
          </w:p>
        </w:tc>
        <w:tc>
          <w:tcPr>
            <w:tcW w:w="540" w:type="dxa"/>
            <w:vAlign w:val="bottom"/>
          </w:tcPr>
          <w:p>
            <w:pPr>
              <w:jc w:val="right"/>
              <w:spacing w:after="0"/>
              <w:rPr>
                <w:sz w:val="20"/>
                <w:szCs w:val="20"/>
                <w:color w:val="auto"/>
              </w:rPr>
            </w:pPr>
            <w:r>
              <w:rPr>
                <w:rFonts w:ascii="Arial" w:cs="Arial" w:eastAsia="Arial" w:hAnsi="Arial"/>
                <w:sz w:val="8"/>
                <w:szCs w:val="8"/>
                <w:color w:val="auto"/>
              </w:rPr>
              <w:t>1,385,829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ind w:right="135"/>
              <w:spacing w:after="0"/>
              <w:rPr>
                <w:sz w:val="20"/>
                <w:szCs w:val="20"/>
                <w:color w:val="auto"/>
              </w:rPr>
            </w:pPr>
            <w:r>
              <w:rPr>
                <w:rFonts w:ascii="Arial" w:cs="Arial" w:eastAsia="Arial" w:hAnsi="Arial"/>
                <w:sz w:val="1"/>
                <w:szCs w:val="1"/>
                <w:color w:val="auto"/>
                <w:w w:val="4294967281"/>
              </w:rPr>
              <w:t>)</w:t>
            </w:r>
          </w:p>
        </w:tc>
        <w:tc>
          <w:tcPr>
            <w:tcW w:w="5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36"/>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0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4,943,008</w:t>
            </w: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320,952</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5,263,960</w:t>
            </w: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(1,582,196</w:t>
            </w:r>
          </w:p>
        </w:tc>
        <w:tc>
          <w:tcPr>
            <w:tcW w:w="220" w:type="dxa"/>
            <w:vAlign w:val="bottom"/>
            <w:vMerge w:val="continue"/>
            <w:shd w:val="clear" w:color="auto" w:fill="CCEEFF"/>
          </w:tcPr>
          <w:p>
            <w:pPr>
              <w:spacing w:after="0"/>
              <w:rPr>
                <w:sz w:val="7"/>
                <w:szCs w:val="7"/>
                <w:color w:val="auto"/>
              </w:rPr>
            </w:pPr>
          </w:p>
        </w:tc>
        <w:tc>
          <w:tcPr>
            <w:tcW w:w="760" w:type="dxa"/>
            <w:vAlign w:val="bottom"/>
            <w:gridSpan w:val="3"/>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307,452</w:t>
            </w:r>
          </w:p>
        </w:tc>
        <w:tc>
          <w:tcPr>
            <w:tcW w:w="820" w:type="dxa"/>
            <w:vAlign w:val="bottom"/>
            <w:tcBorders>
              <w:left w:val="single" w:sz="8" w:color="CCEEFF"/>
              <w:right w:val="single" w:sz="8" w:color="CCEEFF"/>
            </w:tcBorders>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1,507,446</w:t>
            </w:r>
          </w:p>
        </w:tc>
        <w:tc>
          <w:tcPr>
            <w:tcW w:w="740" w:type="dxa"/>
            <w:vAlign w:val="bottom"/>
            <w:tcBorders>
              <w:right w:val="single" w:sz="8" w:color="CCEEFF"/>
            </w:tcBorders>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(158,551</w:t>
            </w:r>
          </w:p>
        </w:tc>
        <w:tc>
          <w:tcPr>
            <w:tcW w:w="160" w:type="dxa"/>
            <w:vAlign w:val="bottom"/>
            <w:vMerge w:val="continue"/>
            <w:shd w:val="clear" w:color="auto" w:fill="CCEEFF"/>
          </w:tcPr>
          <w:p>
            <w:pPr>
              <w:spacing w:after="0"/>
              <w:rPr>
                <w:sz w:val="7"/>
                <w:szCs w:val="7"/>
                <w:color w:val="auto"/>
              </w:rPr>
            </w:pPr>
          </w:p>
        </w:tc>
        <w:tc>
          <w:tcPr>
            <w:tcW w:w="560" w:type="dxa"/>
            <w:vAlign w:val="bottom"/>
            <w:tcBorders>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(23,580</w:t>
            </w:r>
          </w:p>
        </w:tc>
        <w:tc>
          <w:tcPr>
            <w:tcW w:w="20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5,314,531</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tcBorders>
              <w:left w:val="single" w:sz="8" w:color="CCEEFF"/>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tcBorders>
              <w:left w:val="single" w:sz="8" w:color="CCEEFF"/>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8" w:firstLine="8"/>
        <w:spacing w:after="0" w:line="263"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movement in the allowance for loan losses of the period 2019 includes the allowance for direct and indirect loans for approximately S/5,124.0 million and S/383.8 million, respectively (approximately S/4,952.4 million and S/362.1 million, respectively, at December 31, 2018). The expected loan loss for indirect loan is included in “Other liabilities” of the consolidated statement of financial position, Note 13(a). In Management’s opinion, the allowance for loan losses recorded as of December 31, 2019 and 2018 has been established in accordance with IFRS 9 and is sufficient to cover incurred losses on the loan portfolio.</w:t>
      </w:r>
    </w:p>
    <w:p>
      <w:pPr>
        <w:spacing w:after="0" w:line="266" w:lineRule="exact"/>
        <w:rPr>
          <w:rFonts w:ascii="Arial" w:cs="Arial" w:eastAsia="Arial" w:hAnsi="Arial"/>
          <w:sz w:val="12"/>
          <w:szCs w:val="12"/>
          <w:color w:val="auto"/>
        </w:rPr>
      </w:pPr>
    </w:p>
    <w:p>
      <w:pPr>
        <w:ind w:left="5472" w:hanging="72"/>
        <w:spacing w:after="0"/>
        <w:tabs>
          <w:tab w:leader="none" w:pos="5472" w:val="left"/>
        </w:tabs>
        <w:numPr>
          <w:ilvl w:val="1"/>
          <w:numId w:val="100"/>
        </w:numPr>
        <w:rPr>
          <w:rFonts w:ascii="Arial" w:cs="Arial" w:eastAsia="Arial" w:hAnsi="Arial"/>
          <w:sz w:val="12"/>
          <w:szCs w:val="12"/>
          <w:color w:val="auto"/>
        </w:rPr>
      </w:pPr>
      <w:r>
        <w:rPr>
          <w:rFonts w:ascii="Arial" w:cs="Arial" w:eastAsia="Arial" w:hAnsi="Arial"/>
          <w:sz w:val="12"/>
          <w:szCs w:val="12"/>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52"/>
          </w:cols>
          <w:pgMar w:left="428" w:top="606" w:right="219" w:bottom="1440" w:gutter="0" w:footer="0" w:header="0"/>
        </w:sectPr>
      </w:pPr>
    </w:p>
    <w:bookmarkStart w:id="87" w:name="page88"/>
    <w:bookmarkEnd w:id="87"/>
    <w:p>
      <w:pPr>
        <w:ind w:right="120"/>
        <w:spacing w:after="0" w:line="276" w:lineRule="auto"/>
        <w:rPr>
          <w:sz w:val="20"/>
          <w:szCs w:val="20"/>
          <w:color w:val="auto"/>
        </w:rPr>
      </w:pPr>
      <w:r>
        <w:rPr>
          <w:rFonts w:ascii="Arial" w:cs="Arial" w:eastAsia="Arial" w:hAnsi="Arial"/>
          <w:sz w:val="12"/>
          <w:szCs w:val="12"/>
          <w:color w:val="auto"/>
        </w:rPr>
        <w:t>As of December 31, 2017, the allowance for loan losses for direct and indirect loans was determined under incurred credit losses model as established in the IAS 39. The movement in the allowance for loan losses is shown below for direct and indirect loans: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Balance as of</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Exchange</w:t>
            </w: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Balance as of</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w:t>
            </w: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Allowance for</w:t>
            </w:r>
          </w:p>
        </w:tc>
        <w:tc>
          <w:tcPr>
            <w:tcW w:w="12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Loan portfolio</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differences</w:t>
            </w: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Loans by class</w:t>
            </w:r>
          </w:p>
        </w:tc>
        <w:tc>
          <w:tcPr>
            <w:tcW w:w="1100" w:type="dxa"/>
            <w:vAlign w:val="bottom"/>
          </w:tcPr>
          <w:p>
            <w:pPr>
              <w:jc w:val="right"/>
              <w:ind w:right="360"/>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loan losses</w:t>
            </w:r>
          </w:p>
        </w:tc>
        <w:tc>
          <w:tcPr>
            <w:tcW w:w="12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written-off</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and others</w:t>
            </w:r>
          </w:p>
        </w:tc>
        <w:tc>
          <w:tcPr>
            <w:tcW w:w="1080" w:type="dxa"/>
            <w:vAlign w:val="bottom"/>
          </w:tcPr>
          <w:p>
            <w:pPr>
              <w:jc w:val="right"/>
              <w:ind w:right="280"/>
              <w:spacing w:after="0"/>
              <w:rPr>
                <w:sz w:val="20"/>
                <w:szCs w:val="20"/>
                <w:color w:val="auto"/>
              </w:rPr>
            </w:pPr>
            <w:r>
              <w:rPr>
                <w:rFonts w:ascii="Arial" w:cs="Arial" w:eastAsia="Arial" w:hAnsi="Arial"/>
                <w:sz w:val="12"/>
                <w:szCs w:val="12"/>
                <w:b w:val="1"/>
                <w:bCs w:val="1"/>
                <w:color w:val="auto"/>
              </w:rPr>
              <w:t>2017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 loans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1,235,970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737,929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(217,160)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(76,613)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1,680,126</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Residential mortgage loans</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193,385</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50,663</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(10,662)</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(5,099)</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228,287</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Micro-business loans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1,353,168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576,931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(437,594)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(15,927)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1,476,578</w:t>
            </w:r>
          </w:p>
        </w:tc>
        <w:tc>
          <w:tcPr>
            <w:tcW w:w="0" w:type="dxa"/>
            <w:vAlign w:val="bottom"/>
          </w:tcPr>
          <w:p>
            <w:pPr>
              <w:spacing w:after="0"/>
              <w:rPr>
                <w:sz w:val="1"/>
                <w:szCs w:val="1"/>
                <w:color w:val="auto"/>
              </w:rPr>
            </w:pPr>
          </w:p>
        </w:tc>
      </w:tr>
      <w:tr>
        <w:trPr>
          <w:trHeight w:val="153"/>
        </w:trPr>
        <w:tc>
          <w:tcPr>
            <w:tcW w:w="3520" w:type="dxa"/>
            <w:vAlign w:val="bottom"/>
            <w:gridSpan w:val="2"/>
          </w:tcPr>
          <w:p>
            <w:pPr>
              <w:spacing w:after="0"/>
              <w:rPr>
                <w:sz w:val="20"/>
                <w:szCs w:val="20"/>
                <w:color w:val="auto"/>
              </w:rPr>
            </w:pPr>
            <w:r>
              <w:rPr>
                <w:rFonts w:ascii="Arial" w:cs="Arial" w:eastAsia="Arial" w:hAnsi="Arial"/>
                <w:sz w:val="12"/>
                <w:szCs w:val="12"/>
                <w:color w:val="auto"/>
              </w:rPr>
              <w:t>Consumer loans</w:t>
            </w:r>
          </w:p>
        </w:tc>
        <w:tc>
          <w:tcPr>
            <w:tcW w:w="1100" w:type="dxa"/>
            <w:vAlign w:val="bottom"/>
          </w:tcPr>
          <w:p>
            <w:pPr>
              <w:jc w:val="right"/>
              <w:spacing w:after="0"/>
              <w:rPr>
                <w:sz w:val="20"/>
                <w:szCs w:val="20"/>
                <w:color w:val="auto"/>
              </w:rPr>
            </w:pPr>
            <w:r>
              <w:rPr>
                <w:rFonts w:ascii="Arial" w:cs="Arial" w:eastAsia="Arial" w:hAnsi="Arial"/>
                <w:sz w:val="12"/>
                <w:szCs w:val="12"/>
                <w:color w:val="auto"/>
              </w:rPr>
              <w:t>1,634,169</w:t>
            </w:r>
          </w:p>
        </w:tc>
        <w:tc>
          <w:tcPr>
            <w:tcW w:w="18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691,955</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(760,785)</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(7,322)</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1,558,017</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gridSpan w:val="2"/>
            <w:vMerge w:val="continue"/>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4,416,692</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2,057,478</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(1,426,201</w:t>
            </w:r>
          </w:p>
        </w:tc>
        <w:tc>
          <w:tcPr>
            <w:tcW w:w="200" w:type="dxa"/>
            <w:vAlign w:val="bottom"/>
            <w:vMerge w:val="continue"/>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(104,961</w:t>
            </w:r>
          </w:p>
        </w:tc>
        <w:tc>
          <w:tcPr>
            <w:tcW w:w="18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4,943,008</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hanging="212"/>
        <w:spacing w:after="0" w:line="276" w:lineRule="auto"/>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movement in the allowance for loan losses for 2017 included the allowance for direct and indirect loans for approximately S/4,500.5 million and S/442.5 million, respectively. In Management’s opinion, the allowance for loan losses recorded as of December 31, 2017 was established in accordance with IAS 39 and was sufficient to cover incurred losses on the loan portfolio.</w:t>
      </w:r>
    </w:p>
    <w:p>
      <w:pPr>
        <w:spacing w:after="0" w:line="115"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Interest rates on loans are set considering the rates prevailing in the markets where the Group’s subsidiaries operate.</w:t>
      </w:r>
    </w:p>
    <w:p>
      <w:pPr>
        <w:spacing w:after="0" w:line="294" w:lineRule="exact"/>
        <w:rPr>
          <w:rFonts w:ascii="Arial" w:cs="Arial" w:eastAsia="Arial" w:hAnsi="Arial"/>
          <w:sz w:val="12"/>
          <w:szCs w:val="12"/>
          <w:color w:val="auto"/>
        </w:rPr>
      </w:pPr>
    </w:p>
    <w:p>
      <w:pPr>
        <w:ind w:left="5480" w:hanging="72"/>
        <w:spacing w:after="0"/>
        <w:tabs>
          <w:tab w:leader="none" w:pos="548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80"/>
          </w:cols>
          <w:pgMar w:left="420" w:top="797" w:right="199" w:bottom="1440" w:gutter="0" w:footer="0" w:header="0"/>
        </w:sectPr>
      </w:pPr>
    </w:p>
    <w:bookmarkStart w:id="88" w:name="page89"/>
    <w:bookmarkEnd w:id="88"/>
    <w:p>
      <w:pPr>
        <w:ind w:left="428" w:hanging="212"/>
        <w:spacing w:after="0"/>
        <w:tabs>
          <w:tab w:leader="none" w:pos="4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 portion of the loan portfolio is collateralized with guarantees received from customers, which mainly consist of mortgages, trust assignments, securities and industrial and mercantile pledges.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following table presents the gross direct loan portfolio at December 31, 2019 and 2018 by maturity based on the remaining period to the payment due date:</w:t>
      </w:r>
    </w:p>
    <w:p>
      <w:pPr>
        <w:spacing w:after="0" w:line="155" w:lineRule="exact"/>
        <w:rPr>
          <w:sz w:val="20"/>
          <w:szCs w:val="20"/>
          <w:color w:val="auto"/>
        </w:rPr>
      </w:pPr>
    </w:p>
    <w:tbl>
      <w:tblPr>
        <w:tblLayout w:type="fixed"/>
        <w:tblInd w:w="428" w:type="dxa"/>
        <w:tblCellMar>
          <w:top w:w="0" w:type="dxa"/>
          <w:left w:w="0" w:type="dxa"/>
          <w:bottom w:w="0" w:type="dxa"/>
          <w:right w:w="0" w:type="dxa"/>
        </w:tblCellMar>
      </w:tblPr>
      <w:tr>
        <w:trPr>
          <w:trHeight w:val="157"/>
        </w:trPr>
        <w:tc>
          <w:tcPr>
            <w:tcW w:w="7600" w:type="dxa"/>
            <w:vAlign w:val="bottom"/>
          </w:tcPr>
          <w:p>
            <w:pPr>
              <w:spacing w:after="0"/>
              <w:rPr>
                <w:sz w:val="13"/>
                <w:szCs w:val="13"/>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76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7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Outstanding loans -</w:t>
            </w: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Arial" w:cs="Arial" w:eastAsia="Arial" w:hAnsi="Arial"/>
                <w:sz w:val="12"/>
                <w:szCs w:val="12"/>
                <w:color w:val="auto"/>
              </w:rPr>
              <w:t>Up to 1 year</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53,306,936</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49,219,931</w:t>
            </w:r>
          </w:p>
        </w:tc>
      </w:tr>
      <w:tr>
        <w:trPr>
          <w:trHeight w:val="144"/>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24,586,441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25,763,021</w:t>
            </w:r>
          </w:p>
        </w:tc>
      </w:tr>
      <w:tr>
        <w:trPr>
          <w:trHeight w:val="144"/>
        </w:trPr>
        <w:tc>
          <w:tcPr>
            <w:tcW w:w="7600" w:type="dxa"/>
            <w:vAlign w:val="bottom"/>
          </w:tcPr>
          <w:p>
            <w:pPr>
              <w:spacing w:after="0"/>
              <w:rPr>
                <w:sz w:val="20"/>
                <w:szCs w:val="20"/>
                <w:color w:val="auto"/>
              </w:rPr>
            </w:pPr>
            <w:r>
              <w:rPr>
                <w:rFonts w:ascii="Arial" w:cs="Arial" w:eastAsia="Arial" w:hAnsi="Arial"/>
                <w:sz w:val="12"/>
                <w:szCs w:val="12"/>
                <w:color w:val="auto"/>
              </w:rPr>
              <w:t>From 3 to 5 years</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9,615,514</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10,300,621</w:t>
            </w:r>
          </w:p>
        </w:tc>
      </w:tr>
      <w:tr>
        <w:trPr>
          <w:trHeight w:val="153"/>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23,994,181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21,557,430</w:t>
            </w:r>
          </w:p>
        </w:tc>
      </w:tr>
      <w:tr>
        <w:trPr>
          <w:trHeight w:val="133"/>
        </w:trPr>
        <w:tc>
          <w:tcPr>
            <w:tcW w:w="7600" w:type="dxa"/>
            <w:vAlign w:val="bottom"/>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111,503,072</w:t>
            </w:r>
          </w:p>
        </w:tc>
        <w:tc>
          <w:tcPr>
            <w:tcW w:w="20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106,841,003</w:t>
            </w:r>
          </w:p>
        </w:tc>
        <w:tc>
          <w:tcPr>
            <w:tcW w:w="100" w:type="dxa"/>
            <w:vAlign w:val="bottom"/>
          </w:tcPr>
          <w:p>
            <w:pPr>
              <w:spacing w:after="0"/>
              <w:rPr>
                <w:sz w:val="11"/>
                <w:szCs w:val="11"/>
                <w:color w:val="auto"/>
              </w:rPr>
            </w:pPr>
          </w:p>
        </w:tc>
      </w:tr>
      <w:tr>
        <w:trPr>
          <w:trHeight w:val="144"/>
        </w:trPr>
        <w:tc>
          <w:tcPr>
            <w:tcW w:w="7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Internal overdue loans -</w:t>
            </w: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Arial" w:cs="Arial" w:eastAsia="Arial" w:hAnsi="Arial"/>
                <w:sz w:val="12"/>
                <w:szCs w:val="12"/>
                <w:color w:val="auto"/>
              </w:rPr>
              <w:t>Overdue 90 days</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692,161</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635,893</w:t>
            </w:r>
          </w:p>
        </w:tc>
      </w:tr>
      <w:tr>
        <w:trPr>
          <w:trHeight w:val="153"/>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Over 90 days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2,612,725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2,483,728</w:t>
            </w:r>
          </w:p>
        </w:tc>
      </w:tr>
      <w:tr>
        <w:trPr>
          <w:trHeight w:val="133"/>
        </w:trPr>
        <w:tc>
          <w:tcPr>
            <w:tcW w:w="7600" w:type="dxa"/>
            <w:vAlign w:val="bottom"/>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3,304,886</w:t>
            </w:r>
          </w:p>
        </w:tc>
        <w:tc>
          <w:tcPr>
            <w:tcW w:w="20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3,119,621</w:t>
            </w:r>
          </w:p>
        </w:tc>
        <w:tc>
          <w:tcPr>
            <w:tcW w:w="100" w:type="dxa"/>
            <w:vAlign w:val="bottom"/>
          </w:tcPr>
          <w:p>
            <w:pPr>
              <w:spacing w:after="0"/>
              <w:rPr>
                <w:sz w:val="11"/>
                <w:szCs w:val="11"/>
                <w:color w:val="auto"/>
              </w:rPr>
            </w:pPr>
          </w:p>
        </w:tc>
      </w:tr>
      <w:tr>
        <w:trPr>
          <w:trHeight w:val="153"/>
        </w:trPr>
        <w:tc>
          <w:tcPr>
            <w:tcW w:w="760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76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114,807,958</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109,960,624</w:t>
            </w:r>
          </w:p>
        </w:tc>
      </w:tr>
      <w:tr>
        <w:trPr>
          <w:trHeight w:val="288"/>
        </w:trPr>
        <w:tc>
          <w:tcPr>
            <w:tcW w:w="7600" w:type="dxa"/>
            <w:vAlign w:val="bottom"/>
          </w:tcPr>
          <w:p>
            <w:pPr>
              <w:spacing w:after="0"/>
              <w:rPr>
                <w:sz w:val="20"/>
                <w:szCs w:val="20"/>
                <w:color w:val="auto"/>
              </w:rPr>
            </w:pPr>
            <w:r>
              <w:rPr>
                <w:rFonts w:ascii="Arial" w:cs="Arial" w:eastAsia="Arial" w:hAnsi="Arial"/>
                <w:sz w:val="12"/>
                <w:szCs w:val="12"/>
                <w:color w:val="auto"/>
              </w:rPr>
              <w:t>See credit risk analysis in Note 34.1.</w:t>
            </w: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31" w:lineRule="exact"/>
        <w:rPr>
          <w:sz w:val="20"/>
          <w:szCs w:val="20"/>
          <w:color w:val="auto"/>
        </w:rPr>
      </w:pPr>
    </w:p>
    <w:p>
      <w:pPr>
        <w:ind w:left="208" w:hanging="208"/>
        <w:spacing w:after="0"/>
        <w:tabs>
          <w:tab w:leader="none" w:pos="208"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ASSETS DESIGNATED AT FAIR VALUE THROUGH PROFIT OR LOSS</w:t>
      </w:r>
    </w:p>
    <w:p>
      <w:pPr>
        <w:spacing w:after="0" w:line="154" w:lineRule="exact"/>
        <w:rPr>
          <w:rFonts w:ascii="Arial" w:cs="Arial" w:eastAsia="Arial" w:hAnsi="Arial"/>
          <w:sz w:val="12"/>
          <w:szCs w:val="12"/>
          <w:b w:val="1"/>
          <w:bCs w:val="1"/>
          <w:color w:val="auto"/>
        </w:rPr>
      </w:pPr>
    </w:p>
    <w:p>
      <w:pPr>
        <w:ind w:left="208" w:right="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14"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profit resulting from these assets is shown in “Net premiums earned” in the consolidated statement of income. The composition of the generated returns is presented below:</w:t>
      </w:r>
    </w:p>
    <w:p>
      <w:pPr>
        <w:sectPr>
          <w:pgSz w:w="11900" w:h="16838" w:orient="portrait"/>
          <w:cols w:equalWidth="0" w:num="1">
            <w:col w:w="11308"/>
          </w:cols>
          <w:pgMar w:left="212" w:top="653" w:right="37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8"/>
        <w:spacing w:after="0"/>
        <w:rPr>
          <w:sz w:val="20"/>
          <w:szCs w:val="20"/>
          <w:color w:val="auto"/>
        </w:rPr>
      </w:pPr>
      <w:r>
        <w:rPr>
          <w:rFonts w:ascii="Arial" w:cs="Arial" w:eastAsia="Arial" w:hAnsi="Arial"/>
          <w:sz w:val="11"/>
          <w:szCs w:val="11"/>
          <w:color w:val="auto"/>
        </w:rPr>
        <w:t>Net profit on sale of financial investments</w:t>
      </w:r>
    </w:p>
    <w:p>
      <w:pPr>
        <w:spacing w:after="0" w:line="26" w:lineRule="exact"/>
        <w:rPr>
          <w:sz w:val="20"/>
          <w:szCs w:val="20"/>
          <w:color w:val="auto"/>
        </w:rPr>
      </w:pPr>
    </w:p>
    <w:p>
      <w:pPr>
        <w:ind w:left="208"/>
        <w:spacing w:after="0"/>
        <w:rPr>
          <w:sz w:val="20"/>
          <w:szCs w:val="20"/>
          <w:color w:val="auto"/>
        </w:rPr>
      </w:pPr>
      <w:r>
        <w:rPr>
          <w:rFonts w:ascii="Arial" w:cs="Arial" w:eastAsia="Arial" w:hAnsi="Arial"/>
          <w:sz w:val="10"/>
          <w:szCs w:val="10"/>
          <w:color w:val="auto"/>
        </w:rPr>
        <w:t>Changes in the fair value of financial assets</w:t>
      </w:r>
    </w:p>
    <w:p>
      <w:pPr>
        <w:spacing w:after="0" w:line="2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Dividends, interests and others</w:t>
      </w:r>
    </w:p>
    <w:p>
      <w:pPr>
        <w:spacing w:after="0" w:line="20" w:lineRule="exact"/>
        <w:rPr>
          <w:sz w:val="20"/>
          <w:szCs w:val="20"/>
          <w:color w:val="auto"/>
        </w:rPr>
      </w:pPr>
    </w:p>
    <w:p>
      <w:pPr>
        <w:ind w:left="208"/>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r>
      <w:tr>
        <w:trPr>
          <w:trHeight w:val="124"/>
        </w:trPr>
        <w:tc>
          <w:tcPr>
            <w:tcW w:w="10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0"/>
                <w:szCs w:val="10"/>
                <w:color w:val="auto"/>
              </w:rPr>
            </w:pPr>
          </w:p>
        </w:tc>
        <w:tc>
          <w:tcPr>
            <w:tcW w:w="11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0"/>
                <w:szCs w:val="10"/>
                <w:color w:val="auto"/>
              </w:rPr>
            </w:pPr>
          </w:p>
        </w:tc>
      </w:tr>
      <w:tr>
        <w:trPr>
          <w:trHeight w:val="144"/>
        </w:trPr>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21,879</w:t>
            </w:r>
          </w:p>
        </w:tc>
        <w:tc>
          <w:tcPr>
            <w:tcW w:w="1100" w:type="dxa"/>
            <w:vAlign w:val="bottom"/>
          </w:tcPr>
          <w:p>
            <w:pPr>
              <w:jc w:val="right"/>
              <w:spacing w:after="0"/>
              <w:rPr>
                <w:sz w:val="20"/>
                <w:szCs w:val="20"/>
                <w:color w:val="auto"/>
              </w:rPr>
            </w:pPr>
            <w:r>
              <w:rPr>
                <w:rFonts w:ascii="Arial" w:cs="Arial" w:eastAsia="Arial" w:hAnsi="Arial"/>
                <w:sz w:val="12"/>
                <w:szCs w:val="12"/>
                <w:color w:val="auto"/>
              </w:rPr>
              <w:t>25,342</w:t>
            </w:r>
          </w:p>
        </w:tc>
        <w:tc>
          <w:tcPr>
            <w:tcW w:w="20" w:type="dxa"/>
            <w:vAlign w:val="bottom"/>
          </w:tcPr>
          <w:p>
            <w:pPr>
              <w:spacing w:after="0"/>
              <w:rPr>
                <w:sz w:val="12"/>
                <w:szCs w:val="12"/>
                <w:color w:val="auto"/>
              </w:rPr>
            </w:pPr>
          </w:p>
        </w:tc>
      </w:tr>
      <w:tr>
        <w:trPr>
          <w:trHeight w:val="153"/>
        </w:trPr>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58,351</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(90,467)</w:t>
            </w:r>
          </w:p>
        </w:tc>
      </w:tr>
      <w:tr>
        <w:trPr>
          <w:trHeight w:val="15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13,434</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11,190</w:t>
            </w:r>
          </w:p>
        </w:tc>
        <w:tc>
          <w:tcPr>
            <w:tcW w:w="20" w:type="dxa"/>
            <w:vAlign w:val="bottom"/>
          </w:tcPr>
          <w:p>
            <w:pPr>
              <w:spacing w:after="0"/>
              <w:rPr>
                <w:sz w:val="13"/>
                <w:szCs w:val="13"/>
                <w:color w:val="auto"/>
              </w:rPr>
            </w:pPr>
          </w:p>
        </w:tc>
      </w:tr>
      <w:tr>
        <w:trPr>
          <w:trHeight w:val="160"/>
        </w:trPr>
        <w:tc>
          <w:tcPr>
            <w:tcW w:w="1080" w:type="dxa"/>
            <w:vAlign w:val="bottom"/>
          </w:tcPr>
          <w:p>
            <w:pPr>
              <w:jc w:val="right"/>
              <w:spacing w:after="0"/>
              <w:rPr>
                <w:sz w:val="20"/>
                <w:szCs w:val="20"/>
                <w:color w:val="auto"/>
              </w:rPr>
            </w:pPr>
            <w:r>
              <w:rPr>
                <w:rFonts w:ascii="Arial" w:cs="Arial" w:eastAsia="Arial" w:hAnsi="Arial"/>
                <w:sz w:val="12"/>
                <w:szCs w:val="12"/>
                <w:color w:val="auto"/>
              </w:rPr>
              <w:t>93,664</w:t>
            </w:r>
          </w:p>
        </w:tc>
        <w:tc>
          <w:tcPr>
            <w:tcW w:w="1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(53,935)</w:t>
            </w:r>
          </w:p>
        </w:tc>
      </w:tr>
      <w:tr>
        <w:trPr>
          <w:trHeight w:val="27"/>
        </w:trPr>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-411480</wp:posOffset>
            </wp:positionV>
            <wp:extent cx="6194425" cy="9144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6194425" cy="9144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-227965</wp:posOffset>
            </wp:positionV>
            <wp:extent cx="6194425" cy="971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194425" cy="971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6828" w:space="720"/>
            <w:col w:w="3760"/>
          </w:cols>
          <w:pgMar w:left="212" w:top="653" w:right="379" w:bottom="1440" w:gutter="0" w:footer="0" w:header="0"/>
          <w:type w:val="continuous"/>
        </w:sectPr>
      </w:pPr>
    </w:p>
    <w:p>
      <w:pPr>
        <w:ind w:left="208"/>
        <w:spacing w:after="0"/>
        <w:rPr>
          <w:sz w:val="20"/>
          <w:szCs w:val="20"/>
          <w:color w:val="auto"/>
        </w:rPr>
      </w:pPr>
      <w:r>
        <w:rPr>
          <w:rFonts w:ascii="Arial" w:cs="Arial" w:eastAsia="Arial" w:hAnsi="Arial"/>
          <w:sz w:val="12"/>
          <w:szCs w:val="12"/>
          <w:color w:val="auto"/>
        </w:rPr>
        <w:t>The offsetting of this effect is included in the technical reserve adjustment, which is part of the item “Net premiums earned” of the consolidated statement of income, see Note 25.</w:t>
      </w:r>
    </w:p>
    <w:p>
      <w:pPr>
        <w:spacing w:after="0" w:line="146" w:lineRule="exact"/>
        <w:rPr>
          <w:sz w:val="20"/>
          <w:szCs w:val="20"/>
          <w:color w:val="auto"/>
        </w:rPr>
      </w:pPr>
    </w:p>
    <w:p>
      <w:pPr>
        <w:ind w:left="208" w:hanging="208"/>
        <w:spacing w:after="0"/>
        <w:tabs>
          <w:tab w:leader="none" w:pos="208"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ACCOUNTS RECEIVABLE AND PAYABLE FROM INSURANCE CONTRACTS</w:t>
      </w:r>
    </w:p>
    <w:p>
      <w:pPr>
        <w:spacing w:after="0" w:line="154" w:lineRule="exact"/>
        <w:rPr>
          <w:rFonts w:ascii="Arial" w:cs="Arial" w:eastAsia="Arial" w:hAnsi="Arial"/>
          <w:sz w:val="12"/>
          <w:szCs w:val="12"/>
          <w:b w:val="1"/>
          <w:bCs w:val="1"/>
          <w:color w:val="auto"/>
        </w:rPr>
      </w:pPr>
    </w:p>
    <w:p>
      <w:pPr>
        <w:ind w:left="428" w:hanging="212"/>
        <w:spacing w:after="0" w:line="276" w:lineRule="auto"/>
        <w:tabs>
          <w:tab w:leader="none" w:pos="42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As of December 31, 2019 and 2018, “Premiums and other policies receivable” in the consolidated statement of financial position includes balances for approximately S/838.7 million and S/887.3 million, respectively, which are primarily of current maturity, have no specific collateral and present no material past due balances.</w:t>
      </w:r>
    </w:p>
    <w:p>
      <w:pPr>
        <w:spacing w:after="0" w:line="259" w:lineRule="exact"/>
        <w:rPr>
          <w:rFonts w:ascii="Arial" w:cs="Arial" w:eastAsia="Arial" w:hAnsi="Arial"/>
          <w:sz w:val="12"/>
          <w:szCs w:val="12"/>
          <w:color w:val="auto"/>
        </w:rPr>
      </w:pPr>
    </w:p>
    <w:p>
      <w:pPr>
        <w:ind w:left="5688" w:hanging="72"/>
        <w:spacing w:after="0"/>
        <w:tabs>
          <w:tab w:leader="none" w:pos="5688" w:val="left"/>
        </w:tabs>
        <w:numPr>
          <w:ilvl w:val="2"/>
          <w:numId w:val="105"/>
        </w:numPr>
        <w:rPr>
          <w:rFonts w:ascii="Arial" w:cs="Arial" w:eastAsia="Arial" w:hAnsi="Arial"/>
          <w:sz w:val="12"/>
          <w:szCs w:val="12"/>
          <w:color w:val="auto"/>
        </w:rPr>
      </w:pPr>
      <w:r>
        <w:rPr>
          <w:rFonts w:ascii="Arial" w:cs="Arial" w:eastAsia="Arial" w:hAnsi="Arial"/>
          <w:sz w:val="12"/>
          <w:szCs w:val="12"/>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08"/>
          </w:cols>
          <w:pgMar w:left="212" w:top="653" w:right="379" w:bottom="1440" w:gutter="0" w:footer="0" w:header="0"/>
          <w:type w:val="continuous"/>
        </w:sectPr>
      </w:pPr>
    </w:p>
    <w:bookmarkStart w:id="89" w:name="page90"/>
    <w:bookmarkEnd w:id="89"/>
    <w:p>
      <w:pPr>
        <w:ind w:left="220" w:hanging="212"/>
        <w:spacing w:after="0"/>
        <w:tabs>
          <w:tab w:leader="none" w:pos="2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movements of the captions “Accounts receivable and payable to reinsurers and coinsurers” are as follows:</w:t>
      </w:r>
    </w:p>
    <w:p>
      <w:pPr>
        <w:spacing w:after="0" w:line="14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b w:val="1"/>
          <w:bCs w:val="1"/>
          <w:color w:val="auto"/>
        </w:rPr>
        <w:t>Accounts receivable:</w:t>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628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the beginning of the period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842,043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715,695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454,187</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20"/>
                <w:szCs w:val="20"/>
                <w:color w:val="auto"/>
              </w:rPr>
            </w:pPr>
            <w:r>
              <w:rPr>
                <w:rFonts w:ascii="Arial" w:cs="Arial" w:eastAsia="Arial" w:hAnsi="Arial"/>
                <w:sz w:val="12"/>
                <w:szCs w:val="12"/>
                <w:color w:val="auto"/>
              </w:rPr>
              <w:t>Reported claims of premiums ceded, Note 26</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321,375</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367,969</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483,387</w:t>
            </w:r>
          </w:p>
        </w:tc>
        <w:tc>
          <w:tcPr>
            <w:tcW w:w="0" w:type="dxa"/>
            <w:vAlign w:val="bottom"/>
          </w:tcPr>
          <w:p>
            <w:pPr>
              <w:spacing w:after="0"/>
              <w:rPr>
                <w:sz w:val="1"/>
                <w:szCs w:val="1"/>
                <w:color w:val="auto"/>
              </w:rPr>
            </w:pPr>
          </w:p>
        </w:tc>
      </w:tr>
      <w:tr>
        <w:trPr>
          <w:trHeight w:val="144"/>
        </w:trPr>
        <w:tc>
          <w:tcPr>
            <w:tcW w:w="6280" w:type="dxa"/>
            <w:vAlign w:val="bottom"/>
            <w:shd w:val="clear" w:color="auto" w:fill="CCEEFF"/>
          </w:tcPr>
          <w:p>
            <w:pPr>
              <w:spacing w:after="0"/>
              <w:rPr>
                <w:sz w:val="20"/>
                <w:szCs w:val="20"/>
                <w:color w:val="auto"/>
              </w:rPr>
            </w:pPr>
            <w:r>
              <w:rPr>
                <w:rFonts w:ascii="Arial" w:cs="Arial" w:eastAsia="Arial" w:hAnsi="Arial"/>
                <w:sz w:val="12"/>
                <w:szCs w:val="12"/>
                <w:color w:val="auto"/>
              </w:rPr>
              <w:t>Reserve risk in progress of premiums ceded, Note 25(a)(**)</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(14,935)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34,709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21,192</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20"/>
                <w:szCs w:val="20"/>
                <w:color w:val="auto"/>
              </w:rPr>
            </w:pPr>
            <w:r>
              <w:rPr>
                <w:rFonts w:ascii="Arial" w:cs="Arial" w:eastAsia="Arial" w:hAnsi="Arial"/>
                <w:sz w:val="12"/>
                <w:szCs w:val="12"/>
                <w:color w:val="auto"/>
              </w:rPr>
              <w:t>Premiums assumed</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668</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5,882</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2,341</w:t>
            </w:r>
          </w:p>
        </w:tc>
        <w:tc>
          <w:tcPr>
            <w:tcW w:w="0" w:type="dxa"/>
            <w:vAlign w:val="bottom"/>
          </w:tcPr>
          <w:p>
            <w:pPr>
              <w:spacing w:after="0"/>
              <w:rPr>
                <w:sz w:val="1"/>
                <w:szCs w:val="1"/>
                <w:color w:val="auto"/>
              </w:rPr>
            </w:pPr>
          </w:p>
        </w:tc>
      </w:tr>
      <w:tr>
        <w:trPr>
          <w:trHeight w:val="144"/>
        </w:trPr>
        <w:tc>
          <w:tcPr>
            <w:tcW w:w="6280" w:type="dxa"/>
            <w:vAlign w:val="bottom"/>
            <w:shd w:val="clear" w:color="auto" w:fill="CCEEFF"/>
          </w:tcPr>
          <w:p>
            <w:pPr>
              <w:spacing w:after="0"/>
              <w:rPr>
                <w:sz w:val="20"/>
                <w:szCs w:val="20"/>
                <w:color w:val="auto"/>
              </w:rPr>
            </w:pPr>
            <w:r>
              <w:rPr>
                <w:rFonts w:ascii="Arial" w:cs="Arial" w:eastAsia="Arial" w:hAnsi="Arial"/>
                <w:sz w:val="12"/>
                <w:szCs w:val="12"/>
                <w:color w:val="auto"/>
              </w:rPr>
              <w:t>Settled claims of premiums ceded by reinsurance contracts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(226,769)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(238,936)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(231,298)</w:t>
            </w:r>
          </w:p>
        </w:tc>
        <w:tc>
          <w:tcPr>
            <w:tcW w:w="0" w:type="dxa"/>
            <w:vAlign w:val="bottom"/>
          </w:tcPr>
          <w:p>
            <w:pPr>
              <w:spacing w:after="0"/>
              <w:rPr>
                <w:sz w:val="1"/>
                <w:szCs w:val="1"/>
                <w:color w:val="auto"/>
              </w:rPr>
            </w:pPr>
          </w:p>
        </w:tc>
      </w:tr>
      <w:tr>
        <w:trPr>
          <w:trHeight w:val="153"/>
        </w:trPr>
        <w:tc>
          <w:tcPr>
            <w:tcW w:w="6280" w:type="dxa"/>
            <w:vAlign w:val="bottom"/>
          </w:tcPr>
          <w:p>
            <w:pPr>
              <w:spacing w:after="0"/>
              <w:rPr>
                <w:sz w:val="20"/>
                <w:szCs w:val="20"/>
                <w:color w:val="auto"/>
              </w:rPr>
            </w:pPr>
            <w:r>
              <w:rPr>
                <w:rFonts w:ascii="Arial" w:cs="Arial" w:eastAsia="Arial" w:hAnsi="Arial"/>
                <w:sz w:val="12"/>
                <w:szCs w:val="12"/>
                <w:color w:val="auto"/>
              </w:rPr>
              <w:t>Collections and others, net</w:t>
            </w: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(130,678)</w:t>
            </w: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(43,276)</w:t>
            </w: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(14,114)</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Balances at the end of the period</w:t>
            </w: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80" w:type="dxa"/>
            <w:vAlign w:val="bottom"/>
            <w:vMerge w:val="continue"/>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791,704</w:t>
            </w: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842,043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715,695</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Accounts receivable as of December 31, 2019 and 2018, include S/201.0 million and S/152.9 million, respectively, which correspond to the assigned portion of technical reserves for premiums ceded to the reinsurers.</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6280" w:type="dxa"/>
            <w:vAlign w:val="bottom"/>
          </w:tcPr>
          <w:p>
            <w:pPr>
              <w:spacing w:after="0"/>
              <w:rPr>
                <w:sz w:val="20"/>
                <w:szCs w:val="20"/>
                <w:color w:val="auto"/>
              </w:rPr>
            </w:pPr>
            <w:r>
              <w:rPr>
                <w:rFonts w:ascii="Arial" w:cs="Arial" w:eastAsia="Arial" w:hAnsi="Arial"/>
                <w:sz w:val="12"/>
                <w:szCs w:val="12"/>
                <w:b w:val="1"/>
                <w:bCs w:val="1"/>
                <w:color w:val="auto"/>
              </w:rPr>
              <w:t>Accounts Payable:</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280" w:type="dxa"/>
            <w:vAlign w:val="bottom"/>
          </w:tcPr>
          <w:p>
            <w:pPr>
              <w:spacing w:after="0"/>
              <w:rPr>
                <w:sz w:val="24"/>
                <w:szCs w:val="24"/>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24"/>
                <w:szCs w:val="24"/>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112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1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120" w:type="dxa"/>
            <w:vAlign w:val="bottom"/>
          </w:tcPr>
          <w:p>
            <w:pPr>
              <w:jc w:val="right"/>
              <w:ind w:right="28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the beginning of the period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291,693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235,185</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233,892</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80" w:type="dxa"/>
            <w:vAlign w:val="bottom"/>
          </w:tcPr>
          <w:p>
            <w:pPr>
              <w:spacing w:after="0"/>
              <w:rPr>
                <w:sz w:val="20"/>
                <w:szCs w:val="20"/>
                <w:color w:val="auto"/>
              </w:rPr>
            </w:pPr>
            <w:r>
              <w:rPr>
                <w:rFonts w:ascii="Arial" w:cs="Arial" w:eastAsia="Arial" w:hAnsi="Arial"/>
                <w:sz w:val="12"/>
                <w:szCs w:val="12"/>
                <w:color w:val="auto"/>
              </w:rPr>
              <w:t>Premiums ceded for automatic contracts (mainly excess of loss), Note 25(a)(**)</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254,839</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243,427</w:t>
            </w:r>
          </w:p>
        </w:tc>
        <w:tc>
          <w:tcPr>
            <w:tcW w:w="1120" w:type="dxa"/>
            <w:vAlign w:val="bottom"/>
          </w:tcPr>
          <w:p>
            <w:pPr>
              <w:jc w:val="right"/>
              <w:spacing w:after="0"/>
              <w:rPr>
                <w:sz w:val="20"/>
                <w:szCs w:val="20"/>
                <w:color w:val="auto"/>
              </w:rPr>
            </w:pPr>
            <w:r>
              <w:rPr>
                <w:rFonts w:ascii="Arial" w:cs="Arial" w:eastAsia="Arial" w:hAnsi="Arial"/>
                <w:sz w:val="12"/>
                <w:szCs w:val="12"/>
                <w:color w:val="auto"/>
              </w:rPr>
              <w:t>257,617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80" w:type="dxa"/>
            <w:vAlign w:val="bottom"/>
            <w:shd w:val="clear" w:color="auto" w:fill="CCEEFF"/>
          </w:tcPr>
          <w:p>
            <w:pPr>
              <w:spacing w:after="0"/>
              <w:rPr>
                <w:sz w:val="20"/>
                <w:szCs w:val="20"/>
                <w:color w:val="auto"/>
              </w:rPr>
            </w:pPr>
            <w:r>
              <w:rPr>
                <w:rFonts w:ascii="Arial" w:cs="Arial" w:eastAsia="Arial" w:hAnsi="Arial"/>
                <w:sz w:val="12"/>
                <w:szCs w:val="12"/>
                <w:color w:val="auto"/>
              </w:rPr>
              <w:t>Premiums ceded to reinsurers in facultative contracts, Note 25(a)(**)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289,386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288,928</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263,378</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80" w:type="dxa"/>
            <w:vAlign w:val="bottom"/>
          </w:tcPr>
          <w:p>
            <w:pPr>
              <w:spacing w:after="0"/>
              <w:rPr>
                <w:sz w:val="20"/>
                <w:szCs w:val="20"/>
                <w:color w:val="auto"/>
              </w:rPr>
            </w:pPr>
            <w:r>
              <w:rPr>
                <w:rFonts w:ascii="Arial" w:cs="Arial" w:eastAsia="Arial" w:hAnsi="Arial"/>
                <w:sz w:val="12"/>
                <w:szCs w:val="12"/>
                <w:color w:val="auto"/>
              </w:rPr>
              <w:t>Coinsurance granted</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4,332</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11,433</w:t>
            </w:r>
          </w:p>
        </w:tc>
        <w:tc>
          <w:tcPr>
            <w:tcW w:w="1120" w:type="dxa"/>
            <w:vAlign w:val="bottom"/>
          </w:tcPr>
          <w:p>
            <w:pPr>
              <w:jc w:val="right"/>
              <w:spacing w:after="0"/>
              <w:rPr>
                <w:sz w:val="20"/>
                <w:szCs w:val="20"/>
                <w:color w:val="auto"/>
              </w:rPr>
            </w:pPr>
            <w:r>
              <w:rPr>
                <w:rFonts w:ascii="Arial" w:cs="Arial" w:eastAsia="Arial" w:hAnsi="Arial"/>
                <w:sz w:val="12"/>
                <w:szCs w:val="12"/>
                <w:color w:val="auto"/>
              </w:rPr>
              <w:t>5,925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80" w:type="dxa"/>
            <w:vAlign w:val="bottom"/>
            <w:shd w:val="clear" w:color="auto" w:fill="CCEEFF"/>
          </w:tcPr>
          <w:p>
            <w:pPr>
              <w:spacing w:after="0"/>
              <w:rPr>
                <w:sz w:val="20"/>
                <w:szCs w:val="20"/>
                <w:color w:val="auto"/>
              </w:rPr>
            </w:pPr>
            <w:r>
              <w:rPr>
                <w:rFonts w:ascii="Arial" w:cs="Arial" w:eastAsia="Arial" w:hAnsi="Arial"/>
                <w:sz w:val="12"/>
                <w:szCs w:val="12"/>
                <w:color w:val="auto"/>
              </w:rPr>
              <w:t>Payments and other, net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(623,516)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(487,280)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(525,627)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2"/>
                <w:szCs w:val="12"/>
                <w:b w:val="1"/>
                <w:bCs w:val="1"/>
                <w:color w:val="auto"/>
              </w:rPr>
              <w:t>Balances at the end of the period</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80" w:type="dxa"/>
            <w:vAlign w:val="bottom"/>
            <w:vMerge w:val="continue"/>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216,734</w:t>
            </w:r>
          </w:p>
        </w:tc>
        <w:tc>
          <w:tcPr>
            <w:tcW w:w="20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291,693</w:t>
            </w:r>
          </w:p>
        </w:tc>
        <w:tc>
          <w:tcPr>
            <w:tcW w:w="1120" w:type="dxa"/>
            <w:vAlign w:val="bottom"/>
          </w:tcPr>
          <w:p>
            <w:pPr>
              <w:jc w:val="right"/>
              <w:spacing w:after="0"/>
              <w:rPr>
                <w:sz w:val="20"/>
                <w:szCs w:val="20"/>
                <w:color w:val="auto"/>
              </w:rPr>
            </w:pPr>
            <w:r>
              <w:rPr>
                <w:rFonts w:ascii="Arial" w:cs="Arial" w:eastAsia="Arial" w:hAnsi="Arial"/>
                <w:sz w:val="12"/>
                <w:szCs w:val="12"/>
                <w:color w:val="auto"/>
              </w:rPr>
              <w:t>235,185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coverage period.</w:t>
      </w: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0"/>
          </w:cols>
          <w:pgMar w:left="420" w:top="653" w:right="259" w:bottom="1440" w:gutter="0" w:footer="0" w:header="0"/>
        </w:sectPr>
      </w:pPr>
    </w:p>
    <w:bookmarkStart w:id="90" w:name="page91"/>
    <w:bookmarkEnd w:id="90"/>
    <w:p>
      <w:pPr>
        <w:ind w:left="208" w:hanging="208"/>
        <w:spacing w:after="0"/>
        <w:tabs>
          <w:tab w:leader="none" w:pos="208"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FURNITURE AND EQUIPMENT, NET</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The movement of property, furniture and equipment and accumulated depreciation, for the years ended December 31, 2019, 2018, and 2017 was as follows:</w:t>
      </w:r>
    </w:p>
    <w:p>
      <w:pPr>
        <w:spacing w:after="0" w:line="129" w:lineRule="exact"/>
        <w:rPr>
          <w:sz w:val="20"/>
          <w:szCs w:val="20"/>
          <w:color w:val="auto"/>
        </w:rPr>
      </w:pPr>
    </w:p>
    <w:tbl>
      <w:tblPr>
        <w:tblLayout w:type="fixed"/>
        <w:tblInd w:w="68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Buildings and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Furniture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3"/>
              </w:rPr>
              <w:t>Vehicles</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right"/>
              <w:ind w:right="480"/>
              <w:spacing w:after="0" w:line="99" w:lineRule="exact"/>
              <w:rPr>
                <w:sz w:val="20"/>
                <w:szCs w:val="20"/>
                <w:color w:val="auto"/>
              </w:rPr>
            </w:pPr>
            <w:r>
              <w:rPr>
                <w:rFonts w:ascii="Arial" w:cs="Arial" w:eastAsia="Arial" w:hAnsi="Arial"/>
                <w:sz w:val="10"/>
                <w:szCs w:val="10"/>
                <w:b w:val="1"/>
                <w:bCs w:val="1"/>
                <w:color w:val="auto"/>
              </w:rPr>
              <w:t>other</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78"/>
              </w:rPr>
              <w:t>and</w:t>
            </w:r>
          </w:p>
        </w:tc>
        <w:tc>
          <w:tcPr>
            <w:tcW w:w="9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Computer</w:t>
            </w:r>
          </w:p>
        </w:tc>
        <w:tc>
          <w:tcPr>
            <w:tcW w:w="90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9"/>
              </w:rPr>
              <w:t>and</w:t>
            </w:r>
          </w:p>
        </w:tc>
        <w:tc>
          <w:tcPr>
            <w:tcW w:w="9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2"/>
              </w:rPr>
              <w:t>Work in</w:t>
            </w: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gridSpan w:val="2"/>
          </w:tcPr>
          <w:p>
            <w:pPr>
              <w:jc w:val="right"/>
              <w:ind w:right="460"/>
              <w:spacing w:after="0" w:line="114" w:lineRule="exact"/>
              <w:rPr>
                <w:sz w:val="20"/>
                <w:szCs w:val="20"/>
                <w:color w:val="auto"/>
              </w:rPr>
            </w:pPr>
            <w:r>
              <w:rPr>
                <w:rFonts w:ascii="Arial" w:cs="Arial" w:eastAsia="Arial" w:hAnsi="Arial"/>
                <w:sz w:val="10"/>
                <w:szCs w:val="10"/>
                <w:b w:val="1"/>
                <w:bCs w:val="1"/>
                <w:color w:val="auto"/>
              </w:rPr>
              <w:t>Land</w:t>
            </w:r>
          </w:p>
        </w:tc>
        <w:tc>
          <w:tcPr>
            <w:tcW w:w="9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constructions</w:t>
            </w:r>
          </w:p>
        </w:tc>
        <w:tc>
          <w:tcPr>
            <w:tcW w:w="90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9"/>
              </w:rPr>
              <w:t>Installations</w:t>
            </w:r>
          </w:p>
        </w:tc>
        <w:tc>
          <w:tcPr>
            <w:tcW w:w="9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fixtures</w:t>
            </w:r>
          </w:p>
        </w:tc>
        <w:tc>
          <w:tcPr>
            <w:tcW w:w="9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hardware</w:t>
            </w:r>
          </w:p>
        </w:tc>
        <w:tc>
          <w:tcPr>
            <w:tcW w:w="9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9"/>
              </w:rPr>
              <w:t>progress</w:t>
            </w:r>
          </w:p>
        </w:tc>
        <w:tc>
          <w:tcPr>
            <w:tcW w:w="72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2019</w:t>
            </w:r>
          </w:p>
        </w:tc>
        <w:tc>
          <w:tcPr>
            <w:tcW w:w="180" w:type="dxa"/>
            <w:vAlign w:val="bottom"/>
          </w:tcPr>
          <w:p>
            <w:pPr>
              <w:spacing w:after="0"/>
              <w:rPr>
                <w:sz w:val="9"/>
                <w:szCs w:val="9"/>
                <w:color w:val="auto"/>
              </w:rPr>
            </w:pPr>
          </w:p>
        </w:tc>
        <w:tc>
          <w:tcPr>
            <w:tcW w:w="72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9"/>
                <w:szCs w:val="9"/>
                <w:color w:val="auto"/>
              </w:rPr>
            </w:pPr>
          </w:p>
        </w:tc>
        <w:tc>
          <w:tcPr>
            <w:tcW w:w="72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Borders>
              <w:top w:val="single" w:sz="8" w:color="auto"/>
            </w:tcBorders>
          </w:tcPr>
          <w:p>
            <w:pPr>
              <w:jc w:val="right"/>
              <w:ind w:right="17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700" w:type="dxa"/>
            <w:vAlign w:val="bottom"/>
            <w:tcBorders>
              <w:top w:val="single" w:sz="8" w:color="auto"/>
            </w:tcBorders>
          </w:tcPr>
          <w:p>
            <w:pPr>
              <w:jc w:val="right"/>
              <w:ind w:right="15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7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7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7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b w:val="1"/>
                <w:bCs w:val="1"/>
                <w:color w:val="auto"/>
              </w:rPr>
              <w:t>Cost -</w:t>
            </w: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w w:val="98"/>
              </w:rPr>
              <w:t>Balance as of January 1</w:t>
            </w: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411,110</w:t>
            </w:r>
          </w:p>
        </w:tc>
        <w:tc>
          <w:tcPr>
            <w:tcW w:w="2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1,162,377</w:t>
            </w:r>
          </w:p>
        </w:tc>
        <w:tc>
          <w:tcPr>
            <w:tcW w:w="22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611,568</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521,521</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632,214</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155,417</w:t>
            </w:r>
          </w:p>
        </w:tc>
        <w:tc>
          <w:tcPr>
            <w:tcW w:w="2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79,373</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3,573,580</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3,504,226</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3,409,369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Additions</w:t>
            </w: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2,259</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3,758</w:t>
            </w: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13,493</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29,213</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23,094</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486</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62,473</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134,776</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181,459</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143,851</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140" w:type="dxa"/>
            <w:vAlign w:val="bottom"/>
            <w:gridSpan w:val="2"/>
          </w:tcPr>
          <w:p>
            <w:pPr>
              <w:spacing w:after="0" w:line="87" w:lineRule="exact"/>
              <w:rPr>
                <w:sz w:val="20"/>
                <w:szCs w:val="20"/>
                <w:color w:val="auto"/>
              </w:rPr>
            </w:pPr>
            <w:r>
              <w:rPr>
                <w:rFonts w:ascii="Arial" w:cs="Arial" w:eastAsia="Arial" w:hAnsi="Arial"/>
                <w:sz w:val="10"/>
                <w:szCs w:val="10"/>
                <w:color w:val="auto"/>
              </w:rPr>
              <w:t>Acquisition of business,</w:t>
            </w: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0"/>
                <w:szCs w:val="10"/>
                <w:color w:val="auto"/>
              </w:rPr>
              <w:t>Note 2(a)</w:t>
            </w: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505</w:t>
            </w:r>
          </w:p>
        </w:tc>
        <w:tc>
          <w:tcPr>
            <w:tcW w:w="20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2,550</w:t>
            </w:r>
          </w:p>
        </w:tc>
        <w:tc>
          <w:tcPr>
            <w:tcW w:w="22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14,407</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12,121</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310</w:t>
            </w:r>
          </w:p>
        </w:tc>
        <w:tc>
          <w:tcPr>
            <w:tcW w:w="20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29,893</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Transfers</w:t>
            </w: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2,154</w:t>
            </w: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39,114</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5,549</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5,687</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141</w:t>
            </w:r>
          </w:p>
        </w:tc>
        <w:tc>
          <w:tcPr>
            <w:tcW w:w="2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(52,645)</w:t>
            </w: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40" w:type="dxa"/>
            <w:vAlign w:val="bottom"/>
            <w:gridSpan w:val="2"/>
          </w:tcPr>
          <w:p>
            <w:pPr>
              <w:spacing w:after="0" w:line="108" w:lineRule="exact"/>
              <w:rPr>
                <w:sz w:val="20"/>
                <w:szCs w:val="20"/>
                <w:color w:val="auto"/>
              </w:rPr>
            </w:pPr>
            <w:r>
              <w:rPr>
                <w:rFonts w:ascii="Arial" w:cs="Arial" w:eastAsia="Arial" w:hAnsi="Arial"/>
                <w:sz w:val="10"/>
                <w:szCs w:val="10"/>
                <w:color w:val="auto"/>
              </w:rPr>
              <w:t>Disposals and others</w:t>
            </w:r>
          </w:p>
        </w:tc>
        <w:tc>
          <w:tcPr>
            <w:tcW w:w="9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(12,321)</w:t>
            </w:r>
          </w:p>
        </w:tc>
        <w:tc>
          <w:tcPr>
            <w:tcW w:w="9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(14,587)</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(10,447)</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(90,942)</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(37,913)</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(39,729)</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(19,833)</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(225,772)</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(112,105)</w:t>
            </w: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(48,994)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20" w:type="dxa"/>
            <w:vAlign w:val="bottom"/>
            <w:tcBorders>
              <w:top w:val="single" w:sz="8" w:color="CCEEFF"/>
            </w:tcBorders>
            <w:shd w:val="clear" w:color="auto" w:fill="CCEEFF"/>
          </w:tcPr>
          <w:p>
            <w:pPr>
              <w:spacing w:after="0" w:line="65" w:lineRule="exact"/>
              <w:rPr>
                <w:sz w:val="20"/>
                <w:szCs w:val="20"/>
                <w:color w:val="auto"/>
              </w:rPr>
            </w:pPr>
            <w:r>
              <w:rPr>
                <w:rFonts w:ascii="Arial" w:cs="Arial" w:eastAsia="Arial" w:hAnsi="Arial"/>
                <w:sz w:val="7"/>
                <w:szCs w:val="7"/>
                <w:b w:val="1"/>
                <w:bCs w:val="1"/>
                <w:color w:val="auto"/>
              </w:rPr>
              <w:t>Balance as of December</w:t>
            </w: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401,553</w:t>
            </w:r>
          </w:p>
        </w:tc>
        <w:tc>
          <w:tcPr>
            <w:tcW w:w="20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1,156,252</w:t>
            </w:r>
          </w:p>
        </w:tc>
        <w:tc>
          <w:tcPr>
            <w:tcW w:w="22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653,728</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479,748</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635,203</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116,625</w:t>
            </w:r>
          </w:p>
        </w:tc>
        <w:tc>
          <w:tcPr>
            <w:tcW w:w="20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69,368</w:t>
            </w:r>
          </w:p>
        </w:tc>
        <w:tc>
          <w:tcPr>
            <w:tcW w:w="1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3,512,477</w:t>
            </w:r>
          </w:p>
        </w:tc>
        <w:tc>
          <w:tcPr>
            <w:tcW w:w="1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3,573,580</w:t>
            </w:r>
          </w:p>
        </w:tc>
        <w:tc>
          <w:tcPr>
            <w:tcW w:w="1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3,504,226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1120" w:type="dxa"/>
            <w:vAlign w:val="bottom"/>
            <w:shd w:val="clear" w:color="auto" w:fill="CCEEFF"/>
          </w:tcPr>
          <w:p>
            <w:pPr>
              <w:spacing w:after="0" w:line="85" w:lineRule="exact"/>
              <w:rPr>
                <w:sz w:val="20"/>
                <w:szCs w:val="20"/>
                <w:color w:val="auto"/>
              </w:rPr>
            </w:pPr>
            <w:r>
              <w:rPr>
                <w:rFonts w:ascii="Arial" w:cs="Arial" w:eastAsia="Arial" w:hAnsi="Arial"/>
                <w:sz w:val="8"/>
                <w:szCs w:val="8"/>
                <w:b w:val="1"/>
                <w:bCs w:val="1"/>
                <w:color w:val="auto"/>
              </w:rPr>
              <w:t>Accumulated</w:t>
            </w: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depreciation -</w:t>
            </w: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Pr>
          <w:p>
            <w:pPr>
              <w:spacing w:after="0" w:line="99" w:lineRule="exact"/>
              <w:rPr>
                <w:sz w:val="20"/>
                <w:szCs w:val="20"/>
                <w:color w:val="auto"/>
              </w:rPr>
            </w:pPr>
            <w:r>
              <w:rPr>
                <w:rFonts w:ascii="Arial" w:cs="Arial" w:eastAsia="Arial" w:hAnsi="Arial"/>
                <w:sz w:val="10"/>
                <w:szCs w:val="10"/>
                <w:b w:val="1"/>
                <w:bCs w:val="1"/>
                <w:color w:val="auto"/>
                <w:w w:val="96"/>
              </w:rPr>
              <w:t>Balance as of January 1</w:t>
            </w: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632,261</w:t>
            </w:r>
          </w:p>
        </w:tc>
        <w:tc>
          <w:tcPr>
            <w:tcW w:w="22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457,104</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353,458</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536,322</w:t>
            </w:r>
          </w:p>
        </w:tc>
        <w:tc>
          <w:tcPr>
            <w:tcW w:w="2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0"/>
                <w:szCs w:val="10"/>
                <w:color w:val="auto"/>
              </w:rPr>
              <w:t>113,733</w:t>
            </w:r>
          </w:p>
        </w:tc>
        <w:tc>
          <w:tcPr>
            <w:tcW w:w="2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2,092,878</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1,994,734</w:t>
            </w:r>
          </w:p>
        </w:tc>
        <w:tc>
          <w:tcPr>
            <w:tcW w:w="18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1,857,666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Depreciation of the year</w:t>
            </w: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31,065</w:t>
            </w: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28,627</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33,210</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42,378</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10,786</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146,066</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170,138</w:t>
            </w: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178,895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140" w:type="dxa"/>
            <w:vAlign w:val="bottom"/>
            <w:gridSpan w:val="2"/>
          </w:tcPr>
          <w:p>
            <w:pPr>
              <w:spacing w:after="0" w:line="87" w:lineRule="exact"/>
              <w:rPr>
                <w:sz w:val="20"/>
                <w:szCs w:val="20"/>
                <w:color w:val="auto"/>
              </w:rPr>
            </w:pPr>
            <w:r>
              <w:rPr>
                <w:rFonts w:ascii="Arial" w:cs="Arial" w:eastAsia="Arial" w:hAnsi="Arial"/>
                <w:sz w:val="10"/>
                <w:szCs w:val="10"/>
                <w:color w:val="auto"/>
              </w:rPr>
              <w:t>Acquisition of business,</w:t>
            </w: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140" w:type="dxa"/>
            <w:vAlign w:val="bottom"/>
            <w:gridSpan w:val="2"/>
          </w:tcPr>
          <w:p>
            <w:pPr>
              <w:spacing w:after="0" w:line="112" w:lineRule="exact"/>
              <w:rPr>
                <w:sz w:val="20"/>
                <w:szCs w:val="20"/>
                <w:color w:val="auto"/>
              </w:rPr>
            </w:pPr>
            <w:r>
              <w:rPr>
                <w:rFonts w:ascii="Arial" w:cs="Arial" w:eastAsia="Arial" w:hAnsi="Arial"/>
                <w:sz w:val="10"/>
                <w:szCs w:val="10"/>
                <w:color w:val="auto"/>
              </w:rPr>
              <w:t>Note 2(a)</w:t>
            </w: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56</w:t>
            </w:r>
          </w:p>
        </w:tc>
        <w:tc>
          <w:tcPr>
            <w:tcW w:w="22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9,678</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9,424</w:t>
            </w:r>
          </w:p>
        </w:tc>
        <w:tc>
          <w:tcPr>
            <w:tcW w:w="20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0"/>
                <w:szCs w:val="10"/>
                <w:color w:val="auto"/>
              </w:rPr>
              <w:t>141</w:t>
            </w:r>
          </w:p>
        </w:tc>
        <w:tc>
          <w:tcPr>
            <w:tcW w:w="20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19,299</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Disposals and others</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(5,692)</w:t>
            </w: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(7,437)</w:t>
            </w: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(88,326)</w:t>
            </w: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(36,101)</w:t>
            </w: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(36,383)</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(173,939)</w:t>
            </w: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(71,994)</w:t>
            </w:r>
          </w:p>
        </w:tc>
        <w:tc>
          <w:tcPr>
            <w:tcW w:w="8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(41,827)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20" w:type="dxa"/>
            <w:vAlign w:val="bottom"/>
          </w:tcPr>
          <w:p>
            <w:pPr>
              <w:spacing w:after="0" w:line="65" w:lineRule="exact"/>
              <w:rPr>
                <w:sz w:val="20"/>
                <w:szCs w:val="20"/>
                <w:color w:val="auto"/>
              </w:rPr>
            </w:pPr>
            <w:r>
              <w:rPr>
                <w:rFonts w:ascii="Arial" w:cs="Arial" w:eastAsia="Arial" w:hAnsi="Arial"/>
                <w:sz w:val="7"/>
                <w:szCs w:val="7"/>
                <w:b w:val="1"/>
                <w:bCs w:val="1"/>
                <w:color w:val="auto"/>
              </w:rPr>
              <w:t>Balance as of December</w:t>
            </w: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140" w:type="dxa"/>
            <w:vAlign w:val="bottom"/>
            <w:gridSpan w:val="2"/>
          </w:tcPr>
          <w:p>
            <w:pPr>
              <w:spacing w:after="0"/>
              <w:rPr>
                <w:sz w:val="20"/>
                <w:szCs w:val="20"/>
                <w:color w:val="auto"/>
              </w:rPr>
            </w:pPr>
            <w:r>
              <w:rPr>
                <w:rFonts w:ascii="Arial" w:cs="Arial" w:eastAsia="Arial" w:hAnsi="Arial"/>
                <w:sz w:val="10"/>
                <w:szCs w:val="10"/>
                <w:b w:val="1"/>
                <w:bCs w:val="1"/>
                <w:color w:val="auto"/>
              </w:rPr>
              <w:t>31</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657,690</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478,294</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308,020</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552,023</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88,277</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2,084,304</w:t>
            </w: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2,092,878</w:t>
            </w: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1,994,734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120" w:type="dxa"/>
            <w:vAlign w:val="bottom"/>
          </w:tcPr>
          <w:p>
            <w:pPr>
              <w:spacing w:after="0"/>
              <w:rPr>
                <w:sz w:val="20"/>
                <w:szCs w:val="20"/>
                <w:color w:val="auto"/>
              </w:rPr>
            </w:pPr>
            <w:r>
              <w:rPr>
                <w:rFonts w:ascii="Arial" w:cs="Arial" w:eastAsia="Arial" w:hAnsi="Arial"/>
                <w:sz w:val="10"/>
                <w:szCs w:val="10"/>
                <w:b w:val="1"/>
                <w:bCs w:val="1"/>
                <w:color w:val="auto"/>
              </w:rPr>
              <w:t>Net carrying amount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401,553</w:t>
            </w:r>
          </w:p>
        </w:tc>
        <w:tc>
          <w:tcPr>
            <w:tcW w:w="20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498,562</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175,434</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171,728</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83,180</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28,348</w:t>
            </w:r>
          </w:p>
        </w:tc>
        <w:tc>
          <w:tcPr>
            <w:tcW w:w="20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69,368</w:t>
            </w:r>
          </w:p>
        </w:tc>
        <w:tc>
          <w:tcPr>
            <w:tcW w:w="18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1,428,173</w:t>
            </w:r>
          </w:p>
        </w:tc>
        <w:tc>
          <w:tcPr>
            <w:tcW w:w="18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1,480,702</w:t>
            </w:r>
          </w:p>
        </w:tc>
        <w:tc>
          <w:tcPr>
            <w:tcW w:w="18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1,509,492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Banks, financial institutions and insurance entities operating in Peru are not allowed to pledge their fixed assets.</w:t>
      </w:r>
    </w:p>
    <w:p>
      <w:pPr>
        <w:spacing w:after="0" w:line="150" w:lineRule="exact"/>
        <w:rPr>
          <w:sz w:val="20"/>
          <w:szCs w:val="20"/>
          <w:color w:val="auto"/>
        </w:rPr>
      </w:pPr>
    </w:p>
    <w:p>
      <w:pPr>
        <w:ind w:left="208" w:right="120"/>
        <w:spacing w:after="0" w:line="276" w:lineRule="auto"/>
        <w:rPr>
          <w:sz w:val="20"/>
          <w:szCs w:val="20"/>
          <w:color w:val="auto"/>
        </w:rPr>
      </w:pPr>
      <w:r>
        <w:rPr>
          <w:rFonts w:ascii="Arial" w:cs="Arial" w:eastAsia="Arial" w:hAnsi="Arial"/>
          <w:sz w:val="12"/>
          <w:szCs w:val="12"/>
          <w:color w:val="auto"/>
        </w:rPr>
        <w:t>During the year 2019, the Bank has made disbursements mainly related to the remodeling of its headquarters in La Molina and integral remodeling to the Sucursal Cusco. During 2018, the Bank has carried out operations related to the purchase of computer equipment, furniture and services, as well as the remodeling of its headquarters in La Molina, as part of its annual infrastructure investin.</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Credicorp’s subsidiaries hold insurance contracts over its main assets in accordance with the policies established by Management.</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0"/>
          <w:szCs w:val="10"/>
          <w:color w:val="auto"/>
        </w:rPr>
        <w:t>Management periodically reviews the residual value, useful life and method of depreciation of the Group’s property, furniture and equipment to ensure that they are consistent with their actual economic benefits and life expectations.</w:t>
      </w:r>
    </w:p>
    <w:p>
      <w:pPr>
        <w:spacing w:after="0" w:line="3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In Management’s opinion, as of December 31, 2019, 2018 and 2017 there is no evidence of impairment of the Group’s property, furniture and equipment.</w:t>
      </w:r>
    </w:p>
    <w:p>
      <w:pPr>
        <w:spacing w:after="0" w:line="285"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68"/>
          </w:cols>
          <w:pgMar w:left="212" w:top="793" w:right="319" w:bottom="1440" w:gutter="0" w:footer="0" w:header="0"/>
        </w:sectPr>
      </w:pPr>
    </w:p>
    <w:bookmarkStart w:id="91" w:name="page92"/>
    <w:bookmarkEnd w:id="91"/>
    <w:p>
      <w:pPr>
        <w:ind w:left="208" w:hanging="208"/>
        <w:spacing w:after="0"/>
        <w:tabs>
          <w:tab w:leader="none" w:pos="208"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 AND GOODWILL, NET</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08"/>
        </w:numPr>
        <w:rPr>
          <w:rFonts w:ascii="Arial" w:cs="Arial" w:eastAsia="Arial" w:hAnsi="Arial"/>
          <w:sz w:val="12"/>
          <w:szCs w:val="12"/>
          <w:color w:val="auto"/>
        </w:rPr>
      </w:pPr>
      <w:r>
        <w:rPr>
          <w:rFonts w:ascii="Arial" w:cs="Arial" w:eastAsia="Arial" w:hAnsi="Arial"/>
          <w:sz w:val="12"/>
          <w:szCs w:val="12"/>
          <w:color w:val="auto"/>
        </w:rPr>
        <w:t>Intangible assets -</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movement of intangible assets with limited useful life for the years ended December 31, 2019, 2018 and 2017 was as follows:</w:t>
      </w:r>
    </w:p>
    <w:p>
      <w:pPr>
        <w:spacing w:after="0" w:line="146" w:lineRule="exact"/>
        <w:rPr>
          <w:sz w:val="20"/>
          <w:szCs w:val="20"/>
          <w:color w:val="auto"/>
        </w:rPr>
      </w:pPr>
    </w:p>
    <w:tbl>
      <w:tblPr>
        <w:tblLayout w:type="fixed"/>
        <w:tblInd w:w="428" w:type="dxa"/>
        <w:tblCellMar>
          <w:top w:w="0" w:type="dxa"/>
          <w:left w:w="0" w:type="dxa"/>
          <w:bottom w:w="0" w:type="dxa"/>
          <w:right w:w="0" w:type="dxa"/>
        </w:tblCellMar>
      </w:tblPr>
      <w:tr>
        <w:trPr>
          <w:trHeight w:val="92"/>
        </w:trPr>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8"/>
                <w:szCs w:val="8"/>
                <w:b w:val="1"/>
                <w:bCs w:val="1"/>
                <w:color w:val="auto"/>
              </w:rPr>
              <w:t>Client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Fund</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8"/>
                <w:szCs w:val="8"/>
                <w:b w:val="1"/>
                <w:bCs w:val="1"/>
                <w:color w:val="auto"/>
              </w:rPr>
              <w:t>Intangible</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2"/>
              </w:rPr>
              <w:t>relationships</w:t>
            </w:r>
          </w:p>
        </w:tc>
        <w:tc>
          <w:tcPr>
            <w:tcW w:w="880" w:type="dxa"/>
            <w:vAlign w:val="bottom"/>
            <w:gridSpan w:val="2"/>
          </w:tcPr>
          <w:p>
            <w:pPr>
              <w:ind w:left="200"/>
              <w:spacing w:after="0" w:line="90" w:lineRule="exact"/>
              <w:rPr>
                <w:sz w:val="20"/>
                <w:szCs w:val="20"/>
                <w:color w:val="auto"/>
              </w:rPr>
            </w:pPr>
            <w:r>
              <w:rPr>
                <w:rFonts w:ascii="Arial" w:cs="Arial" w:eastAsia="Arial" w:hAnsi="Arial"/>
                <w:sz w:val="8"/>
                <w:szCs w:val="8"/>
                <w:b w:val="1"/>
                <w:bCs w:val="1"/>
                <w:color w:val="auto"/>
              </w:rPr>
              <w:t>Brand</w:t>
            </w:r>
          </w:p>
        </w:tc>
        <w:tc>
          <w:tcPr>
            <w:tcW w:w="74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manager</w:t>
            </w:r>
          </w:p>
        </w:tc>
        <w:tc>
          <w:tcPr>
            <w:tcW w:w="88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Relationships</w:t>
            </w:r>
          </w:p>
        </w:tc>
        <w:tc>
          <w:tcPr>
            <w:tcW w:w="8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Software and</w:t>
            </w:r>
          </w:p>
        </w:tc>
        <w:tc>
          <w:tcPr>
            <w:tcW w:w="860" w:type="dxa"/>
            <w:vAlign w:val="bottom"/>
            <w:gridSpan w:val="2"/>
          </w:tcPr>
          <w:p>
            <w:pPr>
              <w:jc w:val="right"/>
              <w:ind w:right="520"/>
              <w:spacing w:after="0" w:line="90" w:lineRule="exact"/>
              <w:rPr>
                <w:sz w:val="20"/>
                <w:szCs w:val="20"/>
                <w:color w:val="auto"/>
              </w:rPr>
            </w:pPr>
            <w:r>
              <w:rPr>
                <w:rFonts w:ascii="Arial" w:cs="Arial" w:eastAsia="Arial" w:hAnsi="Arial"/>
                <w:sz w:val="8"/>
                <w:szCs w:val="8"/>
                <w:b w:val="1"/>
                <w:bCs w:val="1"/>
                <w:color w:val="auto"/>
              </w:rPr>
              <w:t>in</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1"/>
        </w:trPr>
        <w:tc>
          <w:tcPr>
            <w:tcW w:w="2380" w:type="dxa"/>
            <w:vAlign w:val="bottom"/>
            <w:gridSpan w:val="2"/>
          </w:tcPr>
          <w:p>
            <w:pPr>
              <w:spacing w:after="0"/>
              <w:rPr>
                <w:sz w:val="20"/>
                <w:szCs w:val="20"/>
                <w:color w:val="auto"/>
              </w:rPr>
            </w:pPr>
            <w:r>
              <w:rPr>
                <w:rFonts w:ascii="Arial" w:cs="Arial" w:eastAsia="Arial" w:hAnsi="Arial"/>
                <w:sz w:val="8"/>
                <w:szCs w:val="8"/>
                <w:b w:val="1"/>
                <w:bCs w:val="1"/>
                <w:color w:val="auto"/>
              </w:rPr>
              <w:t>Description</w:t>
            </w:r>
          </w:p>
        </w:tc>
        <w:tc>
          <w:tcPr>
            <w:tcW w:w="8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(i)</w:t>
            </w:r>
          </w:p>
        </w:tc>
        <w:tc>
          <w:tcPr>
            <w:tcW w:w="880" w:type="dxa"/>
            <w:vAlign w:val="bottom"/>
            <w:gridSpan w:val="2"/>
          </w:tcPr>
          <w:p>
            <w:pPr>
              <w:ind w:left="180"/>
              <w:spacing w:after="0"/>
              <w:rPr>
                <w:sz w:val="20"/>
                <w:szCs w:val="20"/>
                <w:color w:val="auto"/>
              </w:rPr>
            </w:pPr>
            <w:r>
              <w:rPr>
                <w:rFonts w:ascii="Arial" w:cs="Arial" w:eastAsia="Arial" w:hAnsi="Arial"/>
                <w:sz w:val="8"/>
                <w:szCs w:val="8"/>
                <w:b w:val="1"/>
                <w:bCs w:val="1"/>
                <w:color w:val="auto"/>
              </w:rPr>
              <w:t>name (ii)</w:t>
            </w:r>
          </w:p>
        </w:tc>
        <w:tc>
          <w:tcPr>
            <w:tcW w:w="7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contract (iii)</w:t>
            </w:r>
          </w:p>
        </w:tc>
        <w:tc>
          <w:tcPr>
            <w:tcW w:w="880" w:type="dxa"/>
            <w:vAlign w:val="bottom"/>
            <w:gridSpan w:val="2"/>
          </w:tcPr>
          <w:p>
            <w:pPr>
              <w:ind w:left="100"/>
              <w:spacing w:after="0"/>
              <w:rPr>
                <w:sz w:val="20"/>
                <w:szCs w:val="20"/>
                <w:color w:val="auto"/>
              </w:rPr>
            </w:pPr>
            <w:r>
              <w:rPr>
                <w:rFonts w:ascii="Arial" w:cs="Arial" w:eastAsia="Arial" w:hAnsi="Arial"/>
                <w:sz w:val="8"/>
                <w:szCs w:val="8"/>
                <w:b w:val="1"/>
                <w:bCs w:val="1"/>
                <w:color w:val="auto"/>
              </w:rPr>
              <w:t>with holders</w:t>
            </w:r>
          </w:p>
        </w:tc>
        <w:tc>
          <w:tcPr>
            <w:tcW w:w="8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9"/>
              </w:rPr>
              <w:t>developments</w:t>
            </w:r>
          </w:p>
        </w:tc>
        <w:tc>
          <w:tcPr>
            <w:tcW w:w="86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progress</w:t>
            </w:r>
          </w:p>
        </w:tc>
        <w:tc>
          <w:tcPr>
            <w:tcW w:w="86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rPr>
              <w:t>Other</w:t>
            </w:r>
          </w:p>
        </w:tc>
        <w:tc>
          <w:tcPr>
            <w:tcW w:w="660" w:type="dxa"/>
            <w:vAlign w:val="bottom"/>
          </w:tcPr>
          <w:p>
            <w:pPr>
              <w:jc w:val="right"/>
              <w:ind w:right="198"/>
              <w:spacing w:after="0"/>
              <w:rPr>
                <w:sz w:val="20"/>
                <w:szCs w:val="20"/>
                <w:color w:val="auto"/>
              </w:rPr>
            </w:pPr>
            <w:r>
              <w:rPr>
                <w:rFonts w:ascii="Arial" w:cs="Arial" w:eastAsia="Arial" w:hAnsi="Arial"/>
                <w:sz w:val="8"/>
                <w:szCs w:val="8"/>
                <w:b w:val="1"/>
                <w:bCs w:val="1"/>
                <w:color w:val="auto"/>
              </w:rPr>
              <w:t>2019</w:t>
            </w:r>
          </w:p>
        </w:tc>
        <w:tc>
          <w:tcPr>
            <w:tcW w:w="220" w:type="dxa"/>
            <w:vAlign w:val="bottom"/>
          </w:tcPr>
          <w:p>
            <w:pPr>
              <w:spacing w:after="0"/>
              <w:rPr>
                <w:sz w:val="8"/>
                <w:szCs w:val="8"/>
                <w:color w:val="auto"/>
              </w:rPr>
            </w:pPr>
          </w:p>
        </w:tc>
        <w:tc>
          <w:tcPr>
            <w:tcW w:w="640" w:type="dxa"/>
            <w:vAlign w:val="bottom"/>
          </w:tcPr>
          <w:p>
            <w:pPr>
              <w:jc w:val="right"/>
              <w:ind w:right="198"/>
              <w:spacing w:after="0"/>
              <w:rPr>
                <w:sz w:val="20"/>
                <w:szCs w:val="20"/>
                <w:color w:val="auto"/>
              </w:rPr>
            </w:pPr>
            <w:r>
              <w:rPr>
                <w:rFonts w:ascii="Arial" w:cs="Arial" w:eastAsia="Arial" w:hAnsi="Arial"/>
                <w:sz w:val="8"/>
                <w:szCs w:val="8"/>
                <w:b w:val="1"/>
                <w:bCs w:val="1"/>
                <w:color w:val="auto"/>
              </w:rPr>
              <w:t>2018</w:t>
            </w:r>
          </w:p>
        </w:tc>
        <w:tc>
          <w:tcPr>
            <w:tcW w:w="220" w:type="dxa"/>
            <w:vAlign w:val="bottom"/>
          </w:tcPr>
          <w:p>
            <w:pPr>
              <w:spacing w:after="0"/>
              <w:rPr>
                <w:sz w:val="8"/>
                <w:szCs w:val="8"/>
                <w:color w:val="auto"/>
              </w:rPr>
            </w:pPr>
          </w:p>
        </w:tc>
        <w:tc>
          <w:tcPr>
            <w:tcW w:w="640" w:type="dxa"/>
            <w:vAlign w:val="bottom"/>
          </w:tcPr>
          <w:p>
            <w:pPr>
              <w:jc w:val="right"/>
              <w:ind w:right="198"/>
              <w:spacing w:after="0"/>
              <w:rPr>
                <w:sz w:val="20"/>
                <w:szCs w:val="20"/>
                <w:color w:val="auto"/>
              </w:rPr>
            </w:pPr>
            <w:r>
              <w:rPr>
                <w:rFonts w:ascii="Arial" w:cs="Arial" w:eastAsia="Arial" w:hAnsi="Arial"/>
                <w:sz w:val="8"/>
                <w:szCs w:val="8"/>
                <w:b w:val="1"/>
                <w:bCs w:val="1"/>
                <w:color w:val="auto"/>
              </w:rPr>
              <w:t>2017</w:t>
            </w:r>
          </w:p>
        </w:tc>
        <w:tc>
          <w:tcPr>
            <w:tcW w:w="100" w:type="dxa"/>
            <w:vAlign w:val="bottom"/>
          </w:tcPr>
          <w:p>
            <w:pPr>
              <w:spacing w:after="0"/>
              <w:rPr>
                <w:sz w:val="8"/>
                <w:szCs w:val="8"/>
                <w:color w:val="auto"/>
              </w:rPr>
            </w:pPr>
          </w:p>
        </w:tc>
      </w:tr>
      <w:tr>
        <w:trPr>
          <w:trHeight w:val="79"/>
        </w:trPr>
        <w:tc>
          <w:tcPr>
            <w:tcW w:w="22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660" w:type="dxa"/>
            <w:vAlign w:val="bottom"/>
            <w:tcBorders>
              <w:top w:val="single" w:sz="8" w:color="auto"/>
            </w:tcBorders>
          </w:tcPr>
          <w:p>
            <w:pPr>
              <w:ind w:left="200"/>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540" w:type="dxa"/>
            <w:vAlign w:val="bottom"/>
            <w:tcBorders>
              <w:top w:val="single" w:sz="8" w:color="auto"/>
            </w:tcBorders>
          </w:tcPr>
          <w:p>
            <w:pPr>
              <w:jc w:val="right"/>
              <w:ind w:right="118"/>
              <w:spacing w:after="0" w:line="79" w:lineRule="exact"/>
              <w:rPr>
                <w:sz w:val="20"/>
                <w:szCs w:val="20"/>
                <w:color w:val="auto"/>
              </w:rPr>
            </w:pPr>
            <w:r>
              <w:rPr>
                <w:rFonts w:ascii="Arial" w:cs="Arial" w:eastAsia="Arial" w:hAnsi="Arial"/>
                <w:sz w:val="8"/>
                <w:szCs w:val="8"/>
                <w:b w:val="1"/>
                <w:bCs w:val="1"/>
                <w:color w:val="auto"/>
              </w:rPr>
              <w:t>S/(000)</w:t>
            </w:r>
          </w:p>
        </w:tc>
        <w:tc>
          <w:tcPr>
            <w:tcW w:w="200" w:type="dxa"/>
            <w:vAlign w:val="bottom"/>
          </w:tcPr>
          <w:p>
            <w:pPr>
              <w:spacing w:after="0"/>
              <w:rPr>
                <w:sz w:val="6"/>
                <w:szCs w:val="6"/>
                <w:color w:val="auto"/>
              </w:rPr>
            </w:pPr>
          </w:p>
        </w:tc>
        <w:tc>
          <w:tcPr>
            <w:tcW w:w="660" w:type="dxa"/>
            <w:vAlign w:val="bottom"/>
            <w:tcBorders>
              <w:top w:val="single" w:sz="8" w:color="auto"/>
            </w:tcBorders>
          </w:tcPr>
          <w:p>
            <w:pPr>
              <w:jc w:val="right"/>
              <w:ind w:right="15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6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640" w:type="dxa"/>
            <w:vAlign w:val="bottom"/>
            <w:tcBorders>
              <w:top w:val="single" w:sz="8" w:color="auto"/>
            </w:tcBorders>
          </w:tcPr>
          <w:p>
            <w:pPr>
              <w:jc w:val="right"/>
              <w:ind w:right="15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660" w:type="dxa"/>
            <w:vAlign w:val="bottom"/>
            <w:tcBorders>
              <w:top w:val="single" w:sz="8" w:color="auto"/>
            </w:tcBorders>
          </w:tcPr>
          <w:p>
            <w:pPr>
              <w:jc w:val="right"/>
              <w:ind w:right="158"/>
              <w:spacing w:after="0" w:line="79" w:lineRule="exact"/>
              <w:rPr>
                <w:sz w:val="20"/>
                <w:szCs w:val="20"/>
                <w:color w:val="auto"/>
              </w:rPr>
            </w:pPr>
            <w:r>
              <w:rPr>
                <w:rFonts w:ascii="Arial" w:cs="Arial" w:eastAsia="Arial" w:hAnsi="Arial"/>
                <w:sz w:val="8"/>
                <w:szCs w:val="8"/>
                <w:b w:val="1"/>
                <w:bCs w:val="1"/>
                <w:color w:val="auto"/>
              </w:rPr>
              <w:t>S/(000)</w:t>
            </w:r>
          </w:p>
        </w:tc>
        <w:tc>
          <w:tcPr>
            <w:tcW w:w="200" w:type="dxa"/>
            <w:vAlign w:val="bottom"/>
          </w:tcPr>
          <w:p>
            <w:pPr>
              <w:spacing w:after="0"/>
              <w:rPr>
                <w:sz w:val="6"/>
                <w:szCs w:val="6"/>
                <w:color w:val="auto"/>
              </w:rPr>
            </w:pPr>
          </w:p>
        </w:tc>
        <w:tc>
          <w:tcPr>
            <w:tcW w:w="6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6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6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r>
      <w:tr>
        <w:trPr>
          <w:trHeight w:val="90"/>
        </w:trPr>
        <w:tc>
          <w:tcPr>
            <w:tcW w:w="238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Cost -</w:t>
            </w: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0"/>
        </w:trPr>
        <w:tc>
          <w:tcPr>
            <w:tcW w:w="238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Balances at January 1</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403,607</w:t>
            </w:r>
          </w:p>
        </w:tc>
        <w:tc>
          <w:tcPr>
            <w:tcW w:w="660" w:type="dxa"/>
            <w:vAlign w:val="bottom"/>
          </w:tcPr>
          <w:p>
            <w:pPr>
              <w:jc w:val="right"/>
              <w:spacing w:after="0" w:line="90" w:lineRule="exact"/>
              <w:rPr>
                <w:sz w:val="20"/>
                <w:szCs w:val="20"/>
                <w:color w:val="auto"/>
              </w:rPr>
            </w:pPr>
            <w:r>
              <w:rPr>
                <w:rFonts w:ascii="Arial" w:cs="Arial" w:eastAsia="Arial" w:hAnsi="Arial"/>
                <w:sz w:val="8"/>
                <w:szCs w:val="8"/>
                <w:color w:val="auto"/>
              </w:rPr>
              <w:t>258,928</w:t>
            </w:r>
          </w:p>
        </w:tc>
        <w:tc>
          <w:tcPr>
            <w:tcW w:w="220" w:type="dxa"/>
            <w:vAlign w:val="bottom"/>
          </w:tcPr>
          <w:p>
            <w:pPr>
              <w:spacing w:after="0"/>
              <w:rPr>
                <w:sz w:val="7"/>
                <w:szCs w:val="7"/>
                <w:color w:val="auto"/>
              </w:rPr>
            </w:pP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95,527</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21,100</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2,173,302</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427,028</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26,841</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3,406,333</w:t>
            </w: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3,090,365</w:t>
            </w:r>
          </w:p>
        </w:tc>
        <w:tc>
          <w:tcPr>
            <w:tcW w:w="22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2,789,435</w:t>
            </w:r>
          </w:p>
        </w:tc>
        <w:tc>
          <w:tcPr>
            <w:tcW w:w="100" w:type="dxa"/>
            <w:vAlign w:val="bottom"/>
          </w:tcPr>
          <w:p>
            <w:pPr>
              <w:spacing w:after="0"/>
              <w:rPr>
                <w:sz w:val="7"/>
                <w:szCs w:val="7"/>
                <w:color w:val="auto"/>
              </w:rPr>
            </w:pPr>
          </w:p>
        </w:tc>
      </w:tr>
      <w:tr>
        <w:trPr>
          <w:trHeight w:val="90"/>
        </w:trPr>
        <w:tc>
          <w:tcPr>
            <w:tcW w:w="238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Additions</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101,503</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270,454</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371,957</w:t>
            </w: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419,789</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271,722</w:t>
            </w:r>
          </w:p>
        </w:tc>
      </w:tr>
      <w:tr>
        <w:trPr>
          <w:trHeight w:val="90"/>
        </w:trPr>
        <w:tc>
          <w:tcPr>
            <w:tcW w:w="2380" w:type="dxa"/>
            <w:vAlign w:val="bottom"/>
            <w:gridSpan w:val="2"/>
          </w:tcPr>
          <w:p>
            <w:pPr>
              <w:spacing w:after="0" w:line="90" w:lineRule="exact"/>
              <w:rPr>
                <w:sz w:val="20"/>
                <w:szCs w:val="20"/>
                <w:color w:val="auto"/>
              </w:rPr>
            </w:pPr>
            <w:r>
              <w:rPr>
                <w:rFonts w:ascii="Arial" w:cs="Arial" w:eastAsia="Arial" w:hAnsi="Arial"/>
                <w:sz w:val="8"/>
                <w:szCs w:val="8"/>
                <w:color w:val="auto"/>
              </w:rPr>
              <w:t>Acquisition of business, Note 2(a)</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18,462</w:t>
            </w:r>
          </w:p>
        </w:tc>
        <w:tc>
          <w:tcPr>
            <w:tcW w:w="660" w:type="dxa"/>
            <w:vAlign w:val="bottom"/>
          </w:tcPr>
          <w:p>
            <w:pPr>
              <w:jc w:val="right"/>
              <w:spacing w:after="0" w:line="90" w:lineRule="exact"/>
              <w:rPr>
                <w:sz w:val="20"/>
                <w:szCs w:val="20"/>
                <w:color w:val="auto"/>
              </w:rPr>
            </w:pPr>
            <w:r>
              <w:rPr>
                <w:rFonts w:ascii="Arial" w:cs="Arial" w:eastAsia="Arial" w:hAnsi="Arial"/>
                <w:sz w:val="8"/>
                <w:szCs w:val="8"/>
                <w:color w:val="auto"/>
              </w:rPr>
              <w:t>1,164</w:t>
            </w:r>
          </w:p>
        </w:tc>
        <w:tc>
          <w:tcPr>
            <w:tcW w:w="220" w:type="dxa"/>
            <w:vAlign w:val="bottom"/>
          </w:tcPr>
          <w:p>
            <w:pPr>
              <w:spacing w:after="0"/>
              <w:rPr>
                <w:sz w:val="7"/>
                <w:szCs w:val="7"/>
                <w:color w:val="auto"/>
              </w:rPr>
            </w:pP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4,298</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79,165</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23,039</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126,128</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r>
      <w:tr>
        <w:trPr>
          <w:trHeight w:val="90"/>
        </w:trPr>
        <w:tc>
          <w:tcPr>
            <w:tcW w:w="238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Transfers</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357,432</w:t>
            </w:r>
          </w:p>
        </w:tc>
        <w:tc>
          <w:tcPr>
            <w:tcW w:w="86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(357,432)</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w:t>
            </w:r>
          </w:p>
        </w:tc>
      </w:tr>
      <w:tr>
        <w:trPr>
          <w:trHeight w:val="99"/>
        </w:trPr>
        <w:tc>
          <w:tcPr>
            <w:tcW w:w="2380" w:type="dxa"/>
            <w:vAlign w:val="bottom"/>
            <w:gridSpan w:val="2"/>
          </w:tcPr>
          <w:p>
            <w:pPr>
              <w:spacing w:after="0"/>
              <w:rPr>
                <w:sz w:val="20"/>
                <w:szCs w:val="20"/>
                <w:color w:val="auto"/>
              </w:rPr>
            </w:pPr>
            <w:r>
              <w:rPr>
                <w:rFonts w:ascii="Arial" w:cs="Arial" w:eastAsia="Arial" w:hAnsi="Arial"/>
                <w:sz w:val="8"/>
                <w:szCs w:val="8"/>
                <w:color w:val="auto"/>
              </w:rPr>
              <w:t>Disposals and others</w:t>
            </w:r>
          </w:p>
        </w:tc>
        <w:tc>
          <w:tcPr>
            <w:tcW w:w="860" w:type="dxa"/>
            <w:vAlign w:val="bottom"/>
            <w:gridSpan w:val="2"/>
          </w:tcPr>
          <w:p>
            <w:pPr>
              <w:jc w:val="right"/>
              <w:ind w:right="180"/>
              <w:spacing w:after="0"/>
              <w:rPr>
                <w:sz w:val="20"/>
                <w:szCs w:val="20"/>
                <w:color w:val="auto"/>
              </w:rPr>
            </w:pPr>
            <w:r>
              <w:rPr>
                <w:rFonts w:ascii="Arial" w:cs="Arial" w:eastAsia="Arial" w:hAnsi="Arial"/>
                <w:sz w:val="8"/>
                <w:szCs w:val="8"/>
                <w:color w:val="auto"/>
              </w:rPr>
              <w:t>(43,173)</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(66,845)</w:t>
            </w:r>
          </w:p>
        </w:tc>
        <w:tc>
          <w:tcPr>
            <w:tcW w:w="740" w:type="dxa"/>
            <w:vAlign w:val="bottom"/>
            <w:gridSpan w:val="2"/>
          </w:tcPr>
          <w:p>
            <w:pPr>
              <w:jc w:val="right"/>
              <w:ind w:right="180"/>
              <w:spacing w:after="0"/>
              <w:rPr>
                <w:sz w:val="20"/>
                <w:szCs w:val="20"/>
                <w:color w:val="auto"/>
              </w:rPr>
            </w:pPr>
            <w:r>
              <w:rPr>
                <w:rFonts w:ascii="Arial" w:cs="Arial" w:eastAsia="Arial" w:hAnsi="Arial"/>
                <w:sz w:val="8"/>
                <w:szCs w:val="8"/>
                <w:color w:val="auto"/>
              </w:rPr>
              <w:t>(5,682)</w:t>
            </w: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(6,841)</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23,297</w:t>
            </w:r>
          </w:p>
        </w:tc>
        <w:tc>
          <w:tcPr>
            <w:tcW w:w="860" w:type="dxa"/>
            <w:vAlign w:val="bottom"/>
            <w:gridSpan w:val="2"/>
          </w:tcPr>
          <w:p>
            <w:pPr>
              <w:jc w:val="right"/>
              <w:ind w:right="180"/>
              <w:spacing w:after="0"/>
              <w:rPr>
                <w:sz w:val="20"/>
                <w:szCs w:val="20"/>
                <w:color w:val="auto"/>
              </w:rPr>
            </w:pPr>
            <w:r>
              <w:rPr>
                <w:rFonts w:ascii="Arial" w:cs="Arial" w:eastAsia="Arial" w:hAnsi="Arial"/>
                <w:sz w:val="8"/>
                <w:szCs w:val="8"/>
                <w:color w:val="auto"/>
              </w:rPr>
              <w:t>(185)</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(99,429)</w:t>
            </w:r>
          </w:p>
        </w:tc>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(103,821)</w:t>
            </w: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29,208</w:t>
            </w:r>
          </w:p>
        </w:tc>
      </w:tr>
      <w:tr>
        <w:trPr>
          <w:trHeight w:val="79"/>
        </w:trPr>
        <w:tc>
          <w:tcPr>
            <w:tcW w:w="238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Balances at December 31</w:t>
            </w: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378,896</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193,247</w:t>
            </w:r>
          </w:p>
        </w:tc>
        <w:tc>
          <w:tcPr>
            <w:tcW w:w="2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94,143</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21,100</w:t>
            </w:r>
          </w:p>
        </w:tc>
        <w:tc>
          <w:tcPr>
            <w:tcW w:w="2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2,704,561</w:t>
            </w:r>
          </w:p>
        </w:tc>
        <w:tc>
          <w:tcPr>
            <w:tcW w:w="2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363,347</w:t>
            </w: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49,695</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3,804,989</w:t>
            </w:r>
          </w:p>
        </w:tc>
        <w:tc>
          <w:tcPr>
            <w:tcW w:w="2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3,406,333</w:t>
            </w:r>
          </w:p>
        </w:tc>
        <w:tc>
          <w:tcPr>
            <w:tcW w:w="2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3,090,365</w:t>
            </w:r>
          </w:p>
        </w:tc>
        <w:tc>
          <w:tcPr>
            <w:tcW w:w="100" w:type="dxa"/>
            <w:vAlign w:val="bottom"/>
            <w:tcBorders>
              <w:top w:val="single" w:sz="8" w:color="CCEEFF"/>
            </w:tcBorders>
            <w:shd w:val="clear" w:color="auto" w:fill="CCEEFF"/>
          </w:tcPr>
          <w:p>
            <w:pPr>
              <w:spacing w:after="0"/>
              <w:rPr>
                <w:sz w:val="6"/>
                <w:szCs w:val="6"/>
                <w:color w:val="auto"/>
              </w:rPr>
            </w:pPr>
          </w:p>
        </w:tc>
      </w:tr>
      <w:tr>
        <w:trPr>
          <w:trHeight w:val="79"/>
        </w:trPr>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0"/>
        </w:trPr>
        <w:tc>
          <w:tcPr>
            <w:tcW w:w="238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Accumulated amortization -</w:t>
            </w: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0"/>
        </w:trPr>
        <w:tc>
          <w:tcPr>
            <w:tcW w:w="238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Balance at January 1</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257,580</w:t>
            </w:r>
          </w:p>
        </w:tc>
        <w:tc>
          <w:tcPr>
            <w:tcW w:w="660" w:type="dxa"/>
            <w:vAlign w:val="bottom"/>
          </w:tcPr>
          <w:p>
            <w:pPr>
              <w:jc w:val="right"/>
              <w:spacing w:after="0" w:line="90" w:lineRule="exact"/>
              <w:rPr>
                <w:sz w:val="20"/>
                <w:szCs w:val="20"/>
                <w:color w:val="auto"/>
              </w:rPr>
            </w:pPr>
            <w:r>
              <w:rPr>
                <w:rFonts w:ascii="Arial" w:cs="Arial" w:eastAsia="Arial" w:hAnsi="Arial"/>
                <w:sz w:val="8"/>
                <w:szCs w:val="8"/>
                <w:color w:val="auto"/>
              </w:rPr>
              <w:t>120,425</w:t>
            </w:r>
          </w:p>
        </w:tc>
        <w:tc>
          <w:tcPr>
            <w:tcW w:w="220" w:type="dxa"/>
            <w:vAlign w:val="bottom"/>
          </w:tcPr>
          <w:p>
            <w:pPr>
              <w:spacing w:after="0"/>
              <w:rPr>
                <w:sz w:val="7"/>
                <w:szCs w:val="7"/>
                <w:color w:val="auto"/>
              </w:rPr>
            </w:pP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7,072</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16,703</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1,513,340</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26,841</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1,941,961</w:t>
            </w: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1,747,475</w:t>
            </w:r>
          </w:p>
        </w:tc>
        <w:tc>
          <w:tcPr>
            <w:tcW w:w="22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1,464,894</w:t>
            </w:r>
          </w:p>
        </w:tc>
        <w:tc>
          <w:tcPr>
            <w:tcW w:w="100" w:type="dxa"/>
            <w:vAlign w:val="bottom"/>
          </w:tcPr>
          <w:p>
            <w:pPr>
              <w:spacing w:after="0"/>
              <w:rPr>
                <w:sz w:val="7"/>
                <w:szCs w:val="7"/>
                <w:color w:val="auto"/>
              </w:rPr>
            </w:pPr>
          </w:p>
        </w:tc>
      </w:tr>
      <w:tr>
        <w:trPr>
          <w:trHeight w:val="90"/>
        </w:trPr>
        <w:tc>
          <w:tcPr>
            <w:tcW w:w="238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Amortization of the year</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27,229</w:t>
            </w:r>
          </w:p>
        </w:tc>
        <w:tc>
          <w:tcPr>
            <w:tcW w:w="6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7,041</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4,396</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3,516</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266,338</w:t>
            </w:r>
          </w:p>
        </w:tc>
        <w:tc>
          <w:tcPr>
            <w:tcW w:w="86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446</w:t>
            </w:r>
          </w:p>
        </w:tc>
        <w:tc>
          <w:tcPr>
            <w:tcW w:w="88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308,966</w:t>
            </w: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258,984</w:t>
            </w:r>
          </w:p>
        </w:tc>
        <w:tc>
          <w:tcPr>
            <w:tcW w:w="2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241,080</w:t>
            </w:r>
          </w:p>
        </w:tc>
      </w:tr>
      <w:tr>
        <w:trPr>
          <w:trHeight w:val="90"/>
        </w:trPr>
        <w:tc>
          <w:tcPr>
            <w:tcW w:w="2380" w:type="dxa"/>
            <w:vAlign w:val="bottom"/>
            <w:gridSpan w:val="2"/>
          </w:tcPr>
          <w:p>
            <w:pPr>
              <w:spacing w:after="0" w:line="90" w:lineRule="exact"/>
              <w:rPr>
                <w:sz w:val="20"/>
                <w:szCs w:val="20"/>
                <w:color w:val="auto"/>
              </w:rPr>
            </w:pPr>
            <w:r>
              <w:rPr>
                <w:rFonts w:ascii="Arial" w:cs="Arial" w:eastAsia="Arial" w:hAnsi="Arial"/>
                <w:sz w:val="8"/>
                <w:szCs w:val="8"/>
                <w:color w:val="auto"/>
              </w:rPr>
              <w:t>Acquisition of business, Note 2(a)</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3,104</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8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3,104</w:t>
            </w:r>
          </w:p>
        </w:tc>
        <w:tc>
          <w:tcPr>
            <w:tcW w:w="86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r>
      <w:tr>
        <w:trPr>
          <w:trHeight w:val="99"/>
        </w:trPr>
        <w:tc>
          <w:tcPr>
            <w:tcW w:w="2380" w:type="dxa"/>
            <w:vAlign w:val="bottom"/>
            <w:gridSpan w:val="2"/>
            <w:shd w:val="clear" w:color="auto" w:fill="CCEEFF"/>
          </w:tcPr>
          <w:p>
            <w:pPr>
              <w:spacing w:after="0"/>
              <w:rPr>
                <w:sz w:val="20"/>
                <w:szCs w:val="20"/>
                <w:color w:val="auto"/>
              </w:rPr>
            </w:pPr>
            <w:r>
              <w:rPr>
                <w:rFonts w:ascii="Arial" w:cs="Arial" w:eastAsia="Arial" w:hAnsi="Arial"/>
                <w:sz w:val="8"/>
                <w:szCs w:val="8"/>
                <w:color w:val="auto"/>
              </w:rPr>
              <w:t>Disposals and others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(40,858)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(66,823)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973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(8,599)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(115,307)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(64,498)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41,501</w:t>
            </w:r>
          </w:p>
        </w:tc>
      </w:tr>
      <w:tr>
        <w:trPr>
          <w:trHeight w:val="79"/>
        </w:trPr>
        <w:tc>
          <w:tcPr>
            <w:tcW w:w="2380" w:type="dxa"/>
            <w:vAlign w:val="bottom"/>
            <w:tcBorders>
              <w:bottom w:val="single" w:sz="8" w:color="CCEEFF"/>
            </w:tcBorders>
            <w:gridSpan w:val="2"/>
          </w:tcPr>
          <w:p>
            <w:pPr>
              <w:spacing w:after="0" w:line="79" w:lineRule="exact"/>
              <w:rPr>
                <w:sz w:val="20"/>
                <w:szCs w:val="20"/>
                <w:color w:val="auto"/>
              </w:rPr>
            </w:pPr>
            <w:r>
              <w:rPr>
                <w:rFonts w:ascii="Arial" w:cs="Arial" w:eastAsia="Arial" w:hAnsi="Arial"/>
                <w:sz w:val="8"/>
                <w:szCs w:val="8"/>
                <w:b w:val="1"/>
                <w:bCs w:val="1"/>
                <w:color w:val="auto"/>
              </w:rPr>
              <w:t>Balance at December 31</w:t>
            </w:r>
          </w:p>
        </w:tc>
        <w:tc>
          <w:tcPr>
            <w:tcW w:w="6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243,951</w:t>
            </w:r>
          </w:p>
        </w:tc>
        <w:tc>
          <w:tcPr>
            <w:tcW w:w="200" w:type="dxa"/>
            <w:vAlign w:val="bottom"/>
            <w:tcBorders>
              <w:bottom w:val="single" w:sz="8" w:color="CCEEFF"/>
            </w:tcBorders>
          </w:tcPr>
          <w:p>
            <w:pPr>
              <w:spacing w:after="0"/>
              <w:rPr>
                <w:sz w:val="6"/>
                <w:szCs w:val="6"/>
                <w:color w:val="auto"/>
              </w:rPr>
            </w:pPr>
          </w:p>
        </w:tc>
        <w:tc>
          <w:tcPr>
            <w:tcW w:w="6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60,643</w:t>
            </w:r>
          </w:p>
        </w:tc>
        <w:tc>
          <w:tcPr>
            <w:tcW w:w="220" w:type="dxa"/>
            <w:vAlign w:val="bottom"/>
            <w:tcBorders>
              <w:bottom w:val="single" w:sz="8" w:color="CCEEFF"/>
            </w:tcBorders>
          </w:tcPr>
          <w:p>
            <w:pPr>
              <w:spacing w:after="0"/>
              <w:rPr>
                <w:sz w:val="6"/>
                <w:szCs w:val="6"/>
                <w:color w:val="auto"/>
              </w:rPr>
            </w:pP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12,441</w:t>
            </w:r>
          </w:p>
        </w:tc>
        <w:tc>
          <w:tcPr>
            <w:tcW w:w="200" w:type="dxa"/>
            <w:vAlign w:val="bottom"/>
            <w:tcBorders>
              <w:bottom w:val="single" w:sz="8" w:color="CCEEFF"/>
            </w:tcBorders>
          </w:tcPr>
          <w:p>
            <w:pPr>
              <w:spacing w:after="0"/>
              <w:rPr>
                <w:sz w:val="6"/>
                <w:szCs w:val="6"/>
                <w:color w:val="auto"/>
              </w:rPr>
            </w:pPr>
          </w:p>
        </w:tc>
        <w:tc>
          <w:tcPr>
            <w:tcW w:w="6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20,219</w:t>
            </w:r>
          </w:p>
        </w:tc>
        <w:tc>
          <w:tcPr>
            <w:tcW w:w="220" w:type="dxa"/>
            <w:vAlign w:val="bottom"/>
            <w:tcBorders>
              <w:bottom w:val="single" w:sz="8" w:color="CCEEFF"/>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1,774,183</w:t>
            </w:r>
          </w:p>
        </w:tc>
        <w:tc>
          <w:tcPr>
            <w:tcW w:w="220" w:type="dxa"/>
            <w:vAlign w:val="bottom"/>
            <w:tcBorders>
              <w:bottom w:val="single" w:sz="8" w:color="CCEEFF"/>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220" w:type="dxa"/>
            <w:vAlign w:val="bottom"/>
            <w:tcBorders>
              <w:bottom w:val="single" w:sz="8" w:color="CCEEFF"/>
            </w:tcBorders>
          </w:tcPr>
          <w:p>
            <w:pPr>
              <w:spacing w:after="0"/>
              <w:rPr>
                <w:sz w:val="6"/>
                <w:szCs w:val="6"/>
                <w:color w:val="auto"/>
              </w:rPr>
            </w:pPr>
          </w:p>
        </w:tc>
        <w:tc>
          <w:tcPr>
            <w:tcW w:w="6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27,287</w:t>
            </w:r>
          </w:p>
        </w:tc>
        <w:tc>
          <w:tcPr>
            <w:tcW w:w="200" w:type="dxa"/>
            <w:vAlign w:val="bottom"/>
            <w:tcBorders>
              <w:bottom w:val="single" w:sz="8" w:color="CCEEFF"/>
            </w:tcBorders>
          </w:tcPr>
          <w:p>
            <w:pPr>
              <w:spacing w:after="0"/>
              <w:rPr>
                <w:sz w:val="6"/>
                <w:szCs w:val="6"/>
                <w:color w:val="auto"/>
              </w:rPr>
            </w:pPr>
          </w:p>
        </w:tc>
        <w:tc>
          <w:tcPr>
            <w:tcW w:w="6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2,138,724</w:t>
            </w:r>
          </w:p>
        </w:tc>
        <w:tc>
          <w:tcPr>
            <w:tcW w:w="220" w:type="dxa"/>
            <w:vAlign w:val="bottom"/>
            <w:tcBorders>
              <w:bottom w:val="single" w:sz="8" w:color="CCEEFF"/>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1,941,961</w:t>
            </w:r>
          </w:p>
        </w:tc>
        <w:tc>
          <w:tcPr>
            <w:tcW w:w="220" w:type="dxa"/>
            <w:vAlign w:val="bottom"/>
            <w:tcBorders>
              <w:bottom w:val="single" w:sz="8" w:color="CCEEFF"/>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1,747,475</w:t>
            </w:r>
          </w:p>
        </w:tc>
        <w:tc>
          <w:tcPr>
            <w:tcW w:w="100" w:type="dxa"/>
            <w:vAlign w:val="bottom"/>
            <w:tcBorders>
              <w:bottom w:val="single" w:sz="8" w:color="CCEEFF"/>
            </w:tcBorders>
          </w:tcPr>
          <w:p>
            <w:pPr>
              <w:spacing w:after="0"/>
              <w:rPr>
                <w:sz w:val="6"/>
                <w:szCs w:val="6"/>
                <w:color w:val="auto"/>
              </w:rPr>
            </w:pPr>
          </w:p>
        </w:tc>
      </w:tr>
      <w:tr>
        <w:trPr>
          <w:trHeight w:val="79"/>
        </w:trPr>
        <w:tc>
          <w:tcPr>
            <w:tcW w:w="2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r>
        <w:trPr>
          <w:trHeight w:val="117"/>
        </w:trPr>
        <w:tc>
          <w:tcPr>
            <w:tcW w:w="2380" w:type="dxa"/>
            <w:vAlign w:val="bottom"/>
            <w:gridSpan w:val="2"/>
          </w:tcPr>
          <w:p>
            <w:pPr>
              <w:spacing w:after="0"/>
              <w:rPr>
                <w:sz w:val="20"/>
                <w:szCs w:val="20"/>
                <w:color w:val="auto"/>
              </w:rPr>
            </w:pPr>
            <w:r>
              <w:rPr>
                <w:rFonts w:ascii="Arial" w:cs="Arial" w:eastAsia="Arial" w:hAnsi="Arial"/>
                <w:sz w:val="8"/>
                <w:szCs w:val="8"/>
                <w:b w:val="1"/>
                <w:bCs w:val="1"/>
                <w:color w:val="auto"/>
              </w:rPr>
              <w:t>Net carrying amount</w:t>
            </w:r>
          </w:p>
        </w:tc>
        <w:tc>
          <w:tcPr>
            <w:tcW w:w="660" w:type="dxa"/>
            <w:vAlign w:val="bottom"/>
          </w:tcPr>
          <w:p>
            <w:pPr>
              <w:jc w:val="right"/>
              <w:spacing w:after="0"/>
              <w:rPr>
                <w:sz w:val="20"/>
                <w:szCs w:val="20"/>
                <w:color w:val="auto"/>
              </w:rPr>
            </w:pPr>
            <w:r>
              <w:rPr>
                <w:rFonts w:ascii="Arial" w:cs="Arial" w:eastAsia="Arial" w:hAnsi="Arial"/>
                <w:sz w:val="8"/>
                <w:szCs w:val="8"/>
                <w:color w:val="auto"/>
              </w:rPr>
              <w:t>134,945</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132,604</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81,702</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881</w:t>
            </w:r>
          </w:p>
        </w:tc>
        <w:tc>
          <w:tcPr>
            <w:tcW w:w="2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930,378</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363,347</w:t>
            </w:r>
          </w:p>
        </w:tc>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22,408</w:t>
            </w: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1,666,265</w:t>
            </w:r>
          </w:p>
        </w:tc>
        <w:tc>
          <w:tcPr>
            <w:tcW w:w="640" w:type="dxa"/>
            <w:vAlign w:val="bottom"/>
          </w:tcPr>
          <w:p>
            <w:pPr>
              <w:jc w:val="right"/>
              <w:spacing w:after="0"/>
              <w:rPr>
                <w:sz w:val="20"/>
                <w:szCs w:val="20"/>
                <w:color w:val="auto"/>
              </w:rPr>
            </w:pPr>
            <w:r>
              <w:rPr>
                <w:rFonts w:ascii="Arial" w:cs="Arial" w:eastAsia="Arial" w:hAnsi="Arial"/>
                <w:sz w:val="8"/>
                <w:szCs w:val="8"/>
                <w:color w:val="auto"/>
              </w:rPr>
              <w:t>1,464,372</w:t>
            </w:r>
          </w:p>
        </w:tc>
        <w:tc>
          <w:tcPr>
            <w:tcW w:w="2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1,342,890</w:t>
            </w:r>
          </w:p>
        </w:tc>
        <w:tc>
          <w:tcPr>
            <w:tcW w:w="100" w:type="dxa"/>
            <w:vAlign w:val="bottom"/>
          </w:tcPr>
          <w:p>
            <w:pPr>
              <w:spacing w:after="0"/>
              <w:rPr>
                <w:sz w:val="10"/>
                <w:szCs w:val="10"/>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left="428" w:right="200"/>
        <w:spacing w:after="0" w:line="263" w:lineRule="auto"/>
        <w:rPr>
          <w:sz w:val="20"/>
          <w:szCs w:val="20"/>
          <w:color w:val="auto"/>
        </w:rPr>
      </w:pPr>
      <w:r>
        <w:rPr>
          <w:rFonts w:ascii="Arial" w:cs="Arial" w:eastAsia="Arial" w:hAnsi="Arial"/>
          <w:sz w:val="12"/>
          <w:szCs w:val="12"/>
          <w:color w:val="auto"/>
        </w:rPr>
        <w:t>During the year 2019, the Group has made disbursements mainly related with the implementation and development of various IT projects such as DataLake, Holístico, SpotLigth, DWH, Operating Model, Client 360, Connex, Mainframe, Kalignite NDC, Small and medium businesses (PYME, from spanish acronym) Loans Online, Information Cube and others (Business Integration, DWH - Modelo Lineal I15, Credit Card, Customer Identity and Access Management, DWH - Operative Model, Yape and others during the year 2018).</w:t>
      </w:r>
    </w:p>
    <w:p>
      <w:pPr>
        <w:spacing w:after="0" w:line="123"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Also, during the year 2019, the activation of various intangibles in progress was carried out, mainly the DataLake system for a total cost of US$19.7 million, equivalent to S/64.9 million. This system manages the Bank's customer database and provides various financial reports.</w:t>
      </w:r>
    </w:p>
    <w:p>
      <w:pPr>
        <w:spacing w:after="0" w:line="259"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649" w:right="2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53"/>
        </w:trPr>
        <w:tc>
          <w:tcPr>
            <w:tcW w:w="220" w:type="dxa"/>
            <w:vAlign w:val="bottom"/>
          </w:tcPr>
          <w:p>
            <w:pPr>
              <w:spacing w:after="0"/>
              <w:rPr>
                <w:sz w:val="20"/>
                <w:szCs w:val="20"/>
                <w:color w:val="auto"/>
              </w:rPr>
            </w:pPr>
            <w:r>
              <w:rPr>
                <w:rFonts w:ascii="Arial" w:cs="Arial" w:eastAsia="Arial" w:hAnsi="Arial"/>
                <w:sz w:val="12"/>
                <w:szCs w:val="12"/>
                <w:color w:val="auto"/>
              </w:rPr>
              <w:t>(i)</w:t>
            </w:r>
          </w:p>
        </w:tc>
        <w:tc>
          <w:tcPr>
            <w:tcW w:w="8500" w:type="dxa"/>
            <w:vAlign w:val="bottom"/>
            <w:gridSpan w:val="2"/>
          </w:tcPr>
          <w:p>
            <w:pPr>
              <w:spacing w:after="0"/>
              <w:rPr>
                <w:sz w:val="20"/>
                <w:szCs w:val="20"/>
                <w:color w:val="auto"/>
              </w:rPr>
            </w:pPr>
            <w:r>
              <w:rPr>
                <w:rFonts w:ascii="Arial" w:cs="Arial" w:eastAsia="Arial" w:hAnsi="Arial"/>
                <w:sz w:val="12"/>
                <w:szCs w:val="12"/>
                <w:color w:val="auto"/>
              </w:rPr>
              <w:t>Client relationships -</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22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This item consists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20" w:type="dxa"/>
            <w:vAlign w:val="bottom"/>
          </w:tcPr>
          <w:p>
            <w:pPr>
              <w:spacing w:after="0"/>
              <w:rPr>
                <w:sz w:val="24"/>
                <w:szCs w:val="24"/>
                <w:color w:val="auto"/>
              </w:rPr>
            </w:pPr>
          </w:p>
        </w:tc>
        <w:tc>
          <w:tcPr>
            <w:tcW w:w="8500" w:type="dxa"/>
            <w:vAlign w:val="bottom"/>
            <w:gridSpan w:val="2"/>
          </w:tcPr>
          <w:p>
            <w:pPr>
              <w:jc w:val="center"/>
              <w:ind w:left="8080"/>
              <w:spacing w:after="0"/>
              <w:rPr>
                <w:sz w:val="20"/>
                <w:szCs w:val="20"/>
                <w:color w:val="auto"/>
              </w:rPr>
            </w:pPr>
            <w:r>
              <w:rPr>
                <w:rFonts w:ascii="Arial" w:cs="Arial" w:eastAsia="Arial" w:hAnsi="Arial"/>
                <w:sz w:val="12"/>
                <w:szCs w:val="12"/>
                <w:b w:val="1"/>
                <w:bCs w:val="1"/>
                <w:color w:val="auto"/>
                <w:w w:val="89"/>
              </w:rPr>
              <w:t>2019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74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Prima AFP - AFP Unión Vida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82,322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94,670</w:t>
            </w:r>
          </w:p>
        </w:tc>
        <w:tc>
          <w:tcPr>
            <w:tcW w:w="8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Credicorp Capital Holding Chile - Inversiones IMT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19,333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22,776</w:t>
            </w:r>
          </w:p>
        </w:tc>
        <w:tc>
          <w:tcPr>
            <w:tcW w:w="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Mibanco</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27,065</w:t>
            </w:r>
          </w:p>
        </w:tc>
        <w:tc>
          <w:tcPr>
            <w:tcW w:w="8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Ultraserfinco</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13,400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Culqi</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2,550</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Tenpo</w:t>
            </w:r>
          </w:p>
        </w:tc>
        <w:tc>
          <w:tcPr>
            <w:tcW w:w="400" w:type="dxa"/>
            <w:vAlign w:val="bottom"/>
          </w:tcPr>
          <w:p>
            <w:pPr>
              <w:jc w:val="right"/>
              <w:spacing w:after="0"/>
              <w:rPr>
                <w:sz w:val="20"/>
                <w:szCs w:val="20"/>
                <w:color w:val="auto"/>
              </w:rPr>
            </w:pPr>
            <w:r>
              <w:rPr>
                <w:rFonts w:ascii="Arial" w:cs="Arial" w:eastAsia="Arial" w:hAnsi="Arial"/>
                <w:sz w:val="12"/>
                <w:szCs w:val="12"/>
                <w:color w:val="auto"/>
              </w:rPr>
              <w:t>2,304</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Mibanco - Edyficar Perú</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9"/>
        </w:trPr>
        <w:tc>
          <w:tcPr>
            <w:tcW w:w="220" w:type="dxa"/>
            <w:vAlign w:val="bottom"/>
          </w:tcPr>
          <w:p>
            <w:pPr>
              <w:spacing w:after="0"/>
              <w:rPr>
                <w:sz w:val="12"/>
                <w:szCs w:val="12"/>
                <w:color w:val="auto"/>
              </w:rPr>
            </w:pPr>
          </w:p>
        </w:tc>
        <w:tc>
          <w:tcPr>
            <w:tcW w:w="7760" w:type="dxa"/>
            <w:vAlign w:val="bottom"/>
          </w:tcPr>
          <w:p>
            <w:pPr>
              <w:spacing w:after="0"/>
              <w:rPr>
                <w:sz w:val="20"/>
                <w:szCs w:val="20"/>
                <w:color w:val="auto"/>
              </w:rPr>
            </w:pPr>
            <w:r>
              <w:rPr>
                <w:rFonts w:ascii="Arial" w:cs="Arial" w:eastAsia="Arial" w:hAnsi="Arial"/>
                <w:sz w:val="12"/>
                <w:szCs w:val="12"/>
                <w:b w:val="1"/>
                <w:bCs w:val="1"/>
                <w:color w:val="auto"/>
              </w:rPr>
              <w:t>Net carrying amount</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134,945</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146,027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220" w:type="dxa"/>
            <w:vAlign w:val="bottom"/>
          </w:tcPr>
          <w:p>
            <w:pPr>
              <w:spacing w:after="0"/>
              <w:rPr>
                <w:sz w:val="20"/>
                <w:szCs w:val="20"/>
                <w:color w:val="auto"/>
              </w:rPr>
            </w:pPr>
            <w:r>
              <w:rPr>
                <w:rFonts w:ascii="Arial" w:cs="Arial" w:eastAsia="Arial" w:hAnsi="Arial"/>
                <w:sz w:val="12"/>
                <w:szCs w:val="12"/>
                <w:color w:val="auto"/>
              </w:rPr>
              <w:t>(ii)</w:t>
            </w:r>
          </w:p>
        </w:tc>
        <w:tc>
          <w:tcPr>
            <w:tcW w:w="8500" w:type="dxa"/>
            <w:vAlign w:val="bottom"/>
            <w:gridSpan w:val="2"/>
          </w:tcPr>
          <w:p>
            <w:pPr>
              <w:spacing w:after="0"/>
              <w:rPr>
                <w:sz w:val="20"/>
                <w:szCs w:val="20"/>
                <w:color w:val="auto"/>
              </w:rPr>
            </w:pPr>
            <w:r>
              <w:rPr>
                <w:rFonts w:ascii="Arial" w:cs="Arial" w:eastAsia="Arial" w:hAnsi="Arial"/>
                <w:sz w:val="12"/>
                <w:szCs w:val="12"/>
                <w:color w:val="auto"/>
              </w:rPr>
              <w:t>Brand name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22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This item consists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20" w:type="dxa"/>
            <w:vAlign w:val="bottom"/>
          </w:tcPr>
          <w:p>
            <w:pPr>
              <w:spacing w:after="0"/>
              <w:rPr>
                <w:sz w:val="24"/>
                <w:szCs w:val="24"/>
                <w:color w:val="auto"/>
              </w:rPr>
            </w:pPr>
          </w:p>
        </w:tc>
        <w:tc>
          <w:tcPr>
            <w:tcW w:w="8500" w:type="dxa"/>
            <w:vAlign w:val="bottom"/>
            <w:gridSpan w:val="2"/>
          </w:tcPr>
          <w:p>
            <w:pPr>
              <w:jc w:val="center"/>
              <w:ind w:left="8080"/>
              <w:spacing w:after="0"/>
              <w:rPr>
                <w:sz w:val="20"/>
                <w:szCs w:val="20"/>
                <w:color w:val="auto"/>
              </w:rPr>
            </w:pPr>
            <w:r>
              <w:rPr>
                <w:rFonts w:ascii="Arial" w:cs="Arial" w:eastAsia="Arial" w:hAnsi="Arial"/>
                <w:sz w:val="12"/>
                <w:szCs w:val="12"/>
                <w:b w:val="1"/>
                <w:bCs w:val="1"/>
                <w:color w:val="auto"/>
                <w:w w:val="89"/>
              </w:rPr>
              <w:t>2019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74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Mibanco</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131,440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138,268</w:t>
            </w:r>
          </w:p>
        </w:tc>
        <w:tc>
          <w:tcPr>
            <w:tcW w:w="8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Culqi</w:t>
            </w:r>
          </w:p>
        </w:tc>
        <w:tc>
          <w:tcPr>
            <w:tcW w:w="400" w:type="dxa"/>
            <w:vAlign w:val="bottom"/>
          </w:tcPr>
          <w:p>
            <w:pPr>
              <w:jc w:val="right"/>
              <w:spacing w:after="0"/>
              <w:rPr>
                <w:sz w:val="20"/>
                <w:szCs w:val="20"/>
                <w:color w:val="auto"/>
              </w:rPr>
            </w:pPr>
            <w:r>
              <w:rPr>
                <w:rFonts w:ascii="Arial" w:cs="Arial" w:eastAsia="Arial" w:hAnsi="Arial"/>
                <w:sz w:val="12"/>
                <w:szCs w:val="12"/>
                <w:color w:val="auto"/>
              </w:rPr>
              <w:t>1,164</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Credicorp Capital Holding Chile - Inversiones IMT</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7"/>
        </w:trPr>
        <w:tc>
          <w:tcPr>
            <w:tcW w:w="2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2"/>
                <w:szCs w:val="12"/>
                <w:b w:val="1"/>
                <w:bCs w:val="1"/>
                <w:color w:val="auto"/>
              </w:rPr>
              <w:t>Net carrying amount</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132,604</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138,503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88"/>
        </w:trPr>
        <w:tc>
          <w:tcPr>
            <w:tcW w:w="8720" w:type="dxa"/>
            <w:vAlign w:val="bottom"/>
            <w:gridSpan w:val="3"/>
          </w:tcPr>
          <w:p>
            <w:pPr>
              <w:spacing w:after="0"/>
              <w:rPr>
                <w:sz w:val="20"/>
                <w:szCs w:val="20"/>
                <w:color w:val="auto"/>
              </w:rPr>
            </w:pPr>
            <w:r>
              <w:rPr>
                <w:rFonts w:ascii="Arial" w:cs="Arial" w:eastAsia="Arial" w:hAnsi="Arial"/>
                <w:sz w:val="12"/>
                <w:szCs w:val="12"/>
                <w:color w:val="auto"/>
              </w:rPr>
              <w:t>(iii) Fund management contract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22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This item consists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20" w:type="dxa"/>
            <w:vAlign w:val="bottom"/>
          </w:tcPr>
          <w:p>
            <w:pPr>
              <w:spacing w:after="0"/>
              <w:rPr>
                <w:sz w:val="24"/>
                <w:szCs w:val="24"/>
                <w:color w:val="auto"/>
              </w:rPr>
            </w:pPr>
          </w:p>
        </w:tc>
        <w:tc>
          <w:tcPr>
            <w:tcW w:w="8500" w:type="dxa"/>
            <w:vAlign w:val="bottom"/>
            <w:gridSpan w:val="2"/>
          </w:tcPr>
          <w:p>
            <w:pPr>
              <w:jc w:val="center"/>
              <w:ind w:left="8080"/>
              <w:spacing w:after="0"/>
              <w:rPr>
                <w:sz w:val="20"/>
                <w:szCs w:val="20"/>
                <w:color w:val="auto"/>
              </w:rPr>
            </w:pPr>
            <w:r>
              <w:rPr>
                <w:rFonts w:ascii="Arial" w:cs="Arial" w:eastAsia="Arial" w:hAnsi="Arial"/>
                <w:sz w:val="12"/>
                <w:szCs w:val="12"/>
                <w:b w:val="1"/>
                <w:bCs w:val="1"/>
                <w:color w:val="auto"/>
                <w:w w:val="89"/>
              </w:rPr>
              <w:t>2019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74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gridSpan w:val="2"/>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Credicorp Capital Colombia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42,352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47,886</w:t>
            </w:r>
          </w:p>
        </w:tc>
        <w:tc>
          <w:tcPr>
            <w:tcW w:w="80" w:type="dxa"/>
            <w:vAlign w:val="bottom"/>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8500" w:type="dxa"/>
            <w:vAlign w:val="bottom"/>
            <w:gridSpan w:val="2"/>
          </w:tcPr>
          <w:p>
            <w:pPr>
              <w:spacing w:after="0"/>
              <w:rPr>
                <w:sz w:val="20"/>
                <w:szCs w:val="20"/>
                <w:color w:val="auto"/>
              </w:rPr>
            </w:pPr>
            <w:r>
              <w:rPr>
                <w:rFonts w:ascii="Arial" w:cs="Arial" w:eastAsia="Arial" w:hAnsi="Arial"/>
                <w:sz w:val="12"/>
                <w:szCs w:val="12"/>
                <w:color w:val="auto"/>
              </w:rPr>
              <w:t>Credicorp Capital Holding Chile - Inversiones IMT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34,997</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40,569</w:t>
            </w:r>
          </w:p>
        </w:tc>
        <w:tc>
          <w:tcPr>
            <w:tcW w:w="8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Ultrasefinco S.A.</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4,353</w:t>
            </w:r>
          </w:p>
        </w:tc>
        <w:tc>
          <w:tcPr>
            <w:tcW w:w="20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7"/>
        </w:trPr>
        <w:tc>
          <w:tcPr>
            <w:tcW w:w="2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2"/>
                <w:szCs w:val="12"/>
                <w:b w:val="1"/>
                <w:bCs w:val="1"/>
                <w:color w:val="auto"/>
              </w:rPr>
              <w:t>Net carrying amount</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81,702</w:t>
            </w:r>
          </w:p>
        </w:tc>
        <w:tc>
          <w:tcPr>
            <w:tcW w:w="20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88,455</w:t>
            </w:r>
          </w:p>
        </w:tc>
        <w:tc>
          <w:tcPr>
            <w:tcW w:w="80" w:type="dxa"/>
            <w:vAlign w:val="bottom"/>
          </w:tcPr>
          <w:p>
            <w:pPr>
              <w:spacing w:after="0"/>
              <w:rPr>
                <w:sz w:val="14"/>
                <w:szCs w:val="14"/>
                <w:color w:val="auto"/>
              </w:rPr>
            </w:pP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Management has assessed at each reporting date that there was no indication that customer relationships, brand name, fund management contract and software and developments may be impaired.</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560"/>
          </w:cols>
          <w:pgMar w:left="640" w:top="653" w:right="699" w:bottom="1440" w:gutter="0" w:footer="0" w:header="0"/>
        </w:sectPr>
      </w:pPr>
    </w:p>
    <w:bookmarkStart w:id="93" w:name="page94"/>
    <w:bookmarkEnd w:id="93"/>
    <w:p>
      <w:pPr>
        <w:ind w:left="420" w:hanging="212"/>
        <w:spacing w:after="0"/>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Goodwill -</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Goodwill acquired through business combinations has been allocated to each subsidiary or groups of them, which are also identified as a CGU for the purposes of impairment testing, as follows:</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88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78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Mibanco - Edyficar Perú</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7"/>
              </w:rPr>
              <w:t>273,694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273,694</w:t>
            </w:r>
          </w:p>
        </w:tc>
      </w:tr>
      <w:tr>
        <w:trPr>
          <w:trHeight w:val="144"/>
        </w:trPr>
        <w:tc>
          <w:tcPr>
            <w:tcW w:w="8800" w:type="dxa"/>
            <w:vAlign w:val="bottom"/>
            <w:gridSpan w:val="2"/>
          </w:tcPr>
          <w:p>
            <w:pPr>
              <w:spacing w:after="0"/>
              <w:rPr>
                <w:sz w:val="20"/>
                <w:szCs w:val="20"/>
                <w:color w:val="auto"/>
              </w:rPr>
            </w:pPr>
            <w:r>
              <w:rPr>
                <w:rFonts w:ascii="Arial" w:cs="Arial" w:eastAsia="Arial" w:hAnsi="Arial"/>
                <w:sz w:val="12"/>
                <w:szCs w:val="12"/>
                <w:color w:val="auto"/>
              </w:rPr>
              <w:t>Banco Compartir S.A.</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87"/>
              </w:rPr>
              <w:t>212,085</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Prima AFP - AFP Unión Vida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7"/>
              </w:rPr>
              <w:t>124,641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124,641</w:t>
            </w:r>
          </w:p>
        </w:tc>
      </w:tr>
      <w:tr>
        <w:trPr>
          <w:trHeight w:val="144"/>
        </w:trPr>
        <w:tc>
          <w:tcPr>
            <w:tcW w:w="8800" w:type="dxa"/>
            <w:vAlign w:val="bottom"/>
            <w:gridSpan w:val="2"/>
          </w:tcPr>
          <w:p>
            <w:pPr>
              <w:spacing w:after="0"/>
              <w:rPr>
                <w:sz w:val="20"/>
                <w:szCs w:val="20"/>
                <w:color w:val="auto"/>
              </w:rPr>
            </w:pPr>
            <w:r>
              <w:rPr>
                <w:rFonts w:ascii="Arial" w:cs="Arial" w:eastAsia="Arial" w:hAnsi="Arial"/>
                <w:sz w:val="12"/>
                <w:szCs w:val="12"/>
                <w:color w:val="auto"/>
              </w:rPr>
              <w:t>Credicorp Capital Colombia</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72,134</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74,391</w:t>
            </w: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Banco de Crédito del Perú</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52,359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52,359</w:t>
            </w:r>
          </w:p>
        </w:tc>
      </w:tr>
      <w:tr>
        <w:trPr>
          <w:trHeight w:val="144"/>
        </w:trPr>
        <w:tc>
          <w:tcPr>
            <w:tcW w:w="8800" w:type="dxa"/>
            <w:vAlign w:val="bottom"/>
            <w:gridSpan w:val="2"/>
          </w:tcPr>
          <w:p>
            <w:pPr>
              <w:spacing w:after="0"/>
              <w:rPr>
                <w:sz w:val="20"/>
                <w:szCs w:val="20"/>
                <w:color w:val="auto"/>
              </w:rPr>
            </w:pPr>
            <w:r>
              <w:rPr>
                <w:rFonts w:ascii="Arial" w:cs="Arial" w:eastAsia="Arial" w:hAnsi="Arial"/>
                <w:sz w:val="12"/>
                <w:szCs w:val="12"/>
                <w:color w:val="auto"/>
              </w:rPr>
              <w:t>Ultraserfinco S.A.</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45,339</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Pacífico Seguros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36,354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36,354</w:t>
            </w:r>
          </w:p>
        </w:tc>
      </w:tr>
      <w:tr>
        <w:trPr>
          <w:trHeight w:val="144"/>
        </w:trPr>
        <w:tc>
          <w:tcPr>
            <w:tcW w:w="8800" w:type="dxa"/>
            <w:vAlign w:val="bottom"/>
            <w:gridSpan w:val="2"/>
          </w:tcPr>
          <w:p>
            <w:pPr>
              <w:spacing w:after="0"/>
              <w:rPr>
                <w:sz w:val="20"/>
                <w:szCs w:val="20"/>
                <w:color w:val="auto"/>
              </w:rPr>
            </w:pPr>
            <w:r>
              <w:rPr>
                <w:rFonts w:ascii="Arial" w:cs="Arial" w:eastAsia="Arial" w:hAnsi="Arial"/>
                <w:sz w:val="12"/>
                <w:szCs w:val="12"/>
                <w:color w:val="auto"/>
              </w:rPr>
              <w:t>Atlantic Security Holding Corporation</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29,795</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29,795</w:t>
            </w: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Tenpo SpA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23,051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gridSpan w:val="2"/>
          </w:tcPr>
          <w:p>
            <w:pPr>
              <w:spacing w:after="0"/>
              <w:rPr>
                <w:sz w:val="20"/>
                <w:szCs w:val="20"/>
                <w:color w:val="auto"/>
              </w:rPr>
            </w:pPr>
            <w:r>
              <w:rPr>
                <w:rFonts w:ascii="Arial" w:cs="Arial" w:eastAsia="Arial" w:hAnsi="Arial"/>
                <w:sz w:val="12"/>
                <w:szCs w:val="12"/>
                <w:color w:val="auto"/>
              </w:rPr>
              <w:t>Multicaja Prepago S.A.</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12,943</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Compañía Incubadora de Soluciones Móviles S.A.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3,518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8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Crediseguro Seguros Personales</w:t>
            </w: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c>
          <w:tcPr>
            <w:tcW w:w="2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c>
          <w:tcPr>
            <w:tcW w:w="100" w:type="dxa"/>
            <w:vAlign w:val="bottom"/>
            <w:tcBorders>
              <w:bottom w:val="single" w:sz="8" w:color="CCEEFF"/>
            </w:tcBorders>
          </w:tcPr>
          <w:p>
            <w:pPr>
              <w:spacing w:after="0"/>
              <w:rPr>
                <w:sz w:val="13"/>
                <w:szCs w:val="13"/>
                <w:color w:val="auto"/>
              </w:rPr>
            </w:pPr>
          </w:p>
        </w:tc>
      </w:tr>
      <w:tr>
        <w:trPr>
          <w:trHeight w:val="167"/>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carrying amount</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886,009</w:t>
            </w:r>
          </w:p>
        </w:tc>
        <w:tc>
          <w:tcPr>
            <w:tcW w:w="2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591,330</w:t>
            </w:r>
          </w:p>
        </w:tc>
        <w:tc>
          <w:tcPr>
            <w:tcW w:w="100" w:type="dxa"/>
            <w:vAlign w:val="bottom"/>
            <w:tcBorders>
              <w:bottom w:val="single" w:sz="8" w:color="CCEEFF"/>
            </w:tcBorders>
            <w:shd w:val="clear" w:color="auto" w:fill="CCEEFF"/>
          </w:tcPr>
          <w:p>
            <w:pPr>
              <w:spacing w:after="0"/>
              <w:rPr>
                <w:sz w:val="14"/>
                <w:szCs w:val="14"/>
                <w:color w:val="auto"/>
              </w:rPr>
            </w:pPr>
          </w:p>
        </w:tc>
      </w:tr>
    </w:tbl>
    <w:p>
      <w:pPr>
        <w:spacing w:after="0" w:line="135" w:lineRule="exact"/>
        <w:rPr>
          <w:sz w:val="20"/>
          <w:szCs w:val="20"/>
          <w:color w:val="auto"/>
        </w:rPr>
      </w:pPr>
    </w:p>
    <w:p>
      <w:pPr>
        <w:ind w:left="420" w:right="280"/>
        <w:spacing w:after="0" w:line="276" w:lineRule="auto"/>
        <w:rPr>
          <w:sz w:val="20"/>
          <w:szCs w:val="20"/>
          <w:color w:val="auto"/>
        </w:rPr>
      </w:pPr>
      <w:r>
        <w:rPr>
          <w:rFonts w:ascii="Arial" w:cs="Arial" w:eastAsia="Arial" w:hAnsi="Arial"/>
          <w:sz w:val="12"/>
          <w:szCs w:val="12"/>
          <w:color w:val="auto"/>
        </w:rPr>
        <w:t>The recoverable amount of all of the CGUs has been determined based on the calculations of the fair value less selling costs, which is the present value of the discounted cash flows determined principally with assumptions of revenue and expenses projection (based on efficiency ratios).</w:t>
      </w:r>
    </w:p>
    <w:p>
      <w:pPr>
        <w:spacing w:after="0" w:line="115" w:lineRule="exact"/>
        <w:rPr>
          <w:sz w:val="20"/>
          <w:szCs w:val="20"/>
          <w:color w:val="auto"/>
        </w:rPr>
      </w:pPr>
    </w:p>
    <w:p>
      <w:pPr>
        <w:ind w:left="420" w:right="80"/>
        <w:spacing w:after="0" w:line="323" w:lineRule="auto"/>
        <w:rPr>
          <w:sz w:val="20"/>
          <w:szCs w:val="20"/>
          <w:color w:val="auto"/>
        </w:rPr>
      </w:pPr>
      <w:r>
        <w:rPr>
          <w:rFonts w:ascii="Arial" w:cs="Arial" w:eastAsia="Arial" w:hAnsi="Arial"/>
          <w:sz w:val="11"/>
          <w:szCs w:val="11"/>
          <w:color w:val="auto"/>
        </w:rPr>
        <w:t>Goodwill balance from Credicorp Holding Colombia (due to the acquisition of Credicorp Capital Colombia S.A, Banco Compartir S.A. and Ultraserfinco S.A.) and Krealo SpA (due to the acquisition of Tenpo SpA and Multicaja Prepago S.A.) are affected by the volatility effect of the local exchange rate currency of the country in which they operate against the exchange rate of functional currency of Credicorp Ltd and subsidiaries.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key assumptions used for the calculation of fair value less selling costs in 2019 and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gridSpan w:val="4"/>
          </w:tcPr>
          <w:p>
            <w:pPr>
              <w:ind w:left="60"/>
              <w:spacing w:after="0"/>
              <w:rPr>
                <w:sz w:val="20"/>
                <w:szCs w:val="20"/>
                <w:color w:val="auto"/>
              </w:rPr>
            </w:pPr>
            <w:r>
              <w:rPr>
                <w:rFonts w:ascii="Arial" w:cs="Arial" w:eastAsia="Arial" w:hAnsi="Arial"/>
                <w:sz w:val="12"/>
                <w:szCs w:val="12"/>
                <w:b w:val="1"/>
                <w:bCs w:val="1"/>
                <w:color w:val="auto"/>
              </w:rPr>
              <w:t>At December 31, 2019</w:t>
            </w:r>
          </w:p>
        </w:tc>
        <w:tc>
          <w:tcPr>
            <w:tcW w:w="380" w:type="dxa"/>
            <w:vAlign w:val="bottom"/>
          </w:tcPr>
          <w:p>
            <w:pPr>
              <w:spacing w:after="0"/>
              <w:rPr>
                <w:sz w:val="13"/>
                <w:szCs w:val="13"/>
                <w:color w:val="auto"/>
              </w:rPr>
            </w:pPr>
          </w:p>
        </w:tc>
      </w:tr>
      <w:tr>
        <w:trPr>
          <w:trHeight w:val="120"/>
        </w:trPr>
        <w:tc>
          <w:tcPr>
            <w:tcW w:w="4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Borders>
              <w:top w:val="single" w:sz="8" w:color="auto"/>
            </w:tcBorders>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91"/>
              </w:rPr>
              <w:t>Terminal value growth</w:t>
            </w: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57"/>
        </w:trPr>
        <w:tc>
          <w:tcPr>
            <w:tcW w:w="4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left="460"/>
              <w:spacing w:after="0"/>
              <w:rPr>
                <w:sz w:val="20"/>
                <w:szCs w:val="20"/>
                <w:color w:val="auto"/>
              </w:rPr>
            </w:pPr>
            <w:r>
              <w:rPr>
                <w:rFonts w:ascii="Arial" w:cs="Arial" w:eastAsia="Arial" w:hAnsi="Arial"/>
                <w:sz w:val="12"/>
                <w:szCs w:val="12"/>
                <w:b w:val="1"/>
                <w:bCs w:val="1"/>
                <w:color w:val="auto"/>
                <w:w w:val="90"/>
              </w:rPr>
              <w:t>rate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340"/>
              <w:spacing w:after="0"/>
              <w:rPr>
                <w:sz w:val="20"/>
                <w:szCs w:val="20"/>
                <w:color w:val="auto"/>
              </w:rPr>
            </w:pPr>
            <w:r>
              <w:rPr>
                <w:rFonts w:ascii="Arial" w:cs="Arial" w:eastAsia="Arial" w:hAnsi="Arial"/>
                <w:sz w:val="12"/>
                <w:szCs w:val="12"/>
                <w:b w:val="1"/>
                <w:bCs w:val="1"/>
                <w:color w:val="auto"/>
              </w:rPr>
              <w:t>Discount rate</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520" w:type="dxa"/>
            <w:vAlign w:val="bottom"/>
            <w:tcBorders>
              <w:top w:val="single" w:sz="8" w:color="auto"/>
            </w:tcBorders>
          </w:tcPr>
          <w:p>
            <w:pPr>
              <w:spacing w:after="0"/>
              <w:rPr>
                <w:sz w:val="11"/>
                <w:szCs w:val="11"/>
                <w:color w:val="auto"/>
              </w:rPr>
            </w:pPr>
          </w:p>
        </w:tc>
        <w:tc>
          <w:tcPr>
            <w:tcW w:w="3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ind w:left="460"/>
              <w:spacing w:after="0" w:line="133" w:lineRule="exact"/>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Borders>
              <w:top w:val="single" w:sz="8" w:color="auto"/>
            </w:tcBorders>
          </w:tcPr>
          <w:p>
            <w:pPr>
              <w:jc w:val="right"/>
              <w:ind w:right="58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Mibanco - Edyficar Perú</w:t>
            </w: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12.35</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Prima AFP - AFP Unión Vida</w:t>
            </w: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1.00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11.63</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Credicorp Capital Colombia</w:t>
            </w: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Banco de Crédito del Perú</w:t>
            </w: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11.19</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Pacífico Seguros (*)</w:t>
            </w: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10.72 and 12.00</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Atlantic Security Holding Corporation</w:t>
            </w: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2.00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11.41</w:t>
            </w:r>
          </w:p>
        </w:tc>
        <w:tc>
          <w:tcPr>
            <w:tcW w:w="380" w:type="dxa"/>
            <w:vAlign w:val="bottom"/>
          </w:tcPr>
          <w:p>
            <w:pPr>
              <w:spacing w:after="0"/>
              <w:rPr>
                <w:sz w:val="13"/>
                <w:szCs w:val="13"/>
                <w:color w:val="auto"/>
              </w:rPr>
            </w:pPr>
          </w:p>
        </w:tc>
      </w:tr>
      <w:tr>
        <w:trPr>
          <w:trHeight w:val="423"/>
        </w:trPr>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color w:val="auto"/>
              </w:rPr>
              <w:t>- 89 -</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gridSpan w:val="4"/>
          </w:tcPr>
          <w:p>
            <w:pPr>
              <w:ind w:left="60"/>
              <w:spacing w:after="0"/>
              <w:rPr>
                <w:sz w:val="20"/>
                <w:szCs w:val="20"/>
                <w:color w:val="auto"/>
              </w:rPr>
            </w:pPr>
            <w:r>
              <w:rPr>
                <w:rFonts w:ascii="Arial" w:cs="Arial" w:eastAsia="Arial" w:hAnsi="Arial"/>
                <w:sz w:val="12"/>
                <w:szCs w:val="12"/>
                <w:b w:val="1"/>
                <w:bCs w:val="1"/>
                <w:color w:val="auto"/>
              </w:rPr>
              <w:t>At December 31, 2018</w:t>
            </w:r>
          </w:p>
        </w:tc>
      </w:tr>
      <w:tr>
        <w:trPr>
          <w:trHeight w:val="120"/>
        </w:trPr>
        <w:tc>
          <w:tcPr>
            <w:tcW w:w="7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Borders>
              <w:top w:val="single" w:sz="8" w:color="auto"/>
            </w:tcBorders>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91"/>
              </w:rPr>
              <w:t>Terminal value growth</w:t>
            </w: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c>
          <w:tcPr>
            <w:tcW w:w="880" w:type="dxa"/>
            <w:vAlign w:val="bottom"/>
          </w:tcPr>
          <w:p>
            <w:pPr>
              <w:jc w:val="center"/>
              <w:ind w:left="460"/>
              <w:spacing w:after="0"/>
              <w:rPr>
                <w:sz w:val="20"/>
                <w:szCs w:val="20"/>
                <w:color w:val="auto"/>
              </w:rPr>
            </w:pPr>
            <w:r>
              <w:rPr>
                <w:rFonts w:ascii="Arial" w:cs="Arial" w:eastAsia="Arial" w:hAnsi="Arial"/>
                <w:sz w:val="12"/>
                <w:szCs w:val="12"/>
                <w:b w:val="1"/>
                <w:bCs w:val="1"/>
                <w:color w:val="auto"/>
                <w:w w:val="90"/>
              </w:rPr>
              <w:t>rate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340"/>
              <w:spacing w:after="0"/>
              <w:rPr>
                <w:sz w:val="20"/>
                <w:szCs w:val="20"/>
                <w:color w:val="auto"/>
              </w:rPr>
            </w:pPr>
            <w:r>
              <w:rPr>
                <w:rFonts w:ascii="Arial" w:cs="Arial" w:eastAsia="Arial" w:hAnsi="Arial"/>
                <w:sz w:val="12"/>
                <w:szCs w:val="12"/>
                <w:b w:val="1"/>
                <w:bCs w:val="1"/>
                <w:color w:val="auto"/>
              </w:rPr>
              <w:t>Discount rate</w:t>
            </w:r>
          </w:p>
        </w:tc>
      </w:tr>
      <w:tr>
        <w:trPr>
          <w:trHeight w:val="133"/>
        </w:trPr>
        <w:tc>
          <w:tcPr>
            <w:tcW w:w="7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ind w:left="460"/>
              <w:spacing w:after="0" w:line="133" w:lineRule="exact"/>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Borders>
              <w:top w:val="single" w:sz="8" w:color="auto"/>
            </w:tcBorders>
          </w:tcPr>
          <w:p>
            <w:pPr>
              <w:jc w:val="right"/>
              <w:ind w:right="58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r>
      <w:tr>
        <w:trPr>
          <w:trHeight w:val="144"/>
        </w:trPr>
        <w:tc>
          <w:tcPr>
            <w:tcW w:w="7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Mibanco - Edyficar Perú</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14.18</w:t>
            </w:r>
          </w:p>
        </w:tc>
      </w:tr>
      <w:tr>
        <w:trPr>
          <w:trHeight w:val="144"/>
        </w:trPr>
        <w:tc>
          <w:tcPr>
            <w:tcW w:w="7580" w:type="dxa"/>
            <w:vAlign w:val="bottom"/>
            <w:gridSpan w:val="2"/>
          </w:tcPr>
          <w:p>
            <w:pPr>
              <w:spacing w:after="0"/>
              <w:rPr>
                <w:sz w:val="20"/>
                <w:szCs w:val="20"/>
                <w:color w:val="auto"/>
              </w:rPr>
            </w:pPr>
            <w:r>
              <w:rPr>
                <w:rFonts w:ascii="Arial" w:cs="Arial" w:eastAsia="Arial" w:hAnsi="Arial"/>
                <w:sz w:val="12"/>
                <w:szCs w:val="12"/>
                <w:color w:val="auto"/>
              </w:rPr>
              <w:t>Prima AFP - AFP Unión Vida</w:t>
            </w:r>
          </w:p>
        </w:tc>
        <w:tc>
          <w:tcPr>
            <w:tcW w:w="8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1.00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10.73</w:t>
            </w:r>
          </w:p>
        </w:tc>
      </w:tr>
      <w:tr>
        <w:trPr>
          <w:trHeight w:val="144"/>
        </w:trPr>
        <w:tc>
          <w:tcPr>
            <w:tcW w:w="7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Credicorp Capital Colombia</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14.65</w:t>
            </w:r>
          </w:p>
        </w:tc>
      </w:tr>
      <w:tr>
        <w:trPr>
          <w:trHeight w:val="144"/>
        </w:trPr>
        <w:tc>
          <w:tcPr>
            <w:tcW w:w="7580" w:type="dxa"/>
            <w:vAlign w:val="bottom"/>
            <w:gridSpan w:val="2"/>
          </w:tcPr>
          <w:p>
            <w:pPr>
              <w:spacing w:after="0"/>
              <w:rPr>
                <w:sz w:val="20"/>
                <w:szCs w:val="20"/>
                <w:color w:val="auto"/>
              </w:rPr>
            </w:pPr>
            <w:r>
              <w:rPr>
                <w:rFonts w:ascii="Arial" w:cs="Arial" w:eastAsia="Arial" w:hAnsi="Arial"/>
                <w:sz w:val="12"/>
                <w:szCs w:val="12"/>
                <w:color w:val="auto"/>
              </w:rPr>
              <w:t>Banco de Crédito del Perú</w:t>
            </w:r>
          </w:p>
        </w:tc>
        <w:tc>
          <w:tcPr>
            <w:tcW w:w="8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11.15</w:t>
            </w:r>
          </w:p>
        </w:tc>
      </w:tr>
      <w:tr>
        <w:trPr>
          <w:trHeight w:val="144"/>
        </w:trPr>
        <w:tc>
          <w:tcPr>
            <w:tcW w:w="7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Pacífico Seguros (*)</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12.05 and 14.00</w:t>
            </w:r>
          </w:p>
        </w:tc>
      </w:tr>
      <w:tr>
        <w:trPr>
          <w:trHeight w:val="153"/>
        </w:trPr>
        <w:tc>
          <w:tcPr>
            <w:tcW w:w="7580" w:type="dxa"/>
            <w:vAlign w:val="bottom"/>
            <w:gridSpan w:val="2"/>
          </w:tcPr>
          <w:p>
            <w:pPr>
              <w:spacing w:after="0"/>
              <w:rPr>
                <w:sz w:val="20"/>
                <w:szCs w:val="20"/>
                <w:color w:val="auto"/>
              </w:rPr>
            </w:pPr>
            <w:r>
              <w:rPr>
                <w:rFonts w:ascii="Arial" w:cs="Arial" w:eastAsia="Arial" w:hAnsi="Arial"/>
                <w:sz w:val="12"/>
                <w:szCs w:val="12"/>
                <w:color w:val="auto"/>
              </w:rPr>
              <w:t>Atlantic Security Holding Corporation</w:t>
            </w:r>
          </w:p>
        </w:tc>
        <w:tc>
          <w:tcPr>
            <w:tcW w:w="8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2.00</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10.07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  As of December 31, 2019 and 2018, corresponds to the discount rates used to determine the recoverable value for the general and life insurance business lines cash flows.</w:t>
      </w:r>
    </w:p>
    <w:p>
      <w:pPr>
        <w:spacing w:after="0" w:line="150" w:lineRule="exact"/>
        <w:rPr>
          <w:sz w:val="20"/>
          <w:szCs w:val="20"/>
          <w:color w:val="auto"/>
        </w:rPr>
      </w:pPr>
    </w:p>
    <w:p>
      <w:pPr>
        <w:jc w:val="both"/>
        <w:ind w:right="380"/>
        <w:spacing w:after="0" w:line="276" w:lineRule="auto"/>
        <w:rPr>
          <w:sz w:val="20"/>
          <w:szCs w:val="20"/>
          <w:color w:val="auto"/>
        </w:rPr>
      </w:pPr>
      <w:r>
        <w:rPr>
          <w:rFonts w:ascii="Arial" w:cs="Arial" w:eastAsia="Arial" w:hAnsi="Arial"/>
          <w:sz w:val="12"/>
          <w:szCs w:val="12"/>
          <w:color w:val="auto"/>
        </w:rPr>
        <w:t>Five or ten years of cash flows, depending on the business maturity, were included in the discounted cash flow model. The growth rate estimates are based on historic performance and management’s expectations of market development. A long-term growth rate to perpetuity has been determined taking into account forecasts included in industry reports.</w:t>
      </w:r>
    </w:p>
    <w:p>
      <w:pPr>
        <w:spacing w:after="0" w:line="11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Discount rates represent the current market assessment of the specific risks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specific risk premiums to each CGU. The beta factors are evaluated annually based on publicly available market data.</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During the year 2019, the Group did not recorded any impairment loss. During the year 2018, the Group recorded a gross impairment loss amounting to S/38.2 million, as a result of the assessment of the recoverable amount of the CGU “Inversiones IMT”, decreasing in relation to prior years due to the lower revenues generated compared to those originally budgeted by Management and for the changes expected in the payment of taxes attributable to the parent company resulting from the tax law reform presented in Chile.</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key assumptions described above may change if the conditions of the economy and market change. At December 31, 2019 and 2018, the Group estimates that reasonably possible changes in these assumptions would not cause the recoverable amount of all CGUs to decline below their carrying amount.</w:t>
      </w:r>
    </w:p>
    <w:p>
      <w:pPr>
        <w:spacing w:after="0" w:line="259"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640" w:top="658" w:right="219" w:bottom="1440" w:gutter="0" w:footer="0" w:header="0"/>
        </w:sectPr>
      </w:pPr>
    </w:p>
    <w:bookmarkStart w:id="95" w:name="page96"/>
    <w:bookmarkEnd w:id="95"/>
    <w:p>
      <w:pPr>
        <w:ind w:left="208" w:hanging="208"/>
        <w:spacing w:after="0"/>
        <w:tabs>
          <w:tab w:leader="none" w:pos="208"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 AND LEASE LIABILITES</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10"/>
        </w:numPr>
        <w:rPr>
          <w:rFonts w:ascii="Arial" w:cs="Arial" w:eastAsia="Arial" w:hAnsi="Arial"/>
          <w:sz w:val="12"/>
          <w:szCs w:val="12"/>
          <w:color w:val="auto"/>
        </w:rPr>
      </w:pPr>
      <w:r>
        <w:rPr>
          <w:rFonts w:ascii="Arial" w:cs="Arial" w:eastAsia="Arial" w:hAnsi="Arial"/>
          <w:sz w:val="12"/>
          <w:szCs w:val="12"/>
          <w:color w:val="auto"/>
        </w:rPr>
        <w:t>Right-of-use</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Group has lease agreements according to the following composition:</w:t>
      </w:r>
    </w:p>
    <w:p>
      <w:pPr>
        <w:spacing w:after="0" w:line="155"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0"/>
        </w:trPr>
        <w:tc>
          <w:tcPr>
            <w:tcW w:w="3840" w:type="dxa"/>
            <w:vAlign w:val="bottom"/>
          </w:tcPr>
          <w:p>
            <w:pPr>
              <w:spacing w:after="0"/>
              <w:rPr>
                <w:sz w:val="10"/>
                <w:szCs w:val="10"/>
                <w:color w:val="auto"/>
              </w:rPr>
            </w:pPr>
          </w:p>
        </w:tc>
        <w:tc>
          <w:tcPr>
            <w:tcW w:w="122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3"/>
              </w:rPr>
              <w:t>Property:</w:t>
            </w:r>
          </w:p>
        </w:tc>
        <w:tc>
          <w:tcPr>
            <w:tcW w:w="120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7"/>
              </w:rPr>
              <w:t>Servers and</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384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Agencies and</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technology</w:t>
            </w: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Spaces for</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Transport</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8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offices</w:t>
            </w: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platforms</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ATM</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rPr>
              <w:t>units</w:t>
            </w: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auto"/>
              </w:rPr>
              <w:t>Other leases</w:t>
            </w:r>
          </w:p>
        </w:tc>
        <w:tc>
          <w:tcPr>
            <w:tcW w:w="10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Total</w:t>
            </w:r>
          </w:p>
        </w:tc>
      </w:tr>
      <w:tr>
        <w:trPr>
          <w:trHeight w:val="133"/>
        </w:trPr>
        <w:tc>
          <w:tcPr>
            <w:tcW w:w="384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980" w:type="dxa"/>
            <w:vAlign w:val="bottom"/>
            <w:tcBorders>
              <w:top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960" w:type="dxa"/>
            <w:vAlign w:val="bottom"/>
            <w:tcBorders>
              <w:top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 -</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819,046</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168,371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25,146</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3,006</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7,394</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1,022,963</w:t>
            </w:r>
          </w:p>
        </w:tc>
        <w:tc>
          <w:tcPr>
            <w:tcW w:w="120" w:type="dxa"/>
            <w:vAlign w:val="bottom"/>
            <w:shd w:val="clear" w:color="auto" w:fill="CCEEFF"/>
          </w:tcPr>
          <w:p>
            <w:pPr>
              <w:spacing w:after="0"/>
              <w:rPr>
                <w:sz w:val="13"/>
                <w:szCs w:val="13"/>
                <w:color w:val="auto"/>
              </w:rPr>
            </w:pPr>
          </w:p>
        </w:tc>
      </w:tr>
      <w:tr>
        <w:trPr>
          <w:trHeight w:val="133"/>
        </w:trPr>
        <w:tc>
          <w:tcPr>
            <w:tcW w:w="38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Balance at December 31</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819,046</w:t>
            </w:r>
          </w:p>
        </w:tc>
        <w:tc>
          <w:tcPr>
            <w:tcW w:w="2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168,371</w:t>
            </w:r>
          </w:p>
        </w:tc>
        <w:tc>
          <w:tcPr>
            <w:tcW w:w="2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25,146</w:t>
            </w:r>
          </w:p>
        </w:tc>
        <w:tc>
          <w:tcPr>
            <w:tcW w:w="22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3,006</w:t>
            </w:r>
          </w:p>
        </w:tc>
        <w:tc>
          <w:tcPr>
            <w:tcW w:w="2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7,394</w:t>
            </w:r>
          </w:p>
        </w:tc>
        <w:tc>
          <w:tcPr>
            <w:tcW w:w="2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1,022,963</w:t>
            </w:r>
          </w:p>
        </w:tc>
        <w:tc>
          <w:tcPr>
            <w:tcW w:w="120" w:type="dxa"/>
            <w:vAlign w:val="bottom"/>
            <w:tcBorders>
              <w:bottom w:val="single" w:sz="8" w:color="CCEEFF"/>
            </w:tcBorders>
          </w:tcPr>
          <w:p>
            <w:pPr>
              <w:spacing w:after="0"/>
              <w:rPr>
                <w:sz w:val="11"/>
                <w:szCs w:val="11"/>
                <w:color w:val="auto"/>
              </w:rPr>
            </w:pPr>
          </w:p>
        </w:tc>
      </w:tr>
      <w:tr>
        <w:trPr>
          <w:trHeight w:val="133"/>
        </w:trPr>
        <w:tc>
          <w:tcPr>
            <w:tcW w:w="3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b w:val="1"/>
                <w:bCs w:val="1"/>
                <w:color w:val="auto"/>
              </w:rPr>
              <w:t>Accumulated depreciation -</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2019</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Depreciation of the period</w:t>
            </w:r>
          </w:p>
        </w:tc>
        <w:tc>
          <w:tcPr>
            <w:tcW w:w="980" w:type="dxa"/>
            <w:vAlign w:val="bottom"/>
          </w:tcPr>
          <w:p>
            <w:pPr>
              <w:jc w:val="right"/>
              <w:spacing w:after="0"/>
              <w:rPr>
                <w:sz w:val="20"/>
                <w:szCs w:val="20"/>
                <w:color w:val="auto"/>
              </w:rPr>
            </w:pPr>
            <w:r>
              <w:rPr>
                <w:rFonts w:ascii="Arial" w:cs="Arial" w:eastAsia="Arial" w:hAnsi="Arial"/>
                <w:sz w:val="12"/>
                <w:szCs w:val="12"/>
                <w:color w:val="auto"/>
              </w:rPr>
              <w:t>125,462</w:t>
            </w:r>
          </w:p>
        </w:tc>
        <w:tc>
          <w:tcPr>
            <w:tcW w:w="2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39,891</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7,900</w:t>
            </w:r>
          </w:p>
        </w:tc>
        <w:tc>
          <w:tcPr>
            <w:tcW w:w="980" w:type="dxa"/>
            <w:vAlign w:val="bottom"/>
          </w:tcPr>
          <w:p>
            <w:pPr>
              <w:jc w:val="right"/>
              <w:spacing w:after="0"/>
              <w:rPr>
                <w:sz w:val="20"/>
                <w:szCs w:val="20"/>
                <w:color w:val="auto"/>
              </w:rPr>
            </w:pPr>
            <w:r>
              <w:rPr>
                <w:rFonts w:ascii="Arial" w:cs="Arial" w:eastAsia="Arial" w:hAnsi="Arial"/>
                <w:sz w:val="12"/>
                <w:szCs w:val="12"/>
                <w:color w:val="auto"/>
              </w:rPr>
              <w:t>400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3,654</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177,307</w:t>
            </w: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business and others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5,299</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6,570</w:t>
            </w:r>
          </w:p>
        </w:tc>
      </w:tr>
      <w:tr>
        <w:trPr>
          <w:trHeight w:val="133"/>
        </w:trPr>
        <w:tc>
          <w:tcPr>
            <w:tcW w:w="38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Balance at December 31</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130,761</w:t>
            </w:r>
          </w:p>
        </w:tc>
        <w:tc>
          <w:tcPr>
            <w:tcW w:w="2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40,591</w:t>
            </w:r>
          </w:p>
        </w:tc>
        <w:tc>
          <w:tcPr>
            <w:tcW w:w="2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7,900</w:t>
            </w:r>
          </w:p>
        </w:tc>
        <w:tc>
          <w:tcPr>
            <w:tcW w:w="22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971</w:t>
            </w:r>
          </w:p>
        </w:tc>
        <w:tc>
          <w:tcPr>
            <w:tcW w:w="2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3,654</w:t>
            </w:r>
          </w:p>
        </w:tc>
        <w:tc>
          <w:tcPr>
            <w:tcW w:w="2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183,877</w:t>
            </w:r>
          </w:p>
        </w:tc>
        <w:tc>
          <w:tcPr>
            <w:tcW w:w="120" w:type="dxa"/>
            <w:vAlign w:val="bottom"/>
            <w:tcBorders>
              <w:bottom w:val="single" w:sz="8" w:color="CCEEFF"/>
            </w:tcBorders>
          </w:tcPr>
          <w:p>
            <w:pPr>
              <w:spacing w:after="0"/>
              <w:rPr>
                <w:sz w:val="11"/>
                <w:szCs w:val="11"/>
                <w:color w:val="auto"/>
              </w:rPr>
            </w:pPr>
          </w:p>
        </w:tc>
      </w:tr>
      <w:tr>
        <w:trPr>
          <w:trHeight w:val="133"/>
        </w:trPr>
        <w:tc>
          <w:tcPr>
            <w:tcW w:w="384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0"/>
        </w:trPr>
        <w:tc>
          <w:tcPr>
            <w:tcW w:w="3840" w:type="dxa"/>
            <w:vAlign w:val="bottom"/>
          </w:tcPr>
          <w:p>
            <w:pPr>
              <w:spacing w:after="0"/>
              <w:rPr>
                <w:sz w:val="20"/>
                <w:szCs w:val="20"/>
                <w:color w:val="auto"/>
              </w:rPr>
            </w:pPr>
            <w:r>
              <w:rPr>
                <w:rFonts w:ascii="Arial" w:cs="Arial" w:eastAsia="Arial" w:hAnsi="Arial"/>
                <w:sz w:val="12"/>
                <w:szCs w:val="12"/>
                <w:b w:val="1"/>
                <w:bCs w:val="1"/>
                <w:color w:val="auto"/>
              </w:rPr>
              <w:t>Net carrying amount</w:t>
            </w:r>
          </w:p>
        </w:tc>
        <w:tc>
          <w:tcPr>
            <w:tcW w:w="980" w:type="dxa"/>
            <w:vAlign w:val="bottom"/>
          </w:tcPr>
          <w:p>
            <w:pPr>
              <w:jc w:val="right"/>
              <w:spacing w:after="0"/>
              <w:rPr>
                <w:sz w:val="20"/>
                <w:szCs w:val="20"/>
                <w:color w:val="auto"/>
              </w:rPr>
            </w:pPr>
            <w:r>
              <w:rPr>
                <w:rFonts w:ascii="Arial" w:cs="Arial" w:eastAsia="Arial" w:hAnsi="Arial"/>
                <w:sz w:val="12"/>
                <w:szCs w:val="12"/>
                <w:color w:val="auto"/>
              </w:rPr>
              <w:t>688,285</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127,780</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17,246</w:t>
            </w:r>
          </w:p>
        </w:tc>
        <w:tc>
          <w:tcPr>
            <w:tcW w:w="980" w:type="dxa"/>
            <w:vAlign w:val="bottom"/>
          </w:tcPr>
          <w:p>
            <w:pPr>
              <w:jc w:val="right"/>
              <w:spacing w:after="0"/>
              <w:rPr>
                <w:sz w:val="20"/>
                <w:szCs w:val="20"/>
                <w:color w:val="auto"/>
              </w:rPr>
            </w:pPr>
            <w:r>
              <w:rPr>
                <w:rFonts w:ascii="Arial" w:cs="Arial" w:eastAsia="Arial" w:hAnsi="Arial"/>
                <w:sz w:val="12"/>
                <w:szCs w:val="12"/>
                <w:color w:val="auto"/>
              </w:rPr>
              <w:t>2,035</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3,740</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839,086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0</wp:posOffset>
            </wp:positionV>
            <wp:extent cx="4426585" cy="1714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4426585" cy="17145"/>
                    </a:xfrm>
                    <a:prstGeom prst="rect">
                      <a:avLst/>
                    </a:prstGeom>
                    <a:noFill/>
                  </pic:spPr>
                </pic:pic>
              </a:graphicData>
            </a:graphic>
          </wp:anchor>
        </w:drawing>
      </w:r>
    </w:p>
    <w:p>
      <w:pPr>
        <w:ind w:left="428" w:hanging="212"/>
        <w:spacing w:after="0"/>
        <w:tabs>
          <w:tab w:leader="none" w:pos="428" w:val="left"/>
        </w:tabs>
        <w:numPr>
          <w:ilvl w:val="0"/>
          <w:numId w:val="111"/>
        </w:numPr>
        <w:rPr>
          <w:rFonts w:ascii="Arial" w:cs="Arial" w:eastAsia="Arial" w:hAnsi="Arial"/>
          <w:sz w:val="12"/>
          <w:szCs w:val="12"/>
          <w:color w:val="auto"/>
        </w:rPr>
      </w:pPr>
      <w:r>
        <w:rPr>
          <w:rFonts w:ascii="Arial" w:cs="Arial" w:eastAsia="Arial" w:hAnsi="Arial"/>
          <w:sz w:val="12"/>
          <w:szCs w:val="12"/>
          <w:color w:val="auto"/>
        </w:rPr>
        <w:t>Lease Liabilities</w:t>
      </w:r>
    </w:p>
    <w:p>
      <w:pPr>
        <w:spacing w:after="0" w:line="150" w:lineRule="exact"/>
        <w:rPr>
          <w:rFonts w:ascii="Arial" w:cs="Arial" w:eastAsia="Arial" w:hAnsi="Arial"/>
          <w:sz w:val="12"/>
          <w:szCs w:val="12"/>
          <w:color w:val="auto"/>
        </w:rPr>
      </w:pPr>
    </w:p>
    <w:p>
      <w:pPr>
        <w:ind w:left="428" w:right="600"/>
        <w:spacing w:after="0" w:line="276" w:lineRule="auto"/>
        <w:rPr>
          <w:rFonts w:ascii="Arial" w:cs="Arial" w:eastAsia="Arial" w:hAnsi="Arial"/>
          <w:sz w:val="12"/>
          <w:szCs w:val="12"/>
          <w:color w:val="auto"/>
        </w:rPr>
      </w:pPr>
      <w:r>
        <w:rPr>
          <w:rFonts w:ascii="Arial" w:cs="Arial" w:eastAsia="Arial" w:hAnsi="Arial"/>
          <w:sz w:val="12"/>
          <w:szCs w:val="12"/>
          <w:color w:val="auto"/>
        </w:rPr>
        <w:t>The Group maintains contracts, with certain renewal options and for which the Group has reasonable certainty that this option will be exercised. In those cases, the period of lease used to measure the liability and assets corresponds to a estimation of future renovations.</w:t>
      </w:r>
    </w:p>
    <w:p>
      <w:pPr>
        <w:spacing w:after="0" w:line="259" w:lineRule="exact"/>
        <w:rPr>
          <w:rFonts w:ascii="Arial" w:cs="Arial" w:eastAsia="Arial" w:hAnsi="Arial"/>
          <w:sz w:val="12"/>
          <w:szCs w:val="12"/>
          <w:color w:val="auto"/>
        </w:rPr>
      </w:pPr>
    </w:p>
    <w:p>
      <w:pPr>
        <w:ind w:left="5688" w:hanging="72"/>
        <w:spacing w:after="0"/>
        <w:tabs>
          <w:tab w:leader="none" w:pos="5688" w:val="left"/>
        </w:tabs>
        <w:numPr>
          <w:ilvl w:val="1"/>
          <w:numId w:val="111"/>
        </w:numPr>
        <w:rPr>
          <w:rFonts w:ascii="Arial" w:cs="Arial" w:eastAsia="Arial" w:hAnsi="Arial"/>
          <w:sz w:val="12"/>
          <w:szCs w:val="12"/>
          <w:color w:val="auto"/>
        </w:rPr>
      </w:pPr>
      <w:r>
        <w:rPr>
          <w:rFonts w:ascii="Arial" w:cs="Arial" w:eastAsia="Arial" w:hAnsi="Arial"/>
          <w:sz w:val="12"/>
          <w:szCs w:val="12"/>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793" w:right="199" w:bottom="1440" w:gutter="0" w:footer="0" w:header="0"/>
        </w:sectPr>
      </w:pPr>
    </w:p>
    <w:bookmarkStart w:id="96" w:name="page97"/>
    <w:bookmarkEnd w:id="96"/>
    <w:p>
      <w:pPr>
        <w:ind w:left="208" w:hanging="208"/>
        <w:spacing w:after="0"/>
        <w:tabs>
          <w:tab w:leader="none" w:pos="208"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OTHER ASSETS AND OTHER LIABILITIES</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This item consists of the following:</w:t>
      </w:r>
    </w:p>
    <w:p>
      <w:pPr>
        <w:spacing w:after="0" w:line="155" w:lineRule="exact"/>
        <w:rPr>
          <w:sz w:val="20"/>
          <w:szCs w:val="20"/>
          <w:color w:val="auto"/>
        </w:rPr>
      </w:pPr>
    </w:p>
    <w:tbl>
      <w:tblPr>
        <w:tblLayout w:type="fixed"/>
        <w:tblInd w:w="428" w:type="dxa"/>
        <w:tblCellMar>
          <w:top w:w="0" w:type="dxa"/>
          <w:left w:w="0" w:type="dxa"/>
          <w:bottom w:w="0" w:type="dxa"/>
          <w:right w:w="0" w:type="dxa"/>
        </w:tblCellMar>
      </w:tblPr>
      <w:tr>
        <w:trPr>
          <w:trHeight w:val="157"/>
        </w:trPr>
        <w:tc>
          <w:tcPr>
            <w:tcW w:w="8020" w:type="dxa"/>
            <w:vAlign w:val="bottom"/>
          </w:tcPr>
          <w:p>
            <w:pPr>
              <w:spacing w:after="0"/>
              <w:rPr>
                <w:sz w:val="13"/>
                <w:szCs w:val="13"/>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gridSpan w:val="2"/>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 -</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b w:val="1"/>
                <w:bCs w:val="1"/>
                <w:color w:val="auto"/>
              </w:rPr>
              <w:t>Financial instruments: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Receivables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1,590,472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1,948,849</w:t>
            </w:r>
          </w:p>
        </w:tc>
        <w:tc>
          <w:tcPr>
            <w:tcW w:w="8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color w:val="auto"/>
              </w:rPr>
              <w:t>Derivatives receivable (b)</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1,092,107</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766,317</w:t>
            </w:r>
          </w:p>
        </w:tc>
        <w:tc>
          <w:tcPr>
            <w:tcW w:w="80" w:type="dxa"/>
            <w:vAlign w:val="bottom"/>
          </w:tcPr>
          <w:p>
            <w:pPr>
              <w:spacing w:after="0"/>
              <w:rPr>
                <w:sz w:val="12"/>
                <w:szCs w:val="12"/>
                <w:color w:val="auto"/>
              </w:rPr>
            </w:pP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Operations in process (c)</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110,389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357,611</w:t>
            </w:r>
          </w:p>
        </w:tc>
        <w:tc>
          <w:tcPr>
            <w:tcW w:w="80" w:type="dxa"/>
            <w:vAlign w:val="bottom"/>
            <w:shd w:val="clear" w:color="auto" w:fill="CCEEFF"/>
          </w:tcPr>
          <w:p>
            <w:pPr>
              <w:spacing w:after="0"/>
              <w:rPr>
                <w:sz w:val="13"/>
                <w:szCs w:val="13"/>
                <w:color w:val="auto"/>
              </w:rPr>
            </w:pPr>
          </w:p>
        </w:tc>
      </w:tr>
      <w:tr>
        <w:trPr>
          <w:trHeight w:val="133"/>
        </w:trPr>
        <w:tc>
          <w:tcPr>
            <w:tcW w:w="802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2,792,968</w:t>
            </w:r>
          </w:p>
        </w:tc>
        <w:tc>
          <w:tcPr>
            <w:tcW w:w="20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3,072,777</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r>
      <w:tr>
        <w:trPr>
          <w:trHeight w:val="133"/>
        </w:trPr>
        <w:tc>
          <w:tcPr>
            <w:tcW w:w="80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b w:val="1"/>
                <w:bCs w:val="1"/>
                <w:color w:val="auto"/>
              </w:rPr>
              <w:t>Non-financial instruments: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Deferred fees (g)</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1,056,656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340,564</w:t>
            </w:r>
          </w:p>
        </w:tc>
        <w:tc>
          <w:tcPr>
            <w:tcW w:w="8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color w:val="auto"/>
              </w:rPr>
              <w:t>Investment in associates (d)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628,822</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582,132</w:t>
            </w:r>
          </w:p>
        </w:tc>
        <w:tc>
          <w:tcPr>
            <w:tcW w:w="8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Investment properties, net (e)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450,929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440,234</w:t>
            </w:r>
          </w:p>
        </w:tc>
        <w:tc>
          <w:tcPr>
            <w:tcW w:w="8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color w:val="auto"/>
              </w:rPr>
              <w:t>Income tax prepayments, net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191,502</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389,029</w:t>
            </w:r>
          </w:p>
        </w:tc>
        <w:tc>
          <w:tcPr>
            <w:tcW w:w="8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Adjudicated assets, net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143,349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133,112</w:t>
            </w:r>
          </w:p>
        </w:tc>
        <w:tc>
          <w:tcPr>
            <w:tcW w:w="8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Arial" w:cs="Arial" w:eastAsia="Arial" w:hAnsi="Arial"/>
                <w:sz w:val="12"/>
                <w:szCs w:val="12"/>
                <w:color w:val="auto"/>
              </w:rPr>
              <w:t>Improvements in leased premises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112,385</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114,685</w:t>
            </w:r>
          </w:p>
        </w:tc>
        <w:tc>
          <w:tcPr>
            <w:tcW w:w="8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VAT (IGV) tax credit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75,605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37,771</w:t>
            </w:r>
          </w:p>
        </w:tc>
        <w:tc>
          <w:tcPr>
            <w:tcW w:w="80" w:type="dxa"/>
            <w:vAlign w:val="bottom"/>
            <w:shd w:val="clear" w:color="auto" w:fill="CCEEFF"/>
          </w:tcPr>
          <w:p>
            <w:pPr>
              <w:spacing w:after="0"/>
              <w:rPr>
                <w:sz w:val="12"/>
                <w:szCs w:val="12"/>
                <w:color w:val="auto"/>
              </w:rPr>
            </w:pP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Others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6,254</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12,732</w:t>
            </w:r>
          </w:p>
        </w:tc>
        <w:tc>
          <w:tcPr>
            <w:tcW w:w="80" w:type="dxa"/>
            <w:vAlign w:val="bottom"/>
          </w:tcPr>
          <w:p>
            <w:pPr>
              <w:spacing w:after="0"/>
              <w:rPr>
                <w:sz w:val="13"/>
                <w:szCs w:val="13"/>
                <w:color w:val="auto"/>
              </w:rPr>
            </w:pPr>
          </w:p>
        </w:tc>
      </w:tr>
      <w:tr>
        <w:trPr>
          <w:trHeight w:val="133"/>
        </w:trPr>
        <w:tc>
          <w:tcPr>
            <w:tcW w:w="80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2,665,502</w:t>
            </w:r>
          </w:p>
        </w:tc>
        <w:tc>
          <w:tcPr>
            <w:tcW w:w="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2,050,259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67"/>
        </w:trPr>
        <w:tc>
          <w:tcPr>
            <w:tcW w:w="80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5,458,470</w:t>
            </w: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5,123,036</w:t>
            </w:r>
          </w:p>
        </w:tc>
        <w:tc>
          <w:tcPr>
            <w:tcW w:w="80" w:type="dxa"/>
            <w:vAlign w:val="bottom"/>
          </w:tcPr>
          <w:p>
            <w:pPr>
              <w:spacing w:after="0"/>
              <w:rPr>
                <w:sz w:val="14"/>
                <w:szCs w:val="14"/>
                <w:color w:val="auto"/>
              </w:rPr>
            </w:pPr>
          </w:p>
        </w:tc>
      </w:tr>
    </w:tbl>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5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liabilities -</w:t>
            </w:r>
          </w:p>
        </w:tc>
        <w:tc>
          <w:tcPr>
            <w:tcW w:w="4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b w:val="1"/>
                <w:bCs w:val="1"/>
                <w:color w:val="auto"/>
              </w:rPr>
              <w:t>Financial instruments:</w:t>
            </w:r>
          </w:p>
        </w:tc>
        <w:tc>
          <w:tcPr>
            <w:tcW w:w="4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5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1,981,873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1,540,057</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Derivatives payable (b)</w:t>
            </w:r>
          </w:p>
        </w:tc>
        <w:tc>
          <w:tcPr>
            <w:tcW w:w="5720" w:type="dxa"/>
            <w:vAlign w:val="bottom"/>
            <w:gridSpan w:val="3"/>
          </w:tcPr>
          <w:p>
            <w:pPr>
              <w:jc w:val="right"/>
              <w:ind w:right="200"/>
              <w:spacing w:after="0"/>
              <w:rPr>
                <w:sz w:val="20"/>
                <w:szCs w:val="20"/>
                <w:color w:val="auto"/>
              </w:rPr>
            </w:pPr>
            <w:r>
              <w:rPr>
                <w:rFonts w:ascii="Arial" w:cs="Arial" w:eastAsia="Arial" w:hAnsi="Arial"/>
                <w:sz w:val="12"/>
                <w:szCs w:val="12"/>
                <w:color w:val="auto"/>
              </w:rPr>
              <w:t>1,040,282</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715,804</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Salaries and other personnel expenses</w:t>
            </w:r>
          </w:p>
        </w:tc>
        <w:tc>
          <w:tcPr>
            <w:tcW w:w="5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760,140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717,820</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Allowance for indirect loan losses, Note 7(c)</w:t>
            </w:r>
          </w:p>
        </w:tc>
        <w:tc>
          <w:tcPr>
            <w:tcW w:w="5720" w:type="dxa"/>
            <w:vAlign w:val="bottom"/>
            <w:gridSpan w:val="3"/>
          </w:tcPr>
          <w:p>
            <w:pPr>
              <w:jc w:val="right"/>
              <w:ind w:right="200"/>
              <w:spacing w:after="0"/>
              <w:rPr>
                <w:sz w:val="20"/>
                <w:szCs w:val="20"/>
                <w:color w:val="auto"/>
              </w:rPr>
            </w:pPr>
            <w:r>
              <w:rPr>
                <w:rFonts w:ascii="Arial" w:cs="Arial" w:eastAsia="Arial" w:hAnsi="Arial"/>
                <w:sz w:val="12"/>
                <w:szCs w:val="12"/>
                <w:color w:val="auto"/>
              </w:rPr>
              <w:t>383,797</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362,139</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Operations in process (c)</w:t>
            </w:r>
          </w:p>
        </w:tc>
        <w:tc>
          <w:tcPr>
            <w:tcW w:w="5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80,734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358,498</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680" w:type="dxa"/>
            <w:vAlign w:val="bottom"/>
            <w:tcBorders>
              <w:bottom w:val="single" w:sz="8" w:color="CCEEFF"/>
            </w:tcBorders>
          </w:tcPr>
          <w:p>
            <w:pPr>
              <w:spacing w:after="0"/>
              <w:rPr>
                <w:sz w:val="11"/>
                <w:szCs w:val="11"/>
                <w:color w:val="auto"/>
              </w:rPr>
            </w:pPr>
          </w:p>
        </w:tc>
        <w:tc>
          <w:tcPr>
            <w:tcW w:w="434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4,246,826</w:t>
            </w:r>
          </w:p>
        </w:tc>
        <w:tc>
          <w:tcPr>
            <w:tcW w:w="20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3,694,318</w:t>
            </w:r>
          </w:p>
        </w:tc>
        <w:tc>
          <w:tcPr>
            <w:tcW w:w="100" w:type="dxa"/>
            <w:vAlign w:val="bottom"/>
            <w:tcBorders>
              <w:bottom w:val="single" w:sz="8" w:color="CCEEFF"/>
            </w:tcBorders>
          </w:tcPr>
          <w:p>
            <w:pPr>
              <w:spacing w:after="0"/>
              <w:rPr>
                <w:sz w:val="11"/>
                <w:szCs w:val="11"/>
                <w:color w:val="auto"/>
              </w:rPr>
            </w:pPr>
          </w:p>
        </w:tc>
        <w:tc>
          <w:tcPr>
            <w:tcW w:w="38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36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Non-financial instruments:</w:t>
            </w:r>
          </w:p>
        </w:tc>
        <w:tc>
          <w:tcPr>
            <w:tcW w:w="4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Taxes</w:t>
            </w:r>
          </w:p>
        </w:tc>
        <w:tc>
          <w:tcPr>
            <w:tcW w:w="5720" w:type="dxa"/>
            <w:vAlign w:val="bottom"/>
            <w:gridSpan w:val="3"/>
          </w:tcPr>
          <w:p>
            <w:pPr>
              <w:jc w:val="right"/>
              <w:ind w:right="200"/>
              <w:spacing w:after="0"/>
              <w:rPr>
                <w:sz w:val="20"/>
                <w:szCs w:val="20"/>
                <w:color w:val="auto"/>
              </w:rPr>
            </w:pPr>
            <w:r>
              <w:rPr>
                <w:rFonts w:ascii="Arial" w:cs="Arial" w:eastAsia="Arial" w:hAnsi="Arial"/>
                <w:sz w:val="12"/>
                <w:szCs w:val="12"/>
                <w:color w:val="auto"/>
              </w:rPr>
              <w:t>644,802</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677,229</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Provision for sundry risks (f)</w:t>
            </w:r>
          </w:p>
        </w:tc>
        <w:tc>
          <w:tcPr>
            <w:tcW w:w="5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359,853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342,350</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Others</w:t>
            </w:r>
          </w:p>
        </w:tc>
        <w:tc>
          <w:tcPr>
            <w:tcW w:w="5720" w:type="dxa"/>
            <w:vAlign w:val="bottom"/>
            <w:gridSpan w:val="3"/>
          </w:tcPr>
          <w:p>
            <w:pPr>
              <w:jc w:val="right"/>
              <w:ind w:right="200"/>
              <w:spacing w:after="0"/>
              <w:rPr>
                <w:sz w:val="20"/>
                <w:szCs w:val="20"/>
                <w:color w:val="auto"/>
              </w:rPr>
            </w:pPr>
            <w:r>
              <w:rPr>
                <w:rFonts w:ascii="Arial" w:cs="Arial" w:eastAsia="Arial" w:hAnsi="Arial"/>
                <w:sz w:val="12"/>
                <w:szCs w:val="12"/>
                <w:color w:val="auto"/>
              </w:rPr>
              <w:t>229,807</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227,636</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680" w:type="dxa"/>
            <w:vAlign w:val="bottom"/>
            <w:tcBorders>
              <w:top w:val="single" w:sz="8" w:color="CCEEFF"/>
            </w:tcBorders>
            <w:shd w:val="clear" w:color="auto" w:fill="CCEEFF"/>
          </w:tcPr>
          <w:p>
            <w:pPr>
              <w:spacing w:after="0"/>
              <w:rPr>
                <w:sz w:val="11"/>
                <w:szCs w:val="11"/>
                <w:color w:val="auto"/>
              </w:rPr>
            </w:pPr>
          </w:p>
        </w:tc>
        <w:tc>
          <w:tcPr>
            <w:tcW w:w="43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1,234,462</w:t>
            </w:r>
          </w:p>
        </w:tc>
        <w:tc>
          <w:tcPr>
            <w:tcW w:w="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1,247,215</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Pr>
          <w:p>
            <w:pPr>
              <w:spacing w:after="0"/>
              <w:rPr>
                <w:sz w:val="11"/>
                <w:szCs w:val="11"/>
                <w:color w:val="auto"/>
              </w:rPr>
            </w:pPr>
          </w:p>
        </w:tc>
      </w:tr>
      <w:tr>
        <w:trPr>
          <w:trHeight w:val="167"/>
        </w:trPr>
        <w:tc>
          <w:tcPr>
            <w:tcW w:w="4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5720" w:type="dxa"/>
            <w:vAlign w:val="bottom"/>
            <w:gridSpan w:val="3"/>
          </w:tcPr>
          <w:p>
            <w:pPr>
              <w:jc w:val="right"/>
              <w:ind w:right="200"/>
              <w:spacing w:after="0"/>
              <w:rPr>
                <w:sz w:val="20"/>
                <w:szCs w:val="20"/>
                <w:color w:val="auto"/>
              </w:rPr>
            </w:pPr>
            <w:r>
              <w:rPr>
                <w:rFonts w:ascii="Arial" w:cs="Arial" w:eastAsia="Arial" w:hAnsi="Arial"/>
                <w:sz w:val="12"/>
                <w:szCs w:val="12"/>
                <w:color w:val="auto"/>
              </w:rPr>
              <w:t>5,481,288</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4,941,533</w:t>
            </w:r>
          </w:p>
        </w:tc>
        <w:tc>
          <w:tcPr>
            <w:tcW w:w="380" w:type="dxa"/>
            <w:vAlign w:val="bottom"/>
          </w:tcPr>
          <w:p>
            <w:pPr>
              <w:spacing w:after="0"/>
              <w:rPr>
                <w:sz w:val="14"/>
                <w:szCs w:val="14"/>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right"/>
              <w:ind w:right="2520"/>
              <w:spacing w:after="0"/>
              <w:rPr>
                <w:sz w:val="20"/>
                <w:szCs w:val="20"/>
                <w:color w:val="auto"/>
              </w:rPr>
            </w:pPr>
            <w:r>
              <w:rPr>
                <w:rFonts w:ascii="Arial" w:cs="Arial" w:eastAsia="Arial" w:hAnsi="Arial"/>
                <w:sz w:val="12"/>
                <w:szCs w:val="12"/>
                <w:color w:val="auto"/>
              </w:rPr>
              <w:t>- 92 -</w:t>
            </w: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8"/>
          </w:cols>
          <w:pgMar w:left="212" w:top="649" w:right="199" w:bottom="1440" w:gutter="0" w:footer="0" w:header="0"/>
        </w:sectPr>
      </w:pPr>
    </w:p>
    <w:bookmarkStart w:id="97" w:name="page98"/>
    <w:bookmarkEnd w:id="97"/>
    <w:p>
      <w:pPr>
        <w:spacing w:after="0"/>
        <w:tabs>
          <w:tab w:leader="none" w:pos="20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The risk in derivative contracts arises from the possibility of the counterparty failing to comply with the terms and conditions agreed and that the reference rates at which the transactions took place change.</w:t>
      </w:r>
    </w:p>
    <w:p>
      <w:pPr>
        <w:spacing w:after="0" w:line="150"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The table below shows at December 31, 2019 and 2018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2019</w:t>
            </w: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2019 and 2018</w:t>
            </w:r>
          </w:p>
        </w:tc>
      </w:tr>
      <w:tr>
        <w:trPr>
          <w:trHeight w:val="74"/>
        </w:trPr>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Notional</w:t>
            </w: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Notional</w:t>
            </w: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114"/>
        </w:trPr>
        <w:tc>
          <w:tcPr>
            <w:tcW w:w="1180" w:type="dxa"/>
            <w:vAlign w:val="bottom"/>
          </w:tcPr>
          <w:p>
            <w:pPr>
              <w:spacing w:after="0"/>
              <w:rPr>
                <w:sz w:val="9"/>
                <w:szCs w:val="9"/>
                <w:color w:val="auto"/>
              </w:rPr>
            </w:pPr>
          </w:p>
        </w:tc>
        <w:tc>
          <w:tcPr>
            <w:tcW w:w="76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Note</w:t>
            </w:r>
          </w:p>
        </w:tc>
        <w:tc>
          <w:tcPr>
            <w:tcW w:w="86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Assets</w:t>
            </w:r>
          </w:p>
        </w:tc>
        <w:tc>
          <w:tcPr>
            <w:tcW w:w="88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Liabilities</w:t>
            </w:r>
          </w:p>
        </w:tc>
        <w:tc>
          <w:tcPr>
            <w:tcW w:w="8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8"/>
              </w:rPr>
              <w:t>amount</w:t>
            </w:r>
          </w:p>
        </w:tc>
        <w:tc>
          <w:tcPr>
            <w:tcW w:w="1180" w:type="dxa"/>
            <w:vAlign w:val="bottom"/>
            <w:gridSpan w:val="2"/>
          </w:tcPr>
          <w:p>
            <w:pPr>
              <w:ind w:left="340"/>
              <w:spacing w:after="0" w:line="114" w:lineRule="exact"/>
              <w:rPr>
                <w:sz w:val="20"/>
                <w:szCs w:val="20"/>
                <w:color w:val="auto"/>
              </w:rPr>
            </w:pPr>
            <w:r>
              <w:rPr>
                <w:rFonts w:ascii="Arial" w:cs="Arial" w:eastAsia="Arial" w:hAnsi="Arial"/>
                <w:sz w:val="10"/>
                <w:szCs w:val="10"/>
                <w:b w:val="1"/>
                <w:bCs w:val="1"/>
                <w:color w:val="auto"/>
              </w:rPr>
              <w:t>Maturity</w:t>
            </w:r>
          </w:p>
        </w:tc>
        <w:tc>
          <w:tcPr>
            <w:tcW w:w="86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Liabilities</w:t>
            </w: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8"/>
              </w:rPr>
              <w:t>amount</w:t>
            </w:r>
          </w:p>
        </w:tc>
        <w:tc>
          <w:tcPr>
            <w:tcW w:w="1380" w:type="dxa"/>
            <w:vAlign w:val="bottom"/>
            <w:gridSpan w:val="2"/>
          </w:tcPr>
          <w:p>
            <w:pPr>
              <w:ind w:left="440"/>
              <w:spacing w:after="0" w:line="114" w:lineRule="exact"/>
              <w:rPr>
                <w:sz w:val="20"/>
                <w:szCs w:val="20"/>
                <w:color w:val="auto"/>
              </w:rPr>
            </w:pPr>
            <w:r>
              <w:rPr>
                <w:rFonts w:ascii="Arial" w:cs="Arial" w:eastAsia="Arial" w:hAnsi="Arial"/>
                <w:sz w:val="10"/>
                <w:szCs w:val="10"/>
                <w:b w:val="1"/>
                <w:bCs w:val="1"/>
                <w:color w:val="auto"/>
              </w:rPr>
              <w:t>Maturity</w:t>
            </w:r>
          </w:p>
        </w:tc>
        <w:tc>
          <w:tcPr>
            <w:tcW w:w="1060" w:type="dxa"/>
            <w:vAlign w:val="bottom"/>
          </w:tcPr>
          <w:p>
            <w:pPr>
              <w:ind w:left="120"/>
              <w:spacing w:after="0" w:line="114" w:lineRule="exact"/>
              <w:rPr>
                <w:sz w:val="20"/>
                <w:szCs w:val="20"/>
                <w:color w:val="auto"/>
              </w:rPr>
            </w:pPr>
            <w:r>
              <w:rPr>
                <w:rFonts w:ascii="Arial" w:cs="Arial" w:eastAsia="Arial" w:hAnsi="Arial"/>
                <w:sz w:val="10"/>
                <w:szCs w:val="10"/>
                <w:b w:val="1"/>
                <w:bCs w:val="1"/>
                <w:color w:val="auto"/>
                <w:w w:val="95"/>
              </w:rPr>
              <w:t>Related instruments</w:t>
            </w:r>
          </w:p>
        </w:tc>
      </w:tr>
      <w:tr>
        <w:trPr>
          <w:trHeight w:val="88"/>
        </w:trPr>
        <w:tc>
          <w:tcPr>
            <w:tcW w:w="11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66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620" w:type="dxa"/>
            <w:vAlign w:val="bottom"/>
            <w:tcBorders>
              <w:top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r>
      <w:tr>
        <w:trPr>
          <w:trHeight w:val="85"/>
        </w:trPr>
        <w:tc>
          <w:tcPr>
            <w:tcW w:w="1180" w:type="dxa"/>
            <w:vAlign w:val="bottom"/>
            <w:shd w:val="clear" w:color="auto" w:fill="CCEEFF"/>
          </w:tcPr>
          <w:p>
            <w:pPr>
              <w:spacing w:after="0" w:line="85" w:lineRule="exact"/>
              <w:rPr>
                <w:sz w:val="20"/>
                <w:szCs w:val="20"/>
                <w:color w:val="auto"/>
              </w:rPr>
            </w:pPr>
            <w:r>
              <w:rPr>
                <w:rFonts w:ascii="Arial" w:cs="Arial" w:eastAsia="Arial" w:hAnsi="Arial"/>
                <w:sz w:val="8"/>
                <w:szCs w:val="8"/>
                <w:b w:val="1"/>
                <w:bCs w:val="1"/>
                <w:color w:val="auto"/>
              </w:rPr>
              <w:t>Derivatives held for</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4"/>
        </w:trPr>
        <w:tc>
          <w:tcPr>
            <w:tcW w:w="1180" w:type="dxa"/>
            <w:vAlign w:val="bottom"/>
            <w:shd w:val="clear" w:color="auto" w:fill="CCEEFF"/>
          </w:tcPr>
          <w:p>
            <w:pPr>
              <w:ind w:left="120"/>
              <w:spacing w:after="0" w:line="114" w:lineRule="exact"/>
              <w:rPr>
                <w:sz w:val="20"/>
                <w:szCs w:val="20"/>
                <w:color w:val="auto"/>
              </w:rPr>
            </w:pPr>
            <w:r>
              <w:rPr>
                <w:rFonts w:ascii="Arial" w:cs="Arial" w:eastAsia="Arial" w:hAnsi="Arial"/>
                <w:sz w:val="10"/>
                <w:szCs w:val="10"/>
                <w:b w:val="1"/>
                <w:bCs w:val="1"/>
                <w:color w:val="auto"/>
              </w:rPr>
              <w:t>trading (i) -</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w w:val="99"/>
              </w:rPr>
              <w:t>Foreign currency forwards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January 2020 / October</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306,148</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246,960</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27,422,634</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2022</w:t>
            </w:r>
          </w:p>
        </w:tc>
        <w:tc>
          <w:tcPr>
            <w:tcW w:w="1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124,124</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101,548</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17,557,683</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w w:val="92"/>
              </w:rPr>
              <w:t>January 2019 / September 2020</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Interest rate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gridSpan w:val="2"/>
            <w:shd w:val="clear" w:color="auto" w:fill="CCEEFF"/>
          </w:tcPr>
          <w:p>
            <w:pPr>
              <w:ind w:left="40"/>
              <w:spacing w:after="0" w:line="87" w:lineRule="exact"/>
              <w:rPr>
                <w:sz w:val="20"/>
                <w:szCs w:val="20"/>
                <w:color w:val="auto"/>
              </w:rPr>
            </w:pPr>
            <w:r>
              <w:rPr>
                <w:rFonts w:ascii="Arial" w:cs="Arial" w:eastAsia="Arial" w:hAnsi="Arial"/>
                <w:sz w:val="10"/>
                <w:szCs w:val="10"/>
                <w:color w:val="auto"/>
                <w:w w:val="97"/>
              </w:rPr>
              <w:t>January 2020 / December</w:t>
            </w: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268,633</w:t>
            </w:r>
          </w:p>
        </w:tc>
        <w:tc>
          <w:tcPr>
            <w:tcW w:w="8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350,938</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26,268,071</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2031</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141,731</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148,119</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21,890,962</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w w:val="94"/>
              </w:rPr>
              <w:t>January 2019 / December 2031</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January 2020 / January</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411,656</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366,545</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8,177,179</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2033</w:t>
            </w:r>
          </w:p>
        </w:tc>
        <w:tc>
          <w:tcPr>
            <w:tcW w:w="1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354,432</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401,856</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9,999,343</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January 2019 / January 2033</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Foreign exchange options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gridSpan w:val="2"/>
            <w:shd w:val="clear" w:color="auto" w:fill="CCEEFF"/>
          </w:tcPr>
          <w:p>
            <w:pPr>
              <w:ind w:left="40"/>
              <w:spacing w:after="0" w:line="87" w:lineRule="exact"/>
              <w:rPr>
                <w:sz w:val="20"/>
                <w:szCs w:val="20"/>
                <w:color w:val="auto"/>
              </w:rPr>
            </w:pPr>
            <w:r>
              <w:rPr>
                <w:rFonts w:ascii="Arial" w:cs="Arial" w:eastAsia="Arial" w:hAnsi="Arial"/>
                <w:sz w:val="10"/>
                <w:szCs w:val="10"/>
                <w:color w:val="auto"/>
                <w:w w:val="97"/>
              </w:rPr>
              <w:t>January 2020 / December</w:t>
            </w: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6,489</w:t>
            </w:r>
          </w:p>
        </w:tc>
        <w:tc>
          <w:tcPr>
            <w:tcW w:w="8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6,089</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1,565,083</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2020</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1,281</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728</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306,321</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w w:val="94"/>
              </w:rPr>
              <w:t>January 2019 / November 2020</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w:t>
            </w:r>
          </w:p>
        </w:tc>
      </w:tr>
      <w:tr>
        <w:trPr>
          <w:trHeight w:val="108"/>
        </w:trPr>
        <w:tc>
          <w:tcPr>
            <w:tcW w:w="1180" w:type="dxa"/>
            <w:vAlign w:val="bottom"/>
          </w:tcPr>
          <w:p>
            <w:pPr>
              <w:spacing w:after="0" w:line="108" w:lineRule="exact"/>
              <w:rPr>
                <w:sz w:val="20"/>
                <w:szCs w:val="20"/>
                <w:color w:val="auto"/>
              </w:rPr>
            </w:pPr>
            <w:r>
              <w:rPr>
                <w:rFonts w:ascii="Arial" w:cs="Arial" w:eastAsia="Arial" w:hAnsi="Arial"/>
                <w:sz w:val="10"/>
                <w:szCs w:val="10"/>
                <w:color w:val="auto"/>
              </w:rPr>
              <w:t>Futures</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10</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139</w:t>
            </w:r>
          </w:p>
        </w:tc>
        <w:tc>
          <w:tcPr>
            <w:tcW w:w="220" w:type="dxa"/>
            <w:vAlign w:val="bottom"/>
          </w:tcPr>
          <w:p>
            <w:pPr>
              <w:spacing w:after="0"/>
              <w:rPr>
                <w:sz w:val="9"/>
                <w:szCs w:val="9"/>
                <w:color w:val="auto"/>
              </w:rPr>
            </w:pP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16,901</w:t>
            </w:r>
          </w:p>
        </w:tc>
        <w:tc>
          <w:tcPr>
            <w:tcW w:w="118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March 2020</w:t>
            </w: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564</w:t>
            </w: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2,658</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241,507</w:t>
            </w:r>
          </w:p>
        </w:tc>
        <w:tc>
          <w:tcPr>
            <w:tcW w:w="200" w:type="dxa"/>
            <w:vAlign w:val="bottom"/>
          </w:tcPr>
          <w:p>
            <w:pPr>
              <w:spacing w:after="0"/>
              <w:rPr>
                <w:sz w:val="9"/>
                <w:szCs w:val="9"/>
                <w:color w:val="auto"/>
              </w:rPr>
            </w:pPr>
          </w:p>
        </w:tc>
        <w:tc>
          <w:tcPr>
            <w:tcW w:w="138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March 2019</w:t>
            </w:r>
          </w:p>
        </w:tc>
        <w:tc>
          <w:tcPr>
            <w:tcW w:w="1060" w:type="dxa"/>
            <w:vAlign w:val="bottom"/>
          </w:tcPr>
          <w:p>
            <w:pPr>
              <w:ind w:left="40"/>
              <w:spacing w:after="0" w:line="108" w:lineRule="exact"/>
              <w:rPr>
                <w:sz w:val="20"/>
                <w:szCs w:val="20"/>
                <w:color w:val="auto"/>
              </w:rPr>
            </w:pPr>
            <w:r>
              <w:rPr>
                <w:rFonts w:ascii="Arial" w:cs="Arial" w:eastAsia="Arial" w:hAnsi="Arial"/>
                <w:sz w:val="10"/>
                <w:szCs w:val="10"/>
                <w:color w:val="auto"/>
              </w:rPr>
              <w:t>-</w:t>
            </w:r>
          </w:p>
        </w:tc>
      </w:tr>
      <w:tr>
        <w:trPr>
          <w:trHeight w:val="88"/>
        </w:trPr>
        <w:tc>
          <w:tcPr>
            <w:tcW w:w="11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992,936</w:t>
            </w: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970,671</w:t>
            </w:r>
          </w:p>
        </w:tc>
        <w:tc>
          <w:tcPr>
            <w:tcW w:w="2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63,449,868</w:t>
            </w:r>
          </w:p>
        </w:tc>
        <w:tc>
          <w:tcPr>
            <w:tcW w:w="22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622,132</w:t>
            </w: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654,909</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49,995,816</w:t>
            </w:r>
          </w:p>
        </w:tc>
        <w:tc>
          <w:tcPr>
            <w:tcW w:w="2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r>
      <w:tr>
        <w:trPr>
          <w:trHeight w:val="85"/>
        </w:trPr>
        <w:tc>
          <w:tcPr>
            <w:tcW w:w="1180" w:type="dxa"/>
            <w:vAlign w:val="bottom"/>
          </w:tcPr>
          <w:p>
            <w:pPr>
              <w:spacing w:after="0" w:line="85" w:lineRule="exact"/>
              <w:rPr>
                <w:sz w:val="20"/>
                <w:szCs w:val="20"/>
                <w:color w:val="auto"/>
              </w:rPr>
            </w:pPr>
            <w:r>
              <w:rPr>
                <w:rFonts w:ascii="Arial" w:cs="Arial" w:eastAsia="Arial" w:hAnsi="Arial"/>
                <w:sz w:val="8"/>
                <w:szCs w:val="8"/>
                <w:b w:val="1"/>
                <w:bCs w:val="1"/>
                <w:color w:val="auto"/>
              </w:rPr>
              <w:t>Derivatives held as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4"/>
        </w:trPr>
        <w:tc>
          <w:tcPr>
            <w:tcW w:w="1180" w:type="dxa"/>
            <w:vAlign w:val="bottom"/>
          </w:tcPr>
          <w:p>
            <w:pPr>
              <w:ind w:left="120"/>
              <w:spacing w:after="0" w:line="114" w:lineRule="exact"/>
              <w:rPr>
                <w:sz w:val="20"/>
                <w:szCs w:val="20"/>
                <w:color w:val="auto"/>
              </w:rPr>
            </w:pPr>
            <w:r>
              <w:rPr>
                <w:rFonts w:ascii="Arial" w:cs="Arial" w:eastAsia="Arial" w:hAnsi="Arial"/>
                <w:sz w:val="10"/>
                <w:szCs w:val="10"/>
                <w:b w:val="1"/>
                <w:bCs w:val="1"/>
                <w:color w:val="auto"/>
              </w:rPr>
              <w:t>hedges</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99"/>
        </w:trPr>
        <w:tc>
          <w:tcPr>
            <w:tcW w:w="118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Cash flow hedges (ii) -</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Interest rate swaps (IRS)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May 2020 / November</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spacing w:after="0"/>
              <w:rPr>
                <w:sz w:val="9"/>
                <w:szCs w:val="9"/>
                <w:color w:val="auto"/>
              </w:rPr>
            </w:pPr>
          </w:p>
        </w:tc>
        <w:tc>
          <w:tcPr>
            <w:tcW w:w="76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1"/>
              </w:rPr>
              <w:t>15(b)(v)</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102</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1,111</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662,800</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2020</w:t>
            </w:r>
          </w:p>
        </w:tc>
        <w:tc>
          <w:tcPr>
            <w:tcW w:w="1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4,364</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123</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1,180,550</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January 2019 / August 2019</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Debt to banks</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Interest rate swaps (IRS)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gridSpan w:val="2"/>
            <w:shd w:val="clear" w:color="auto" w:fill="CCEEFF"/>
          </w:tcPr>
          <w:p>
            <w:pPr>
              <w:ind w:left="40"/>
              <w:spacing w:after="0" w:line="87" w:lineRule="exact"/>
              <w:rPr>
                <w:sz w:val="20"/>
                <w:szCs w:val="20"/>
                <w:color w:val="auto"/>
              </w:rPr>
            </w:pPr>
            <w:r>
              <w:rPr>
                <w:rFonts w:ascii="Arial" w:cs="Arial" w:eastAsia="Arial" w:hAnsi="Arial"/>
                <w:sz w:val="10"/>
                <w:szCs w:val="10"/>
                <w:color w:val="auto"/>
              </w:rPr>
              <w:t>February 2019 / November</w:t>
            </w: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center"/>
              <w:ind w:right="60"/>
              <w:spacing w:after="0" w:line="112" w:lineRule="exact"/>
              <w:rPr>
                <w:sz w:val="20"/>
                <w:szCs w:val="20"/>
                <w:color w:val="auto"/>
              </w:rPr>
            </w:pPr>
            <w:r>
              <w:rPr>
                <w:rFonts w:ascii="Arial" w:cs="Arial" w:eastAsia="Arial" w:hAnsi="Arial"/>
                <w:sz w:val="10"/>
                <w:szCs w:val="10"/>
                <w:color w:val="auto"/>
                <w:w w:val="92"/>
              </w:rPr>
              <w:t>15(b)(iii)</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1,046</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629,660</w:t>
            </w:r>
          </w:p>
        </w:tc>
        <w:tc>
          <w:tcPr>
            <w:tcW w:w="11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May 2020 / June 2020</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3,445</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67</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843,250</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2019</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Debt to banks</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Interest rate swaps (IRS)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February 2020 /</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spacing w:after="0"/>
              <w:rPr>
                <w:sz w:val="9"/>
                <w:szCs w:val="9"/>
                <w:color w:val="auto"/>
              </w:rPr>
            </w:pPr>
          </w:p>
        </w:tc>
        <w:tc>
          <w:tcPr>
            <w:tcW w:w="76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2"/>
              </w:rPr>
              <w:t>15(b)(ii)</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55</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714</w:t>
            </w:r>
          </w:p>
        </w:tc>
        <w:tc>
          <w:tcPr>
            <w:tcW w:w="2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984,258</w:t>
            </w:r>
          </w:p>
        </w:tc>
        <w:tc>
          <w:tcPr>
            <w:tcW w:w="11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November 2020</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312</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337,300</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May 2019</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Debt to banks</w:t>
            </w:r>
          </w:p>
        </w:tc>
      </w:tr>
      <w:tr>
        <w:trPr>
          <w:trHeight w:val="99"/>
        </w:trPr>
        <w:tc>
          <w:tcPr>
            <w:tcW w:w="11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shd w:val="clear" w:color="auto" w:fill="CCEEFF"/>
          </w:tcPr>
          <w:p>
            <w:pPr>
              <w:jc w:val="center"/>
              <w:ind w:right="60"/>
              <w:spacing w:after="0" w:line="99" w:lineRule="exact"/>
              <w:rPr>
                <w:sz w:val="20"/>
                <w:szCs w:val="20"/>
                <w:color w:val="auto"/>
              </w:rPr>
            </w:pPr>
            <w:r>
              <w:rPr>
                <w:rFonts w:ascii="Arial" w:cs="Arial" w:eastAsia="Arial" w:hAnsi="Arial"/>
                <w:sz w:val="10"/>
                <w:szCs w:val="10"/>
                <w:color w:val="auto"/>
                <w:w w:val="92"/>
              </w:rPr>
              <w:t>15(b)(i)</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315</w:t>
            </w: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839</w:t>
            </w:r>
          </w:p>
        </w:tc>
        <w:tc>
          <w:tcPr>
            <w:tcW w:w="2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994,200</w:t>
            </w:r>
          </w:p>
        </w:tc>
        <w:tc>
          <w:tcPr>
            <w:tcW w:w="11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May 2020 / August 2020</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209</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233</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505,950</w:t>
            </w:r>
          </w:p>
        </w:tc>
        <w:tc>
          <w:tcPr>
            <w:tcW w:w="200" w:type="dxa"/>
            <w:vAlign w:val="bottom"/>
            <w:shd w:val="clear" w:color="auto" w:fill="CCEEFF"/>
          </w:tcPr>
          <w:p>
            <w:pPr>
              <w:spacing w:after="0"/>
              <w:rPr>
                <w:sz w:val="8"/>
                <w:szCs w:val="8"/>
                <w:color w:val="auto"/>
              </w:rPr>
            </w:pPr>
          </w:p>
        </w:tc>
        <w:tc>
          <w:tcPr>
            <w:tcW w:w="13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May 2019 / October 2019</w:t>
            </w:r>
          </w:p>
        </w:tc>
        <w:tc>
          <w:tcPr>
            <w:tcW w:w="106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Debt to banks</w:t>
            </w:r>
          </w:p>
        </w:tc>
      </w:tr>
      <w:tr>
        <w:trPr>
          <w:trHeight w:val="99"/>
        </w:trPr>
        <w:tc>
          <w:tcPr>
            <w:tcW w:w="1180" w:type="dxa"/>
            <w:vAlign w:val="bottom"/>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tcPr>
          <w:p>
            <w:pPr>
              <w:jc w:val="center"/>
              <w:ind w:right="60"/>
              <w:spacing w:after="0" w:line="99" w:lineRule="exact"/>
              <w:rPr>
                <w:sz w:val="20"/>
                <w:szCs w:val="20"/>
                <w:color w:val="auto"/>
              </w:rPr>
            </w:pPr>
            <w:r>
              <w:rPr>
                <w:rFonts w:ascii="Arial" w:cs="Arial" w:eastAsia="Arial" w:hAnsi="Arial"/>
                <w:sz w:val="10"/>
                <w:szCs w:val="10"/>
                <w:color w:val="auto"/>
                <w:w w:val="91"/>
              </w:rPr>
              <w:t>15(b)(vi)</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114</w:t>
            </w:r>
          </w:p>
        </w:tc>
        <w:tc>
          <w:tcPr>
            <w:tcW w:w="6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331,400</w:t>
            </w:r>
          </w:p>
        </w:tc>
        <w:tc>
          <w:tcPr>
            <w:tcW w:w="11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August 2020</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8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60" w:type="dxa"/>
            <w:vAlign w:val="bottom"/>
          </w:tcPr>
          <w:p>
            <w:pPr>
              <w:ind w:left="40"/>
              <w:spacing w:after="0" w:line="99" w:lineRule="exact"/>
              <w:rPr>
                <w:sz w:val="20"/>
                <w:szCs w:val="20"/>
                <w:color w:val="auto"/>
              </w:rPr>
            </w:pPr>
            <w:r>
              <w:rPr>
                <w:rFonts w:ascii="Arial" w:cs="Arial" w:eastAsia="Arial" w:hAnsi="Arial"/>
                <w:sz w:val="10"/>
                <w:szCs w:val="10"/>
                <w:color w:val="auto"/>
              </w:rPr>
              <w:t>Debt to banks</w:t>
            </w:r>
          </w:p>
        </w:tc>
      </w:tr>
      <w:tr>
        <w:trPr>
          <w:trHeight w:val="99"/>
        </w:trPr>
        <w:tc>
          <w:tcPr>
            <w:tcW w:w="11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shd w:val="clear" w:color="auto" w:fill="CCEEFF"/>
          </w:tcPr>
          <w:p>
            <w:pPr>
              <w:jc w:val="center"/>
              <w:ind w:right="60"/>
              <w:spacing w:after="0" w:line="99" w:lineRule="exact"/>
              <w:rPr>
                <w:sz w:val="20"/>
                <w:szCs w:val="20"/>
                <w:color w:val="auto"/>
              </w:rPr>
            </w:pPr>
            <w:r>
              <w:rPr>
                <w:rFonts w:ascii="Arial" w:cs="Arial" w:eastAsia="Arial" w:hAnsi="Arial"/>
                <w:sz w:val="10"/>
                <w:szCs w:val="10"/>
                <w:color w:val="auto"/>
                <w:w w:val="91"/>
              </w:rPr>
              <w:t>15(b)(iv)</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447</w:t>
            </w:r>
          </w:p>
        </w:tc>
        <w:tc>
          <w:tcPr>
            <w:tcW w:w="2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331,400</w:t>
            </w:r>
          </w:p>
        </w:tc>
        <w:tc>
          <w:tcPr>
            <w:tcW w:w="11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June 2020</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Debt to banks</w:t>
            </w:r>
          </w:p>
        </w:tc>
      </w:tr>
      <w:tr>
        <w:trPr>
          <w:trHeight w:val="99"/>
        </w:trPr>
        <w:tc>
          <w:tcPr>
            <w:tcW w:w="1180" w:type="dxa"/>
            <w:vAlign w:val="bottom"/>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tcPr>
          <w:p>
            <w:pPr>
              <w:jc w:val="center"/>
              <w:ind w:right="60"/>
              <w:spacing w:after="0" w:line="99" w:lineRule="exact"/>
              <w:rPr>
                <w:sz w:val="20"/>
                <w:szCs w:val="20"/>
                <w:color w:val="auto"/>
              </w:rPr>
            </w:pPr>
            <w:r>
              <w:rPr>
                <w:rFonts w:ascii="Arial" w:cs="Arial" w:eastAsia="Arial" w:hAnsi="Arial"/>
                <w:sz w:val="10"/>
                <w:szCs w:val="10"/>
                <w:color w:val="auto"/>
                <w:w w:val="96"/>
              </w:rPr>
              <w:t>15(b)(vii)</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6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151</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337,300</w:t>
            </w:r>
          </w:p>
        </w:tc>
        <w:tc>
          <w:tcPr>
            <w:tcW w:w="200" w:type="dxa"/>
            <w:vAlign w:val="bottom"/>
          </w:tcPr>
          <w:p>
            <w:pPr>
              <w:spacing w:after="0"/>
              <w:rPr>
                <w:sz w:val="8"/>
                <w:szCs w:val="8"/>
                <w:color w:val="auto"/>
              </w:rPr>
            </w:pPr>
          </w:p>
        </w:tc>
        <w:tc>
          <w:tcPr>
            <w:tcW w:w="13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July 2019</w:t>
            </w:r>
          </w:p>
        </w:tc>
        <w:tc>
          <w:tcPr>
            <w:tcW w:w="1060" w:type="dxa"/>
            <w:vAlign w:val="bottom"/>
          </w:tcPr>
          <w:p>
            <w:pPr>
              <w:ind w:left="40"/>
              <w:spacing w:after="0" w:line="99" w:lineRule="exact"/>
              <w:rPr>
                <w:sz w:val="20"/>
                <w:szCs w:val="20"/>
                <w:color w:val="auto"/>
              </w:rPr>
            </w:pPr>
            <w:r>
              <w:rPr>
                <w:rFonts w:ascii="Arial" w:cs="Arial" w:eastAsia="Arial" w:hAnsi="Arial"/>
                <w:sz w:val="10"/>
                <w:szCs w:val="10"/>
                <w:color w:val="auto"/>
              </w:rPr>
              <w:t>Debt to banks</w:t>
            </w:r>
          </w:p>
        </w:tc>
      </w:tr>
      <w:tr>
        <w:trPr>
          <w:trHeight w:val="99"/>
        </w:trPr>
        <w:tc>
          <w:tcPr>
            <w:tcW w:w="11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shd w:val="clear" w:color="auto" w:fill="CCEEFF"/>
          </w:tcPr>
          <w:p>
            <w:pPr>
              <w:jc w:val="center"/>
              <w:ind w:right="60"/>
              <w:spacing w:after="0" w:line="99" w:lineRule="exact"/>
              <w:rPr>
                <w:sz w:val="20"/>
                <w:szCs w:val="20"/>
                <w:color w:val="auto"/>
              </w:rPr>
            </w:pPr>
            <w:r>
              <w:rPr>
                <w:rFonts w:ascii="Arial" w:cs="Arial" w:eastAsia="Arial" w:hAnsi="Arial"/>
                <w:sz w:val="10"/>
                <w:szCs w:val="10"/>
                <w:color w:val="auto"/>
                <w:w w:val="89"/>
              </w:rPr>
              <w:t>5(c)(v)</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3,417</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505,950</w:t>
            </w:r>
          </w:p>
        </w:tc>
        <w:tc>
          <w:tcPr>
            <w:tcW w:w="200" w:type="dxa"/>
            <w:vAlign w:val="bottom"/>
            <w:shd w:val="clear" w:color="auto" w:fill="CCEEFF"/>
          </w:tcPr>
          <w:p>
            <w:pPr>
              <w:spacing w:after="0"/>
              <w:rPr>
                <w:sz w:val="8"/>
                <w:szCs w:val="8"/>
                <w:color w:val="auto"/>
              </w:rPr>
            </w:pPr>
          </w:p>
        </w:tc>
        <w:tc>
          <w:tcPr>
            <w:tcW w:w="13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w w:val="99"/>
              </w:rPr>
              <w:t>March 2019 / December 2019</w:t>
            </w:r>
          </w:p>
        </w:tc>
        <w:tc>
          <w:tcPr>
            <w:tcW w:w="106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w w:val="91"/>
              </w:rPr>
              <w:t>Repurchase agreements</w:t>
            </w:r>
          </w:p>
        </w:tc>
      </w:tr>
      <w:tr>
        <w:trPr>
          <w:trHeight w:val="99"/>
        </w:trPr>
        <w:tc>
          <w:tcPr>
            <w:tcW w:w="1180" w:type="dxa"/>
            <w:vAlign w:val="bottom"/>
          </w:tcPr>
          <w:p>
            <w:pPr>
              <w:spacing w:after="0" w:line="99"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tcPr>
          <w:p>
            <w:pPr>
              <w:jc w:val="center"/>
              <w:ind w:right="60"/>
              <w:spacing w:after="0" w:line="99" w:lineRule="exact"/>
              <w:rPr>
                <w:sz w:val="20"/>
                <w:szCs w:val="20"/>
                <w:color w:val="auto"/>
              </w:rPr>
            </w:pPr>
            <w:r>
              <w:rPr>
                <w:rFonts w:ascii="Arial" w:cs="Arial" w:eastAsia="Arial" w:hAnsi="Arial"/>
                <w:sz w:val="10"/>
                <w:szCs w:val="10"/>
                <w:color w:val="auto"/>
                <w:w w:val="91"/>
              </w:rPr>
              <w:t>17(a)(iv)</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2,555</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231,980</w:t>
            </w:r>
          </w:p>
        </w:tc>
        <w:tc>
          <w:tcPr>
            <w:tcW w:w="11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March 2021</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8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60" w:type="dxa"/>
            <w:vAlign w:val="bottom"/>
          </w:tcPr>
          <w:p>
            <w:pPr>
              <w:ind w:left="40"/>
              <w:spacing w:after="0" w:line="99" w:lineRule="exact"/>
              <w:rPr>
                <w:sz w:val="20"/>
                <w:szCs w:val="20"/>
                <w:color w:val="auto"/>
              </w:rPr>
            </w:pPr>
            <w:r>
              <w:rPr>
                <w:rFonts w:ascii="Arial" w:cs="Arial" w:eastAsia="Arial" w:hAnsi="Arial"/>
                <w:sz w:val="10"/>
                <w:szCs w:val="10"/>
                <w:color w:val="auto"/>
              </w:rPr>
              <w:t>Bonds issued</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shd w:val="clear" w:color="auto" w:fill="CCEEFF"/>
          </w:tcPr>
          <w:p>
            <w:pPr>
              <w:jc w:val="center"/>
              <w:ind w:right="60"/>
              <w:spacing w:after="0" w:line="112" w:lineRule="exact"/>
              <w:rPr>
                <w:sz w:val="20"/>
                <w:szCs w:val="20"/>
                <w:color w:val="auto"/>
              </w:rPr>
            </w:pPr>
            <w:r>
              <w:rPr>
                <w:rFonts w:ascii="Arial" w:cs="Arial" w:eastAsia="Arial" w:hAnsi="Arial"/>
                <w:sz w:val="10"/>
                <w:szCs w:val="10"/>
                <w:color w:val="auto"/>
                <w:w w:val="91"/>
              </w:rPr>
              <w:t>5(c)(ii)</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30,741</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231,980</w:t>
            </w:r>
          </w:p>
        </w:tc>
        <w:tc>
          <w:tcPr>
            <w:tcW w:w="11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August 2020</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35,229</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236,110</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August 2020</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w w:val="91"/>
              </w:rPr>
              <w:t>Repurchase agreements</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0"/>
                <w:szCs w:val="10"/>
                <w:color w:val="auto"/>
                <w:w w:val="98"/>
              </w:rPr>
              <w:t>5(c)(iii)</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30,352</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149,130</w:t>
            </w:r>
          </w:p>
        </w:tc>
        <w:tc>
          <w:tcPr>
            <w:tcW w:w="11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August 2026</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11,939</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151,785</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August 2026</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w w:val="91"/>
              </w:rPr>
              <w:t>Repurchase agreements</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shd w:val="clear" w:color="auto" w:fill="CCEEFF"/>
          </w:tcPr>
          <w:p>
            <w:pPr>
              <w:jc w:val="center"/>
              <w:ind w:right="60"/>
              <w:spacing w:after="0" w:line="112" w:lineRule="exact"/>
              <w:rPr>
                <w:sz w:val="20"/>
                <w:szCs w:val="20"/>
                <w:color w:val="auto"/>
              </w:rPr>
            </w:pPr>
            <w:r>
              <w:rPr>
                <w:rFonts w:ascii="Arial" w:cs="Arial" w:eastAsia="Arial" w:hAnsi="Arial"/>
                <w:sz w:val="10"/>
                <w:szCs w:val="10"/>
                <w:color w:val="auto"/>
                <w:w w:val="96"/>
              </w:rPr>
              <w:t>5(c)(iv)</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12,236</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82,850</w:t>
            </w:r>
          </w:p>
        </w:tc>
        <w:tc>
          <w:tcPr>
            <w:tcW w:w="11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August 2026</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1,741</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84,325</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August 2026</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w w:val="91"/>
              </w:rPr>
              <w:t>Repurchase agreements</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May 2021 / September</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ind w:left="40"/>
              <w:spacing w:after="0" w:line="87" w:lineRule="exact"/>
              <w:rPr>
                <w:sz w:val="20"/>
                <w:szCs w:val="20"/>
                <w:color w:val="auto"/>
              </w:rPr>
            </w:pPr>
            <w:r>
              <w:rPr>
                <w:rFonts w:ascii="Arial" w:cs="Arial" w:eastAsia="Arial" w:hAnsi="Arial"/>
                <w:sz w:val="10"/>
                <w:szCs w:val="10"/>
                <w:color w:val="auto"/>
              </w:rPr>
              <w:t>February 2021 / September</w:t>
            </w:r>
          </w:p>
        </w:tc>
        <w:tc>
          <w:tcPr>
            <w:tcW w:w="1060" w:type="dxa"/>
            <w:vAlign w:val="bottom"/>
          </w:tcPr>
          <w:p>
            <w:pPr>
              <w:spacing w:after="0"/>
              <w:rPr>
                <w:sz w:val="7"/>
                <w:szCs w:val="7"/>
                <w:color w:val="auto"/>
              </w:rPr>
            </w:pPr>
          </w:p>
        </w:tc>
      </w:tr>
      <w:tr>
        <w:trPr>
          <w:trHeight w:val="112"/>
        </w:trPr>
        <w:tc>
          <w:tcPr>
            <w:tcW w:w="1180" w:type="dxa"/>
            <w:vAlign w:val="bottom"/>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0"/>
                <w:szCs w:val="10"/>
                <w:color w:val="auto"/>
                <w:w w:val="97"/>
              </w:rPr>
              <w:t>6(b)(i)</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20,803</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1,167</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107,425</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2024</w:t>
            </w:r>
          </w:p>
        </w:tc>
        <w:tc>
          <w:tcPr>
            <w:tcW w:w="1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21,424</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1,867</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136,119</w:t>
            </w:r>
          </w:p>
        </w:tc>
        <w:tc>
          <w:tcPr>
            <w:tcW w:w="200" w:type="dxa"/>
            <w:vAlign w:val="bottom"/>
          </w:tcPr>
          <w:p>
            <w:pPr>
              <w:spacing w:after="0"/>
              <w:rPr>
                <w:sz w:val="9"/>
                <w:szCs w:val="9"/>
                <w:color w:val="auto"/>
              </w:rPr>
            </w:pPr>
          </w:p>
        </w:tc>
        <w:tc>
          <w:tcPr>
            <w:tcW w:w="1280" w:type="dxa"/>
            <w:vAlign w:val="bottom"/>
          </w:tcPr>
          <w:p>
            <w:pPr>
              <w:ind w:left="40"/>
              <w:spacing w:after="0" w:line="112" w:lineRule="exact"/>
              <w:rPr>
                <w:sz w:val="20"/>
                <w:szCs w:val="20"/>
                <w:color w:val="auto"/>
              </w:rPr>
            </w:pPr>
            <w:r>
              <w:rPr>
                <w:rFonts w:ascii="Arial" w:cs="Arial" w:eastAsia="Arial" w:hAnsi="Arial"/>
                <w:sz w:val="10"/>
                <w:szCs w:val="10"/>
                <w:color w:val="auto"/>
              </w:rPr>
              <w:t>2024</w:t>
            </w:r>
          </w:p>
        </w:tc>
        <w:tc>
          <w:tcPr>
            <w:tcW w:w="100" w:type="dxa"/>
            <w:vAlign w:val="bottom"/>
          </w:tcPr>
          <w:p>
            <w:pPr>
              <w:spacing w:after="0"/>
              <w:rPr>
                <w:sz w:val="9"/>
                <w:szCs w:val="9"/>
                <w:color w:val="auto"/>
              </w:rPr>
            </w:pP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Investments (*)</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shd w:val="clear" w:color="auto" w:fill="CCEEFF"/>
          </w:tcPr>
          <w:p>
            <w:pPr>
              <w:jc w:val="center"/>
              <w:ind w:right="60"/>
              <w:spacing w:after="0" w:line="112" w:lineRule="exact"/>
              <w:rPr>
                <w:sz w:val="20"/>
                <w:szCs w:val="20"/>
                <w:color w:val="auto"/>
              </w:rPr>
            </w:pPr>
            <w:r>
              <w:rPr>
                <w:rFonts w:ascii="Arial" w:cs="Arial" w:eastAsia="Arial" w:hAnsi="Arial"/>
                <w:sz w:val="10"/>
                <w:szCs w:val="10"/>
                <w:color w:val="auto"/>
                <w:w w:val="96"/>
              </w:rPr>
              <w:t>6(b)(iii)</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4,249</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77,822</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March 2019</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Investments (*)</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0"/>
                <w:szCs w:val="10"/>
                <w:color w:val="auto"/>
                <w:w w:val="91"/>
              </w:rPr>
              <w:t>15(b)(iv)</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7,624</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331,400</w:t>
            </w:r>
          </w:p>
        </w:tc>
        <w:tc>
          <w:tcPr>
            <w:tcW w:w="11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January 2020</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16,132</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337,300</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January 2020</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Debt to banks</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shd w:val="clear" w:color="auto" w:fill="CCEEFF"/>
          </w:tcPr>
          <w:p>
            <w:pPr>
              <w:jc w:val="center"/>
              <w:ind w:right="60"/>
              <w:spacing w:after="0" w:line="112" w:lineRule="exact"/>
              <w:rPr>
                <w:sz w:val="20"/>
                <w:szCs w:val="20"/>
                <w:color w:val="auto"/>
              </w:rPr>
            </w:pPr>
            <w:r>
              <w:rPr>
                <w:rFonts w:ascii="Arial" w:cs="Arial" w:eastAsia="Arial" w:hAnsi="Arial"/>
                <w:sz w:val="10"/>
                <w:szCs w:val="10"/>
                <w:color w:val="auto"/>
                <w:w w:val="91"/>
              </w:rPr>
              <w:t>17(a)(vi)</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35,658</w:t>
            </w:r>
          </w:p>
        </w:tc>
        <w:tc>
          <w:tcPr>
            <w:tcW w:w="84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1,011,900</w:t>
            </w:r>
          </w:p>
        </w:tc>
        <w:tc>
          <w:tcPr>
            <w:tcW w:w="13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October 2019</w:t>
            </w: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Bonds issued</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12"/>
        </w:trPr>
        <w:tc>
          <w:tcPr>
            <w:tcW w:w="1180" w:type="dxa"/>
            <w:vAlign w:val="bottom"/>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tcPr>
          <w:p>
            <w:pPr>
              <w:jc w:val="center"/>
              <w:ind w:right="60"/>
              <w:spacing w:after="0" w:line="112" w:lineRule="exact"/>
              <w:rPr>
                <w:sz w:val="20"/>
                <w:szCs w:val="20"/>
                <w:color w:val="auto"/>
              </w:rPr>
            </w:pPr>
            <w:r>
              <w:rPr>
                <w:rFonts w:ascii="Arial" w:cs="Arial" w:eastAsia="Arial" w:hAnsi="Arial"/>
                <w:sz w:val="10"/>
                <w:szCs w:val="10"/>
                <w:color w:val="auto"/>
                <w:w w:val="92"/>
              </w:rPr>
              <w:t>17(a)(i)</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8,197</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165,700</w:t>
            </w:r>
          </w:p>
        </w:tc>
        <w:tc>
          <w:tcPr>
            <w:tcW w:w="11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January 2025</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80" w:type="dxa"/>
            <w:vAlign w:val="bottom"/>
          </w:tcPr>
          <w:p>
            <w:pPr>
              <w:ind w:left="4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rPr>
              <w:t>Bonds issued</w:t>
            </w:r>
          </w:p>
        </w:tc>
      </w:tr>
      <w:tr>
        <w:trPr>
          <w:trHeight w:val="87"/>
        </w:trPr>
        <w:tc>
          <w:tcPr>
            <w:tcW w:w="11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12"/>
        </w:trPr>
        <w:tc>
          <w:tcPr>
            <w:tcW w:w="11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(CCS)</w:t>
            </w:r>
          </w:p>
        </w:tc>
        <w:tc>
          <w:tcPr>
            <w:tcW w:w="760" w:type="dxa"/>
            <w:vAlign w:val="bottom"/>
            <w:gridSpan w:val="2"/>
            <w:shd w:val="clear" w:color="auto" w:fill="CCEEFF"/>
          </w:tcPr>
          <w:p>
            <w:pPr>
              <w:jc w:val="center"/>
              <w:ind w:right="80"/>
              <w:spacing w:after="0" w:line="112" w:lineRule="exact"/>
              <w:rPr>
                <w:sz w:val="20"/>
                <w:szCs w:val="20"/>
                <w:color w:val="auto"/>
              </w:rPr>
            </w:pPr>
            <w:r>
              <w:rPr>
                <w:rFonts w:ascii="Arial" w:cs="Arial" w:eastAsia="Arial" w:hAnsi="Arial"/>
                <w:sz w:val="10"/>
                <w:szCs w:val="10"/>
                <w:color w:val="auto"/>
                <w:w w:val="91"/>
              </w:rPr>
              <w:t>17(a)(v)</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2,823</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152,545</w:t>
            </w:r>
          </w:p>
        </w:tc>
        <w:tc>
          <w:tcPr>
            <w:tcW w:w="118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0"/>
                <w:szCs w:val="10"/>
                <w:color w:val="auto"/>
              </w:rPr>
              <w:t>August 2021</w:t>
            </w:r>
          </w:p>
        </w:tc>
        <w:tc>
          <w:tcPr>
            <w:tcW w:w="8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ind w:left="40"/>
              <w:spacing w:after="0" w:line="112" w:lineRule="exact"/>
              <w:rPr>
                <w:sz w:val="20"/>
                <w:szCs w:val="20"/>
                <w:color w:val="auto"/>
              </w:rPr>
            </w:pPr>
            <w:r>
              <w:rPr>
                <w:rFonts w:ascii="Arial" w:cs="Arial" w:eastAsia="Arial" w:hAnsi="Arial"/>
                <w:sz w:val="10"/>
                <w:szCs w:val="10"/>
                <w:color w:val="auto"/>
              </w:rPr>
              <w:t>Bonds issued</w:t>
            </w:r>
          </w:p>
        </w:tc>
      </w:tr>
      <w:tr>
        <w:trPr>
          <w:trHeight w:val="87"/>
        </w:trPr>
        <w:tc>
          <w:tcPr>
            <w:tcW w:w="1180" w:type="dxa"/>
            <w:vAlign w:val="bottom"/>
          </w:tcPr>
          <w:p>
            <w:pPr>
              <w:spacing w:after="0" w:line="87" w:lineRule="exact"/>
              <w:rPr>
                <w:sz w:val="20"/>
                <w:szCs w:val="20"/>
                <w:color w:val="auto"/>
              </w:rPr>
            </w:pPr>
            <w:r>
              <w:rPr>
                <w:rFonts w:ascii="Arial" w:cs="Arial" w:eastAsia="Arial" w:hAnsi="Arial"/>
                <w:sz w:val="10"/>
                <w:szCs w:val="10"/>
                <w:color w:val="auto"/>
              </w:rPr>
              <w:t>Cross currency swaps</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99"/>
        </w:trPr>
        <w:tc>
          <w:tcPr>
            <w:tcW w:w="1180" w:type="dxa"/>
            <w:vAlign w:val="bottom"/>
          </w:tcPr>
          <w:p>
            <w:pPr>
              <w:ind w:left="120"/>
              <w:spacing w:after="0" w:line="99" w:lineRule="exact"/>
              <w:rPr>
                <w:sz w:val="20"/>
                <w:szCs w:val="20"/>
                <w:color w:val="auto"/>
              </w:rPr>
            </w:pPr>
            <w:r>
              <w:rPr>
                <w:rFonts w:ascii="Arial" w:cs="Arial" w:eastAsia="Arial" w:hAnsi="Arial"/>
                <w:sz w:val="10"/>
                <w:szCs w:val="10"/>
                <w:color w:val="auto"/>
                <w:w w:val="97"/>
              </w:rPr>
              <w:t>(CCS) and  Interest rate</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12"/>
        </w:trPr>
        <w:tc>
          <w:tcPr>
            <w:tcW w:w="1180" w:type="dxa"/>
            <w:vAlign w:val="bottom"/>
          </w:tcPr>
          <w:p>
            <w:pPr>
              <w:ind w:left="120"/>
              <w:spacing w:after="0" w:line="112" w:lineRule="exact"/>
              <w:rPr>
                <w:sz w:val="20"/>
                <w:szCs w:val="20"/>
                <w:color w:val="auto"/>
              </w:rPr>
            </w:pPr>
            <w:r>
              <w:rPr>
                <w:rFonts w:ascii="Arial" w:cs="Arial" w:eastAsia="Arial" w:hAnsi="Arial"/>
                <w:sz w:val="10"/>
                <w:szCs w:val="10"/>
                <w:color w:val="auto"/>
              </w:rPr>
              <w:t>swaps (IRS)</w:t>
            </w:r>
          </w:p>
        </w:tc>
        <w:tc>
          <w:tcPr>
            <w:tcW w:w="76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1"/>
              </w:rPr>
              <w:t>5(c)(i)</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39,417</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265,120</w:t>
            </w:r>
          </w:p>
        </w:tc>
        <w:tc>
          <w:tcPr>
            <w:tcW w:w="11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August 2020</w:t>
            </w:r>
          </w:p>
        </w:tc>
        <w:tc>
          <w:tcPr>
            <w:tcW w:w="8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47,959</w:t>
            </w:r>
          </w:p>
        </w:tc>
        <w:tc>
          <w:tcPr>
            <w:tcW w:w="82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269,840</w:t>
            </w:r>
          </w:p>
        </w:tc>
        <w:tc>
          <w:tcPr>
            <w:tcW w:w="200" w:type="dxa"/>
            <w:vAlign w:val="bottom"/>
          </w:tcPr>
          <w:p>
            <w:pPr>
              <w:spacing w:after="0"/>
              <w:rPr>
                <w:sz w:val="9"/>
                <w:szCs w:val="9"/>
                <w:color w:val="auto"/>
              </w:rPr>
            </w:pPr>
          </w:p>
        </w:tc>
        <w:tc>
          <w:tcPr>
            <w:tcW w:w="138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August 2020</w:t>
            </w:r>
          </w:p>
        </w:tc>
        <w:tc>
          <w:tcPr>
            <w:tcW w:w="1060" w:type="dxa"/>
            <w:vAlign w:val="bottom"/>
          </w:tcPr>
          <w:p>
            <w:pPr>
              <w:ind w:left="40"/>
              <w:spacing w:after="0" w:line="112" w:lineRule="exact"/>
              <w:rPr>
                <w:sz w:val="20"/>
                <w:szCs w:val="20"/>
                <w:color w:val="auto"/>
              </w:rPr>
            </w:pPr>
            <w:r>
              <w:rPr>
                <w:rFonts w:ascii="Arial" w:cs="Arial" w:eastAsia="Arial" w:hAnsi="Arial"/>
                <w:sz w:val="10"/>
                <w:szCs w:val="10"/>
                <w:color w:val="auto"/>
                <w:w w:val="91"/>
              </w:rPr>
              <w:t>Repurchase agreements</w:t>
            </w:r>
          </w:p>
        </w:tc>
      </w:tr>
      <w:tr>
        <w:trPr>
          <w:trHeight w:val="99"/>
        </w:trPr>
        <w:tc>
          <w:tcPr>
            <w:tcW w:w="1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99"/>
        </w:trPr>
        <w:tc>
          <w:tcPr>
            <w:tcW w:w="1180" w:type="dxa"/>
            <w:vAlign w:val="bottom"/>
          </w:tcPr>
          <w:p>
            <w:pPr>
              <w:spacing w:after="0" w:line="99" w:lineRule="exact"/>
              <w:rPr>
                <w:sz w:val="20"/>
                <w:szCs w:val="20"/>
                <w:color w:val="auto"/>
              </w:rPr>
            </w:pPr>
            <w:r>
              <w:rPr>
                <w:rFonts w:ascii="Arial" w:cs="Arial" w:eastAsia="Arial" w:hAnsi="Arial"/>
                <w:sz w:val="10"/>
                <w:szCs w:val="10"/>
                <w:b w:val="1"/>
                <w:bCs w:val="1"/>
                <w:color w:val="auto"/>
              </w:rPr>
              <w:t>Fair value hedges -</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8"/>
        </w:trPr>
        <w:tc>
          <w:tcPr>
            <w:tcW w:w="1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Interest rate swaps (IRS)</w:t>
            </w:r>
          </w:p>
        </w:tc>
        <w:tc>
          <w:tcPr>
            <w:tcW w:w="760" w:type="dxa"/>
            <w:vAlign w:val="bottom"/>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89"/>
              </w:rPr>
              <w:t>6(b)</w:t>
            </w:r>
          </w:p>
        </w:tc>
        <w:tc>
          <w:tcPr>
            <w:tcW w:w="8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8,124</w:t>
            </w:r>
          </w:p>
        </w:tc>
        <w:tc>
          <w:tcPr>
            <w:tcW w:w="8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618,790</w:t>
            </w:r>
          </w:p>
        </w:tc>
        <w:tc>
          <w:tcPr>
            <w:tcW w:w="118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June 2021 / May 2023</w:t>
            </w:r>
          </w:p>
        </w:tc>
        <w:tc>
          <w:tcPr>
            <w:tcW w:w="8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11,694</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4,867</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923,912</w:t>
            </w:r>
          </w:p>
        </w:tc>
        <w:tc>
          <w:tcPr>
            <w:tcW w:w="20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July 2019 / July 2025</w:t>
            </w:r>
          </w:p>
        </w:tc>
        <w:tc>
          <w:tcPr>
            <w:tcW w:w="1060" w:type="dxa"/>
            <w:vAlign w:val="bottom"/>
            <w:shd w:val="clear" w:color="auto" w:fill="CCEEFF"/>
          </w:tcPr>
          <w:p>
            <w:pPr>
              <w:ind w:left="40"/>
              <w:spacing w:after="0" w:line="108" w:lineRule="exact"/>
              <w:rPr>
                <w:sz w:val="20"/>
                <w:szCs w:val="20"/>
                <w:color w:val="auto"/>
              </w:rPr>
            </w:pPr>
            <w:r>
              <w:rPr>
                <w:rFonts w:ascii="Arial" w:cs="Arial" w:eastAsia="Arial" w:hAnsi="Arial"/>
                <w:sz w:val="10"/>
                <w:szCs w:val="10"/>
                <w:color w:val="auto"/>
              </w:rPr>
              <w:t>Investments (*)</w:t>
            </w:r>
          </w:p>
        </w:tc>
      </w:tr>
      <w:tr>
        <w:trPr>
          <w:trHeight w:val="88"/>
        </w:trPr>
        <w:tc>
          <w:tcPr>
            <w:tcW w:w="1180" w:type="dxa"/>
            <w:vAlign w:val="bottom"/>
            <w:tcBorders>
              <w:bottom w:val="single" w:sz="8" w:color="CCEEFF"/>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99,171</w:t>
            </w:r>
          </w:p>
        </w:tc>
        <w:tc>
          <w:tcPr>
            <w:tcW w:w="220" w:type="dxa"/>
            <w:vAlign w:val="bottom"/>
            <w:tcBorders>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69,611</w:t>
            </w:r>
          </w:p>
        </w:tc>
        <w:tc>
          <w:tcPr>
            <w:tcW w:w="22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6,270,638</w:t>
            </w:r>
          </w:p>
        </w:tc>
        <w:tc>
          <w:tcPr>
            <w:tcW w:w="2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144,185</w:t>
            </w:r>
          </w:p>
        </w:tc>
        <w:tc>
          <w:tcPr>
            <w:tcW w:w="22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60,895</w:t>
            </w:r>
          </w:p>
        </w:tc>
        <w:tc>
          <w:tcPr>
            <w:tcW w:w="20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6,939,413</w:t>
            </w:r>
          </w:p>
        </w:tc>
        <w:tc>
          <w:tcPr>
            <w:tcW w:w="20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r>
      <w:tr>
        <w:trPr>
          <w:trHeight w:val="88"/>
        </w:trPr>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1,092,107</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1,040,282</w:t>
            </w:r>
          </w:p>
        </w:tc>
        <w:tc>
          <w:tcPr>
            <w:tcW w:w="22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69,720,506</w:t>
            </w: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766,317</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715,804</w:t>
            </w: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56,935,229</w:t>
            </w: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bl>
    <w:p>
      <w:pPr>
        <w:spacing w:after="0" w:line="153"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Corresponds to investments classified at the fair value through other comprehensive income under IFRS 9 as of December 31, 2019 and 2018.</w:t>
      </w:r>
    </w:p>
    <w:p>
      <w:pPr>
        <w:spacing w:after="0" w:line="312" w:lineRule="exact"/>
        <w:rPr>
          <w:rFonts w:ascii="Arial" w:cs="Arial" w:eastAsia="Arial" w:hAnsi="Arial"/>
          <w:sz w:val="12"/>
          <w:szCs w:val="12"/>
          <w:color w:val="auto"/>
        </w:rPr>
      </w:pPr>
    </w:p>
    <w:p>
      <w:pPr>
        <w:ind w:left="5480" w:hanging="72"/>
        <w:spacing w:after="0"/>
        <w:tabs>
          <w:tab w:leader="none" w:pos="548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40"/>
          </w:cols>
          <w:pgMar w:left="420" w:top="653" w:right="239" w:bottom="1440" w:gutter="0" w:footer="0" w:header="0"/>
        </w:sectPr>
      </w:pPr>
    </w:p>
    <w:bookmarkStart w:id="98" w:name="page99"/>
    <w:bookmarkEnd w:id="98"/>
    <w:p>
      <w:pPr>
        <w:ind w:left="266" w:right="240" w:hanging="212"/>
        <w:spacing w:after="0" w:line="323" w:lineRule="auto"/>
        <w:tabs>
          <w:tab w:leader="none" w:pos="266" w:val="left"/>
        </w:tabs>
        <w:numPr>
          <w:ilvl w:val="0"/>
          <w:numId w:val="114"/>
        </w:numPr>
        <w:rPr>
          <w:rFonts w:ascii="Arial" w:cs="Arial" w:eastAsia="Arial" w:hAnsi="Arial"/>
          <w:sz w:val="11"/>
          <w:szCs w:val="11"/>
          <w:color w:val="auto"/>
        </w:rPr>
      </w:pPr>
      <w:r>
        <w:rPr>
          <w:rFonts w:ascii="Arial" w:cs="Arial" w:eastAsia="Arial" w:hAnsi="Arial"/>
          <w:sz w:val="11"/>
          <w:szCs w:val="11"/>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94" w:lineRule="exact"/>
        <w:rPr>
          <w:sz w:val="20"/>
          <w:szCs w:val="20"/>
          <w:color w:val="auto"/>
        </w:rPr>
      </w:pPr>
    </w:p>
    <w:tbl>
      <w:tblPr>
        <w:tblLayout w:type="fixed"/>
        <w:tblInd w:w="266"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0"/>
                <w:szCs w:val="10"/>
                <w:b w:val="1"/>
                <w:bCs w:val="1"/>
                <w:color w:val="auto"/>
                <w:w w:val="94"/>
              </w:rPr>
              <w:t>At December 31, 2019</w:t>
            </w: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At December 31, 2018</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3"/>
          </w:tcPr>
          <w:p>
            <w:pPr>
              <w:ind w:left="80"/>
              <w:spacing w:after="0" w:line="83" w:lineRule="exact"/>
              <w:rPr>
                <w:sz w:val="20"/>
                <w:szCs w:val="20"/>
                <w:color w:val="auto"/>
              </w:rPr>
            </w:pPr>
            <w:r>
              <w:rPr>
                <w:rFonts w:ascii="Arial" w:cs="Arial" w:eastAsia="Arial" w:hAnsi="Arial"/>
                <w:sz w:val="8"/>
                <w:szCs w:val="8"/>
                <w:b w:val="1"/>
                <w:bCs w:val="1"/>
                <w:color w:val="auto"/>
              </w:rPr>
              <w:t>Up to 3</w:t>
            </w:r>
          </w:p>
        </w:tc>
        <w:tc>
          <w:tcPr>
            <w:tcW w:w="840" w:type="dxa"/>
            <w:vAlign w:val="bottom"/>
            <w:gridSpan w:val="4"/>
          </w:tcPr>
          <w:p>
            <w:pPr>
              <w:jc w:val="center"/>
              <w:ind w:right="220"/>
              <w:spacing w:after="0" w:line="83" w:lineRule="exact"/>
              <w:rPr>
                <w:sz w:val="20"/>
                <w:szCs w:val="20"/>
                <w:color w:val="auto"/>
              </w:rPr>
            </w:pPr>
            <w:r>
              <w:rPr>
                <w:rFonts w:ascii="Arial" w:cs="Arial" w:eastAsia="Arial" w:hAnsi="Arial"/>
                <w:sz w:val="8"/>
                <w:szCs w:val="8"/>
                <w:b w:val="1"/>
                <w:bCs w:val="1"/>
                <w:color w:val="auto"/>
              </w:rPr>
              <w:t>From 3 months</w:t>
            </w:r>
          </w:p>
        </w:tc>
        <w:tc>
          <w:tcPr>
            <w:tcW w:w="760" w:type="dxa"/>
            <w:vAlign w:val="bottom"/>
            <w:gridSpan w:val="3"/>
          </w:tcPr>
          <w:p>
            <w:pPr>
              <w:jc w:val="center"/>
              <w:ind w:right="200"/>
              <w:spacing w:after="0" w:line="83" w:lineRule="exact"/>
              <w:rPr>
                <w:sz w:val="20"/>
                <w:szCs w:val="20"/>
                <w:color w:val="auto"/>
              </w:rPr>
            </w:pPr>
            <w:r>
              <w:rPr>
                <w:rFonts w:ascii="Arial" w:cs="Arial" w:eastAsia="Arial" w:hAnsi="Arial"/>
                <w:sz w:val="8"/>
                <w:szCs w:val="8"/>
                <w:b w:val="1"/>
                <w:bCs w:val="1"/>
                <w:color w:val="auto"/>
              </w:rPr>
              <w:t>From 1 to 3</w:t>
            </w:r>
          </w:p>
        </w:tc>
        <w:tc>
          <w:tcPr>
            <w:tcW w:w="820" w:type="dxa"/>
            <w:vAlign w:val="bottom"/>
            <w:gridSpan w:val="4"/>
          </w:tcPr>
          <w:p>
            <w:pPr>
              <w:jc w:val="center"/>
              <w:ind w:right="340"/>
              <w:spacing w:after="0" w:line="83" w:lineRule="exact"/>
              <w:rPr>
                <w:sz w:val="20"/>
                <w:szCs w:val="20"/>
                <w:color w:val="auto"/>
              </w:rPr>
            </w:pPr>
            <w:r>
              <w:rPr>
                <w:rFonts w:ascii="Arial" w:cs="Arial" w:eastAsia="Arial" w:hAnsi="Arial"/>
                <w:sz w:val="8"/>
                <w:szCs w:val="8"/>
                <w:b w:val="1"/>
                <w:bCs w:val="1"/>
                <w:color w:val="auto"/>
              </w:rPr>
              <w:t>From 3 to 5</w:t>
            </w:r>
          </w:p>
        </w:tc>
        <w:tc>
          <w:tcPr>
            <w:tcW w:w="420" w:type="dxa"/>
            <w:vAlign w:val="bottom"/>
            <w:gridSpan w:val="3"/>
          </w:tcPr>
          <w:p>
            <w:pPr>
              <w:jc w:val="center"/>
              <w:ind w:right="140"/>
              <w:spacing w:after="0" w:line="83" w:lineRule="exact"/>
              <w:rPr>
                <w:sz w:val="20"/>
                <w:szCs w:val="20"/>
                <w:color w:val="auto"/>
              </w:rPr>
            </w:pPr>
            <w:r>
              <w:rPr>
                <w:rFonts w:ascii="Arial" w:cs="Arial" w:eastAsia="Arial" w:hAnsi="Arial"/>
                <w:sz w:val="8"/>
                <w:szCs w:val="8"/>
                <w:b w:val="1"/>
                <w:bCs w:val="1"/>
                <w:color w:val="auto"/>
              </w:rPr>
              <w:t>Over 5</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ind w:left="120"/>
              <w:spacing w:after="0" w:line="83" w:lineRule="exact"/>
              <w:rPr>
                <w:sz w:val="20"/>
                <w:szCs w:val="20"/>
                <w:color w:val="auto"/>
              </w:rPr>
            </w:pPr>
            <w:r>
              <w:rPr>
                <w:rFonts w:ascii="Arial" w:cs="Arial" w:eastAsia="Arial" w:hAnsi="Arial"/>
                <w:sz w:val="8"/>
                <w:szCs w:val="8"/>
                <w:b w:val="1"/>
                <w:bCs w:val="1"/>
                <w:color w:val="auto"/>
              </w:rPr>
              <w:t>Up to 3</w:t>
            </w:r>
          </w:p>
        </w:tc>
        <w:tc>
          <w:tcPr>
            <w:tcW w:w="200" w:type="dxa"/>
            <w:vAlign w:val="bottom"/>
          </w:tcPr>
          <w:p>
            <w:pPr>
              <w:spacing w:after="0"/>
              <w:rPr>
                <w:sz w:val="7"/>
                <w:szCs w:val="7"/>
                <w:color w:val="auto"/>
              </w:rPr>
            </w:pPr>
          </w:p>
        </w:tc>
        <w:tc>
          <w:tcPr>
            <w:tcW w:w="840" w:type="dxa"/>
            <w:vAlign w:val="bottom"/>
            <w:gridSpan w:val="4"/>
          </w:tcPr>
          <w:p>
            <w:pPr>
              <w:jc w:val="center"/>
              <w:ind w:right="200"/>
              <w:spacing w:after="0" w:line="83" w:lineRule="exact"/>
              <w:rPr>
                <w:sz w:val="20"/>
                <w:szCs w:val="20"/>
                <w:color w:val="auto"/>
              </w:rPr>
            </w:pPr>
            <w:r>
              <w:rPr>
                <w:rFonts w:ascii="Arial" w:cs="Arial" w:eastAsia="Arial" w:hAnsi="Arial"/>
                <w:sz w:val="8"/>
                <w:szCs w:val="8"/>
                <w:b w:val="1"/>
                <w:bCs w:val="1"/>
                <w:color w:val="auto"/>
              </w:rPr>
              <w:t>From 3 months</w:t>
            </w:r>
          </w:p>
        </w:tc>
        <w:tc>
          <w:tcPr>
            <w:tcW w:w="720" w:type="dxa"/>
            <w:vAlign w:val="bottom"/>
            <w:gridSpan w:val="2"/>
          </w:tcPr>
          <w:p>
            <w:pPr>
              <w:jc w:val="right"/>
              <w:ind w:right="220"/>
              <w:spacing w:after="0" w:line="83" w:lineRule="exact"/>
              <w:rPr>
                <w:sz w:val="20"/>
                <w:szCs w:val="20"/>
                <w:color w:val="auto"/>
              </w:rPr>
            </w:pPr>
            <w:r>
              <w:rPr>
                <w:rFonts w:ascii="Arial" w:cs="Arial" w:eastAsia="Arial" w:hAnsi="Arial"/>
                <w:sz w:val="8"/>
                <w:szCs w:val="8"/>
                <w:b w:val="1"/>
                <w:bCs w:val="1"/>
                <w:color w:val="auto"/>
              </w:rPr>
              <w:t>From 1 to 3</w:t>
            </w:r>
          </w:p>
        </w:tc>
        <w:tc>
          <w:tcPr>
            <w:tcW w:w="720" w:type="dxa"/>
            <w:vAlign w:val="bottom"/>
            <w:gridSpan w:val="3"/>
          </w:tcPr>
          <w:p>
            <w:pPr>
              <w:jc w:val="center"/>
              <w:ind w:right="200"/>
              <w:spacing w:after="0" w:line="83" w:lineRule="exact"/>
              <w:rPr>
                <w:sz w:val="20"/>
                <w:szCs w:val="20"/>
                <w:color w:val="auto"/>
              </w:rPr>
            </w:pPr>
            <w:r>
              <w:rPr>
                <w:rFonts w:ascii="Arial" w:cs="Arial" w:eastAsia="Arial" w:hAnsi="Arial"/>
                <w:sz w:val="8"/>
                <w:szCs w:val="8"/>
                <w:b w:val="1"/>
                <w:bCs w:val="1"/>
                <w:color w:val="auto"/>
              </w:rPr>
              <w:t>From 3 to 5</w:t>
            </w:r>
          </w:p>
        </w:tc>
        <w:tc>
          <w:tcPr>
            <w:tcW w:w="80" w:type="dxa"/>
            <w:vAlign w:val="bottom"/>
          </w:tcPr>
          <w:p>
            <w:pPr>
              <w:spacing w:after="0"/>
              <w:rPr>
                <w:sz w:val="7"/>
                <w:szCs w:val="7"/>
                <w:color w:val="auto"/>
              </w:rPr>
            </w:pPr>
          </w:p>
        </w:tc>
        <w:tc>
          <w:tcPr>
            <w:tcW w:w="640" w:type="dxa"/>
            <w:vAlign w:val="bottom"/>
            <w:gridSpan w:val="3"/>
          </w:tcPr>
          <w:p>
            <w:pPr>
              <w:jc w:val="center"/>
              <w:ind w:right="280"/>
              <w:spacing w:after="0" w:line="83" w:lineRule="exact"/>
              <w:rPr>
                <w:sz w:val="20"/>
                <w:szCs w:val="20"/>
                <w:color w:val="auto"/>
              </w:rPr>
            </w:pPr>
            <w:r>
              <w:rPr>
                <w:rFonts w:ascii="Arial" w:cs="Arial" w:eastAsia="Arial" w:hAnsi="Arial"/>
                <w:sz w:val="8"/>
                <w:szCs w:val="8"/>
                <w:b w:val="1"/>
                <w:bCs w:val="1"/>
                <w:color w:val="auto"/>
              </w:rPr>
              <w:t>Over 5</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3"/>
          </w:tcPr>
          <w:p>
            <w:pPr>
              <w:ind w:left="80"/>
              <w:spacing w:after="0" w:line="114" w:lineRule="exact"/>
              <w:rPr>
                <w:sz w:val="20"/>
                <w:szCs w:val="20"/>
                <w:color w:val="auto"/>
              </w:rPr>
            </w:pPr>
            <w:r>
              <w:rPr>
                <w:rFonts w:ascii="Arial" w:cs="Arial" w:eastAsia="Arial" w:hAnsi="Arial"/>
                <w:sz w:val="10"/>
                <w:szCs w:val="10"/>
                <w:b w:val="1"/>
                <w:bCs w:val="1"/>
                <w:color w:val="auto"/>
              </w:rPr>
              <w:t>months</w:t>
            </w:r>
          </w:p>
        </w:tc>
        <w:tc>
          <w:tcPr>
            <w:tcW w:w="840" w:type="dxa"/>
            <w:vAlign w:val="bottom"/>
            <w:gridSpan w:val="4"/>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to 1 year</w:t>
            </w:r>
          </w:p>
        </w:tc>
        <w:tc>
          <w:tcPr>
            <w:tcW w:w="140" w:type="dxa"/>
            <w:vAlign w:val="bottom"/>
          </w:tcPr>
          <w:p>
            <w:pPr>
              <w:spacing w:after="0"/>
              <w:rPr>
                <w:sz w:val="9"/>
                <w:szCs w:val="9"/>
                <w:color w:val="auto"/>
              </w:rPr>
            </w:pPr>
          </w:p>
        </w:tc>
        <w:tc>
          <w:tcPr>
            <w:tcW w:w="62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3"/>
              </w:rPr>
              <w:t>years</w:t>
            </w:r>
          </w:p>
        </w:tc>
        <w:tc>
          <w:tcPr>
            <w:tcW w:w="820" w:type="dxa"/>
            <w:vAlign w:val="bottom"/>
            <w:gridSpan w:val="4"/>
          </w:tcPr>
          <w:p>
            <w:pPr>
              <w:jc w:val="center"/>
              <w:ind w:right="320"/>
              <w:spacing w:after="0" w:line="114" w:lineRule="exact"/>
              <w:rPr>
                <w:sz w:val="20"/>
                <w:szCs w:val="20"/>
                <w:color w:val="auto"/>
              </w:rPr>
            </w:pPr>
            <w:r>
              <w:rPr>
                <w:rFonts w:ascii="Arial" w:cs="Arial" w:eastAsia="Arial" w:hAnsi="Arial"/>
                <w:sz w:val="10"/>
                <w:szCs w:val="10"/>
                <w:b w:val="1"/>
                <w:bCs w:val="1"/>
                <w:color w:val="auto"/>
                <w:w w:val="83"/>
              </w:rPr>
              <w:t>years</w:t>
            </w:r>
          </w:p>
        </w:tc>
        <w:tc>
          <w:tcPr>
            <w:tcW w:w="4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3"/>
              </w:rPr>
              <w:t>years</w:t>
            </w:r>
          </w:p>
        </w:tc>
        <w:tc>
          <w:tcPr>
            <w:tcW w:w="180" w:type="dxa"/>
            <w:vAlign w:val="bottom"/>
          </w:tcPr>
          <w:p>
            <w:pPr>
              <w:spacing w:after="0"/>
              <w:rPr>
                <w:sz w:val="9"/>
                <w:szCs w:val="9"/>
                <w:color w:val="auto"/>
              </w:rPr>
            </w:pPr>
          </w:p>
        </w:tc>
        <w:tc>
          <w:tcPr>
            <w:tcW w:w="560" w:type="dxa"/>
            <w:vAlign w:val="bottom"/>
            <w:gridSpan w:val="4"/>
          </w:tcPr>
          <w:p>
            <w:pPr>
              <w:jc w:val="center"/>
              <w:ind w:right="20"/>
              <w:spacing w:after="0" w:line="114" w:lineRule="exact"/>
              <w:rPr>
                <w:sz w:val="20"/>
                <w:szCs w:val="20"/>
                <w:color w:val="auto"/>
              </w:rPr>
            </w:pPr>
            <w:r>
              <w:rPr>
                <w:rFonts w:ascii="Arial" w:cs="Arial" w:eastAsia="Arial" w:hAnsi="Arial"/>
                <w:sz w:val="10"/>
                <w:szCs w:val="10"/>
                <w:b w:val="1"/>
                <w:bCs w:val="1"/>
                <w:color w:val="auto"/>
                <w:w w:val="91"/>
              </w:rPr>
              <w:t>Total</w:t>
            </w:r>
          </w:p>
        </w:tc>
        <w:tc>
          <w:tcPr>
            <w:tcW w:w="160" w:type="dxa"/>
            <w:vAlign w:val="bottom"/>
          </w:tcPr>
          <w:p>
            <w:pPr>
              <w:spacing w:after="0"/>
              <w:rPr>
                <w:sz w:val="9"/>
                <w:szCs w:val="9"/>
                <w:color w:val="auto"/>
              </w:rPr>
            </w:pPr>
          </w:p>
        </w:tc>
        <w:tc>
          <w:tcPr>
            <w:tcW w:w="5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w w:val="99"/>
              </w:rPr>
              <w:t>months</w:t>
            </w:r>
          </w:p>
        </w:tc>
        <w:tc>
          <w:tcPr>
            <w:tcW w:w="200" w:type="dxa"/>
            <w:vAlign w:val="bottom"/>
          </w:tcPr>
          <w:p>
            <w:pPr>
              <w:spacing w:after="0"/>
              <w:rPr>
                <w:sz w:val="9"/>
                <w:szCs w:val="9"/>
                <w:color w:val="auto"/>
              </w:rPr>
            </w:pPr>
          </w:p>
        </w:tc>
        <w:tc>
          <w:tcPr>
            <w:tcW w:w="84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to 1 year</w:t>
            </w:r>
          </w:p>
        </w:tc>
        <w:tc>
          <w:tcPr>
            <w:tcW w:w="72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years</w:t>
            </w:r>
          </w:p>
        </w:tc>
        <w:tc>
          <w:tcPr>
            <w:tcW w:w="72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83"/>
              </w:rPr>
              <w:t>years</w:t>
            </w:r>
          </w:p>
        </w:tc>
        <w:tc>
          <w:tcPr>
            <w:tcW w:w="80" w:type="dxa"/>
            <w:vAlign w:val="bottom"/>
          </w:tcPr>
          <w:p>
            <w:pPr>
              <w:spacing w:after="0"/>
              <w:rPr>
                <w:sz w:val="9"/>
                <w:szCs w:val="9"/>
                <w:color w:val="auto"/>
              </w:rPr>
            </w:pPr>
          </w:p>
        </w:tc>
        <w:tc>
          <w:tcPr>
            <w:tcW w:w="64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83"/>
              </w:rPr>
              <w:t>years</w:t>
            </w:r>
          </w:p>
        </w:tc>
        <w:tc>
          <w:tcPr>
            <w:tcW w:w="620" w:type="dxa"/>
            <w:vAlign w:val="bottom"/>
            <w:gridSpan w:val="4"/>
          </w:tcPr>
          <w:p>
            <w:pPr>
              <w:ind w:left="16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top w:val="single" w:sz="8" w:color="auto"/>
            </w:tcBorders>
          </w:tcPr>
          <w:p>
            <w:pPr>
              <w:ind w:left="100"/>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center"/>
              <w:ind w:right="133"/>
              <w:spacing w:after="0" w:line="88" w:lineRule="exact"/>
              <w:rPr>
                <w:sz w:val="20"/>
                <w:szCs w:val="20"/>
                <w:color w:val="auto"/>
              </w:rPr>
            </w:pPr>
            <w:r>
              <w:rPr>
                <w:rFonts w:ascii="Arial" w:cs="Arial" w:eastAsia="Arial" w:hAnsi="Arial"/>
                <w:sz w:val="10"/>
                <w:szCs w:val="10"/>
                <w:b w:val="1"/>
                <w:bCs w:val="1"/>
                <w:color w:val="auto"/>
                <w:w w:val="85"/>
              </w:rPr>
              <w:t>S/(000)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center"/>
              <w:ind w:right="73"/>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0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gridSpan w:val="2"/>
          </w:tcPr>
          <w:p>
            <w:pPr>
              <w:jc w:val="center"/>
              <w:ind w:right="72"/>
              <w:spacing w:after="0" w:line="88" w:lineRule="exact"/>
              <w:rPr>
                <w:sz w:val="20"/>
                <w:szCs w:val="20"/>
                <w:color w:val="auto"/>
              </w:rPr>
            </w:pPr>
            <w:r>
              <w:rPr>
                <w:rFonts w:ascii="Arial" w:cs="Arial" w:eastAsia="Arial" w:hAnsi="Arial"/>
                <w:sz w:val="10"/>
                <w:szCs w:val="10"/>
                <w:b w:val="1"/>
                <w:bCs w:val="1"/>
                <w:color w:val="auto"/>
                <w:w w:val="85"/>
              </w:rPr>
              <w:t>S/(000)</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Borders>
              <w:top w:val="single" w:sz="8" w:color="auto"/>
            </w:tcBorders>
            <w:gridSpan w:val="3"/>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top w:val="single" w:sz="8" w:color="auto"/>
            </w:tcBorders>
            <w:gridSpan w:val="2"/>
          </w:tcPr>
          <w:p>
            <w:pPr>
              <w:ind w:left="120"/>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64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ind w:left="120"/>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center"/>
              <w:ind w:right="34"/>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gridSpan w:val="2"/>
          </w:tcPr>
          <w:p>
            <w:pPr>
              <w:jc w:val="right"/>
              <w:ind w:right="72"/>
              <w:spacing w:after="0" w:line="88" w:lineRule="exact"/>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1"/>
              </w:rPr>
              <w:t>Foreign currency forwards</w:t>
            </w: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199,070</w:t>
            </w:r>
          </w:p>
        </w:tc>
        <w:tc>
          <w:tcPr>
            <w:tcW w:w="20" w:type="dxa"/>
            <w:vAlign w:val="bottom"/>
            <w:shd w:val="clear" w:color="auto" w:fill="CCEEFF"/>
          </w:tcPr>
          <w:p>
            <w:pPr>
              <w:spacing w:after="0"/>
              <w:rPr>
                <w:sz w:val="8"/>
                <w:szCs w:val="8"/>
                <w:color w:val="auto"/>
              </w:rPr>
            </w:pPr>
          </w:p>
        </w:tc>
        <w:tc>
          <w:tcPr>
            <w:tcW w:w="7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104,265</w:t>
            </w:r>
          </w:p>
        </w:tc>
        <w:tc>
          <w:tcPr>
            <w:tcW w:w="60" w:type="dxa"/>
            <w:vAlign w:val="bottom"/>
            <w:shd w:val="clear" w:color="auto" w:fill="CCEEFF"/>
          </w:tcPr>
          <w:p>
            <w:pPr>
              <w:spacing w:after="0"/>
              <w:rPr>
                <w:sz w:val="8"/>
                <w:szCs w:val="8"/>
                <w:color w:val="auto"/>
              </w:rPr>
            </w:pPr>
          </w:p>
        </w:tc>
        <w:tc>
          <w:tcPr>
            <w:tcW w:w="760" w:type="dxa"/>
            <w:vAlign w:val="bottom"/>
            <w:tcBorders>
              <w:right w:val="single" w:sz="8" w:color="CCEEFF"/>
            </w:tcBorders>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2,813</w:t>
            </w:r>
          </w:p>
        </w:tc>
        <w:tc>
          <w:tcPr>
            <w:tcW w:w="5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w:t>
            </w:r>
          </w:p>
        </w:tc>
        <w:tc>
          <w:tcPr>
            <w:tcW w:w="740" w:type="dxa"/>
            <w:vAlign w:val="bottom"/>
            <w:gridSpan w:val="5"/>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306,148</w:t>
            </w:r>
          </w:p>
        </w:tc>
        <w:tc>
          <w:tcPr>
            <w:tcW w:w="68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71,976</w:t>
            </w:r>
          </w:p>
        </w:tc>
        <w:tc>
          <w:tcPr>
            <w:tcW w:w="900" w:type="dxa"/>
            <w:vAlign w:val="bottom"/>
            <w:tcBorders>
              <w:left w:val="single" w:sz="8" w:color="CCEEFF"/>
            </w:tcBorders>
            <w:gridSpan w:val="4"/>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47,081</w:t>
            </w:r>
          </w:p>
        </w:tc>
        <w:tc>
          <w:tcPr>
            <w:tcW w:w="14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5,067</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124,124</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80" w:type="dxa"/>
            <w:vAlign w:val="bottom"/>
          </w:tcPr>
          <w:p>
            <w:pPr>
              <w:spacing w:after="0" w:line="99" w:lineRule="exact"/>
              <w:rPr>
                <w:sz w:val="20"/>
                <w:szCs w:val="20"/>
                <w:color w:val="auto"/>
              </w:rPr>
            </w:pPr>
            <w:r>
              <w:rPr>
                <w:rFonts w:ascii="Arial" w:cs="Arial" w:eastAsia="Arial" w:hAnsi="Arial"/>
                <w:sz w:val="10"/>
                <w:szCs w:val="10"/>
                <w:color w:val="auto"/>
              </w:rPr>
              <w:t>Interest rate swaps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3,716</w:t>
            </w:r>
          </w:p>
        </w:tc>
        <w:tc>
          <w:tcPr>
            <w:tcW w:w="20" w:type="dxa"/>
            <w:vAlign w:val="bottom"/>
          </w:tcPr>
          <w:p>
            <w:pPr>
              <w:spacing w:after="0"/>
              <w:rPr>
                <w:sz w:val="8"/>
                <w:szCs w:val="8"/>
                <w:color w:val="auto"/>
              </w:rPr>
            </w:pPr>
          </w:p>
        </w:tc>
        <w:tc>
          <w:tcPr>
            <w:tcW w:w="7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8,409</w:t>
            </w:r>
          </w:p>
        </w:tc>
        <w:tc>
          <w:tcPr>
            <w:tcW w:w="60" w:type="dxa"/>
            <w:vAlign w:val="bottom"/>
          </w:tcPr>
          <w:p>
            <w:pPr>
              <w:spacing w:after="0"/>
              <w:rPr>
                <w:sz w:val="8"/>
                <w:szCs w:val="8"/>
                <w:color w:val="auto"/>
              </w:rPr>
            </w:pPr>
          </w:p>
        </w:tc>
        <w:tc>
          <w:tcPr>
            <w:tcW w:w="76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38,569</w:t>
            </w:r>
          </w:p>
        </w:tc>
        <w:tc>
          <w:tcPr>
            <w:tcW w:w="70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rPr>
              <w:t>8,067</w:t>
            </w:r>
          </w:p>
        </w:tc>
        <w:tc>
          <w:tcPr>
            <w:tcW w:w="120" w:type="dxa"/>
            <w:vAlign w:val="bottom"/>
          </w:tcPr>
          <w:p>
            <w:pPr>
              <w:spacing w:after="0"/>
              <w:rPr>
                <w:sz w:val="8"/>
                <w:szCs w:val="8"/>
                <w:color w:val="auto"/>
              </w:rPr>
            </w:pPr>
          </w:p>
        </w:tc>
        <w:tc>
          <w:tcPr>
            <w:tcW w:w="420" w:type="dxa"/>
            <w:vAlign w:val="bottom"/>
            <w:gridSpan w:val="3"/>
          </w:tcPr>
          <w:p>
            <w:pPr>
              <w:jc w:val="right"/>
              <w:ind w:right="20"/>
              <w:spacing w:after="0" w:line="99" w:lineRule="exact"/>
              <w:rPr>
                <w:sz w:val="20"/>
                <w:szCs w:val="20"/>
                <w:color w:val="auto"/>
              </w:rPr>
            </w:pPr>
            <w:r>
              <w:rPr>
                <w:rFonts w:ascii="Arial" w:cs="Arial" w:eastAsia="Arial" w:hAnsi="Arial"/>
                <w:sz w:val="10"/>
                <w:szCs w:val="10"/>
                <w:color w:val="auto"/>
              </w:rPr>
              <w:t>209,872</w:t>
            </w:r>
          </w:p>
        </w:tc>
        <w:tc>
          <w:tcPr>
            <w:tcW w:w="740" w:type="dxa"/>
            <w:vAlign w:val="bottom"/>
            <w:gridSpan w:val="5"/>
          </w:tcPr>
          <w:p>
            <w:pPr>
              <w:jc w:val="right"/>
              <w:ind w:right="40"/>
              <w:spacing w:after="0" w:line="99" w:lineRule="exact"/>
              <w:rPr>
                <w:sz w:val="20"/>
                <w:szCs w:val="20"/>
                <w:color w:val="auto"/>
              </w:rPr>
            </w:pPr>
            <w:r>
              <w:rPr>
                <w:rFonts w:ascii="Arial" w:cs="Arial" w:eastAsia="Arial" w:hAnsi="Arial"/>
                <w:sz w:val="10"/>
                <w:szCs w:val="10"/>
                <w:color w:val="auto"/>
              </w:rPr>
              <w:t>268,633</w:t>
            </w:r>
          </w:p>
        </w:tc>
        <w:tc>
          <w:tcPr>
            <w:tcW w:w="68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4,075</w:t>
            </w:r>
          </w:p>
        </w:tc>
        <w:tc>
          <w:tcPr>
            <w:tcW w:w="900" w:type="dxa"/>
            <w:vAlign w:val="bottom"/>
            <w:gridSpan w:val="4"/>
          </w:tcPr>
          <w:p>
            <w:pPr>
              <w:jc w:val="right"/>
              <w:ind w:right="60"/>
              <w:spacing w:after="0" w:line="99" w:lineRule="exact"/>
              <w:rPr>
                <w:sz w:val="20"/>
                <w:szCs w:val="20"/>
                <w:color w:val="auto"/>
              </w:rPr>
            </w:pPr>
            <w:r>
              <w:rPr>
                <w:rFonts w:ascii="Arial" w:cs="Arial" w:eastAsia="Arial" w:hAnsi="Arial"/>
                <w:sz w:val="10"/>
                <w:szCs w:val="10"/>
                <w:color w:val="auto"/>
              </w:rPr>
              <w:t>7,441</w:t>
            </w:r>
          </w:p>
        </w:tc>
        <w:tc>
          <w:tcPr>
            <w:tcW w:w="14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22,888</w:t>
            </w:r>
          </w:p>
        </w:tc>
        <w:tc>
          <w:tcPr>
            <w:tcW w:w="6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22,286</w:t>
            </w:r>
          </w:p>
        </w:tc>
        <w:tc>
          <w:tcPr>
            <w:tcW w:w="120" w:type="dxa"/>
            <w:vAlign w:val="bottom"/>
          </w:tcPr>
          <w:p>
            <w:pPr>
              <w:spacing w:after="0"/>
              <w:rPr>
                <w:sz w:val="8"/>
                <w:szCs w:val="8"/>
                <w:color w:val="auto"/>
              </w:rPr>
            </w:pPr>
          </w:p>
        </w:tc>
        <w:tc>
          <w:tcPr>
            <w:tcW w:w="70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85,041</w:t>
            </w:r>
          </w:p>
        </w:tc>
        <w:tc>
          <w:tcPr>
            <w:tcW w:w="20" w:type="dxa"/>
            <w:vAlign w:val="bottom"/>
          </w:tcPr>
          <w:p>
            <w:pPr>
              <w:spacing w:after="0"/>
              <w:rPr>
                <w:sz w:val="8"/>
                <w:szCs w:val="8"/>
                <w:color w:val="auto"/>
              </w:rPr>
            </w:pPr>
          </w:p>
        </w:tc>
        <w:tc>
          <w:tcPr>
            <w:tcW w:w="600" w:type="dxa"/>
            <w:vAlign w:val="bottom"/>
            <w:gridSpan w:val="3"/>
          </w:tcPr>
          <w:p>
            <w:pPr>
              <w:jc w:val="right"/>
              <w:ind w:right="80"/>
              <w:spacing w:after="0" w:line="99" w:lineRule="exact"/>
              <w:rPr>
                <w:sz w:val="20"/>
                <w:szCs w:val="20"/>
                <w:color w:val="auto"/>
              </w:rPr>
            </w:pPr>
            <w:r>
              <w:rPr>
                <w:rFonts w:ascii="Arial" w:cs="Arial" w:eastAsia="Arial" w:hAnsi="Arial"/>
                <w:sz w:val="10"/>
                <w:szCs w:val="10"/>
                <w:color w:val="auto"/>
              </w:rPr>
              <w:t>141,731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Currency swaps</w:t>
            </w: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7,124</w:t>
            </w:r>
          </w:p>
        </w:tc>
        <w:tc>
          <w:tcPr>
            <w:tcW w:w="20" w:type="dxa"/>
            <w:vAlign w:val="bottom"/>
            <w:shd w:val="clear" w:color="auto" w:fill="CCEEFF"/>
          </w:tcPr>
          <w:p>
            <w:pPr>
              <w:spacing w:after="0"/>
              <w:rPr>
                <w:sz w:val="8"/>
                <w:szCs w:val="8"/>
                <w:color w:val="auto"/>
              </w:rPr>
            </w:pPr>
          </w:p>
        </w:tc>
        <w:tc>
          <w:tcPr>
            <w:tcW w:w="7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101,368</w:t>
            </w:r>
          </w:p>
        </w:tc>
        <w:tc>
          <w:tcPr>
            <w:tcW w:w="60" w:type="dxa"/>
            <w:vAlign w:val="bottom"/>
            <w:shd w:val="clear" w:color="auto" w:fill="CCEEFF"/>
          </w:tcPr>
          <w:p>
            <w:pPr>
              <w:spacing w:after="0"/>
              <w:rPr>
                <w:sz w:val="8"/>
                <w:szCs w:val="8"/>
                <w:color w:val="auto"/>
              </w:rPr>
            </w:pPr>
          </w:p>
        </w:tc>
        <w:tc>
          <w:tcPr>
            <w:tcW w:w="760" w:type="dxa"/>
            <w:vAlign w:val="bottom"/>
            <w:tcBorders>
              <w:right w:val="single" w:sz="8" w:color="CCEEFF"/>
            </w:tcBorders>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102,703</w:t>
            </w:r>
          </w:p>
        </w:tc>
        <w:tc>
          <w:tcPr>
            <w:tcW w:w="7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67,826</w:t>
            </w: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132,635</w:t>
            </w:r>
          </w:p>
        </w:tc>
        <w:tc>
          <w:tcPr>
            <w:tcW w:w="740" w:type="dxa"/>
            <w:vAlign w:val="bottom"/>
            <w:gridSpan w:val="5"/>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411,656</w:t>
            </w:r>
          </w:p>
        </w:tc>
        <w:tc>
          <w:tcPr>
            <w:tcW w:w="68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6,316</w:t>
            </w:r>
          </w:p>
        </w:tc>
        <w:tc>
          <w:tcPr>
            <w:tcW w:w="900" w:type="dxa"/>
            <w:vAlign w:val="bottom"/>
            <w:tcBorders>
              <w:left w:val="single" w:sz="8" w:color="CCEEFF"/>
            </w:tcBorders>
            <w:gridSpan w:val="4"/>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24,183</w:t>
            </w:r>
          </w:p>
        </w:tc>
        <w:tc>
          <w:tcPr>
            <w:tcW w:w="14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142,696</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130,594</w:t>
            </w:r>
          </w:p>
        </w:tc>
        <w:tc>
          <w:tcPr>
            <w:tcW w:w="12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50,643</w:t>
            </w:r>
          </w:p>
        </w:tc>
        <w:tc>
          <w:tcPr>
            <w:tcW w:w="2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354,432</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80" w:type="dxa"/>
            <w:vAlign w:val="bottom"/>
          </w:tcPr>
          <w:p>
            <w:pPr>
              <w:spacing w:after="0" w:line="99" w:lineRule="exact"/>
              <w:rPr>
                <w:sz w:val="20"/>
                <w:szCs w:val="20"/>
                <w:color w:val="auto"/>
              </w:rPr>
            </w:pPr>
            <w:r>
              <w:rPr>
                <w:rFonts w:ascii="Arial" w:cs="Arial" w:eastAsia="Arial" w:hAnsi="Arial"/>
                <w:sz w:val="10"/>
                <w:szCs w:val="10"/>
                <w:color w:val="auto"/>
                <w:w w:val="92"/>
              </w:rPr>
              <w:t>Foreign exchange options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1,844</w:t>
            </w:r>
          </w:p>
        </w:tc>
        <w:tc>
          <w:tcPr>
            <w:tcW w:w="20" w:type="dxa"/>
            <w:vAlign w:val="bottom"/>
          </w:tcPr>
          <w:p>
            <w:pPr>
              <w:spacing w:after="0"/>
              <w:rPr>
                <w:sz w:val="8"/>
                <w:szCs w:val="8"/>
                <w:color w:val="auto"/>
              </w:rPr>
            </w:pPr>
          </w:p>
        </w:tc>
        <w:tc>
          <w:tcPr>
            <w:tcW w:w="7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4,645</w:t>
            </w:r>
          </w:p>
        </w:tc>
        <w:tc>
          <w:tcPr>
            <w:tcW w:w="60" w:type="dxa"/>
            <w:vAlign w:val="bottom"/>
          </w:tcPr>
          <w:p>
            <w:pPr>
              <w:spacing w:after="0"/>
              <w:rPr>
                <w:sz w:val="8"/>
                <w:szCs w:val="8"/>
                <w:color w:val="auto"/>
              </w:rPr>
            </w:pPr>
          </w:p>
        </w:tc>
        <w:tc>
          <w:tcPr>
            <w:tcW w:w="54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0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20"/>
              <w:spacing w:after="0" w:line="99" w:lineRule="exact"/>
              <w:rPr>
                <w:sz w:val="20"/>
                <w:szCs w:val="20"/>
                <w:color w:val="auto"/>
              </w:rPr>
            </w:pPr>
            <w:r>
              <w:rPr>
                <w:rFonts w:ascii="Arial" w:cs="Arial" w:eastAsia="Arial" w:hAnsi="Arial"/>
                <w:sz w:val="10"/>
                <w:szCs w:val="10"/>
                <w:color w:val="auto"/>
              </w:rPr>
              <w:t>-</w:t>
            </w:r>
          </w:p>
        </w:tc>
        <w:tc>
          <w:tcPr>
            <w:tcW w:w="740" w:type="dxa"/>
            <w:vAlign w:val="bottom"/>
            <w:gridSpan w:val="5"/>
          </w:tcPr>
          <w:p>
            <w:pPr>
              <w:jc w:val="right"/>
              <w:ind w:right="40"/>
              <w:spacing w:after="0" w:line="99" w:lineRule="exact"/>
              <w:rPr>
                <w:sz w:val="20"/>
                <w:szCs w:val="20"/>
                <w:color w:val="auto"/>
              </w:rPr>
            </w:pPr>
            <w:r>
              <w:rPr>
                <w:rFonts w:ascii="Arial" w:cs="Arial" w:eastAsia="Arial" w:hAnsi="Arial"/>
                <w:sz w:val="10"/>
                <w:szCs w:val="10"/>
                <w:color w:val="auto"/>
              </w:rPr>
              <w:t>6,489</w:t>
            </w:r>
          </w:p>
        </w:tc>
        <w:tc>
          <w:tcPr>
            <w:tcW w:w="68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763</w:t>
            </w:r>
          </w:p>
        </w:tc>
        <w:tc>
          <w:tcPr>
            <w:tcW w:w="900" w:type="dxa"/>
            <w:vAlign w:val="bottom"/>
            <w:gridSpan w:val="4"/>
          </w:tcPr>
          <w:p>
            <w:pPr>
              <w:jc w:val="right"/>
              <w:ind w:right="60"/>
              <w:spacing w:after="0" w:line="99" w:lineRule="exact"/>
              <w:rPr>
                <w:sz w:val="20"/>
                <w:szCs w:val="20"/>
                <w:color w:val="auto"/>
              </w:rPr>
            </w:pPr>
            <w:r>
              <w:rPr>
                <w:rFonts w:ascii="Arial" w:cs="Arial" w:eastAsia="Arial" w:hAnsi="Arial"/>
                <w:sz w:val="10"/>
                <w:szCs w:val="10"/>
                <w:color w:val="auto"/>
              </w:rPr>
              <w:t>380</w:t>
            </w:r>
          </w:p>
        </w:tc>
        <w:tc>
          <w:tcPr>
            <w:tcW w:w="14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138</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3"/>
          </w:tcPr>
          <w:p>
            <w:pPr>
              <w:jc w:val="right"/>
              <w:ind w:right="80"/>
              <w:spacing w:after="0" w:line="99" w:lineRule="exact"/>
              <w:rPr>
                <w:sz w:val="20"/>
                <w:szCs w:val="20"/>
                <w:color w:val="auto"/>
              </w:rPr>
            </w:pPr>
            <w:r>
              <w:rPr>
                <w:rFonts w:ascii="Arial" w:cs="Arial" w:eastAsia="Arial" w:hAnsi="Arial"/>
                <w:sz w:val="10"/>
                <w:szCs w:val="10"/>
                <w:color w:val="auto"/>
              </w:rPr>
              <w:t>1,281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Futures</w:t>
            </w: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5"/>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w:t>
            </w:r>
          </w:p>
        </w:tc>
        <w:tc>
          <w:tcPr>
            <w:tcW w:w="680" w:type="dxa"/>
            <w:vAlign w:val="bottom"/>
            <w:tcBorders>
              <w:right w:val="single" w:sz="8" w:color="CCEEFF"/>
            </w:tcBorders>
            <w:gridSpan w:val="3"/>
            <w:shd w:val="clear" w:color="auto" w:fill="CCEEFF"/>
          </w:tcPr>
          <w:p>
            <w:pPr>
              <w:jc w:val="right"/>
              <w:spacing w:after="0" w:line="108" w:lineRule="exact"/>
              <w:rPr>
                <w:sz w:val="20"/>
                <w:szCs w:val="20"/>
                <w:color w:val="auto"/>
              </w:rPr>
            </w:pPr>
            <w:r>
              <w:rPr>
                <w:rFonts w:ascii="Arial" w:cs="Arial" w:eastAsia="Arial" w:hAnsi="Arial"/>
                <w:sz w:val="10"/>
                <w:szCs w:val="10"/>
                <w:color w:val="auto"/>
              </w:rPr>
              <w:t>564</w:t>
            </w:r>
          </w:p>
        </w:tc>
        <w:tc>
          <w:tcPr>
            <w:tcW w:w="900" w:type="dxa"/>
            <w:vAlign w:val="bottom"/>
            <w:tcBorders>
              <w:left w:val="single" w:sz="8" w:color="CCEEFF"/>
            </w:tcBorders>
            <w:gridSpan w:val="4"/>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564</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80" w:type="dxa"/>
            <w:vAlign w:val="bottom"/>
          </w:tcPr>
          <w:p>
            <w:pPr>
              <w:spacing w:after="0"/>
              <w:rPr>
                <w:sz w:val="20"/>
                <w:szCs w:val="20"/>
                <w:color w:val="auto"/>
              </w:rPr>
            </w:pPr>
            <w:r>
              <w:rPr>
                <w:rFonts w:ascii="Arial" w:cs="Arial" w:eastAsia="Arial" w:hAnsi="Arial"/>
                <w:sz w:val="10"/>
                <w:szCs w:val="10"/>
                <w:b w:val="1"/>
                <w:bCs w:val="1"/>
                <w:color w:val="auto"/>
              </w:rPr>
              <w:t>Total assets</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211,764</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0"/>
                <w:szCs w:val="10"/>
                <w:color w:val="auto"/>
              </w:rPr>
              <w:t>218,687</w:t>
            </w:r>
          </w:p>
        </w:tc>
        <w:tc>
          <w:tcPr>
            <w:tcW w:w="60" w:type="dxa"/>
            <w:vAlign w:val="bottom"/>
          </w:tcPr>
          <w:p>
            <w:pPr>
              <w:spacing w:after="0"/>
              <w:rPr>
                <w:sz w:val="10"/>
                <w:szCs w:val="1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0"/>
                <w:szCs w:val="10"/>
                <w:color w:val="auto"/>
              </w:rPr>
              <w:t>144,085</w:t>
            </w:r>
          </w:p>
        </w:tc>
        <w:tc>
          <w:tcPr>
            <w:tcW w:w="700" w:type="dxa"/>
            <w:vAlign w:val="bottom"/>
            <w:gridSpan w:val="3"/>
          </w:tcPr>
          <w:p>
            <w:pPr>
              <w:jc w:val="right"/>
              <w:ind w:right="200"/>
              <w:spacing w:after="0"/>
              <w:rPr>
                <w:sz w:val="20"/>
                <w:szCs w:val="20"/>
                <w:color w:val="auto"/>
              </w:rPr>
            </w:pPr>
            <w:r>
              <w:rPr>
                <w:rFonts w:ascii="Arial" w:cs="Arial" w:eastAsia="Arial" w:hAnsi="Arial"/>
                <w:sz w:val="10"/>
                <w:szCs w:val="10"/>
                <w:color w:val="auto"/>
              </w:rPr>
              <w:t>75,893</w:t>
            </w:r>
          </w:p>
        </w:tc>
        <w:tc>
          <w:tcPr>
            <w:tcW w:w="120" w:type="dxa"/>
            <w:vAlign w:val="bottom"/>
          </w:tcPr>
          <w:p>
            <w:pPr>
              <w:spacing w:after="0"/>
              <w:rPr>
                <w:sz w:val="10"/>
                <w:szCs w:val="10"/>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0"/>
                <w:szCs w:val="10"/>
                <w:color w:val="auto"/>
              </w:rPr>
              <w:t>342,507</w:t>
            </w:r>
          </w:p>
        </w:tc>
        <w:tc>
          <w:tcPr>
            <w:tcW w:w="740" w:type="dxa"/>
            <w:vAlign w:val="bottom"/>
            <w:gridSpan w:val="5"/>
          </w:tcPr>
          <w:p>
            <w:pPr>
              <w:jc w:val="right"/>
              <w:ind w:right="40"/>
              <w:spacing w:after="0"/>
              <w:rPr>
                <w:sz w:val="20"/>
                <w:szCs w:val="20"/>
                <w:color w:val="auto"/>
              </w:rPr>
            </w:pPr>
            <w:r>
              <w:rPr>
                <w:rFonts w:ascii="Arial" w:cs="Arial" w:eastAsia="Arial" w:hAnsi="Arial"/>
                <w:sz w:val="10"/>
                <w:szCs w:val="10"/>
                <w:color w:val="auto"/>
              </w:rPr>
              <w:t>992,936</w:t>
            </w: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83,694</w:t>
            </w:r>
          </w:p>
        </w:tc>
        <w:tc>
          <w:tcPr>
            <w:tcW w:w="900" w:type="dxa"/>
            <w:vAlign w:val="bottom"/>
            <w:gridSpan w:val="4"/>
          </w:tcPr>
          <w:p>
            <w:pPr>
              <w:jc w:val="right"/>
              <w:ind w:right="60"/>
              <w:spacing w:after="0"/>
              <w:rPr>
                <w:sz w:val="20"/>
                <w:szCs w:val="20"/>
                <w:color w:val="auto"/>
              </w:rPr>
            </w:pPr>
            <w:r>
              <w:rPr>
                <w:rFonts w:ascii="Arial" w:cs="Arial" w:eastAsia="Arial" w:hAnsi="Arial"/>
                <w:sz w:val="10"/>
                <w:szCs w:val="10"/>
                <w:color w:val="auto"/>
              </w:rPr>
              <w:t>79,085</w:t>
            </w:r>
          </w:p>
        </w:tc>
        <w:tc>
          <w:tcPr>
            <w:tcW w:w="140" w:type="dxa"/>
            <w:vAlign w:val="bottom"/>
          </w:tcPr>
          <w:p>
            <w:pPr>
              <w:spacing w:after="0"/>
              <w:rPr>
                <w:sz w:val="10"/>
                <w:szCs w:val="1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170,789</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152,880</w:t>
            </w: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135,684</w:t>
            </w:r>
          </w:p>
        </w:tc>
        <w:tc>
          <w:tcPr>
            <w:tcW w:w="20" w:type="dxa"/>
            <w:vAlign w:val="bottom"/>
          </w:tcPr>
          <w:p>
            <w:pPr>
              <w:spacing w:after="0"/>
              <w:rPr>
                <w:sz w:val="10"/>
                <w:szCs w:val="10"/>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622,132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0"/>
                <w:szCs w:val="10"/>
                <w:b w:val="1"/>
                <w:bCs w:val="1"/>
                <w:color w:val="auto"/>
              </w:rPr>
              <w:t>At December 31, 2019</w:t>
            </w:r>
          </w:p>
        </w:tc>
        <w:tc>
          <w:tcPr>
            <w:tcW w:w="2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0"/>
                <w:szCs w:val="10"/>
                <w:b w:val="1"/>
                <w:bCs w:val="1"/>
                <w:color w:val="auto"/>
                <w:w w:val="88"/>
              </w:rPr>
              <w:t>At December 31, 2018</w:t>
            </w: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780" w:type="dxa"/>
            <w:vAlign w:val="bottom"/>
            <w:gridSpan w:val="2"/>
          </w:tcPr>
          <w:p>
            <w:pPr>
              <w:ind w:left="180"/>
              <w:spacing w:after="0" w:line="83" w:lineRule="exact"/>
              <w:rPr>
                <w:sz w:val="20"/>
                <w:szCs w:val="20"/>
                <w:color w:val="auto"/>
              </w:rPr>
            </w:pPr>
            <w:r>
              <w:rPr>
                <w:rFonts w:ascii="Arial" w:cs="Arial" w:eastAsia="Arial" w:hAnsi="Arial"/>
                <w:sz w:val="8"/>
                <w:szCs w:val="8"/>
                <w:b w:val="1"/>
                <w:bCs w:val="1"/>
                <w:color w:val="auto"/>
              </w:rPr>
              <w:t>Up to 3</w:t>
            </w:r>
          </w:p>
        </w:tc>
        <w:tc>
          <w:tcPr>
            <w:tcW w:w="740" w:type="dxa"/>
            <w:vAlign w:val="bottom"/>
            <w:gridSpan w:val="3"/>
          </w:tcPr>
          <w:p>
            <w:pPr>
              <w:ind w:left="80"/>
              <w:spacing w:after="0" w:line="83" w:lineRule="exact"/>
              <w:rPr>
                <w:sz w:val="20"/>
                <w:szCs w:val="20"/>
                <w:color w:val="auto"/>
              </w:rPr>
            </w:pPr>
            <w:r>
              <w:rPr>
                <w:rFonts w:ascii="Arial" w:cs="Arial" w:eastAsia="Arial" w:hAnsi="Arial"/>
                <w:sz w:val="8"/>
                <w:szCs w:val="8"/>
                <w:b w:val="1"/>
                <w:bCs w:val="1"/>
                <w:color w:val="auto"/>
              </w:rPr>
              <w:t>From 3 months</w:t>
            </w:r>
          </w:p>
        </w:tc>
        <w:tc>
          <w:tcPr>
            <w:tcW w:w="160" w:type="dxa"/>
            <w:vAlign w:val="bottom"/>
          </w:tcPr>
          <w:p>
            <w:pPr>
              <w:spacing w:after="0"/>
              <w:rPr>
                <w:sz w:val="7"/>
                <w:szCs w:val="7"/>
                <w:color w:val="auto"/>
              </w:rPr>
            </w:pPr>
          </w:p>
        </w:tc>
        <w:tc>
          <w:tcPr>
            <w:tcW w:w="680" w:type="dxa"/>
            <w:vAlign w:val="bottom"/>
            <w:gridSpan w:val="3"/>
          </w:tcPr>
          <w:p>
            <w:pPr>
              <w:jc w:val="center"/>
              <w:spacing w:after="0" w:line="83" w:lineRule="exact"/>
              <w:rPr>
                <w:sz w:val="20"/>
                <w:szCs w:val="20"/>
                <w:color w:val="auto"/>
              </w:rPr>
            </w:pPr>
            <w:r>
              <w:rPr>
                <w:rFonts w:ascii="Arial" w:cs="Arial" w:eastAsia="Arial" w:hAnsi="Arial"/>
                <w:sz w:val="8"/>
                <w:szCs w:val="8"/>
                <w:b w:val="1"/>
                <w:bCs w:val="1"/>
                <w:color w:val="auto"/>
              </w:rPr>
              <w:t>From 1 to 3</w:t>
            </w:r>
          </w:p>
        </w:tc>
        <w:tc>
          <w:tcPr>
            <w:tcW w:w="140" w:type="dxa"/>
            <w:vAlign w:val="bottom"/>
          </w:tcPr>
          <w:p>
            <w:pPr>
              <w:spacing w:after="0"/>
              <w:rPr>
                <w:sz w:val="7"/>
                <w:szCs w:val="7"/>
                <w:color w:val="auto"/>
              </w:rPr>
            </w:pPr>
          </w:p>
        </w:tc>
        <w:tc>
          <w:tcPr>
            <w:tcW w:w="620" w:type="dxa"/>
            <w:vAlign w:val="bottom"/>
            <w:gridSpan w:val="2"/>
          </w:tcPr>
          <w:p>
            <w:pPr>
              <w:jc w:val="center"/>
              <w:ind w:left="53"/>
              <w:spacing w:after="0" w:line="83" w:lineRule="exact"/>
              <w:rPr>
                <w:sz w:val="20"/>
                <w:szCs w:val="20"/>
                <w:color w:val="auto"/>
              </w:rPr>
            </w:pPr>
            <w:r>
              <w:rPr>
                <w:rFonts w:ascii="Arial" w:cs="Arial" w:eastAsia="Arial" w:hAnsi="Arial"/>
                <w:sz w:val="8"/>
                <w:szCs w:val="8"/>
                <w:b w:val="1"/>
                <w:bCs w:val="1"/>
                <w:color w:val="auto"/>
              </w:rPr>
              <w:t>From 3 to 5</w:t>
            </w:r>
          </w:p>
        </w:tc>
        <w:tc>
          <w:tcPr>
            <w:tcW w:w="200" w:type="dxa"/>
            <w:vAlign w:val="bottom"/>
          </w:tcPr>
          <w:p>
            <w:pPr>
              <w:spacing w:after="0"/>
              <w:rPr>
                <w:sz w:val="7"/>
                <w:szCs w:val="7"/>
                <w:color w:val="auto"/>
              </w:rPr>
            </w:pPr>
          </w:p>
        </w:tc>
        <w:tc>
          <w:tcPr>
            <w:tcW w:w="620" w:type="dxa"/>
            <w:vAlign w:val="bottom"/>
            <w:gridSpan w:val="3"/>
          </w:tcPr>
          <w:p>
            <w:pPr>
              <w:jc w:val="center"/>
              <w:ind w:left="53"/>
              <w:spacing w:after="0" w:line="83" w:lineRule="exact"/>
              <w:rPr>
                <w:sz w:val="20"/>
                <w:szCs w:val="20"/>
                <w:color w:val="auto"/>
              </w:rPr>
            </w:pPr>
            <w:r>
              <w:rPr>
                <w:rFonts w:ascii="Arial" w:cs="Arial" w:eastAsia="Arial" w:hAnsi="Arial"/>
                <w:sz w:val="8"/>
                <w:szCs w:val="8"/>
                <w:b w:val="1"/>
                <w:bCs w:val="1"/>
                <w:color w:val="auto"/>
              </w:rPr>
              <w:t>Over 5</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8"/>
                <w:szCs w:val="8"/>
                <w:b w:val="1"/>
                <w:bCs w:val="1"/>
                <w:color w:val="auto"/>
              </w:rPr>
              <w:t>Up to 3</w:t>
            </w:r>
          </w:p>
        </w:tc>
        <w:tc>
          <w:tcPr>
            <w:tcW w:w="1040" w:type="dxa"/>
            <w:vAlign w:val="bottom"/>
            <w:gridSpan w:val="5"/>
          </w:tcPr>
          <w:p>
            <w:pPr>
              <w:jc w:val="center"/>
              <w:ind w:right="260"/>
              <w:spacing w:after="0" w:line="83" w:lineRule="exact"/>
              <w:rPr>
                <w:sz w:val="20"/>
                <w:szCs w:val="20"/>
                <w:color w:val="auto"/>
              </w:rPr>
            </w:pPr>
            <w:r>
              <w:rPr>
                <w:rFonts w:ascii="Arial" w:cs="Arial" w:eastAsia="Arial" w:hAnsi="Arial"/>
                <w:sz w:val="8"/>
                <w:szCs w:val="8"/>
                <w:b w:val="1"/>
                <w:bCs w:val="1"/>
                <w:color w:val="auto"/>
              </w:rPr>
              <w:t>From 3 months</w:t>
            </w:r>
          </w:p>
        </w:tc>
        <w:tc>
          <w:tcPr>
            <w:tcW w:w="720" w:type="dxa"/>
            <w:vAlign w:val="bottom"/>
            <w:gridSpan w:val="2"/>
          </w:tcPr>
          <w:p>
            <w:pPr>
              <w:jc w:val="right"/>
              <w:ind w:right="240"/>
              <w:spacing w:after="0" w:line="83" w:lineRule="exact"/>
              <w:rPr>
                <w:sz w:val="20"/>
                <w:szCs w:val="20"/>
                <w:color w:val="auto"/>
              </w:rPr>
            </w:pPr>
            <w:r>
              <w:rPr>
                <w:rFonts w:ascii="Arial" w:cs="Arial" w:eastAsia="Arial" w:hAnsi="Arial"/>
                <w:sz w:val="8"/>
                <w:szCs w:val="8"/>
                <w:b w:val="1"/>
                <w:bCs w:val="1"/>
                <w:color w:val="auto"/>
              </w:rPr>
              <w:t>From 1 to 3</w:t>
            </w:r>
          </w:p>
        </w:tc>
        <w:tc>
          <w:tcPr>
            <w:tcW w:w="720" w:type="dxa"/>
            <w:vAlign w:val="bottom"/>
            <w:gridSpan w:val="3"/>
          </w:tcPr>
          <w:p>
            <w:pPr>
              <w:jc w:val="center"/>
              <w:ind w:right="40"/>
              <w:spacing w:after="0" w:line="83" w:lineRule="exact"/>
              <w:rPr>
                <w:sz w:val="20"/>
                <w:szCs w:val="20"/>
                <w:color w:val="auto"/>
              </w:rPr>
            </w:pPr>
            <w:r>
              <w:rPr>
                <w:rFonts w:ascii="Arial" w:cs="Arial" w:eastAsia="Arial" w:hAnsi="Arial"/>
                <w:sz w:val="8"/>
                <w:szCs w:val="8"/>
                <w:b w:val="1"/>
                <w:bCs w:val="1"/>
                <w:color w:val="auto"/>
              </w:rPr>
              <w:t>From 3 to 5</w:t>
            </w:r>
          </w:p>
        </w:tc>
        <w:tc>
          <w:tcPr>
            <w:tcW w:w="80" w:type="dxa"/>
            <w:vAlign w:val="bottom"/>
          </w:tcPr>
          <w:p>
            <w:pPr>
              <w:spacing w:after="0"/>
              <w:rPr>
                <w:sz w:val="7"/>
                <w:szCs w:val="7"/>
                <w:color w:val="auto"/>
              </w:rPr>
            </w:pPr>
          </w:p>
        </w:tc>
        <w:tc>
          <w:tcPr>
            <w:tcW w:w="640" w:type="dxa"/>
            <w:vAlign w:val="bottom"/>
            <w:gridSpan w:val="3"/>
          </w:tcPr>
          <w:p>
            <w:pPr>
              <w:jc w:val="center"/>
              <w:ind w:left="34"/>
              <w:spacing w:after="0" w:line="83" w:lineRule="exact"/>
              <w:rPr>
                <w:sz w:val="20"/>
                <w:szCs w:val="20"/>
                <w:color w:val="auto"/>
              </w:rPr>
            </w:pPr>
            <w:r>
              <w:rPr>
                <w:rFonts w:ascii="Arial" w:cs="Arial" w:eastAsia="Arial" w:hAnsi="Arial"/>
                <w:sz w:val="8"/>
                <w:szCs w:val="8"/>
                <w:b w:val="1"/>
                <w:bCs w:val="1"/>
                <w:color w:val="auto"/>
              </w:rPr>
              <w:t>Over 5</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080" w:type="dxa"/>
            <w:vAlign w:val="bottom"/>
          </w:tcPr>
          <w:p>
            <w:pPr>
              <w:spacing w:after="0"/>
              <w:rPr>
                <w:sz w:val="9"/>
                <w:szCs w:val="9"/>
                <w:color w:val="auto"/>
              </w:rPr>
            </w:pPr>
          </w:p>
        </w:tc>
        <w:tc>
          <w:tcPr>
            <w:tcW w:w="78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months</w:t>
            </w:r>
          </w:p>
        </w:tc>
        <w:tc>
          <w:tcPr>
            <w:tcW w:w="740" w:type="dxa"/>
            <w:vAlign w:val="bottom"/>
            <w:gridSpan w:val="3"/>
          </w:tcPr>
          <w:p>
            <w:pPr>
              <w:ind w:left="220"/>
              <w:spacing w:after="0" w:line="114" w:lineRule="exact"/>
              <w:rPr>
                <w:sz w:val="20"/>
                <w:szCs w:val="20"/>
                <w:color w:val="auto"/>
              </w:rPr>
            </w:pPr>
            <w:r>
              <w:rPr>
                <w:rFonts w:ascii="Arial" w:cs="Arial" w:eastAsia="Arial" w:hAnsi="Arial"/>
                <w:sz w:val="10"/>
                <w:szCs w:val="10"/>
                <w:b w:val="1"/>
                <w:bCs w:val="1"/>
                <w:color w:val="auto"/>
              </w:rPr>
              <w:t>to 1 year</w:t>
            </w:r>
          </w:p>
        </w:tc>
        <w:tc>
          <w:tcPr>
            <w:tcW w:w="160" w:type="dxa"/>
            <w:vAlign w:val="bottom"/>
          </w:tcPr>
          <w:p>
            <w:pPr>
              <w:spacing w:after="0"/>
              <w:rPr>
                <w:sz w:val="9"/>
                <w:szCs w:val="9"/>
                <w:color w:val="auto"/>
              </w:rPr>
            </w:pPr>
          </w:p>
        </w:tc>
        <w:tc>
          <w:tcPr>
            <w:tcW w:w="6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3"/>
              </w:rPr>
              <w:t>years</w:t>
            </w:r>
          </w:p>
        </w:tc>
        <w:tc>
          <w:tcPr>
            <w:tcW w:w="140" w:type="dxa"/>
            <w:vAlign w:val="bottom"/>
          </w:tcPr>
          <w:p>
            <w:pPr>
              <w:spacing w:after="0"/>
              <w:rPr>
                <w:sz w:val="9"/>
                <w:szCs w:val="9"/>
                <w:color w:val="auto"/>
              </w:rPr>
            </w:pPr>
          </w:p>
        </w:tc>
        <w:tc>
          <w:tcPr>
            <w:tcW w:w="620" w:type="dxa"/>
            <w:vAlign w:val="bottom"/>
            <w:gridSpan w:val="2"/>
          </w:tcPr>
          <w:p>
            <w:pPr>
              <w:jc w:val="center"/>
              <w:ind w:left="33"/>
              <w:spacing w:after="0" w:line="114" w:lineRule="exact"/>
              <w:rPr>
                <w:sz w:val="20"/>
                <w:szCs w:val="20"/>
                <w:color w:val="auto"/>
              </w:rPr>
            </w:pPr>
            <w:r>
              <w:rPr>
                <w:rFonts w:ascii="Arial" w:cs="Arial" w:eastAsia="Arial" w:hAnsi="Arial"/>
                <w:sz w:val="10"/>
                <w:szCs w:val="10"/>
                <w:b w:val="1"/>
                <w:bCs w:val="1"/>
                <w:color w:val="auto"/>
                <w:w w:val="83"/>
              </w:rPr>
              <w:t>years</w:t>
            </w:r>
          </w:p>
        </w:tc>
        <w:tc>
          <w:tcPr>
            <w:tcW w:w="200" w:type="dxa"/>
            <w:vAlign w:val="bottom"/>
          </w:tcPr>
          <w:p>
            <w:pPr>
              <w:spacing w:after="0"/>
              <w:rPr>
                <w:sz w:val="9"/>
                <w:szCs w:val="9"/>
                <w:color w:val="auto"/>
              </w:rPr>
            </w:pPr>
          </w:p>
        </w:tc>
        <w:tc>
          <w:tcPr>
            <w:tcW w:w="620" w:type="dxa"/>
            <w:vAlign w:val="bottom"/>
            <w:gridSpan w:val="3"/>
          </w:tcPr>
          <w:p>
            <w:pPr>
              <w:jc w:val="center"/>
              <w:ind w:left="33"/>
              <w:spacing w:after="0" w:line="114" w:lineRule="exact"/>
              <w:rPr>
                <w:sz w:val="20"/>
                <w:szCs w:val="20"/>
                <w:color w:val="auto"/>
              </w:rPr>
            </w:pPr>
            <w:r>
              <w:rPr>
                <w:rFonts w:ascii="Arial" w:cs="Arial" w:eastAsia="Arial" w:hAnsi="Arial"/>
                <w:sz w:val="10"/>
                <w:szCs w:val="10"/>
                <w:b w:val="1"/>
                <w:bCs w:val="1"/>
                <w:color w:val="auto"/>
                <w:w w:val="83"/>
              </w:rPr>
              <w:t>years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5"/>
          </w:tcPr>
          <w:p>
            <w:pPr>
              <w:jc w:val="center"/>
              <w:ind w:right="480"/>
              <w:spacing w:after="0" w:line="114" w:lineRule="exact"/>
              <w:rPr>
                <w:sz w:val="20"/>
                <w:szCs w:val="20"/>
                <w:color w:val="auto"/>
              </w:rPr>
            </w:pPr>
            <w:r>
              <w:rPr>
                <w:rFonts w:ascii="Arial" w:cs="Arial" w:eastAsia="Arial" w:hAnsi="Arial"/>
                <w:sz w:val="10"/>
                <w:szCs w:val="10"/>
                <w:b w:val="1"/>
                <w:bCs w:val="1"/>
                <w:color w:val="auto"/>
                <w:w w:val="91"/>
              </w:rPr>
              <w:t>Total</w:t>
            </w:r>
          </w:p>
        </w:tc>
        <w:tc>
          <w:tcPr>
            <w:tcW w:w="68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months</w:t>
            </w:r>
          </w:p>
        </w:tc>
        <w:tc>
          <w:tcPr>
            <w:tcW w:w="200" w:type="dxa"/>
            <w:vAlign w:val="bottom"/>
          </w:tcPr>
          <w:p>
            <w:pPr>
              <w:spacing w:after="0"/>
              <w:rPr>
                <w:sz w:val="9"/>
                <w:szCs w:val="9"/>
                <w:color w:val="auto"/>
              </w:rPr>
            </w:pPr>
          </w:p>
        </w:tc>
        <w:tc>
          <w:tcPr>
            <w:tcW w:w="840" w:type="dxa"/>
            <w:vAlign w:val="bottom"/>
            <w:gridSpan w:val="4"/>
          </w:tcPr>
          <w:p>
            <w:pPr>
              <w:jc w:val="center"/>
              <w:ind w:right="440"/>
              <w:spacing w:after="0" w:line="114" w:lineRule="exact"/>
              <w:rPr>
                <w:sz w:val="20"/>
                <w:szCs w:val="20"/>
                <w:color w:val="auto"/>
              </w:rPr>
            </w:pPr>
            <w:r>
              <w:rPr>
                <w:rFonts w:ascii="Arial" w:cs="Arial" w:eastAsia="Arial" w:hAnsi="Arial"/>
                <w:sz w:val="10"/>
                <w:szCs w:val="10"/>
                <w:b w:val="1"/>
                <w:bCs w:val="1"/>
                <w:color w:val="auto"/>
                <w:w w:val="87"/>
              </w:rPr>
              <w:t>to 1 year</w:t>
            </w:r>
          </w:p>
        </w:tc>
        <w:tc>
          <w:tcPr>
            <w:tcW w:w="7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years</w:t>
            </w:r>
          </w:p>
        </w:tc>
        <w:tc>
          <w:tcPr>
            <w:tcW w:w="720" w:type="dxa"/>
            <w:vAlign w:val="bottom"/>
            <w:gridSpan w:val="3"/>
          </w:tcPr>
          <w:p>
            <w:pPr>
              <w:jc w:val="center"/>
              <w:ind w:right="20"/>
              <w:spacing w:after="0" w:line="114" w:lineRule="exact"/>
              <w:rPr>
                <w:sz w:val="20"/>
                <w:szCs w:val="20"/>
                <w:color w:val="auto"/>
              </w:rPr>
            </w:pPr>
            <w:r>
              <w:rPr>
                <w:rFonts w:ascii="Arial" w:cs="Arial" w:eastAsia="Arial" w:hAnsi="Arial"/>
                <w:sz w:val="10"/>
                <w:szCs w:val="10"/>
                <w:b w:val="1"/>
                <w:bCs w:val="1"/>
                <w:color w:val="auto"/>
                <w:w w:val="83"/>
              </w:rPr>
              <w:t>years</w:t>
            </w:r>
          </w:p>
        </w:tc>
        <w:tc>
          <w:tcPr>
            <w:tcW w:w="80" w:type="dxa"/>
            <w:vAlign w:val="bottom"/>
          </w:tcPr>
          <w:p>
            <w:pPr>
              <w:spacing w:after="0"/>
              <w:rPr>
                <w:sz w:val="9"/>
                <w:szCs w:val="9"/>
                <w:color w:val="auto"/>
              </w:rPr>
            </w:pPr>
          </w:p>
        </w:tc>
        <w:tc>
          <w:tcPr>
            <w:tcW w:w="640" w:type="dxa"/>
            <w:vAlign w:val="bottom"/>
            <w:gridSpan w:val="3"/>
          </w:tcPr>
          <w:p>
            <w:pPr>
              <w:jc w:val="center"/>
              <w:ind w:left="54"/>
              <w:spacing w:after="0" w:line="114" w:lineRule="exact"/>
              <w:rPr>
                <w:sz w:val="20"/>
                <w:szCs w:val="20"/>
                <w:color w:val="auto"/>
              </w:rPr>
            </w:pPr>
            <w:r>
              <w:rPr>
                <w:rFonts w:ascii="Arial" w:cs="Arial" w:eastAsia="Arial" w:hAnsi="Arial"/>
                <w:sz w:val="10"/>
                <w:szCs w:val="10"/>
                <w:b w:val="1"/>
                <w:bCs w:val="1"/>
                <w:color w:val="auto"/>
                <w:w w:val="83"/>
              </w:rPr>
              <w:t>years</w:t>
            </w:r>
          </w:p>
        </w:tc>
        <w:tc>
          <w:tcPr>
            <w:tcW w:w="180" w:type="dxa"/>
            <w:vAlign w:val="bottom"/>
          </w:tcPr>
          <w:p>
            <w:pPr>
              <w:spacing w:after="0"/>
              <w:rPr>
                <w:sz w:val="9"/>
                <w:szCs w:val="9"/>
                <w:color w:val="auto"/>
              </w:rPr>
            </w:pPr>
          </w:p>
        </w:tc>
        <w:tc>
          <w:tcPr>
            <w:tcW w:w="440" w:type="dxa"/>
            <w:vAlign w:val="bottom"/>
            <w:gridSpan w:val="3"/>
          </w:tcPr>
          <w:p>
            <w:pPr>
              <w:ind w:lef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600" w:type="dxa"/>
            <w:vAlign w:val="bottom"/>
            <w:tcBorders>
              <w:top w:val="single" w:sz="8" w:color="auto"/>
            </w:tcBorders>
          </w:tcPr>
          <w:p>
            <w:pPr>
              <w:ind w:left="200"/>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720" w:type="dxa"/>
            <w:vAlign w:val="bottom"/>
            <w:tcBorders>
              <w:top w:val="single" w:sz="8" w:color="auto"/>
            </w:tcBorders>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top w:val="single" w:sz="8" w:color="auto"/>
            </w:tcBorders>
            <w:gridSpan w:val="2"/>
          </w:tcPr>
          <w:p>
            <w:pPr>
              <w:jc w:val="center"/>
              <w:ind w:left="33"/>
              <w:spacing w:after="0" w:line="88" w:lineRule="exact"/>
              <w:rPr>
                <w:sz w:val="20"/>
                <w:szCs w:val="20"/>
                <w:color w:val="auto"/>
              </w:rPr>
            </w:pPr>
            <w:r>
              <w:rPr>
                <w:rFonts w:ascii="Arial" w:cs="Arial" w:eastAsia="Arial" w:hAnsi="Arial"/>
                <w:sz w:val="10"/>
                <w:szCs w:val="10"/>
                <w:b w:val="1"/>
                <w:bCs w:val="1"/>
                <w:color w:val="auto"/>
                <w:w w:val="91"/>
              </w:rPr>
              <w:t>S/(000)</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gridSpan w:val="2"/>
          </w:tcPr>
          <w:p>
            <w:pPr>
              <w:jc w:val="center"/>
              <w:ind w:left="53"/>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gridSpan w:val="3"/>
          </w:tcPr>
          <w:p>
            <w:pPr>
              <w:jc w:val="center"/>
              <w:ind w:left="53"/>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00" w:type="dxa"/>
            <w:vAlign w:val="bottom"/>
            <w:tcBorders>
              <w:top w:val="single" w:sz="8" w:color="auto"/>
            </w:tcBorders>
            <w:gridSpan w:val="4"/>
          </w:tcPr>
          <w:p>
            <w:pPr>
              <w:jc w:val="center"/>
              <w:ind w:left="52"/>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160" w:type="dxa"/>
            <w:vAlign w:val="bottom"/>
            <w:tcBorders>
              <w:top w:val="single" w:sz="8" w:color="auto"/>
            </w:tcBorders>
            <w:gridSpan w:val="2"/>
          </w:tcPr>
          <w:p>
            <w:pPr>
              <w:spacing w:after="0"/>
              <w:rPr>
                <w:sz w:val="7"/>
                <w:szCs w:val="7"/>
                <w:color w:val="auto"/>
              </w:rPr>
            </w:pPr>
          </w:p>
        </w:tc>
        <w:tc>
          <w:tcPr>
            <w:tcW w:w="46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73"/>
              <w:spacing w:after="0" w:line="88" w:lineRule="exact"/>
              <w:rPr>
                <w:sz w:val="20"/>
                <w:szCs w:val="20"/>
                <w:color w:val="auto"/>
              </w:rPr>
            </w:pPr>
            <w:r>
              <w:rPr>
                <w:rFonts w:ascii="Arial" w:cs="Arial" w:eastAsia="Arial" w:hAnsi="Arial"/>
                <w:sz w:val="10"/>
                <w:szCs w:val="10"/>
                <w:b w:val="1"/>
                <w:bCs w:val="1"/>
                <w:color w:val="auto"/>
                <w:w w:val="85"/>
              </w:rPr>
              <w:t>S/(000)</w:t>
            </w:r>
          </w:p>
        </w:tc>
        <w:tc>
          <w:tcPr>
            <w:tcW w:w="180" w:type="dxa"/>
            <w:vAlign w:val="bottom"/>
            <w:gridSpan w:val="2"/>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73"/>
              <w:spacing w:after="0" w:line="88" w:lineRule="exact"/>
              <w:rPr>
                <w:sz w:val="20"/>
                <w:szCs w:val="20"/>
                <w:color w:val="auto"/>
              </w:rPr>
            </w:pPr>
            <w:r>
              <w:rPr>
                <w:rFonts w:ascii="Arial" w:cs="Arial" w:eastAsia="Arial" w:hAnsi="Arial"/>
                <w:sz w:val="10"/>
                <w:szCs w:val="10"/>
                <w:b w:val="1"/>
                <w:bCs w:val="1"/>
                <w:color w:val="auto"/>
              </w:rPr>
              <w:t>S/(000)</w:t>
            </w:r>
          </w:p>
        </w:tc>
        <w:tc>
          <w:tcPr>
            <w:tcW w:w="220" w:type="dxa"/>
            <w:vAlign w:val="bottom"/>
          </w:tcPr>
          <w:p>
            <w:pPr>
              <w:spacing w:after="0"/>
              <w:rPr>
                <w:sz w:val="7"/>
                <w:szCs w:val="7"/>
                <w:color w:val="auto"/>
              </w:rPr>
            </w:pPr>
          </w:p>
        </w:tc>
        <w:tc>
          <w:tcPr>
            <w:tcW w:w="600" w:type="dxa"/>
            <w:vAlign w:val="bottom"/>
            <w:tcBorders>
              <w:top w:val="single" w:sz="8" w:color="auto"/>
            </w:tcBorders>
            <w:gridSpan w:val="2"/>
          </w:tcPr>
          <w:p>
            <w:pPr>
              <w:jc w:val="center"/>
              <w:ind w:left="33"/>
              <w:spacing w:after="0" w:line="88" w:lineRule="exact"/>
              <w:rPr>
                <w:sz w:val="20"/>
                <w:szCs w:val="20"/>
                <w:color w:val="auto"/>
              </w:rPr>
            </w:pPr>
            <w:r>
              <w:rPr>
                <w:rFonts w:ascii="Arial" w:cs="Arial" w:eastAsia="Arial" w:hAnsi="Arial"/>
                <w:sz w:val="10"/>
                <w:szCs w:val="10"/>
                <w:b w:val="1"/>
                <w:bCs w:val="1"/>
                <w:color w:val="auto"/>
                <w:w w:val="85"/>
              </w:rPr>
              <w:t>S/(000)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gridSpan w:val="2"/>
          </w:tcPr>
          <w:p>
            <w:pPr>
              <w:jc w:val="center"/>
              <w:ind w:left="74"/>
              <w:spacing w:after="0" w:line="88" w:lineRule="exact"/>
              <w:rPr>
                <w:sz w:val="20"/>
                <w:szCs w:val="20"/>
                <w:color w:val="auto"/>
              </w:rPr>
            </w:pPr>
            <w:r>
              <w:rPr>
                <w:rFonts w:ascii="Arial" w:cs="Arial" w:eastAsia="Arial" w:hAnsi="Arial"/>
                <w:sz w:val="10"/>
                <w:szCs w:val="10"/>
                <w:b w:val="1"/>
                <w:bCs w:val="1"/>
                <w:color w:val="auto"/>
                <w:w w:val="91"/>
              </w:rPr>
              <w:t>S/(000)</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Borders>
              <w:top w:val="single" w:sz="8" w:color="auto"/>
            </w:tcBorders>
            <w:gridSpan w:val="2"/>
          </w:tcPr>
          <w:p>
            <w:pPr>
              <w:jc w:val="right"/>
              <w:ind w:right="20"/>
              <w:spacing w:after="0" w:line="88" w:lineRule="exact"/>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Foreign currency</w:t>
            </w:r>
          </w:p>
        </w:tc>
        <w:tc>
          <w:tcPr>
            <w:tcW w:w="6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200" w:type="dxa"/>
            <w:vAlign w:val="bottom"/>
            <w:tcBorders>
              <w:left w:val="single" w:sz="8" w:color="CCEEFF"/>
            </w:tcBorders>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tcBorders>
              <w:left w:val="single" w:sz="8" w:color="CCEEFF"/>
              <w:right w:val="single" w:sz="8" w:color="CCEEFF"/>
            </w:tcBorders>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08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forwards</w:t>
            </w:r>
          </w:p>
        </w:tc>
        <w:tc>
          <w:tcPr>
            <w:tcW w:w="780" w:type="dxa"/>
            <w:vAlign w:val="bottom"/>
            <w:tcBorders>
              <w:right w:val="single" w:sz="8" w:color="CCEEFF"/>
            </w:tcBorders>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154,424</w:t>
            </w:r>
          </w:p>
        </w:tc>
        <w:tc>
          <w:tcPr>
            <w:tcW w:w="740" w:type="dxa"/>
            <w:vAlign w:val="bottom"/>
            <w:gridSpan w:val="3"/>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89,739</w:t>
            </w:r>
          </w:p>
        </w:tc>
        <w:tc>
          <w:tcPr>
            <w:tcW w:w="840" w:type="dxa"/>
            <w:vAlign w:val="bottom"/>
            <w:gridSpan w:val="4"/>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2,797</w:t>
            </w:r>
          </w:p>
        </w:tc>
        <w:tc>
          <w:tcPr>
            <w:tcW w:w="760" w:type="dxa"/>
            <w:vAlign w:val="bottom"/>
            <w:tcBorders>
              <w:right w:val="single" w:sz="8" w:color="CCEEFF"/>
            </w:tcBorders>
            <w:gridSpan w:val="3"/>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4"/>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w w:val="99"/>
              </w:rPr>
              <w:t>246,960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tcBorders>
              <w:right w:val="single" w:sz="8" w:color="CCEEFF"/>
            </w:tcBorders>
            <w:gridSpan w:val="3"/>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61,801</w:t>
            </w:r>
          </w:p>
        </w:tc>
        <w:tc>
          <w:tcPr>
            <w:tcW w:w="840" w:type="dxa"/>
            <w:vAlign w:val="bottom"/>
            <w:tcBorders>
              <w:left w:val="single" w:sz="8" w:color="CCEEFF"/>
            </w:tcBorders>
            <w:gridSpan w:val="3"/>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37,501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2,246</w:t>
            </w:r>
          </w:p>
        </w:tc>
        <w:tc>
          <w:tcPr>
            <w:tcW w:w="220" w:type="dxa"/>
            <w:vAlign w:val="bottom"/>
            <w:tcBorders>
              <w:left w:val="single" w:sz="8" w:color="CCEEFF"/>
              <w:right w:val="single" w:sz="8" w:color="CCEEFF"/>
            </w:tcBorders>
            <w:shd w:val="clear" w:color="auto" w:fill="CCEEFF"/>
          </w:tcPr>
          <w:p>
            <w:pPr>
              <w:spacing w:after="0"/>
              <w:rPr>
                <w:sz w:val="9"/>
                <w:szCs w:val="9"/>
                <w:color w:val="auto"/>
              </w:rPr>
            </w:pPr>
          </w:p>
        </w:tc>
        <w:tc>
          <w:tcPr>
            <w:tcW w:w="720" w:type="dxa"/>
            <w:vAlign w:val="bottom"/>
            <w:gridSpan w:val="3"/>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720" w:type="dxa"/>
            <w:vAlign w:val="bottom"/>
            <w:gridSpan w:val="4"/>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w:t>
            </w:r>
          </w:p>
        </w:tc>
        <w:tc>
          <w:tcPr>
            <w:tcW w:w="600" w:type="dxa"/>
            <w:vAlign w:val="bottom"/>
            <w:gridSpan w:val="3"/>
            <w:shd w:val="clear" w:color="auto" w:fill="CCEEFF"/>
          </w:tcPr>
          <w:p>
            <w:pPr>
              <w:jc w:val="right"/>
              <w:spacing w:after="0" w:line="112" w:lineRule="exact"/>
              <w:rPr>
                <w:sz w:val="20"/>
                <w:szCs w:val="20"/>
                <w:color w:val="auto"/>
              </w:rPr>
            </w:pPr>
            <w:r>
              <w:rPr>
                <w:rFonts w:ascii="Arial" w:cs="Arial" w:eastAsia="Arial" w:hAnsi="Arial"/>
                <w:sz w:val="10"/>
                <w:szCs w:val="10"/>
                <w:color w:val="auto"/>
              </w:rPr>
              <w:t>101,548</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080" w:type="dxa"/>
            <w:vAlign w:val="bottom"/>
          </w:tcPr>
          <w:p>
            <w:pPr>
              <w:spacing w:after="0" w:line="99" w:lineRule="exact"/>
              <w:rPr>
                <w:sz w:val="20"/>
                <w:szCs w:val="20"/>
                <w:color w:val="auto"/>
              </w:rPr>
            </w:pPr>
            <w:r>
              <w:rPr>
                <w:rFonts w:ascii="Arial" w:cs="Arial" w:eastAsia="Arial" w:hAnsi="Arial"/>
                <w:sz w:val="10"/>
                <w:szCs w:val="10"/>
                <w:color w:val="auto"/>
              </w:rPr>
              <w:t>Interest rate swaps</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7,705</w:t>
            </w:r>
          </w:p>
        </w:tc>
        <w:tc>
          <w:tcPr>
            <w:tcW w:w="740" w:type="dxa"/>
            <w:vAlign w:val="bottom"/>
            <w:gridSpan w:val="3"/>
          </w:tcPr>
          <w:p>
            <w:pPr>
              <w:jc w:val="right"/>
              <w:ind w:right="20"/>
              <w:spacing w:after="0" w:line="99" w:lineRule="exact"/>
              <w:rPr>
                <w:sz w:val="20"/>
                <w:szCs w:val="20"/>
                <w:color w:val="auto"/>
              </w:rPr>
            </w:pPr>
            <w:r>
              <w:rPr>
                <w:rFonts w:ascii="Arial" w:cs="Arial" w:eastAsia="Arial" w:hAnsi="Arial"/>
                <w:sz w:val="10"/>
                <w:szCs w:val="10"/>
                <w:color w:val="auto"/>
              </w:rPr>
              <w:t>13,837</w:t>
            </w:r>
          </w:p>
        </w:tc>
        <w:tc>
          <w:tcPr>
            <w:tcW w:w="840" w:type="dxa"/>
            <w:vAlign w:val="bottom"/>
            <w:gridSpan w:val="4"/>
          </w:tcPr>
          <w:p>
            <w:pPr>
              <w:jc w:val="right"/>
              <w:ind w:right="60"/>
              <w:spacing w:after="0" w:line="99" w:lineRule="exact"/>
              <w:rPr>
                <w:sz w:val="20"/>
                <w:szCs w:val="20"/>
                <w:color w:val="auto"/>
              </w:rPr>
            </w:pPr>
            <w:r>
              <w:rPr>
                <w:rFonts w:ascii="Arial" w:cs="Arial" w:eastAsia="Arial" w:hAnsi="Arial"/>
                <w:sz w:val="10"/>
                <w:szCs w:val="10"/>
                <w:color w:val="auto"/>
              </w:rPr>
              <w:t>46,840</w:t>
            </w:r>
          </w:p>
        </w:tc>
        <w:tc>
          <w:tcPr>
            <w:tcW w:w="76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18,477</w:t>
            </w:r>
          </w:p>
        </w:tc>
        <w:tc>
          <w:tcPr>
            <w:tcW w:w="820" w:type="dxa"/>
            <w:vAlign w:val="bottom"/>
            <w:gridSpan w:val="4"/>
          </w:tcPr>
          <w:p>
            <w:pPr>
              <w:jc w:val="right"/>
              <w:spacing w:after="0" w:line="99" w:lineRule="exact"/>
              <w:rPr>
                <w:sz w:val="20"/>
                <w:szCs w:val="20"/>
                <w:color w:val="auto"/>
              </w:rPr>
            </w:pPr>
            <w:r>
              <w:rPr>
                <w:rFonts w:ascii="Arial" w:cs="Arial" w:eastAsia="Arial" w:hAnsi="Arial"/>
                <w:sz w:val="10"/>
                <w:szCs w:val="10"/>
                <w:color w:val="auto"/>
              </w:rPr>
              <w:t>264,079</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3"/>
          </w:tcPr>
          <w:p>
            <w:pPr>
              <w:jc w:val="right"/>
              <w:ind w:right="200"/>
              <w:spacing w:after="0" w:line="99" w:lineRule="exact"/>
              <w:rPr>
                <w:sz w:val="20"/>
                <w:szCs w:val="20"/>
                <w:color w:val="auto"/>
              </w:rPr>
            </w:pPr>
            <w:r>
              <w:rPr>
                <w:rFonts w:ascii="Arial" w:cs="Arial" w:eastAsia="Arial" w:hAnsi="Arial"/>
                <w:sz w:val="10"/>
                <w:szCs w:val="10"/>
                <w:color w:val="auto"/>
                <w:w w:val="99"/>
              </w:rPr>
              <w:t>350,938</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11,265</w:t>
            </w:r>
          </w:p>
        </w:tc>
        <w:tc>
          <w:tcPr>
            <w:tcW w:w="840" w:type="dxa"/>
            <w:vAlign w:val="bottom"/>
            <w:gridSpan w:val="3"/>
          </w:tcPr>
          <w:p>
            <w:pPr>
              <w:jc w:val="right"/>
              <w:ind w:right="120"/>
              <w:spacing w:after="0" w:line="99" w:lineRule="exact"/>
              <w:rPr>
                <w:sz w:val="20"/>
                <w:szCs w:val="20"/>
                <w:color w:val="auto"/>
              </w:rPr>
            </w:pPr>
            <w:r>
              <w:rPr>
                <w:rFonts w:ascii="Arial" w:cs="Arial" w:eastAsia="Arial" w:hAnsi="Arial"/>
                <w:sz w:val="10"/>
                <w:szCs w:val="10"/>
                <w:color w:val="auto"/>
              </w:rPr>
              <w:t>16,586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Arial" w:cs="Arial" w:eastAsia="Arial" w:hAnsi="Arial"/>
                <w:sz w:val="10"/>
                <w:szCs w:val="10"/>
                <w:color w:val="auto"/>
              </w:rPr>
              <w:t>19,458</w:t>
            </w:r>
          </w:p>
        </w:tc>
        <w:tc>
          <w:tcPr>
            <w:tcW w:w="220" w:type="dxa"/>
            <w:vAlign w:val="bottom"/>
          </w:tcPr>
          <w:p>
            <w:pPr>
              <w:spacing w:after="0"/>
              <w:rPr>
                <w:sz w:val="8"/>
                <w:szCs w:val="8"/>
                <w:color w:val="auto"/>
              </w:rPr>
            </w:pPr>
          </w:p>
        </w:tc>
        <w:tc>
          <w:tcPr>
            <w:tcW w:w="720" w:type="dxa"/>
            <w:vAlign w:val="bottom"/>
            <w:gridSpan w:val="3"/>
          </w:tcPr>
          <w:p>
            <w:pPr>
              <w:jc w:val="right"/>
              <w:ind w:right="120"/>
              <w:spacing w:after="0" w:line="99" w:lineRule="exact"/>
              <w:rPr>
                <w:sz w:val="20"/>
                <w:szCs w:val="20"/>
                <w:color w:val="auto"/>
              </w:rPr>
            </w:pPr>
            <w:r>
              <w:rPr>
                <w:rFonts w:ascii="Arial" w:cs="Arial" w:eastAsia="Arial" w:hAnsi="Arial"/>
                <w:sz w:val="10"/>
                <w:szCs w:val="10"/>
                <w:color w:val="auto"/>
              </w:rPr>
              <w:t>19,459</w:t>
            </w:r>
          </w:p>
        </w:tc>
        <w:tc>
          <w:tcPr>
            <w:tcW w:w="720" w:type="dxa"/>
            <w:vAlign w:val="bottom"/>
            <w:gridSpan w:val="4"/>
          </w:tcPr>
          <w:p>
            <w:pPr>
              <w:jc w:val="right"/>
              <w:ind w:right="20"/>
              <w:spacing w:after="0" w:line="99" w:lineRule="exact"/>
              <w:rPr>
                <w:sz w:val="20"/>
                <w:szCs w:val="20"/>
                <w:color w:val="auto"/>
              </w:rPr>
            </w:pPr>
            <w:r>
              <w:rPr>
                <w:rFonts w:ascii="Arial" w:cs="Arial" w:eastAsia="Arial" w:hAnsi="Arial"/>
                <w:sz w:val="10"/>
                <w:szCs w:val="10"/>
                <w:color w:val="auto"/>
              </w:rPr>
              <w:t>81,351</w:t>
            </w:r>
          </w:p>
        </w:tc>
        <w:tc>
          <w:tcPr>
            <w:tcW w:w="60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148,119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Currency swaps</w:t>
            </w:r>
          </w:p>
        </w:tc>
        <w:tc>
          <w:tcPr>
            <w:tcW w:w="780" w:type="dxa"/>
            <w:vAlign w:val="bottom"/>
            <w:tcBorders>
              <w:right w:val="single" w:sz="8" w:color="CCEEFF"/>
            </w:tcBorders>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41,729</w:t>
            </w:r>
          </w:p>
        </w:tc>
        <w:tc>
          <w:tcPr>
            <w:tcW w:w="74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92,917</w:t>
            </w:r>
          </w:p>
        </w:tc>
        <w:tc>
          <w:tcPr>
            <w:tcW w:w="840" w:type="dxa"/>
            <w:vAlign w:val="bottom"/>
            <w:gridSpan w:val="4"/>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79,844</w:t>
            </w:r>
          </w:p>
        </w:tc>
        <w:tc>
          <w:tcPr>
            <w:tcW w:w="76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50,663</w:t>
            </w:r>
          </w:p>
        </w:tc>
        <w:tc>
          <w:tcPr>
            <w:tcW w:w="820" w:type="dxa"/>
            <w:vAlign w:val="bottom"/>
            <w:gridSpan w:val="4"/>
            <w:shd w:val="clear" w:color="auto" w:fill="CCEEFF"/>
          </w:tcPr>
          <w:p>
            <w:pPr>
              <w:jc w:val="right"/>
              <w:spacing w:after="0" w:line="99" w:lineRule="exact"/>
              <w:rPr>
                <w:sz w:val="20"/>
                <w:szCs w:val="20"/>
                <w:color w:val="auto"/>
              </w:rPr>
            </w:pPr>
            <w:r>
              <w:rPr>
                <w:rFonts w:ascii="Arial" w:cs="Arial" w:eastAsia="Arial" w:hAnsi="Arial"/>
                <w:sz w:val="10"/>
                <w:szCs w:val="10"/>
                <w:color w:val="auto"/>
              </w:rPr>
              <w:t>101,392</w:t>
            </w: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w w:val="99"/>
              </w:rPr>
              <w:t>366,545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tcBorders>
              <w:right w:val="single" w:sz="8" w:color="CCEEFF"/>
            </w:tcBorders>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22,163</w:t>
            </w:r>
          </w:p>
        </w:tc>
        <w:tc>
          <w:tcPr>
            <w:tcW w:w="840" w:type="dxa"/>
            <w:vAlign w:val="bottom"/>
            <w:tcBorders>
              <w:left w:val="single" w:sz="8" w:color="CCEEFF"/>
            </w:tcBorders>
            <w:gridSpan w:val="3"/>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34,896</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187,581</w:t>
            </w:r>
          </w:p>
        </w:tc>
        <w:tc>
          <w:tcPr>
            <w:tcW w:w="220" w:type="dxa"/>
            <w:vAlign w:val="bottom"/>
            <w:tcBorders>
              <w:left w:val="single" w:sz="8" w:color="CCEEFF"/>
              <w:right w:val="single" w:sz="8" w:color="CCEEFF"/>
            </w:tcBorders>
            <w:shd w:val="clear" w:color="auto" w:fill="CCEEFF"/>
          </w:tcPr>
          <w:p>
            <w:pPr>
              <w:spacing w:after="0"/>
              <w:rPr>
                <w:sz w:val="8"/>
                <w:szCs w:val="8"/>
                <w:color w:val="auto"/>
              </w:rPr>
            </w:pPr>
          </w:p>
        </w:tc>
        <w:tc>
          <w:tcPr>
            <w:tcW w:w="7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87,496</w:t>
            </w:r>
          </w:p>
        </w:tc>
        <w:tc>
          <w:tcPr>
            <w:tcW w:w="720" w:type="dxa"/>
            <w:vAlign w:val="bottom"/>
            <w:gridSpan w:val="4"/>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69,720</w:t>
            </w:r>
          </w:p>
        </w:tc>
        <w:tc>
          <w:tcPr>
            <w:tcW w:w="600" w:type="dxa"/>
            <w:vAlign w:val="bottom"/>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401,856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080" w:type="dxa"/>
            <w:vAlign w:val="bottom"/>
          </w:tcPr>
          <w:p>
            <w:pPr>
              <w:spacing w:after="0" w:line="87" w:lineRule="exact"/>
              <w:rPr>
                <w:sz w:val="20"/>
                <w:szCs w:val="20"/>
                <w:color w:val="auto"/>
              </w:rPr>
            </w:pPr>
            <w:r>
              <w:rPr>
                <w:rFonts w:ascii="Arial" w:cs="Arial" w:eastAsia="Arial" w:hAnsi="Arial"/>
                <w:sz w:val="10"/>
                <w:szCs w:val="10"/>
                <w:color w:val="auto"/>
              </w:rPr>
              <w:t>Foreign exchange</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120"/>
              <w:spacing w:after="0" w:line="112" w:lineRule="exact"/>
              <w:rPr>
                <w:sz w:val="20"/>
                <w:szCs w:val="20"/>
                <w:color w:val="auto"/>
              </w:rPr>
            </w:pPr>
            <w:r>
              <w:rPr>
                <w:rFonts w:ascii="Arial" w:cs="Arial" w:eastAsia="Arial" w:hAnsi="Arial"/>
                <w:sz w:val="10"/>
                <w:szCs w:val="10"/>
                <w:color w:val="auto"/>
              </w:rPr>
              <w:t>options</w:t>
            </w:r>
          </w:p>
        </w:tc>
        <w:tc>
          <w:tcPr>
            <w:tcW w:w="600" w:type="dxa"/>
            <w:vAlign w:val="bottom"/>
          </w:tcPr>
          <w:p>
            <w:pPr>
              <w:jc w:val="right"/>
              <w:spacing w:after="0" w:line="112" w:lineRule="exact"/>
              <w:rPr>
                <w:sz w:val="20"/>
                <w:szCs w:val="20"/>
                <w:color w:val="auto"/>
              </w:rPr>
            </w:pPr>
            <w:r>
              <w:rPr>
                <w:rFonts w:ascii="Arial" w:cs="Arial" w:eastAsia="Arial" w:hAnsi="Arial"/>
                <w:sz w:val="10"/>
                <w:szCs w:val="10"/>
                <w:color w:val="auto"/>
              </w:rPr>
              <w:t>836</w:t>
            </w:r>
          </w:p>
        </w:tc>
        <w:tc>
          <w:tcPr>
            <w:tcW w:w="180" w:type="dxa"/>
            <w:vAlign w:val="bottom"/>
          </w:tcPr>
          <w:p>
            <w:pPr>
              <w:spacing w:after="0"/>
              <w:rPr>
                <w:sz w:val="9"/>
                <w:szCs w:val="9"/>
                <w:color w:val="auto"/>
              </w:rPr>
            </w:pPr>
          </w:p>
        </w:tc>
        <w:tc>
          <w:tcPr>
            <w:tcW w:w="740" w:type="dxa"/>
            <w:vAlign w:val="bottom"/>
            <w:gridSpan w:val="3"/>
          </w:tcPr>
          <w:p>
            <w:pPr>
              <w:jc w:val="right"/>
              <w:ind w:right="20"/>
              <w:spacing w:after="0" w:line="112" w:lineRule="exact"/>
              <w:rPr>
                <w:sz w:val="20"/>
                <w:szCs w:val="20"/>
                <w:color w:val="auto"/>
              </w:rPr>
            </w:pPr>
            <w:r>
              <w:rPr>
                <w:rFonts w:ascii="Arial" w:cs="Arial" w:eastAsia="Arial" w:hAnsi="Arial"/>
                <w:sz w:val="10"/>
                <w:szCs w:val="10"/>
                <w:color w:val="auto"/>
              </w:rPr>
              <w:t>5,253</w:t>
            </w:r>
          </w:p>
        </w:tc>
        <w:tc>
          <w:tcPr>
            <w:tcW w:w="840" w:type="dxa"/>
            <w:vAlign w:val="bottom"/>
            <w:gridSpan w:val="4"/>
          </w:tcPr>
          <w:p>
            <w:pPr>
              <w:jc w:val="right"/>
              <w:ind w:right="60"/>
              <w:spacing w:after="0" w:line="112"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spacing w:after="0" w:line="112" w:lineRule="exact"/>
              <w:rPr>
                <w:sz w:val="20"/>
                <w:szCs w:val="20"/>
                <w:color w:val="auto"/>
              </w:rPr>
            </w:pPr>
            <w:r>
              <w:rPr>
                <w:rFonts w:ascii="Arial" w:cs="Arial" w:eastAsia="Arial" w:hAnsi="Arial"/>
                <w:sz w:val="10"/>
                <w:szCs w:val="10"/>
                <w:color w:val="auto"/>
              </w:rPr>
              <w:t>-</w:t>
            </w:r>
          </w:p>
        </w:tc>
        <w:tc>
          <w:tcPr>
            <w:tcW w:w="820" w:type="dxa"/>
            <w:vAlign w:val="bottom"/>
            <w:gridSpan w:val="4"/>
          </w:tcPr>
          <w:p>
            <w:pPr>
              <w:jc w:val="right"/>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3"/>
          </w:tcPr>
          <w:p>
            <w:pPr>
              <w:jc w:val="right"/>
              <w:ind w:right="200"/>
              <w:spacing w:after="0" w:line="112" w:lineRule="exact"/>
              <w:rPr>
                <w:sz w:val="20"/>
                <w:szCs w:val="20"/>
                <w:color w:val="auto"/>
              </w:rPr>
            </w:pPr>
            <w:r>
              <w:rPr>
                <w:rFonts w:ascii="Arial" w:cs="Arial" w:eastAsia="Arial" w:hAnsi="Arial"/>
                <w:sz w:val="10"/>
                <w:szCs w:val="10"/>
                <w:color w:val="auto"/>
              </w:rPr>
              <w:t>6,089</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tcPr>
          <w:p>
            <w:pPr>
              <w:jc w:val="right"/>
              <w:ind w:right="220"/>
              <w:spacing w:after="0" w:line="112" w:lineRule="exact"/>
              <w:rPr>
                <w:sz w:val="20"/>
                <w:szCs w:val="20"/>
                <w:color w:val="auto"/>
              </w:rPr>
            </w:pPr>
            <w:r>
              <w:rPr>
                <w:rFonts w:ascii="Arial" w:cs="Arial" w:eastAsia="Arial" w:hAnsi="Arial"/>
                <w:sz w:val="10"/>
                <w:szCs w:val="10"/>
                <w:color w:val="auto"/>
              </w:rPr>
              <w:t>282</w:t>
            </w:r>
          </w:p>
        </w:tc>
        <w:tc>
          <w:tcPr>
            <w:tcW w:w="7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310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136</w:t>
            </w:r>
          </w:p>
        </w:tc>
        <w:tc>
          <w:tcPr>
            <w:tcW w:w="220" w:type="dxa"/>
            <w:vAlign w:val="bottom"/>
          </w:tcPr>
          <w:p>
            <w:pPr>
              <w:spacing w:after="0"/>
              <w:rPr>
                <w:sz w:val="9"/>
                <w:szCs w:val="9"/>
                <w:color w:val="auto"/>
              </w:rPr>
            </w:pPr>
          </w:p>
        </w:tc>
        <w:tc>
          <w:tcPr>
            <w:tcW w:w="720" w:type="dxa"/>
            <w:vAlign w:val="bottom"/>
            <w:gridSpan w:val="3"/>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720" w:type="dxa"/>
            <w:vAlign w:val="bottom"/>
            <w:gridSpan w:val="4"/>
          </w:tcPr>
          <w:p>
            <w:pPr>
              <w:jc w:val="right"/>
              <w:ind w:right="20"/>
              <w:spacing w:after="0" w:line="112" w:lineRule="exact"/>
              <w:rPr>
                <w:sz w:val="20"/>
                <w:szCs w:val="20"/>
                <w:color w:val="auto"/>
              </w:rPr>
            </w:pPr>
            <w:r>
              <w:rPr>
                <w:rFonts w:ascii="Arial" w:cs="Arial" w:eastAsia="Arial" w:hAnsi="Arial"/>
                <w:sz w:val="10"/>
                <w:szCs w:val="10"/>
                <w:color w:val="auto"/>
              </w:rPr>
              <w:t>-</w:t>
            </w:r>
          </w:p>
        </w:tc>
        <w:tc>
          <w:tcPr>
            <w:tcW w:w="600" w:type="dxa"/>
            <w:vAlign w:val="bottom"/>
            <w:gridSpan w:val="3"/>
          </w:tcPr>
          <w:p>
            <w:pPr>
              <w:jc w:val="right"/>
              <w:spacing w:after="0" w:line="112" w:lineRule="exact"/>
              <w:rPr>
                <w:sz w:val="20"/>
                <w:szCs w:val="20"/>
                <w:color w:val="auto"/>
              </w:rPr>
            </w:pPr>
            <w:r>
              <w:rPr>
                <w:rFonts w:ascii="Arial" w:cs="Arial" w:eastAsia="Arial" w:hAnsi="Arial"/>
                <w:sz w:val="10"/>
                <w:szCs w:val="10"/>
                <w:color w:val="auto"/>
              </w:rPr>
              <w:t>728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Futures</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139</w:t>
            </w:r>
          </w:p>
        </w:tc>
        <w:tc>
          <w:tcPr>
            <w:tcW w:w="1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139</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tcBorders>
              <w:right w:val="single" w:sz="8" w:color="CCEEFF"/>
            </w:tcBorders>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2,658</w:t>
            </w:r>
          </w:p>
        </w:tc>
        <w:tc>
          <w:tcPr>
            <w:tcW w:w="720" w:type="dxa"/>
            <w:vAlign w:val="bottom"/>
            <w:tcBorders>
              <w:left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9"/>
                <w:szCs w:val="9"/>
                <w:color w:val="auto"/>
              </w:rPr>
            </w:pPr>
          </w:p>
        </w:tc>
        <w:tc>
          <w:tcPr>
            <w:tcW w:w="720" w:type="dxa"/>
            <w:vAlign w:val="bottom"/>
            <w:gridSpan w:val="3"/>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4"/>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10"/>
                <w:szCs w:val="10"/>
                <w:color w:val="auto"/>
              </w:rPr>
              <w:t>2,658</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0"/>
                <w:szCs w:val="10"/>
                <w:b w:val="1"/>
                <w:bCs w:val="1"/>
                <w:color w:val="auto"/>
              </w:rPr>
              <w:t>Total liabilities</w:t>
            </w: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204,833</w:t>
            </w:r>
          </w:p>
        </w:tc>
        <w:tc>
          <w:tcPr>
            <w:tcW w:w="180" w:type="dxa"/>
            <w:vAlign w:val="bottom"/>
          </w:tcPr>
          <w:p>
            <w:pPr>
              <w:spacing w:after="0"/>
              <w:rPr>
                <w:sz w:val="10"/>
                <w:szCs w:val="10"/>
                <w:color w:val="auto"/>
              </w:rPr>
            </w:pP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201,746</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129,481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69,140</w:t>
            </w:r>
          </w:p>
        </w:tc>
        <w:tc>
          <w:tcPr>
            <w:tcW w:w="200" w:type="dxa"/>
            <w:vAlign w:val="bottom"/>
          </w:tcPr>
          <w:p>
            <w:pPr>
              <w:spacing w:after="0"/>
              <w:rPr>
                <w:sz w:val="10"/>
                <w:szCs w:val="10"/>
                <w:color w:val="auto"/>
              </w:rPr>
            </w:pPr>
          </w:p>
        </w:tc>
        <w:tc>
          <w:tcPr>
            <w:tcW w:w="620" w:type="dxa"/>
            <w:vAlign w:val="bottom"/>
            <w:gridSpan w:val="3"/>
          </w:tcPr>
          <w:p>
            <w:pPr>
              <w:jc w:val="right"/>
              <w:spacing w:after="0"/>
              <w:rPr>
                <w:sz w:val="20"/>
                <w:szCs w:val="20"/>
                <w:color w:val="auto"/>
              </w:rPr>
            </w:pPr>
            <w:r>
              <w:rPr>
                <w:rFonts w:ascii="Arial" w:cs="Arial" w:eastAsia="Arial" w:hAnsi="Arial"/>
                <w:sz w:val="10"/>
                <w:szCs w:val="10"/>
                <w:color w:val="auto"/>
              </w:rPr>
              <w:t>365,471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0"/>
                <w:szCs w:val="10"/>
                <w:color w:val="auto"/>
                <w:w w:val="99"/>
              </w:rPr>
              <w:t>970,671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0"/>
                <w:szCs w:val="10"/>
                <w:color w:val="auto"/>
              </w:rPr>
              <w:t>98,169</w:t>
            </w:r>
          </w:p>
        </w:tc>
        <w:tc>
          <w:tcPr>
            <w:tcW w:w="840" w:type="dxa"/>
            <w:vAlign w:val="bottom"/>
            <w:gridSpan w:val="3"/>
          </w:tcPr>
          <w:p>
            <w:pPr>
              <w:jc w:val="right"/>
              <w:ind w:right="120"/>
              <w:spacing w:after="0"/>
              <w:rPr>
                <w:sz w:val="20"/>
                <w:szCs w:val="20"/>
                <w:color w:val="auto"/>
              </w:rPr>
            </w:pPr>
            <w:r>
              <w:rPr>
                <w:rFonts w:ascii="Arial" w:cs="Arial" w:eastAsia="Arial" w:hAnsi="Arial"/>
                <w:sz w:val="10"/>
                <w:szCs w:val="10"/>
                <w:color w:val="auto"/>
              </w:rPr>
              <w:t>89,293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209,421</w:t>
            </w:r>
          </w:p>
        </w:tc>
        <w:tc>
          <w:tcPr>
            <w:tcW w:w="220" w:type="dxa"/>
            <w:vAlign w:val="bottom"/>
          </w:tcPr>
          <w:p>
            <w:pPr>
              <w:spacing w:after="0"/>
              <w:rPr>
                <w:sz w:val="10"/>
                <w:szCs w:val="1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0"/>
                <w:szCs w:val="10"/>
                <w:color w:val="auto"/>
              </w:rPr>
              <w:t>106,955</w:t>
            </w:r>
          </w:p>
        </w:tc>
        <w:tc>
          <w:tcPr>
            <w:tcW w:w="720" w:type="dxa"/>
            <w:vAlign w:val="bottom"/>
            <w:gridSpan w:val="4"/>
          </w:tcPr>
          <w:p>
            <w:pPr>
              <w:jc w:val="right"/>
              <w:ind w:right="20"/>
              <w:spacing w:after="0"/>
              <w:rPr>
                <w:sz w:val="20"/>
                <w:szCs w:val="20"/>
                <w:color w:val="auto"/>
              </w:rPr>
            </w:pPr>
            <w:r>
              <w:rPr>
                <w:rFonts w:ascii="Arial" w:cs="Arial" w:eastAsia="Arial" w:hAnsi="Arial"/>
                <w:sz w:val="10"/>
                <w:szCs w:val="10"/>
                <w:color w:val="auto"/>
              </w:rPr>
              <w:t>151,071</w:t>
            </w:r>
          </w:p>
        </w:tc>
        <w:tc>
          <w:tcPr>
            <w:tcW w:w="600" w:type="dxa"/>
            <w:vAlign w:val="bottom"/>
            <w:gridSpan w:val="3"/>
          </w:tcPr>
          <w:p>
            <w:pPr>
              <w:jc w:val="right"/>
              <w:spacing w:after="0"/>
              <w:rPr>
                <w:sz w:val="20"/>
                <w:szCs w:val="20"/>
                <w:color w:val="auto"/>
              </w:rPr>
            </w:pPr>
            <w:r>
              <w:rPr>
                <w:rFonts w:ascii="Arial" w:cs="Arial" w:eastAsia="Arial" w:hAnsi="Arial"/>
                <w:sz w:val="10"/>
                <w:szCs w:val="10"/>
                <w:color w:val="auto"/>
              </w:rPr>
              <w:t>654,909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46" w:hanging="246"/>
        <w:spacing w:after="0" w:line="276" w:lineRule="auto"/>
        <w:tabs>
          <w:tab w:leader="none" w:pos="246"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Group is exposed to variability in future cash flows on assets and liabilities in foreign currency and/or those that bear interest at variable rates. The Group uses derivative financial instruments as cash flow hedges to cover these risks.</w:t>
      </w:r>
    </w:p>
    <w:p>
      <w:pPr>
        <w:spacing w:after="0" w:line="114" w:lineRule="exact"/>
        <w:rPr>
          <w:rFonts w:ascii="Arial" w:cs="Arial" w:eastAsia="Arial" w:hAnsi="Arial"/>
          <w:sz w:val="12"/>
          <w:szCs w:val="12"/>
          <w:color w:val="auto"/>
        </w:rPr>
      </w:pPr>
    </w:p>
    <w:p>
      <w:pPr>
        <w:ind w:left="266"/>
        <w:spacing w:after="0"/>
        <w:rPr>
          <w:rFonts w:ascii="Arial" w:cs="Arial" w:eastAsia="Arial" w:hAnsi="Arial"/>
          <w:sz w:val="12"/>
          <w:szCs w:val="12"/>
          <w:color w:val="auto"/>
        </w:rPr>
      </w:pPr>
      <w:r>
        <w:rPr>
          <w:rFonts w:ascii="Arial" w:cs="Arial" w:eastAsia="Arial" w:hAnsi="Arial"/>
          <w:sz w:val="12"/>
          <w:szCs w:val="12"/>
          <w:color w:val="auto"/>
        </w:rPr>
        <w:t>A schedule indicating the periods when the current cash flow hedges are expected to occur and affect the consolidated statement of income, net of deferred income tax is presented below:</w:t>
      </w:r>
    </w:p>
    <w:p>
      <w:pPr>
        <w:spacing w:after="0" w:line="155" w:lineRule="exact"/>
        <w:rPr>
          <w:sz w:val="20"/>
          <w:szCs w:val="20"/>
          <w:color w:val="auto"/>
        </w:rPr>
      </w:pPr>
    </w:p>
    <w:tbl>
      <w:tblPr>
        <w:tblLayout w:type="fixed"/>
        <w:tblInd w:w="266" w:type="dxa"/>
        <w:tblCellMar>
          <w:top w:w="0" w:type="dxa"/>
          <w:left w:w="0" w:type="dxa"/>
          <w:bottom w:w="0" w:type="dxa"/>
          <w:right w:w="0" w:type="dxa"/>
        </w:tblCellMar>
      </w:tblPr>
      <w:tr>
        <w:trPr>
          <w:trHeight w:val="157"/>
        </w:trPr>
        <w:tc>
          <w:tcPr>
            <w:tcW w:w="2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center"/>
              <w:ind w:left="500"/>
              <w:spacing w:after="0"/>
              <w:rPr>
                <w:sz w:val="20"/>
                <w:szCs w:val="20"/>
                <w:color w:val="auto"/>
              </w:rPr>
            </w:pPr>
            <w:r>
              <w:rPr>
                <w:rFonts w:ascii="Arial" w:cs="Arial" w:eastAsia="Arial" w:hAnsi="Arial"/>
                <w:sz w:val="12"/>
                <w:szCs w:val="12"/>
                <w:b w:val="1"/>
                <w:bCs w:val="1"/>
                <w:color w:val="auto"/>
                <w:w w:val="91"/>
              </w:rPr>
              <w:t>At December 31, 2019</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center"/>
              <w:ind w:left="500"/>
              <w:spacing w:after="0"/>
              <w:rPr>
                <w:sz w:val="20"/>
                <w:szCs w:val="20"/>
                <w:color w:val="auto"/>
              </w:rPr>
            </w:pPr>
            <w:r>
              <w:rPr>
                <w:rFonts w:ascii="Arial" w:cs="Arial" w:eastAsia="Arial" w:hAnsi="Arial"/>
                <w:sz w:val="12"/>
                <w:szCs w:val="12"/>
                <w:b w:val="1"/>
                <w:bCs w:val="1"/>
                <w:color w:val="auto"/>
                <w:w w:val="91"/>
              </w:rPr>
              <w:t>At December 31, 2018</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28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8"/>
              </w:rPr>
              <w:t>Up to 1</w:t>
            </w: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From 1 to 3</w:t>
            </w:r>
          </w:p>
        </w:tc>
        <w:tc>
          <w:tcPr>
            <w:tcW w:w="960" w:type="dxa"/>
            <w:vAlign w:val="bottom"/>
            <w:gridSpan w:val="3"/>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From 3 to 5</w:t>
            </w:r>
          </w:p>
        </w:tc>
        <w:tc>
          <w:tcPr>
            <w:tcW w:w="78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0"/>
              </w:rPr>
              <w:t>Over 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8"/>
              </w:rPr>
              <w:t>Up to 1</w:t>
            </w: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From 1 to 3</w:t>
            </w:r>
          </w:p>
        </w:tc>
        <w:tc>
          <w:tcPr>
            <w:tcW w:w="960" w:type="dxa"/>
            <w:vAlign w:val="bottom"/>
            <w:gridSpan w:val="3"/>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From 3 to 5</w:t>
            </w: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96"/>
              </w:rPr>
              <w:t>Over 5</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22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year</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years</w:t>
            </w:r>
          </w:p>
        </w:tc>
        <w:tc>
          <w:tcPr>
            <w:tcW w:w="9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2"/>
              </w:rPr>
              <w:t>years</w:t>
            </w:r>
          </w:p>
        </w:tc>
        <w:tc>
          <w:tcPr>
            <w:tcW w:w="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2"/>
              </w:rPr>
              <w:t>years</w:t>
            </w: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year</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years</w:t>
            </w:r>
          </w:p>
        </w:tc>
        <w:tc>
          <w:tcPr>
            <w:tcW w:w="9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2"/>
              </w:rPr>
              <w:t>years</w:t>
            </w: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years</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Total</w:t>
            </w:r>
          </w:p>
        </w:tc>
      </w:tr>
      <w:tr>
        <w:trPr>
          <w:trHeight w:val="133"/>
        </w:trPr>
        <w:tc>
          <w:tcPr>
            <w:tcW w:w="22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ind w:right="8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2280" w:type="dxa"/>
            <w:vAlign w:val="bottom"/>
            <w:shd w:val="clear" w:color="auto" w:fill="CCEEFF"/>
          </w:tcPr>
          <w:p>
            <w:pPr>
              <w:spacing w:after="0"/>
              <w:rPr>
                <w:sz w:val="20"/>
                <w:szCs w:val="20"/>
                <w:color w:val="auto"/>
              </w:rPr>
            </w:pPr>
            <w:r>
              <w:rPr>
                <w:rFonts w:ascii="Arial" w:cs="Arial" w:eastAsia="Arial" w:hAnsi="Arial"/>
                <w:sz w:val="12"/>
                <w:szCs w:val="12"/>
                <w:color w:val="auto"/>
              </w:rPr>
              <w:t>Cash inflows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5,081,355</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301,865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84,786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254,968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5,722,974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4,873,965</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1,197,478</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27,734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281,061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6,380,238</w:t>
            </w:r>
          </w:p>
        </w:tc>
        <w:tc>
          <w:tcPr>
            <w:tcW w:w="100" w:type="dxa"/>
            <w:vAlign w:val="bottom"/>
            <w:shd w:val="clear" w:color="auto" w:fill="CCEEFF"/>
          </w:tcPr>
          <w:p>
            <w:pPr>
              <w:spacing w:after="0"/>
              <w:rPr>
                <w:sz w:val="12"/>
                <w:szCs w:val="12"/>
                <w:color w:val="auto"/>
              </w:rPr>
            </w:pP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Cash outflows (liabilities)</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(4,693,775)</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(330,220)</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(91,678)</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(355,702)</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(5,471,375)</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(4,913,876)</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(1,101,309)</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(37,660)</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(249,925)</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(6,302,770)</w:t>
            </w:r>
          </w:p>
        </w:tc>
      </w:tr>
      <w:tr>
        <w:trPr>
          <w:trHeight w:val="144"/>
        </w:trPr>
        <w:tc>
          <w:tcPr>
            <w:tcW w:w="2280" w:type="dxa"/>
            <w:vAlign w:val="bottom"/>
            <w:shd w:val="clear" w:color="auto" w:fill="CCEEFF"/>
          </w:tcPr>
          <w:p>
            <w:pPr>
              <w:spacing w:after="0"/>
              <w:rPr>
                <w:sz w:val="20"/>
                <w:szCs w:val="20"/>
                <w:color w:val="auto"/>
              </w:rPr>
            </w:pPr>
            <w:r>
              <w:rPr>
                <w:rFonts w:ascii="Arial" w:cs="Arial" w:eastAsia="Arial" w:hAnsi="Arial"/>
                <w:sz w:val="12"/>
                <w:szCs w:val="12"/>
                <w:color w:val="auto"/>
              </w:rPr>
              <w:t>Consolidated statement of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(8,949)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(18,139)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(31,942)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(3,430)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(7,756)</w:t>
            </w:r>
          </w:p>
        </w:tc>
      </w:tr>
    </w:tbl>
    <w:p>
      <w:pPr>
        <w:spacing w:after="0" w:line="153" w:lineRule="exact"/>
        <w:rPr>
          <w:sz w:val="20"/>
          <w:szCs w:val="20"/>
          <w:color w:val="auto"/>
        </w:rPr>
      </w:pPr>
    </w:p>
    <w:p>
      <w:pPr>
        <w:ind w:left="266" w:right="200"/>
        <w:spacing w:after="0" w:line="259" w:lineRule="auto"/>
        <w:rPr>
          <w:sz w:val="20"/>
          <w:szCs w:val="20"/>
          <w:color w:val="auto"/>
        </w:rPr>
      </w:pPr>
      <w:r>
        <w:rPr>
          <w:rFonts w:ascii="Arial" w:cs="Arial" w:eastAsia="Arial" w:hAnsi="Arial"/>
          <w:sz w:val="12"/>
          <w:szCs w:val="12"/>
          <w:color w:val="auto"/>
        </w:rPr>
        <w:t>At December 31, 2019, the accumulated balance of net unrealized loss from cash flow hedges, which is included as other comprehensive income in “Cash flow hedge reserves” results from the current hedges, which have an unrealized profit of approximately S/0.1 million and from the revoked hedges, which have an unrealized profit of approximately S/3.8 million (unrealized loss of approximately S/7.8 million from current hedges and unrealized profit for S/4.6 million from revoked hedges, at December 31, 2018), which is being recognized in the consolidated statement of income over the remaining term of the underlying financial instrument. Also, the transfer of the unrealized loss on cash flow hedges to the consolidated statement of income is presented in Note 18(c).</w:t>
      </w:r>
    </w:p>
    <w:p>
      <w:pPr>
        <w:spacing w:after="0" w:line="269" w:lineRule="exact"/>
        <w:rPr>
          <w:sz w:val="20"/>
          <w:szCs w:val="20"/>
          <w:color w:val="auto"/>
        </w:rPr>
      </w:pPr>
    </w:p>
    <w:p>
      <w:pPr>
        <w:jc w:val="center"/>
        <w:ind w:right="154"/>
        <w:spacing w:after="0"/>
        <w:rPr>
          <w:sz w:val="20"/>
          <w:szCs w:val="20"/>
          <w:color w:val="auto"/>
        </w:rPr>
      </w:pPr>
      <w:r>
        <w:rPr>
          <w:rFonts w:ascii="Arial" w:cs="Arial" w:eastAsia="Arial" w:hAnsi="Arial"/>
          <w:sz w:val="12"/>
          <w:szCs w:val="12"/>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9525</wp:posOffset>
            </wp:positionV>
            <wp:extent cx="7292340" cy="571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26"/>
          </w:cols>
          <w:pgMar w:left="374" w:top="671" w:right="199" w:bottom="1440" w:gutter="0" w:footer="0" w:header="0"/>
        </w:sectPr>
      </w:pPr>
    </w:p>
    <w:bookmarkStart w:id="99" w:name="page100"/>
    <w:bookmarkEnd w:id="99"/>
    <w:p>
      <w:pPr>
        <w:ind w:left="212" w:hanging="212"/>
        <w:spacing w:after="0" w:line="276" w:lineRule="auto"/>
        <w:tabs>
          <w:tab w:leader="none" w:pos="212"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Transactions in process include deposits received, granted and collected loans, funds transferred and other similar types of transactions, which are made in the final days of the month and not reclassified to their final accounts in the consolidated statement of financial position until the first days of the following month. The regularization of these transactions does not affect the Group’s net income.</w:t>
      </w:r>
    </w:p>
    <w:p>
      <w:pPr>
        <w:spacing w:after="0" w:line="114" w:lineRule="exact"/>
        <w:rPr>
          <w:rFonts w:ascii="Arial" w:cs="Arial" w:eastAsia="Arial" w:hAnsi="Arial"/>
          <w:sz w:val="12"/>
          <w:szCs w:val="12"/>
          <w:color w:val="auto"/>
        </w:rPr>
      </w:pPr>
    </w:p>
    <w:p>
      <w:pPr>
        <w:ind w:left="212" w:hanging="212"/>
        <w:spacing w:after="0"/>
        <w:tabs>
          <w:tab w:leader="none" w:pos="212" w:val="left"/>
        </w:tabs>
        <w:numPr>
          <w:ilvl w:val="0"/>
          <w:numId w:val="116"/>
        </w:numPr>
        <w:rPr>
          <w:rFonts w:ascii="Arial" w:cs="Arial" w:eastAsia="Arial" w:hAnsi="Arial"/>
          <w:sz w:val="12"/>
          <w:szCs w:val="12"/>
          <w:color w:val="auto"/>
        </w:rPr>
      </w:pPr>
      <w:r>
        <w:rPr>
          <w:rFonts w:ascii="Arial" w:cs="Arial" w:eastAsia="Arial" w:hAnsi="Arial"/>
          <w:sz w:val="12"/>
          <w:szCs w:val="12"/>
          <w:color w:val="auto"/>
        </w:rPr>
        <w:t>Credicorp’s principal associate is Entidad Prestadora de Salud (EPS), whose balance amounts to S/571.9 million and S/537.2 million at December 31, 2019 and 2018, respectively.</w:t>
      </w:r>
    </w:p>
    <w:p>
      <w:pPr>
        <w:spacing w:after="0" w:line="150" w:lineRule="exact"/>
        <w:rPr>
          <w:rFonts w:ascii="Arial" w:cs="Arial" w:eastAsia="Arial" w:hAnsi="Arial"/>
          <w:sz w:val="12"/>
          <w:szCs w:val="12"/>
          <w:color w:val="auto"/>
        </w:rPr>
      </w:pPr>
    </w:p>
    <w:p>
      <w:pPr>
        <w:ind w:left="212" w:hanging="212"/>
        <w:spacing w:after="0"/>
        <w:tabs>
          <w:tab w:leader="none" w:pos="212"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Investment properties -</w:t>
      </w:r>
    </w:p>
    <w:p>
      <w:pPr>
        <w:spacing w:after="0" w:line="150"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The movement of investment properties is as follows:</w:t>
      </w:r>
    </w:p>
    <w:p>
      <w:pPr>
        <w:spacing w:after="0" w:line="155" w:lineRule="exact"/>
        <w:rPr>
          <w:sz w:val="20"/>
          <w:szCs w:val="20"/>
          <w:color w:val="auto"/>
        </w:rPr>
      </w:pPr>
    </w:p>
    <w:tbl>
      <w:tblPr>
        <w:tblLayout w:type="fixed"/>
        <w:tblInd w:w="212"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r>
      <w:tr>
        <w:trPr>
          <w:trHeight w:val="142"/>
        </w:trPr>
        <w:tc>
          <w:tcPr>
            <w:tcW w:w="52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w w:val="95"/>
              </w:rPr>
              <w:t>Own assets</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780" w:type="dxa"/>
            <w:vAlign w:val="bottom"/>
          </w:tcPr>
          <w:p>
            <w:pPr>
              <w:jc w:val="center"/>
              <w:ind w:left="340"/>
              <w:spacing w:after="0"/>
              <w:rPr>
                <w:sz w:val="20"/>
                <w:szCs w:val="20"/>
                <w:color w:val="auto"/>
              </w:rPr>
            </w:pPr>
            <w:r>
              <w:rPr>
                <w:rFonts w:ascii="Arial" w:cs="Arial" w:eastAsia="Arial" w:hAnsi="Arial"/>
                <w:sz w:val="12"/>
                <w:szCs w:val="12"/>
                <w:b w:val="1"/>
                <w:bCs w:val="1"/>
                <w:color w:val="auto"/>
                <w:w w:val="90"/>
              </w:rPr>
              <w:t>Land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w w:val="98"/>
              </w:rPr>
              <w:t>Buildings</w:t>
            </w:r>
          </w:p>
        </w:tc>
        <w:tc>
          <w:tcPr>
            <w:tcW w:w="200" w:type="dxa"/>
            <w:vAlign w:val="bottom"/>
          </w:tcPr>
          <w:p>
            <w:pPr>
              <w:spacing w:after="0"/>
              <w:rPr>
                <w:sz w:val="12"/>
                <w:szCs w:val="12"/>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Total</w:t>
            </w:r>
          </w:p>
        </w:tc>
        <w:tc>
          <w:tcPr>
            <w:tcW w:w="12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33"/>
        </w:trPr>
        <w:tc>
          <w:tcPr>
            <w:tcW w:w="5240" w:type="dxa"/>
            <w:vAlign w:val="bottom"/>
          </w:tcPr>
          <w:p>
            <w:pPr>
              <w:spacing w:after="0"/>
              <w:rPr>
                <w:sz w:val="11"/>
                <w:szCs w:val="11"/>
                <w:color w:val="auto"/>
              </w:rPr>
            </w:pPr>
          </w:p>
        </w:tc>
        <w:tc>
          <w:tcPr>
            <w:tcW w:w="78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0"/>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right"/>
              <w:ind w:right="34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Cost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Balance at January 1</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239,225</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245,557</w:t>
            </w:r>
          </w:p>
        </w:tc>
        <w:tc>
          <w:tcPr>
            <w:tcW w:w="20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484,782</w:t>
            </w:r>
          </w:p>
        </w:tc>
        <w:tc>
          <w:tcPr>
            <w:tcW w:w="1260" w:type="dxa"/>
            <w:vAlign w:val="bottom"/>
            <w:gridSpan w:val="2"/>
          </w:tcPr>
          <w:p>
            <w:pPr>
              <w:jc w:val="right"/>
              <w:ind w:right="100"/>
              <w:spacing w:after="0"/>
              <w:rPr>
                <w:sz w:val="20"/>
                <w:szCs w:val="20"/>
                <w:color w:val="auto"/>
              </w:rPr>
            </w:pPr>
            <w:r>
              <w:rPr>
                <w:rFonts w:ascii="Arial" w:cs="Arial" w:eastAsia="Arial" w:hAnsi="Arial"/>
                <w:sz w:val="12"/>
                <w:szCs w:val="12"/>
                <w:color w:val="auto"/>
              </w:rPr>
              <w:t>498,625</w:t>
            </w:r>
          </w:p>
        </w:tc>
      </w:tr>
      <w:tr>
        <w:trPr>
          <w:trHeight w:val="144"/>
        </w:trPr>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Additions (i)</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23,931</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9,390</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33,321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49,519</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Sales (ii)</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(9,362)</w:t>
            </w:r>
          </w:p>
        </w:tc>
        <w:tc>
          <w:tcPr>
            <w:tcW w:w="2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(17,413)</w:t>
            </w: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(26,775)</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(16,165)</w:t>
            </w:r>
          </w:p>
        </w:tc>
      </w:tr>
      <w:tr>
        <w:trPr>
          <w:trHeight w:val="153"/>
        </w:trPr>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Disposals and others</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(753)</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(47,197)</w:t>
            </w:r>
          </w:p>
        </w:tc>
      </w:tr>
      <w:tr>
        <w:trPr>
          <w:trHeight w:val="133"/>
        </w:trPr>
        <w:tc>
          <w:tcPr>
            <w:tcW w:w="52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Balance at December 31</w:t>
            </w:r>
          </w:p>
        </w:tc>
        <w:tc>
          <w:tcPr>
            <w:tcW w:w="7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7"/>
              </w:rPr>
              <w:t>253,041</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238,325</w:t>
            </w:r>
          </w:p>
        </w:tc>
        <w:tc>
          <w:tcPr>
            <w:tcW w:w="20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491,366</w:t>
            </w:r>
          </w:p>
        </w:tc>
        <w:tc>
          <w:tcPr>
            <w:tcW w:w="220" w:type="dxa"/>
            <w:vAlign w:val="bottom"/>
            <w:tcBorders>
              <w:bottom w:val="single" w:sz="8" w:color="CCEEFF"/>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484,782</w:t>
            </w:r>
          </w:p>
        </w:tc>
        <w:tc>
          <w:tcPr>
            <w:tcW w:w="100" w:type="dxa"/>
            <w:vAlign w:val="bottom"/>
            <w:tcBorders>
              <w:bottom w:val="single" w:sz="8" w:color="CCEEFF"/>
            </w:tcBorders>
          </w:tcPr>
          <w:p>
            <w:pPr>
              <w:spacing w:after="0"/>
              <w:rPr>
                <w:sz w:val="11"/>
                <w:szCs w:val="11"/>
                <w:color w:val="auto"/>
              </w:rPr>
            </w:pPr>
          </w:p>
        </w:tc>
      </w:tr>
      <w:tr>
        <w:trPr>
          <w:trHeight w:val="133"/>
        </w:trPr>
        <w:tc>
          <w:tcPr>
            <w:tcW w:w="5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Accumulated depreciation</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43,488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43,488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39,770</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Depreciation for the year</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6,727</w:t>
            </w:r>
          </w:p>
        </w:tc>
        <w:tc>
          <w:tcPr>
            <w:tcW w:w="20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6,727</w:t>
            </w:r>
          </w:p>
        </w:tc>
        <w:tc>
          <w:tcPr>
            <w:tcW w:w="1260" w:type="dxa"/>
            <w:vAlign w:val="bottom"/>
            <w:gridSpan w:val="2"/>
          </w:tcPr>
          <w:p>
            <w:pPr>
              <w:jc w:val="right"/>
              <w:ind w:right="100"/>
              <w:spacing w:after="0"/>
              <w:rPr>
                <w:sz w:val="20"/>
                <w:szCs w:val="20"/>
                <w:color w:val="auto"/>
              </w:rPr>
            </w:pPr>
            <w:r>
              <w:rPr>
                <w:rFonts w:ascii="Arial" w:cs="Arial" w:eastAsia="Arial" w:hAnsi="Arial"/>
                <w:sz w:val="12"/>
                <w:szCs w:val="12"/>
                <w:color w:val="auto"/>
              </w:rPr>
              <w:t>7,405</w:t>
            </w:r>
          </w:p>
        </w:tc>
      </w:tr>
      <w:tr>
        <w:trPr>
          <w:trHeight w:val="144"/>
        </w:trPr>
        <w:tc>
          <w:tcPr>
            <w:tcW w:w="6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(ii)</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(11,435)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(11,435)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(3,154)</w:t>
            </w:r>
          </w:p>
        </w:tc>
      </w:tr>
      <w:tr>
        <w:trPr>
          <w:trHeight w:val="153"/>
        </w:trPr>
        <w:tc>
          <w:tcPr>
            <w:tcW w:w="6020" w:type="dxa"/>
            <w:vAlign w:val="bottom"/>
            <w:gridSpan w:val="2"/>
          </w:tcPr>
          <w:p>
            <w:pPr>
              <w:spacing w:after="0"/>
              <w:rPr>
                <w:sz w:val="20"/>
                <w:szCs w:val="20"/>
                <w:color w:val="auto"/>
              </w:rPr>
            </w:pPr>
            <w:r>
              <w:rPr>
                <w:rFonts w:ascii="Arial" w:cs="Arial" w:eastAsia="Arial" w:hAnsi="Arial"/>
                <w:sz w:val="12"/>
                <w:szCs w:val="12"/>
                <w:color w:val="auto"/>
              </w:rPr>
              <w:t>Disposals and others</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247</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247</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(533)</w:t>
            </w:r>
          </w:p>
        </w:tc>
      </w:tr>
      <w:tr>
        <w:trPr>
          <w:trHeight w:val="133"/>
        </w:trPr>
        <w:tc>
          <w:tcPr>
            <w:tcW w:w="52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December 31</w:t>
            </w: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39,027</w:t>
            </w:r>
          </w:p>
        </w:tc>
        <w:tc>
          <w:tcPr>
            <w:tcW w:w="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39,027</w:t>
            </w:r>
          </w:p>
        </w:tc>
        <w:tc>
          <w:tcPr>
            <w:tcW w:w="2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43,488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52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52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Impairment losses (iii)</w:t>
            </w:r>
          </w:p>
        </w:tc>
        <w:tc>
          <w:tcPr>
            <w:tcW w:w="7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689</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721</w:t>
            </w:r>
          </w:p>
        </w:tc>
        <w:tc>
          <w:tcPr>
            <w:tcW w:w="200" w:type="dxa"/>
            <w:vAlign w:val="bottom"/>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1,410</w:t>
            </w:r>
          </w:p>
        </w:tc>
        <w:tc>
          <w:tcPr>
            <w:tcW w:w="220" w:type="dxa"/>
            <w:vAlign w:val="bottom"/>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1,060</w:t>
            </w:r>
          </w:p>
        </w:tc>
        <w:tc>
          <w:tcPr>
            <w:tcW w:w="100" w:type="dxa"/>
            <w:vAlign w:val="bottom"/>
            <w:shd w:val="clear" w:color="auto" w:fill="CCEEFF"/>
          </w:tcPr>
          <w:p>
            <w:pPr>
              <w:spacing w:after="0"/>
              <w:rPr>
                <w:sz w:val="11"/>
                <w:szCs w:val="11"/>
                <w:color w:val="auto"/>
              </w:rPr>
            </w:pPr>
          </w:p>
        </w:tc>
      </w:tr>
      <w:tr>
        <w:trPr>
          <w:trHeight w:val="133"/>
        </w:trPr>
        <w:tc>
          <w:tcPr>
            <w:tcW w:w="52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67"/>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carrying amount</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252,352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198,577</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450,929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440,234</w:t>
            </w:r>
          </w:p>
        </w:tc>
      </w:tr>
      <w:tr>
        <w:trPr>
          <w:trHeight w:val="288"/>
        </w:trPr>
        <w:tc>
          <w:tcPr>
            <w:tcW w:w="524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Land and buildings are mainly used for office rental, which are free of all encumbrances.</w:t>
            </w: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35" w:lineRule="exact"/>
        <w:rPr>
          <w:sz w:val="20"/>
          <w:szCs w:val="20"/>
          <w:color w:val="auto"/>
        </w:rPr>
      </w:pPr>
    </w:p>
    <w:p>
      <w:pPr>
        <w:ind w:left="432" w:right="120" w:hanging="216"/>
        <w:spacing w:after="0" w:line="276" w:lineRule="auto"/>
        <w:tabs>
          <w:tab w:leader="none" w:pos="432"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 2019, the most important additions corresponded to the acquisition of 13th floor of Panorama Building located in the district of Santiago de Surco for approximately S/10.1 million (S/1.3 million for land and S/8.8 million for building) and land located in the district of San Martín de Porres for approximately S/8.7 million.</w:t>
      </w:r>
    </w:p>
    <w:p>
      <w:pPr>
        <w:spacing w:after="0" w:line="114" w:lineRule="exact"/>
        <w:rPr>
          <w:rFonts w:ascii="Arial" w:cs="Arial" w:eastAsia="Arial" w:hAnsi="Arial"/>
          <w:sz w:val="12"/>
          <w:szCs w:val="12"/>
          <w:color w:val="auto"/>
        </w:rPr>
      </w:pPr>
    </w:p>
    <w:p>
      <w:pPr>
        <w:ind w:left="432" w:right="160"/>
        <w:spacing w:after="0" w:line="276" w:lineRule="auto"/>
        <w:rPr>
          <w:rFonts w:ascii="Arial" w:cs="Arial" w:eastAsia="Arial" w:hAnsi="Arial"/>
          <w:sz w:val="12"/>
          <w:szCs w:val="12"/>
          <w:color w:val="auto"/>
        </w:rPr>
      </w:pPr>
      <w:r>
        <w:rPr>
          <w:rFonts w:ascii="Arial" w:cs="Arial" w:eastAsia="Arial" w:hAnsi="Arial"/>
          <w:sz w:val="12"/>
          <w:szCs w:val="12"/>
          <w:color w:val="auto"/>
        </w:rPr>
        <w:t>In 2018, the most important additions corresponded to the acquisition of two properties, one in the district of Lurín for approximately S/21.9 million and another in Chinchón Gallery for S/3.9 million. Also, the 15th floor of Panorama Building was acquired for S/10.0 million and two plots of land in the department of Trujillo for a total of S/9.5 million.</w:t>
      </w:r>
    </w:p>
    <w:p>
      <w:pPr>
        <w:spacing w:after="0" w:line="114" w:lineRule="exact"/>
        <w:rPr>
          <w:rFonts w:ascii="Arial" w:cs="Arial" w:eastAsia="Arial" w:hAnsi="Arial"/>
          <w:sz w:val="12"/>
          <w:szCs w:val="12"/>
          <w:color w:val="auto"/>
        </w:rPr>
      </w:pPr>
    </w:p>
    <w:p>
      <w:pPr>
        <w:ind w:left="432" w:right="200" w:hanging="216"/>
        <w:spacing w:after="0" w:line="276" w:lineRule="auto"/>
        <w:tabs>
          <w:tab w:leader="none" w:pos="432"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amount for the sales of 2019, is mainly made up of the sale of a property located in Camino Real 348, San Isidro, whose sale value was S/27.5 million (cost of disposal of the property amounted to S/6.3 million); and a property located in Manuel Maria Izaga Street, located in the province of Chiclayo, whose value was S/3.4 million (net cost of the property amounted to S/4.2 millions).</w:t>
      </w:r>
    </w:p>
    <w:p>
      <w:pPr>
        <w:spacing w:after="0" w:line="259" w:lineRule="exact"/>
        <w:rPr>
          <w:rFonts w:ascii="Arial" w:cs="Arial" w:eastAsia="Arial" w:hAnsi="Arial"/>
          <w:sz w:val="12"/>
          <w:szCs w:val="12"/>
          <w:color w:val="auto"/>
        </w:rPr>
      </w:pPr>
    </w:p>
    <w:p>
      <w:pPr>
        <w:ind w:left="5472" w:hanging="72"/>
        <w:spacing w:after="0"/>
        <w:tabs>
          <w:tab w:leader="none" w:pos="5472" w:val="left"/>
        </w:tabs>
        <w:numPr>
          <w:ilvl w:val="1"/>
          <w:numId w:val="117"/>
        </w:numPr>
        <w:rPr>
          <w:rFonts w:ascii="Arial" w:cs="Arial" w:eastAsia="Arial" w:hAnsi="Arial"/>
          <w:sz w:val="12"/>
          <w:szCs w:val="12"/>
          <w:color w:val="auto"/>
        </w:rPr>
      </w:pPr>
      <w:r>
        <w:rPr>
          <w:rFonts w:ascii="Arial" w:cs="Arial" w:eastAsia="Arial" w:hAnsi="Arial"/>
          <w:sz w:val="12"/>
          <w:szCs w:val="12"/>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72"/>
          </w:cols>
          <w:pgMar w:left="428" w:top="653" w:right="199" w:bottom="1440" w:gutter="0" w:footer="0" w:header="0"/>
        </w:sectPr>
      </w:pPr>
    </w:p>
    <w:bookmarkStart w:id="100" w:name="page101"/>
    <w:bookmarkEnd w:id="100"/>
    <w:p>
      <w:pPr>
        <w:ind w:left="648" w:right="80"/>
        <w:spacing w:after="0" w:line="276" w:lineRule="auto"/>
        <w:rPr>
          <w:sz w:val="20"/>
          <w:szCs w:val="20"/>
          <w:color w:val="auto"/>
        </w:rPr>
      </w:pPr>
      <w:r>
        <w:rPr>
          <w:rFonts w:ascii="Arial" w:cs="Arial" w:eastAsia="Arial" w:hAnsi="Arial"/>
          <w:sz w:val="12"/>
          <w:szCs w:val="12"/>
          <w:color w:val="auto"/>
        </w:rPr>
        <w:t>The balance of sales for the year 2018, mainly comprises of the disposal of a property located at Av. Santa Cruz, whose sale value was S/12.6 million (cost of the disposal of the property amounted to S/5.0 million). Likewise, land located at Av. Reducto and Av. Salaverry were sold for approximately S/10.1 million and S/2.9 million, whose disposal costs were S/6.5 million and S/2.0 million, respectively.</w:t>
      </w:r>
    </w:p>
    <w:p>
      <w:pPr>
        <w:spacing w:after="0" w:line="115" w:lineRule="exact"/>
        <w:rPr>
          <w:sz w:val="20"/>
          <w:szCs w:val="20"/>
          <w:color w:val="auto"/>
        </w:rPr>
      </w:pPr>
    </w:p>
    <w:p>
      <w:pPr>
        <w:ind w:left="648" w:right="80" w:hanging="216"/>
        <w:spacing w:after="0" w:line="276" w:lineRule="auto"/>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Group’s Management has determined that the recoverable value of its investment properties is greater than their net carrying amount, with the exception of a property located in the city of Ica, for which an impairment of S/0.3 million was recorded during 2019 (S/1.1 million during the period of 2018).</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As of December 31, 2019, and 2018, the market value of the property amounts to approximately S/937.8 million and S/805.2 million, respectively; which was determined through a valuation made by an independent appraiser.</w:t>
      </w:r>
    </w:p>
    <w:p>
      <w:pPr>
        <w:spacing w:after="0" w:line="162"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7620" w:type="dxa"/>
            <w:vAlign w:val="bottom"/>
            <w:gridSpan w:val="3"/>
          </w:tcPr>
          <w:p>
            <w:pPr>
              <w:spacing w:after="0"/>
              <w:rPr>
                <w:sz w:val="20"/>
                <w:szCs w:val="20"/>
                <w:color w:val="auto"/>
              </w:rPr>
            </w:pPr>
            <w:r>
              <w:rPr>
                <w:rFonts w:ascii="Arial" w:cs="Arial" w:eastAsia="Arial" w:hAnsi="Arial"/>
                <w:sz w:val="12"/>
                <w:szCs w:val="12"/>
                <w:color w:val="auto"/>
              </w:rPr>
              <w:t>f)   The movement of the provision for sundry risks for the years ended December 31, 2019, 2018 and 2017 was as follows: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76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2019</w:t>
            </w:r>
          </w:p>
        </w:tc>
        <w:tc>
          <w:tcPr>
            <w:tcW w:w="14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r>
      <w:tr>
        <w:trPr>
          <w:trHeight w:val="133"/>
        </w:trPr>
        <w:tc>
          <w:tcPr>
            <w:tcW w:w="2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780" w:type="dxa"/>
            <w:vAlign w:val="bottom"/>
            <w:tcBorders>
              <w:top w:val="single" w:sz="8" w:color="auto"/>
            </w:tcBorders>
          </w:tcPr>
          <w:p>
            <w:pPr>
              <w:jc w:val="center"/>
              <w:ind w:left="36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ind w:left="36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at the beginning of the year</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342,350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275,841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296,339</w:t>
            </w:r>
          </w:p>
        </w:tc>
        <w:tc>
          <w:tcPr>
            <w:tcW w:w="100" w:type="dxa"/>
            <w:vAlign w:val="bottom"/>
            <w:tcBorders>
              <w:left w:val="single" w:sz="8" w:color="CCEEFF"/>
            </w:tcBorders>
            <w:shd w:val="clear" w:color="auto" w:fill="CCEE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7400" w:type="dxa"/>
            <w:vAlign w:val="bottom"/>
            <w:gridSpan w:val="2"/>
          </w:tcPr>
          <w:p>
            <w:pPr>
              <w:spacing w:after="0"/>
              <w:rPr>
                <w:sz w:val="20"/>
                <w:szCs w:val="20"/>
                <w:color w:val="auto"/>
              </w:rPr>
            </w:pPr>
            <w:r>
              <w:rPr>
                <w:rFonts w:ascii="Arial" w:cs="Arial" w:eastAsia="Arial" w:hAnsi="Arial"/>
                <w:sz w:val="12"/>
                <w:szCs w:val="12"/>
                <w:color w:val="auto"/>
              </w:rPr>
              <w:t>Provision, Note 29</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27,272</w:t>
            </w:r>
          </w:p>
        </w:tc>
        <w:tc>
          <w:tcPr>
            <w:tcW w:w="7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42,236</w:t>
            </w:r>
          </w:p>
        </w:tc>
        <w:tc>
          <w:tcPr>
            <w:tcW w:w="1160" w:type="dxa"/>
            <w:vAlign w:val="bottom"/>
          </w:tcPr>
          <w:p>
            <w:pPr>
              <w:jc w:val="right"/>
              <w:spacing w:after="0"/>
              <w:rPr>
                <w:sz w:val="20"/>
                <w:szCs w:val="20"/>
                <w:color w:val="auto"/>
              </w:rPr>
            </w:pPr>
            <w:r>
              <w:rPr>
                <w:rFonts w:ascii="Arial" w:cs="Arial" w:eastAsia="Arial" w:hAnsi="Arial"/>
                <w:sz w:val="12"/>
                <w:szCs w:val="12"/>
                <w:color w:val="auto"/>
              </w:rPr>
              <w:t>29,023</w:t>
            </w:r>
          </w:p>
        </w:tc>
        <w:tc>
          <w:tcPr>
            <w:tcW w:w="10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net</w:t>
            </w:r>
          </w:p>
        </w:tc>
        <w:tc>
          <w:tcPr>
            <w:tcW w:w="7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(9,769)</w:t>
            </w:r>
          </w:p>
        </w:tc>
        <w:tc>
          <w:tcPr>
            <w:tcW w:w="7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24,273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(49,521)</w:t>
            </w:r>
          </w:p>
        </w:tc>
      </w:tr>
      <w:tr>
        <w:trPr>
          <w:trHeight w:val="20"/>
        </w:trPr>
        <w:tc>
          <w:tcPr>
            <w:tcW w:w="2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6620" w:type="dxa"/>
            <w:vAlign w:val="bottom"/>
          </w:tcPr>
          <w:p>
            <w:pPr>
              <w:spacing w:after="0"/>
              <w:rPr>
                <w:sz w:val="20"/>
                <w:szCs w:val="20"/>
                <w:color w:val="auto"/>
              </w:rPr>
            </w:pPr>
            <w:r>
              <w:rPr>
                <w:rFonts w:ascii="Arial" w:cs="Arial" w:eastAsia="Arial" w:hAnsi="Arial"/>
                <w:sz w:val="12"/>
                <w:szCs w:val="12"/>
                <w:b w:val="1"/>
                <w:bCs w:val="1"/>
                <w:color w:val="auto"/>
              </w:rPr>
              <w:t>Balances at the end of the year</w:t>
            </w: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359,853</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342,350</w:t>
            </w:r>
          </w:p>
        </w:tc>
        <w:tc>
          <w:tcPr>
            <w:tcW w:w="1160" w:type="dxa"/>
            <w:vAlign w:val="bottom"/>
          </w:tcPr>
          <w:p>
            <w:pPr>
              <w:jc w:val="right"/>
              <w:spacing w:after="0"/>
              <w:rPr>
                <w:sz w:val="20"/>
                <w:szCs w:val="20"/>
                <w:color w:val="auto"/>
              </w:rPr>
            </w:pPr>
            <w:r>
              <w:rPr>
                <w:rFonts w:ascii="Arial" w:cs="Arial" w:eastAsia="Arial" w:hAnsi="Arial"/>
                <w:sz w:val="12"/>
                <w:szCs w:val="12"/>
                <w:color w:val="auto"/>
              </w:rPr>
              <w:t>275,841</w:t>
            </w:r>
          </w:p>
        </w:tc>
        <w:tc>
          <w:tcPr>
            <w:tcW w:w="100" w:type="dxa"/>
            <w:vAlign w:val="bottom"/>
          </w:tcPr>
          <w:p>
            <w:pPr>
              <w:spacing w:after="0"/>
              <w:rPr>
                <w:sz w:val="13"/>
                <w:szCs w:val="13"/>
                <w:color w:val="auto"/>
              </w:rPr>
            </w:pPr>
          </w:p>
        </w:tc>
      </w:tr>
      <w:tr>
        <w:trPr>
          <w:trHeight w:val="27"/>
        </w:trPr>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bl>
    <w:p>
      <w:pPr>
        <w:spacing w:after="0" w:line="135" w:lineRule="exact"/>
        <w:rPr>
          <w:sz w:val="20"/>
          <w:szCs w:val="20"/>
          <w:color w:val="auto"/>
        </w:rPr>
      </w:pPr>
    </w:p>
    <w:p>
      <w:pPr>
        <w:jc w:val="both"/>
        <w:ind w:left="428" w:right="60"/>
        <w:spacing w:after="0" w:line="263" w:lineRule="auto"/>
        <w:rPr>
          <w:sz w:val="20"/>
          <w:szCs w:val="20"/>
          <w:color w:val="auto"/>
        </w:rPr>
      </w:pPr>
      <w:r>
        <w:rPr>
          <w:rFonts w:ascii="Arial" w:cs="Arial" w:eastAsia="Arial" w:hAnsi="Arial"/>
          <w:sz w:val="12"/>
          <w:szCs w:val="12"/>
          <w:color w:val="auto"/>
        </w:rPr>
        <w:t>Because of the nature of its business, the Group has various pending lawsuits, which provisions are recorded when, in Management's and its in-house legal advisors opinion, it is likely that these may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123" w:lineRule="exact"/>
        <w:rPr>
          <w:sz w:val="20"/>
          <w:szCs w:val="20"/>
          <w:color w:val="auto"/>
        </w:rPr>
      </w:pPr>
    </w:p>
    <w:p>
      <w:pPr>
        <w:ind w:left="428" w:right="80" w:hanging="212"/>
        <w:spacing w:after="0" w:line="276" w:lineRule="auto"/>
        <w:tabs>
          <w:tab w:leader="none" w:pos="42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balance corresponds mainly to the payment in favor of Latam Airlines Group S.A. Sucursal Perú for US$202.0 million (equivalent in soles to S/669.4 million) on account of Latam Pass Miles that the Bank must acquire from January 2020.</w:t>
      </w:r>
    </w:p>
    <w:p>
      <w:pPr>
        <w:spacing w:after="0" w:line="111" w:lineRule="exact"/>
        <w:rPr>
          <w:sz w:val="20"/>
          <w:szCs w:val="20"/>
          <w:color w:val="auto"/>
        </w:rPr>
      </w:pPr>
    </w:p>
    <w:p>
      <w:pPr>
        <w:ind w:left="208" w:hanging="208"/>
        <w:spacing w:after="0"/>
        <w:tabs>
          <w:tab w:leader="none" w:pos="208"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DEPOSITS AND OBLIGATIONS</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20"/>
        </w:numPr>
        <w:rPr>
          <w:rFonts w:ascii="Arial" w:cs="Arial" w:eastAsia="Arial" w:hAnsi="Arial"/>
          <w:sz w:val="12"/>
          <w:szCs w:val="12"/>
          <w:color w:val="auto"/>
        </w:rPr>
      </w:pPr>
      <w:r>
        <w:rPr>
          <w:rFonts w:ascii="Arial" w:cs="Arial" w:eastAsia="Arial" w:hAnsi="Arial"/>
          <w:sz w:val="12"/>
          <w:szCs w:val="12"/>
          <w:color w:val="auto"/>
        </w:rPr>
        <w:t>This item consists of the following:</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6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00" w:type="dxa"/>
            <w:vAlign w:val="bottom"/>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Demand deposits</w:t>
            </w:r>
          </w:p>
        </w:tc>
        <w:tc>
          <w:tcPr>
            <w:tcW w:w="4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34,213,188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32,515,163</w:t>
            </w:r>
          </w:p>
        </w:tc>
        <w:tc>
          <w:tcPr>
            <w:tcW w:w="18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Time deposits (c)</w:t>
            </w:r>
          </w:p>
        </w:tc>
        <w:tc>
          <w:tcPr>
            <w:tcW w:w="4780" w:type="dxa"/>
            <w:vAlign w:val="bottom"/>
            <w:gridSpan w:val="3"/>
          </w:tcPr>
          <w:p>
            <w:pPr>
              <w:jc w:val="right"/>
              <w:ind w:right="180"/>
              <w:spacing w:after="0"/>
              <w:rPr>
                <w:sz w:val="20"/>
                <w:szCs w:val="20"/>
                <w:color w:val="auto"/>
              </w:rPr>
            </w:pPr>
            <w:r>
              <w:rPr>
                <w:rFonts w:ascii="Arial" w:cs="Arial" w:eastAsia="Arial" w:hAnsi="Arial"/>
                <w:sz w:val="12"/>
                <w:szCs w:val="12"/>
                <w:color w:val="auto"/>
              </w:rPr>
              <w:t>32,853,576</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30,426,744</w:t>
            </w:r>
          </w:p>
        </w:tc>
        <w:tc>
          <w:tcPr>
            <w:tcW w:w="18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Saving deposits</w:t>
            </w:r>
          </w:p>
        </w:tc>
        <w:tc>
          <w:tcPr>
            <w:tcW w:w="4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35,179,770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32,593,979</w:t>
            </w:r>
          </w:p>
        </w:tc>
        <w:tc>
          <w:tcPr>
            <w:tcW w:w="18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Severance indemnity deposits</w:t>
            </w:r>
          </w:p>
        </w:tc>
        <w:tc>
          <w:tcPr>
            <w:tcW w:w="4780" w:type="dxa"/>
            <w:vAlign w:val="bottom"/>
            <w:gridSpan w:val="3"/>
          </w:tcPr>
          <w:p>
            <w:pPr>
              <w:jc w:val="right"/>
              <w:ind w:right="180"/>
              <w:spacing w:after="0"/>
              <w:rPr>
                <w:sz w:val="20"/>
                <w:szCs w:val="20"/>
                <w:color w:val="auto"/>
              </w:rPr>
            </w:pPr>
            <w:r>
              <w:rPr>
                <w:rFonts w:ascii="Arial" w:cs="Arial" w:eastAsia="Arial" w:hAnsi="Arial"/>
                <w:sz w:val="12"/>
                <w:szCs w:val="12"/>
                <w:color w:val="auto"/>
              </w:rPr>
              <w:t>7,897,199</w:t>
            </w:r>
          </w:p>
        </w:tc>
        <w:tc>
          <w:tcPr>
            <w:tcW w:w="1000" w:type="dxa"/>
            <w:vAlign w:val="bottom"/>
          </w:tcPr>
          <w:p>
            <w:pPr>
              <w:jc w:val="right"/>
              <w:spacing w:after="0"/>
              <w:rPr>
                <w:sz w:val="20"/>
                <w:szCs w:val="20"/>
                <w:color w:val="auto"/>
              </w:rPr>
            </w:pPr>
            <w:r>
              <w:rPr>
                <w:rFonts w:ascii="Arial" w:cs="Arial" w:eastAsia="Arial" w:hAnsi="Arial"/>
                <w:sz w:val="12"/>
                <w:szCs w:val="12"/>
                <w:color w:val="auto"/>
              </w:rPr>
              <w:t>7,571,375</w:t>
            </w: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Bank’s negotiable certificates</w:t>
            </w:r>
          </w:p>
        </w:tc>
        <w:tc>
          <w:tcPr>
            <w:tcW w:w="4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1,180,461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876,863</w:t>
            </w:r>
          </w:p>
        </w:tc>
        <w:tc>
          <w:tcPr>
            <w:tcW w:w="100" w:type="dxa"/>
            <w:vAlign w:val="bottom"/>
            <w:shd w:val="clear" w:color="auto" w:fill="CCEEFF"/>
          </w:tcPr>
          <w:p>
            <w:pPr>
              <w:spacing w:after="0"/>
              <w:rPr>
                <w:sz w:val="13"/>
                <w:szCs w:val="13"/>
                <w:color w:val="auto"/>
              </w:rPr>
            </w:pPr>
          </w:p>
        </w:tc>
        <w:tc>
          <w:tcPr>
            <w:tcW w:w="186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3320" w:type="dxa"/>
            <w:vAlign w:val="bottom"/>
          </w:tcPr>
          <w:p>
            <w:pPr>
              <w:spacing w:after="0" w:line="133" w:lineRule="exact"/>
              <w:rPr>
                <w:sz w:val="20"/>
                <w:szCs w:val="20"/>
                <w:color w:val="auto"/>
              </w:rPr>
            </w:pPr>
            <w:r>
              <w:rPr>
                <w:rFonts w:ascii="Arial" w:cs="Arial" w:eastAsia="Arial" w:hAnsi="Arial"/>
                <w:sz w:val="12"/>
                <w:szCs w:val="12"/>
                <w:b w:val="1"/>
                <w:bCs w:val="1"/>
                <w:color w:val="auto"/>
              </w:rPr>
              <w:t>Total</w:t>
            </w:r>
          </w:p>
        </w:tc>
        <w:tc>
          <w:tcPr>
            <w:tcW w:w="35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111,324,194</w:t>
            </w:r>
          </w:p>
        </w:tc>
        <w:tc>
          <w:tcPr>
            <w:tcW w:w="18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103,984,124</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Interest payable</w:t>
            </w:r>
          </w:p>
        </w:tc>
        <w:tc>
          <w:tcPr>
            <w:tcW w:w="358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681,191</w:t>
            </w:r>
          </w:p>
        </w:tc>
        <w:tc>
          <w:tcPr>
            <w:tcW w:w="1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567,186</w:t>
            </w:r>
          </w:p>
        </w:tc>
        <w:tc>
          <w:tcPr>
            <w:tcW w:w="100" w:type="dxa"/>
            <w:vAlign w:val="bottom"/>
            <w:shd w:val="clear" w:color="auto" w:fill="CCEEFF"/>
          </w:tcPr>
          <w:p>
            <w:pPr>
              <w:spacing w:after="0"/>
              <w:rPr>
                <w:sz w:val="13"/>
                <w:szCs w:val="13"/>
                <w:color w:val="auto"/>
              </w:rPr>
            </w:pPr>
          </w:p>
        </w:tc>
        <w:tc>
          <w:tcPr>
            <w:tcW w:w="1860" w:type="dxa"/>
            <w:vAlign w:val="bottom"/>
          </w:tcPr>
          <w:p>
            <w:pPr>
              <w:spacing w:after="0"/>
              <w:rPr>
                <w:sz w:val="13"/>
                <w:szCs w:val="13"/>
                <w:color w:val="auto"/>
              </w:rPr>
            </w:pPr>
          </w:p>
        </w:tc>
      </w:tr>
      <w:tr>
        <w:trPr>
          <w:trHeight w:val="167"/>
        </w:trPr>
        <w:tc>
          <w:tcPr>
            <w:tcW w:w="4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4780" w:type="dxa"/>
            <w:vAlign w:val="bottom"/>
            <w:gridSpan w:val="3"/>
          </w:tcPr>
          <w:p>
            <w:pPr>
              <w:jc w:val="right"/>
              <w:ind w:right="180"/>
              <w:spacing w:after="0"/>
              <w:rPr>
                <w:sz w:val="20"/>
                <w:szCs w:val="20"/>
                <w:color w:val="auto"/>
              </w:rPr>
            </w:pPr>
            <w:r>
              <w:rPr>
                <w:rFonts w:ascii="Arial" w:cs="Arial" w:eastAsia="Arial" w:hAnsi="Arial"/>
                <w:sz w:val="12"/>
                <w:szCs w:val="12"/>
                <w:color w:val="auto"/>
              </w:rPr>
              <w:t>112,005,385</w:t>
            </w:r>
          </w:p>
        </w:tc>
        <w:tc>
          <w:tcPr>
            <w:tcW w:w="1000" w:type="dxa"/>
            <w:vAlign w:val="bottom"/>
          </w:tcPr>
          <w:p>
            <w:pPr>
              <w:jc w:val="right"/>
              <w:spacing w:after="0"/>
              <w:rPr>
                <w:sz w:val="20"/>
                <w:szCs w:val="20"/>
                <w:color w:val="auto"/>
              </w:rPr>
            </w:pPr>
            <w:r>
              <w:rPr>
                <w:rFonts w:ascii="Arial" w:cs="Arial" w:eastAsia="Arial" w:hAnsi="Arial"/>
                <w:sz w:val="12"/>
                <w:szCs w:val="12"/>
                <w:color w:val="auto"/>
              </w:rPr>
              <w:t>104,551,310</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450"/>
        </w:trPr>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color w:val="auto"/>
              </w:rPr>
              <w:t>- 96 -</w:t>
            </w:r>
          </w:p>
        </w:tc>
        <w:tc>
          <w:tcPr>
            <w:tcW w:w="10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88"/>
          </w:cols>
          <w:pgMar w:left="212" w:top="653" w:right="199" w:bottom="1440" w:gutter="0" w:footer="0" w:header="0"/>
        </w:sectPr>
      </w:pPr>
    </w:p>
    <w:bookmarkStart w:id="101" w:name="page102"/>
    <w:bookmarkEnd w:id="101"/>
    <w:p>
      <w:pPr>
        <w:ind w:left="220"/>
        <w:spacing w:after="0" w:line="276" w:lineRule="auto"/>
        <w:rPr>
          <w:sz w:val="20"/>
          <w:szCs w:val="20"/>
          <w:color w:val="auto"/>
        </w:rPr>
      </w:pPr>
      <w:r>
        <w:rPr>
          <w:rFonts w:ascii="Arial" w:cs="Arial" w:eastAsia="Arial" w:hAnsi="Arial"/>
          <w:sz w:val="12"/>
          <w:szCs w:val="12"/>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7220" w:type="dxa"/>
            <w:vAlign w:val="bottom"/>
            <w:gridSpan w:val="2"/>
          </w:tcPr>
          <w:p>
            <w:pPr>
              <w:spacing w:after="0"/>
              <w:rPr>
                <w:sz w:val="20"/>
                <w:szCs w:val="20"/>
                <w:color w:val="auto"/>
              </w:rPr>
            </w:pPr>
            <w:r>
              <w:rPr>
                <w:rFonts w:ascii="Arial" w:cs="Arial" w:eastAsia="Arial" w:hAnsi="Arial"/>
                <w:sz w:val="12"/>
                <w:szCs w:val="12"/>
                <w:color w:val="auto"/>
                <w:w w:val="91"/>
              </w:rPr>
              <w:t>Interest rates are determined by the Group considering the interest rates prevailing in the market in which each of the Group’s subsidiaries operates.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0"/>
                <w:szCs w:val="20"/>
                <w:color w:val="auto"/>
              </w:rPr>
            </w:pPr>
            <w:r>
              <w:rPr>
                <w:rFonts w:ascii="Arial" w:cs="Arial" w:eastAsia="Arial" w:hAnsi="Arial"/>
                <w:sz w:val="12"/>
                <w:szCs w:val="12"/>
                <w:color w:val="auto"/>
              </w:rPr>
              <w:t>b)</w:t>
            </w:r>
          </w:p>
        </w:tc>
        <w:tc>
          <w:tcPr>
            <w:tcW w:w="7220" w:type="dxa"/>
            <w:vAlign w:val="bottom"/>
            <w:gridSpan w:val="2"/>
          </w:tcPr>
          <w:p>
            <w:pPr>
              <w:spacing w:after="0"/>
              <w:rPr>
                <w:sz w:val="20"/>
                <w:szCs w:val="20"/>
                <w:color w:val="auto"/>
              </w:rPr>
            </w:pPr>
            <w:r>
              <w:rPr>
                <w:rFonts w:ascii="Arial" w:cs="Arial" w:eastAsia="Arial" w:hAnsi="Arial"/>
                <w:sz w:val="12"/>
                <w:szCs w:val="12"/>
                <w:color w:val="auto"/>
              </w:rPr>
              <w:t>The amounts of non-interest-bearing and interest-bearing deposits and obligations are presented below:</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8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Non-interest-bearing -</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tcPr>
          <w:p>
            <w:pPr>
              <w:ind w:left="120"/>
              <w:spacing w:after="0"/>
              <w:rPr>
                <w:sz w:val="20"/>
                <w:szCs w:val="20"/>
                <w:color w:val="auto"/>
              </w:rPr>
            </w:pPr>
            <w:r>
              <w:rPr>
                <w:rFonts w:ascii="Arial" w:cs="Arial" w:eastAsia="Arial" w:hAnsi="Arial"/>
                <w:sz w:val="12"/>
                <w:szCs w:val="12"/>
                <w:color w:val="auto"/>
              </w:rPr>
              <w:t>In Peru</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31,155,442</w:t>
            </w:r>
          </w:p>
        </w:tc>
        <w:tc>
          <w:tcPr>
            <w:tcW w:w="920" w:type="dxa"/>
            <w:vAlign w:val="bottom"/>
          </w:tcPr>
          <w:p>
            <w:pPr>
              <w:jc w:val="right"/>
              <w:spacing w:after="0"/>
              <w:rPr>
                <w:sz w:val="20"/>
                <w:szCs w:val="20"/>
                <w:color w:val="auto"/>
              </w:rPr>
            </w:pPr>
            <w:r>
              <w:rPr>
                <w:rFonts w:ascii="Arial" w:cs="Arial" w:eastAsia="Arial" w:hAnsi="Arial"/>
                <w:sz w:val="12"/>
                <w:szCs w:val="12"/>
                <w:color w:val="auto"/>
              </w:rPr>
              <w:t>29,552,904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 other countries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2,674,724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2,696,702</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33,830,166</w:t>
            </w:r>
          </w:p>
        </w:tc>
        <w:tc>
          <w:tcPr>
            <w:tcW w:w="1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32,249,606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tcPr>
          <w:p>
            <w:pPr>
              <w:spacing w:after="0"/>
              <w:rPr>
                <w:sz w:val="20"/>
                <w:szCs w:val="20"/>
                <w:color w:val="auto"/>
              </w:rPr>
            </w:pPr>
            <w:r>
              <w:rPr>
                <w:rFonts w:ascii="Arial" w:cs="Arial" w:eastAsia="Arial" w:hAnsi="Arial"/>
                <w:sz w:val="12"/>
                <w:szCs w:val="12"/>
                <w:b w:val="1"/>
                <w:bCs w:val="1"/>
                <w:color w:val="auto"/>
              </w:rPr>
              <w:t>Interest-bearing -</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 Peru</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68,899,966</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63,938,399</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7220" w:type="dxa"/>
            <w:vAlign w:val="bottom"/>
            <w:gridSpan w:val="2"/>
          </w:tcPr>
          <w:p>
            <w:pPr>
              <w:ind w:left="120"/>
              <w:spacing w:after="0"/>
              <w:rPr>
                <w:sz w:val="20"/>
                <w:szCs w:val="20"/>
                <w:color w:val="auto"/>
              </w:rPr>
            </w:pPr>
            <w:r>
              <w:rPr>
                <w:rFonts w:ascii="Arial" w:cs="Arial" w:eastAsia="Arial" w:hAnsi="Arial"/>
                <w:sz w:val="12"/>
                <w:szCs w:val="12"/>
                <w:color w:val="auto"/>
              </w:rPr>
              <w:t>In other countries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8,594,062</w:t>
            </w:r>
          </w:p>
        </w:tc>
        <w:tc>
          <w:tcPr>
            <w:tcW w:w="920" w:type="dxa"/>
            <w:vAlign w:val="bottom"/>
          </w:tcPr>
          <w:p>
            <w:pPr>
              <w:jc w:val="right"/>
              <w:spacing w:after="0"/>
              <w:rPr>
                <w:sz w:val="20"/>
                <w:szCs w:val="20"/>
                <w:color w:val="auto"/>
              </w:rPr>
            </w:pPr>
            <w:r>
              <w:rPr>
                <w:rFonts w:ascii="Arial" w:cs="Arial" w:eastAsia="Arial" w:hAnsi="Arial"/>
                <w:sz w:val="12"/>
                <w:szCs w:val="12"/>
                <w:color w:val="auto"/>
              </w:rPr>
              <w:t>7,796,119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77,494,028</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71,734,518</w:t>
            </w: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111,324,194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103,984,124</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0"/>
                <w:szCs w:val="20"/>
                <w:color w:val="auto"/>
              </w:rPr>
            </w:pPr>
            <w:r>
              <w:rPr>
                <w:rFonts w:ascii="Arial" w:cs="Arial" w:eastAsia="Arial" w:hAnsi="Arial"/>
                <w:sz w:val="12"/>
                <w:szCs w:val="12"/>
                <w:color w:val="auto"/>
              </w:rPr>
              <w:t>c)</w:t>
            </w:r>
          </w:p>
        </w:tc>
        <w:tc>
          <w:tcPr>
            <w:tcW w:w="708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The balance of time deposits classified by maturity is as follows:</w:t>
            </w: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8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Up to 3 months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14,674,773</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14,771,836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tcPr>
          <w:p>
            <w:pPr>
              <w:spacing w:after="0"/>
              <w:rPr>
                <w:sz w:val="20"/>
                <w:szCs w:val="20"/>
                <w:color w:val="auto"/>
              </w:rPr>
            </w:pPr>
            <w:r>
              <w:rPr>
                <w:rFonts w:ascii="Arial" w:cs="Arial" w:eastAsia="Arial" w:hAnsi="Arial"/>
                <w:sz w:val="12"/>
                <w:szCs w:val="12"/>
                <w:color w:val="auto"/>
              </w:rPr>
              <w:t>From 3 months to 1 year</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8,975,269</w:t>
            </w:r>
          </w:p>
        </w:tc>
        <w:tc>
          <w:tcPr>
            <w:tcW w:w="920" w:type="dxa"/>
            <w:vAlign w:val="bottom"/>
          </w:tcPr>
          <w:p>
            <w:pPr>
              <w:jc w:val="right"/>
              <w:spacing w:after="0"/>
              <w:rPr>
                <w:sz w:val="20"/>
                <w:szCs w:val="20"/>
                <w:color w:val="auto"/>
              </w:rPr>
            </w:pPr>
            <w:r>
              <w:rPr>
                <w:rFonts w:ascii="Arial" w:cs="Arial" w:eastAsia="Arial" w:hAnsi="Arial"/>
                <w:sz w:val="12"/>
                <w:szCs w:val="12"/>
                <w:color w:val="auto"/>
              </w:rPr>
              <w:t>8,177,435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6,096,891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4,506,612</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20" w:type="dxa"/>
            <w:vAlign w:val="bottom"/>
            <w:gridSpan w:val="2"/>
          </w:tcPr>
          <w:p>
            <w:pPr>
              <w:spacing w:after="0"/>
              <w:rPr>
                <w:sz w:val="20"/>
                <w:szCs w:val="20"/>
                <w:color w:val="auto"/>
              </w:rPr>
            </w:pPr>
            <w:r>
              <w:rPr>
                <w:rFonts w:ascii="Arial" w:cs="Arial" w:eastAsia="Arial" w:hAnsi="Arial"/>
                <w:sz w:val="12"/>
                <w:szCs w:val="12"/>
                <w:color w:val="auto"/>
              </w:rPr>
              <w:t>From 3 to 5 years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819,446</w:t>
            </w:r>
          </w:p>
        </w:tc>
        <w:tc>
          <w:tcPr>
            <w:tcW w:w="920" w:type="dxa"/>
            <w:vAlign w:val="bottom"/>
          </w:tcPr>
          <w:p>
            <w:pPr>
              <w:jc w:val="right"/>
              <w:spacing w:after="0"/>
              <w:rPr>
                <w:sz w:val="20"/>
                <w:szCs w:val="20"/>
                <w:color w:val="auto"/>
              </w:rPr>
            </w:pPr>
            <w:r>
              <w:rPr>
                <w:rFonts w:ascii="Arial" w:cs="Arial" w:eastAsia="Arial" w:hAnsi="Arial"/>
                <w:sz w:val="12"/>
                <w:szCs w:val="12"/>
                <w:color w:val="auto"/>
              </w:rPr>
              <w:t>846,696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2,287,197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2,124,165</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8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7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32,853,576</w:t>
            </w:r>
          </w:p>
        </w:tc>
        <w:tc>
          <w:tcPr>
            <w:tcW w:w="920" w:type="dxa"/>
            <w:vAlign w:val="bottom"/>
          </w:tcPr>
          <w:p>
            <w:pPr>
              <w:jc w:val="right"/>
              <w:spacing w:after="0"/>
              <w:rPr>
                <w:sz w:val="20"/>
                <w:szCs w:val="20"/>
                <w:color w:val="auto"/>
              </w:rPr>
            </w:pPr>
            <w:r>
              <w:rPr>
                <w:rFonts w:ascii="Arial" w:cs="Arial" w:eastAsia="Arial" w:hAnsi="Arial"/>
                <w:sz w:val="12"/>
                <w:szCs w:val="12"/>
                <w:color w:val="auto"/>
              </w:rPr>
              <w:t>30,426,744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Management’s opinion the Group’s deposits and obligations are diversified with no significant concentrations as of December 31, 2019 and 2018.</w:t>
      </w:r>
    </w:p>
    <w:p>
      <w:pPr>
        <w:spacing w:after="0" w:line="150" w:lineRule="exact"/>
        <w:rPr>
          <w:sz w:val="20"/>
          <w:szCs w:val="20"/>
          <w:color w:val="auto"/>
        </w:rPr>
      </w:pPr>
    </w:p>
    <w:p>
      <w:pPr>
        <w:ind w:left="220" w:right="100"/>
        <w:spacing w:after="0" w:line="276" w:lineRule="auto"/>
        <w:rPr>
          <w:sz w:val="20"/>
          <w:szCs w:val="20"/>
          <w:color w:val="auto"/>
        </w:rPr>
      </w:pPr>
      <w:r>
        <w:rPr>
          <w:rFonts w:ascii="Arial" w:cs="Arial" w:eastAsia="Arial" w:hAnsi="Arial"/>
          <w:sz w:val="12"/>
          <w:szCs w:val="12"/>
          <w:color w:val="auto"/>
        </w:rPr>
        <w:t>At December 31, 2019 and 2018, of the total balance of deposits and obligations, approximately S/35,511.9 million and S/33,571.8 million, respectively, are secured by the Peruvian “Fondo de Seguro de Depósitos” (Deposit Insurance Fund). At said dates, maximum amount of coverage per depositor recognized by “Fondo de Seguro de Depósitos” totaled S/100,661 and S/100,864, respectively.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60"/>
          </w:cols>
          <w:pgMar w:left="420" w:top="671" w:right="4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57"/>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rPr>
              <w:t>15  DUE TO BANKS AND CORRESPONDENTS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0" w:type="dxa"/>
            <w:vAlign w:val="bottom"/>
          </w:tcPr>
          <w:p>
            <w:pPr>
              <w:ind w:left="200"/>
              <w:spacing w:after="0"/>
              <w:rPr>
                <w:sz w:val="20"/>
                <w:szCs w:val="20"/>
                <w:color w:val="auto"/>
              </w:rPr>
            </w:pPr>
            <w:r>
              <w:rPr>
                <w:rFonts w:ascii="Arial" w:cs="Arial" w:eastAsia="Arial" w:hAnsi="Arial"/>
                <w:sz w:val="12"/>
                <w:szCs w:val="12"/>
                <w:color w:val="auto"/>
              </w:rPr>
              <w:t>a)</w:t>
            </w:r>
          </w:p>
        </w:tc>
        <w:tc>
          <w:tcPr>
            <w:tcW w:w="7080" w:type="dxa"/>
            <w:vAlign w:val="bottom"/>
          </w:tcPr>
          <w:p>
            <w:pPr>
              <w:spacing w:after="0"/>
              <w:rPr>
                <w:sz w:val="20"/>
                <w:szCs w:val="20"/>
                <w:color w:val="auto"/>
              </w:rPr>
            </w:pPr>
            <w:r>
              <w:rPr>
                <w:rFonts w:ascii="Arial" w:cs="Arial" w:eastAsia="Arial" w:hAnsi="Arial"/>
                <w:sz w:val="12"/>
                <w:szCs w:val="12"/>
                <w:color w:val="auto"/>
              </w:rPr>
              <w:t>This item consists of the following:</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International funds and others (b)</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5,654,014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5,460,725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Promotional credit lines (c)</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2,938,981</w:t>
            </w:r>
          </w:p>
        </w:tc>
        <w:tc>
          <w:tcPr>
            <w:tcW w:w="920" w:type="dxa"/>
            <w:vAlign w:val="bottom"/>
          </w:tcPr>
          <w:p>
            <w:pPr>
              <w:jc w:val="right"/>
              <w:spacing w:after="0"/>
              <w:rPr>
                <w:sz w:val="20"/>
                <w:szCs w:val="20"/>
                <w:color w:val="auto"/>
              </w:rPr>
            </w:pPr>
            <w:r>
              <w:rPr>
                <w:rFonts w:ascii="Arial" w:cs="Arial" w:eastAsia="Arial" w:hAnsi="Arial"/>
                <w:sz w:val="12"/>
                <w:szCs w:val="12"/>
                <w:color w:val="auto"/>
              </w:rPr>
              <w:t>2,389,086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Inter-bank funds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205,000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547,300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8,797,995</w:t>
            </w:r>
          </w:p>
        </w:tc>
        <w:tc>
          <w:tcPr>
            <w:tcW w:w="180" w:type="dxa"/>
            <w:vAlign w:val="bottom"/>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8,397,111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Interest payable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43,737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51,029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8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tcPr>
          <w:p>
            <w:pPr>
              <w:spacing w:after="0"/>
              <w:rPr>
                <w:sz w:val="12"/>
                <w:szCs w:val="12"/>
                <w:color w:val="auto"/>
              </w:rPr>
            </w:pPr>
          </w:p>
        </w:tc>
        <w:tc>
          <w:tcPr>
            <w:tcW w:w="7080" w:type="dxa"/>
            <w:vAlign w:val="bottom"/>
            <w:vMerge w:val="continue"/>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8,841,732</w:t>
            </w:r>
          </w:p>
        </w:tc>
        <w:tc>
          <w:tcPr>
            <w:tcW w:w="920" w:type="dxa"/>
            <w:vAlign w:val="bottom"/>
          </w:tcPr>
          <w:p>
            <w:pPr>
              <w:jc w:val="right"/>
              <w:spacing w:after="0"/>
              <w:rPr>
                <w:sz w:val="20"/>
                <w:szCs w:val="20"/>
                <w:color w:val="auto"/>
              </w:rPr>
            </w:pPr>
            <w:r>
              <w:rPr>
                <w:rFonts w:ascii="Arial" w:cs="Arial" w:eastAsia="Arial" w:hAnsi="Arial"/>
                <w:sz w:val="12"/>
                <w:szCs w:val="12"/>
                <w:color w:val="auto"/>
              </w:rPr>
              <w:t>8,448,140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20" w:type="dxa"/>
            <w:vAlign w:val="bottom"/>
          </w:tcPr>
          <w:p>
            <w:pPr>
              <w:ind w:left="200"/>
              <w:spacing w:after="0"/>
              <w:rPr>
                <w:sz w:val="20"/>
                <w:szCs w:val="20"/>
                <w:color w:val="auto"/>
              </w:rPr>
            </w:pPr>
            <w:r>
              <w:rPr>
                <w:rFonts w:ascii="Arial" w:cs="Arial" w:eastAsia="Arial" w:hAnsi="Arial"/>
                <w:sz w:val="12"/>
                <w:szCs w:val="12"/>
                <w:color w:val="auto"/>
              </w:rPr>
              <w:t>b)</w:t>
            </w:r>
          </w:p>
        </w:tc>
        <w:tc>
          <w:tcPr>
            <w:tcW w:w="7080" w:type="dxa"/>
            <w:vAlign w:val="bottom"/>
          </w:tcPr>
          <w:p>
            <w:pPr>
              <w:spacing w:after="0"/>
              <w:rPr>
                <w:sz w:val="20"/>
                <w:szCs w:val="20"/>
                <w:color w:val="auto"/>
              </w:rPr>
            </w:pPr>
            <w:r>
              <w:rPr>
                <w:rFonts w:ascii="Arial" w:cs="Arial" w:eastAsia="Arial" w:hAnsi="Arial"/>
                <w:sz w:val="12"/>
                <w:szCs w:val="12"/>
                <w:color w:val="auto"/>
              </w:rPr>
              <w:t>This item consists of the following:</w:t>
            </w: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Bank of America, N.A. (i)</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994,200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505,950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Sumitomo Mitsui Banking Corporation (ii)</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984,258</w:t>
            </w:r>
          </w:p>
        </w:tc>
        <w:tc>
          <w:tcPr>
            <w:tcW w:w="920" w:type="dxa"/>
            <w:vAlign w:val="bottom"/>
          </w:tcPr>
          <w:p>
            <w:pPr>
              <w:jc w:val="right"/>
              <w:spacing w:after="0"/>
              <w:rPr>
                <w:sz w:val="20"/>
                <w:szCs w:val="20"/>
                <w:color w:val="auto"/>
              </w:rPr>
            </w:pPr>
            <w:r>
              <w:rPr>
                <w:rFonts w:ascii="Arial" w:cs="Arial" w:eastAsia="Arial" w:hAnsi="Arial"/>
                <w:sz w:val="12"/>
                <w:szCs w:val="12"/>
                <w:color w:val="auto"/>
              </w:rPr>
              <w:t>337,300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Wells Fargo Bank, N.A. (iii)</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730,074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Corporación Andina de Fomento - CAF (iv)</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662,800</w:t>
            </w:r>
          </w:p>
        </w:tc>
        <w:tc>
          <w:tcPr>
            <w:tcW w:w="920" w:type="dxa"/>
            <w:vAlign w:val="bottom"/>
          </w:tcPr>
          <w:p>
            <w:pPr>
              <w:jc w:val="right"/>
              <w:spacing w:after="0"/>
              <w:rPr>
                <w:sz w:val="20"/>
                <w:szCs w:val="20"/>
                <w:color w:val="auto"/>
              </w:rPr>
            </w:pPr>
            <w:r>
              <w:rPr>
                <w:rFonts w:ascii="Arial" w:cs="Arial" w:eastAsia="Arial" w:hAnsi="Arial"/>
                <w:sz w:val="12"/>
                <w:szCs w:val="12"/>
                <w:color w:val="auto"/>
              </w:rPr>
              <w:t>674,600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Citibank N.A. (v)</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662,800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Corporación Financiera de Desarrollo (COFIDE)</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406,710</w:t>
            </w:r>
          </w:p>
        </w:tc>
        <w:tc>
          <w:tcPr>
            <w:tcW w:w="920" w:type="dxa"/>
            <w:vAlign w:val="bottom"/>
          </w:tcPr>
          <w:p>
            <w:pPr>
              <w:jc w:val="right"/>
              <w:spacing w:after="0"/>
              <w:rPr>
                <w:sz w:val="20"/>
                <w:szCs w:val="20"/>
                <w:color w:val="auto"/>
              </w:rPr>
            </w:pPr>
            <w:r>
              <w:rPr>
                <w:rFonts w:ascii="Arial" w:cs="Arial" w:eastAsia="Arial" w:hAnsi="Arial"/>
                <w:sz w:val="12"/>
                <w:szCs w:val="12"/>
                <w:color w:val="auto"/>
              </w:rPr>
              <w:t>340,572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Bank of New York Mellon (vi)</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331,400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Caja Municipal de Ahorro y Crédito de Arequipa S.A.</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140,000</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Scotiabank Perú S.A.A.</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International Finance Corporation (IFC)</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91,558</w:t>
            </w:r>
          </w:p>
        </w:tc>
        <w:tc>
          <w:tcPr>
            <w:tcW w:w="920" w:type="dxa"/>
            <w:vAlign w:val="bottom"/>
          </w:tcPr>
          <w:p>
            <w:pPr>
              <w:jc w:val="right"/>
              <w:spacing w:after="0"/>
              <w:rPr>
                <w:sz w:val="20"/>
                <w:szCs w:val="20"/>
                <w:color w:val="auto"/>
              </w:rPr>
            </w:pPr>
            <w:r>
              <w:rPr>
                <w:rFonts w:ascii="Arial" w:cs="Arial" w:eastAsia="Arial" w:hAnsi="Arial"/>
                <w:sz w:val="12"/>
                <w:szCs w:val="12"/>
                <w:color w:val="auto"/>
              </w:rPr>
              <w:t>183,391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Standard Chartered Bank (vii)</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86,827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Banco BBVA Perú</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85,000</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82,850</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Banco Internacional del Perú S.A.A. (Interbank)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Banco Consorcio</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34,627</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79,526</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Deutsche Bank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337,300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Wachovia Bank N.A.</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84,325</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Banco de la Nación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75,000</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Others less than S/51.0 million</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293,760</w:t>
            </w:r>
          </w:p>
        </w:tc>
        <w:tc>
          <w:tcPr>
            <w:tcW w:w="920" w:type="dxa"/>
            <w:vAlign w:val="bottom"/>
          </w:tcPr>
          <w:p>
            <w:pPr>
              <w:jc w:val="right"/>
              <w:spacing w:after="0"/>
              <w:rPr>
                <w:sz w:val="20"/>
                <w:szCs w:val="20"/>
                <w:color w:val="auto"/>
              </w:rPr>
            </w:pPr>
            <w:r>
              <w:rPr>
                <w:rFonts w:ascii="Arial" w:cs="Arial" w:eastAsia="Arial" w:hAnsi="Arial"/>
                <w:sz w:val="12"/>
                <w:szCs w:val="12"/>
                <w:color w:val="auto"/>
              </w:rPr>
              <w:t>231,351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080" w:type="dxa"/>
            <w:vAlign w:val="bottom"/>
            <w:vMerge w:val="continue"/>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5,654,014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5,460,725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At December 31, 2019, the loans have maturities between January 2020 and March 2032 (between January 2019 and March 2032, at December 31, 2018) and accrue interest at rates that fluctuate between 3.17 percent and 8.67 percent (between 1.00 percent and 8.67 percent, at December 31, 2018).</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80"/>
          </w:cols>
          <w:pgMar w:left="220" w:top="649" w:right="399" w:bottom="1440" w:gutter="0" w:footer="0" w:header="0"/>
        </w:sectPr>
      </w:pPr>
    </w:p>
    <w:bookmarkStart w:id="103" w:name="page104"/>
    <w:bookmarkEnd w:id="103"/>
    <w:p>
      <w:pPr>
        <w:ind w:left="216" w:right="60" w:hanging="216"/>
        <w:spacing w:after="0" w:line="263" w:lineRule="auto"/>
        <w:tabs>
          <w:tab w:leader="none" w:pos="216"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At December 31, 2019, the balance corresponds to four variable rate loans obtained between May and November 2019 for a total of US$ 300.0 million, equivalent to S/994.2 million (three loans obtained between May and October 2018 fo1r a total of US$150.0 million, equivalent to S/506.0 million, at December 31, 2018) which amounts are hedged by four IRS (three IRS at December 31, 2018) for a notional amount equal to the principal and maturity, see Note 13(b). By means of IRS these loans were economically converted to a fix rate.</w:t>
      </w:r>
    </w:p>
    <w:p>
      <w:pPr>
        <w:spacing w:after="0" w:line="122"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 loans that were in effect at December 31, 2018 for US$150.0 millions matured during the year of 2019.</w:t>
      </w:r>
    </w:p>
    <w:p>
      <w:pPr>
        <w:spacing w:after="0" w:line="150" w:lineRule="exact"/>
        <w:rPr>
          <w:rFonts w:ascii="Arial" w:cs="Arial" w:eastAsia="Arial" w:hAnsi="Arial"/>
          <w:sz w:val="12"/>
          <w:szCs w:val="12"/>
          <w:color w:val="auto"/>
        </w:rPr>
      </w:pPr>
    </w:p>
    <w:p>
      <w:pPr>
        <w:ind w:left="216" w:hanging="216"/>
        <w:spacing w:after="0"/>
        <w:tabs>
          <w:tab w:leader="none" w:pos="216" w:val="left"/>
        </w:tabs>
        <w:numPr>
          <w:ilvl w:val="0"/>
          <w:numId w:val="121"/>
        </w:numPr>
        <w:rPr>
          <w:rFonts w:ascii="Arial" w:cs="Arial" w:eastAsia="Arial" w:hAnsi="Arial"/>
          <w:sz w:val="11"/>
          <w:szCs w:val="11"/>
          <w:color w:val="auto"/>
        </w:rPr>
      </w:pPr>
      <w:r>
        <w:rPr>
          <w:rFonts w:ascii="Arial" w:cs="Arial" w:eastAsia="Arial" w:hAnsi="Arial"/>
          <w:sz w:val="11"/>
          <w:szCs w:val="11"/>
          <w:color w:val="auto"/>
        </w:rPr>
        <w:t>At December 31, 2019, the balance corresponds to three variable rate loans obtained between May and November 2019 for a total of US$297.0 million, equivalent to S/984.3 million (a loan obtained in May 2018 for</w:t>
      </w:r>
    </w:p>
    <w:p>
      <w:pPr>
        <w:spacing w:after="0" w:line="26" w:lineRule="exact"/>
        <w:rPr>
          <w:rFonts w:ascii="Arial" w:cs="Arial" w:eastAsia="Arial" w:hAnsi="Arial"/>
          <w:sz w:val="11"/>
          <w:szCs w:val="11"/>
          <w:color w:val="auto"/>
        </w:rPr>
      </w:pPr>
    </w:p>
    <w:p>
      <w:pPr>
        <w:ind w:left="216" w:right="100"/>
        <w:spacing w:after="0" w:line="261" w:lineRule="auto"/>
        <w:rPr>
          <w:rFonts w:ascii="Arial" w:cs="Arial" w:eastAsia="Arial" w:hAnsi="Arial"/>
          <w:sz w:val="11"/>
          <w:szCs w:val="11"/>
          <w:color w:val="auto"/>
        </w:rPr>
      </w:pPr>
      <w:r>
        <w:rPr>
          <w:rFonts w:ascii="Arial" w:cs="Arial" w:eastAsia="Arial" w:hAnsi="Arial"/>
          <w:sz w:val="12"/>
          <w:szCs w:val="12"/>
          <w:color w:val="auto"/>
        </w:rPr>
        <w:t>US$100.0 million, equivalent to S/337.3 million at December 31, 2018); the amounts of which are hedged by four IRS (an IRS at December 31, 2018) for a notional amount equal to the principal and with the same maturity, see Note 13(b). By means of the IRS, said loans were economically converted to a fixed rate.</w:t>
      </w:r>
    </w:p>
    <w:p>
      <w:pPr>
        <w:spacing w:after="0" w:line="123" w:lineRule="exact"/>
        <w:rPr>
          <w:rFonts w:ascii="Arial" w:cs="Arial" w:eastAsia="Arial" w:hAnsi="Arial"/>
          <w:sz w:val="11"/>
          <w:szCs w:val="11"/>
          <w:color w:val="auto"/>
        </w:rPr>
      </w:pPr>
    </w:p>
    <w:p>
      <w:pPr>
        <w:ind w:left="216"/>
        <w:spacing w:after="0"/>
        <w:rPr>
          <w:rFonts w:ascii="Arial" w:cs="Arial" w:eastAsia="Arial" w:hAnsi="Arial"/>
          <w:sz w:val="11"/>
          <w:szCs w:val="11"/>
          <w:color w:val="auto"/>
        </w:rPr>
      </w:pPr>
      <w:r>
        <w:rPr>
          <w:rFonts w:ascii="Arial" w:cs="Arial" w:eastAsia="Arial" w:hAnsi="Arial"/>
          <w:sz w:val="12"/>
          <w:szCs w:val="12"/>
          <w:color w:val="auto"/>
        </w:rPr>
        <w:t>The loan that was in effect at December 31, 2018 of US$100.0 million matured during the year of 2019.</w:t>
      </w:r>
    </w:p>
    <w:p>
      <w:pPr>
        <w:spacing w:after="0" w:line="150" w:lineRule="exact"/>
        <w:rPr>
          <w:rFonts w:ascii="Arial" w:cs="Arial" w:eastAsia="Arial" w:hAnsi="Arial"/>
          <w:sz w:val="11"/>
          <w:szCs w:val="11"/>
          <w:color w:val="auto"/>
        </w:rPr>
      </w:pPr>
    </w:p>
    <w:p>
      <w:pPr>
        <w:jc w:val="both"/>
        <w:ind w:left="216" w:right="340" w:hanging="216"/>
        <w:spacing w:after="0" w:line="263" w:lineRule="auto"/>
        <w:tabs>
          <w:tab w:leader="none" w:pos="216"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At December 31, 2019, balance comprises four variable rate loans obtained between May and July of 2019 for a total of US$190.0 million, equivalent to S/629.7 million (three loans obtained between October 2017 and October 2018 for a total amount of US$250.0 million, equivalent to S/843.3 million, at December 31, 2018), whose amounts are hedged by four IRS (three IRS at December 31, 2018) for a notional amount equal to the principal and with the same maturity, see Note 13(b). By means of these IRS, said loans were economically converted to a fixed rate.</w:t>
      </w:r>
    </w:p>
    <w:p>
      <w:pPr>
        <w:spacing w:after="0" w:line="122"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 loans that were in effect at December 31, 2018 for US$250.0 million matured during the year of 2019.</w:t>
      </w:r>
    </w:p>
    <w:p>
      <w:pPr>
        <w:spacing w:after="0" w:line="150" w:lineRule="exact"/>
        <w:rPr>
          <w:rFonts w:ascii="Arial" w:cs="Arial" w:eastAsia="Arial" w:hAnsi="Arial"/>
          <w:sz w:val="12"/>
          <w:szCs w:val="12"/>
          <w:color w:val="auto"/>
        </w:rPr>
      </w:pPr>
    </w:p>
    <w:p>
      <w:pPr>
        <w:ind w:left="216" w:right="120" w:hanging="216"/>
        <w:spacing w:after="0" w:line="276" w:lineRule="auto"/>
        <w:tabs>
          <w:tab w:leader="none" w:pos="216"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At December 31, 2019, the balance comprises a variable rate loan in U.S. Dollars obtained in June 2019 for US$100.0 million, equivalent to S/331.4 million, the amount of which was hedged by a IRS for a notional amount equal to the principal and with the same maturity, see Note 13(b). By means of this IRS this loan was economically converted to a fixed rate.</w:t>
      </w:r>
    </w:p>
    <w:p>
      <w:pPr>
        <w:spacing w:after="0" w:line="114" w:lineRule="exact"/>
        <w:rPr>
          <w:rFonts w:ascii="Arial" w:cs="Arial" w:eastAsia="Arial" w:hAnsi="Arial"/>
          <w:sz w:val="12"/>
          <w:szCs w:val="12"/>
          <w:color w:val="auto"/>
        </w:rPr>
      </w:pPr>
    </w:p>
    <w:p>
      <w:pPr>
        <w:ind w:left="216"/>
        <w:spacing w:after="0" w:line="263" w:lineRule="auto"/>
        <w:rPr>
          <w:rFonts w:ascii="Arial" w:cs="Arial" w:eastAsia="Arial" w:hAnsi="Arial"/>
          <w:sz w:val="12"/>
          <w:szCs w:val="12"/>
          <w:color w:val="auto"/>
        </w:rPr>
      </w:pPr>
      <w:r>
        <w:rPr>
          <w:rFonts w:ascii="Arial" w:cs="Arial" w:eastAsia="Arial" w:hAnsi="Arial"/>
          <w:sz w:val="12"/>
          <w:szCs w:val="12"/>
          <w:color w:val="auto"/>
        </w:rPr>
        <w:t>Likewise, at December 31, 2019, its included a variable rate loan in U.S. Dollars obtained in December 2017 for a total of US$100.0 million, equivalent to S/331.4 million (US$ 100.0 million, equivalent to S/ 337.3 million, at December 31, 2018) the amount of which was hedged by two CCS for a notional amount equal to the principal and with the same maturity, see Note 13(b). By means of these CCS, said loan was economically converted to a fixed rate.</w:t>
      </w:r>
    </w:p>
    <w:p>
      <w:pPr>
        <w:spacing w:after="0" w:line="122" w:lineRule="exact"/>
        <w:rPr>
          <w:rFonts w:ascii="Arial" w:cs="Arial" w:eastAsia="Arial" w:hAnsi="Arial"/>
          <w:sz w:val="12"/>
          <w:szCs w:val="12"/>
          <w:color w:val="auto"/>
        </w:rPr>
      </w:pPr>
    </w:p>
    <w:p>
      <w:pPr>
        <w:ind w:left="216" w:right="20" w:hanging="216"/>
        <w:spacing w:after="0" w:line="263" w:lineRule="auto"/>
        <w:tabs>
          <w:tab w:leader="none" w:pos="216"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At December 31, 2019, the balance corresponds to a three variable rate loan obtained between May and November 2019 for US$ 200.0 million, equivalent to S/ 662.8 million (four loans obtained between July 2017 and October 2018 for a total amount of US$ 350.0 million, equivalent to S/ 1,180.6 million at December 31, 2018); the amounts of which were hedged by three IRS (four IRS at December 31, 2018) for a notional amount equal to the principal and with the same maturity, see Note 13(b). By means of this IRS, said loans were economically converted to a fixed rate.</w:t>
      </w:r>
    </w:p>
    <w:p>
      <w:pPr>
        <w:spacing w:after="0" w:line="122" w:lineRule="exact"/>
        <w:rPr>
          <w:rFonts w:ascii="Arial" w:cs="Arial" w:eastAsia="Arial" w:hAnsi="Arial"/>
          <w:sz w:val="12"/>
          <w:szCs w:val="12"/>
          <w:color w:val="auto"/>
        </w:rPr>
      </w:pPr>
    </w:p>
    <w:p>
      <w:pPr>
        <w:ind w:left="216"/>
        <w:spacing w:after="0"/>
        <w:rPr>
          <w:rFonts w:ascii="Arial" w:cs="Arial" w:eastAsia="Arial" w:hAnsi="Arial"/>
          <w:sz w:val="12"/>
          <w:szCs w:val="12"/>
          <w:color w:val="auto"/>
        </w:rPr>
      </w:pPr>
      <w:r>
        <w:rPr>
          <w:rFonts w:ascii="Arial" w:cs="Arial" w:eastAsia="Arial" w:hAnsi="Arial"/>
          <w:sz w:val="12"/>
          <w:szCs w:val="12"/>
          <w:color w:val="auto"/>
        </w:rPr>
        <w:t>The loans that were in effect at December 31, 2018 of US$350.0 million matured during the year of 2019.</w:t>
      </w:r>
    </w:p>
    <w:p>
      <w:pPr>
        <w:spacing w:after="0" w:line="294" w:lineRule="exact"/>
        <w:rPr>
          <w:rFonts w:ascii="Arial" w:cs="Arial" w:eastAsia="Arial" w:hAnsi="Arial"/>
          <w:sz w:val="12"/>
          <w:szCs w:val="12"/>
          <w:color w:val="auto"/>
        </w:rPr>
      </w:pPr>
    </w:p>
    <w:p>
      <w:pPr>
        <w:ind w:left="5256" w:hanging="72"/>
        <w:spacing w:after="0"/>
        <w:tabs>
          <w:tab w:leader="none" w:pos="5256" w:val="left"/>
        </w:tabs>
        <w:numPr>
          <w:ilvl w:val="1"/>
          <w:numId w:val="121"/>
        </w:numPr>
        <w:rPr>
          <w:rFonts w:ascii="Arial" w:cs="Arial" w:eastAsia="Arial" w:hAnsi="Arial"/>
          <w:sz w:val="12"/>
          <w:szCs w:val="12"/>
          <w:color w:val="auto"/>
        </w:rPr>
      </w:pPr>
      <w:r>
        <w:rPr>
          <w:rFonts w:ascii="Arial" w:cs="Arial" w:eastAsia="Arial" w:hAnsi="Arial"/>
          <w:sz w:val="12"/>
          <w:szCs w:val="12"/>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16"/>
          </w:cols>
          <w:pgMar w:left="644" w:top="653" w:right="239" w:bottom="1440" w:gutter="0" w:footer="0" w:header="0"/>
        </w:sectPr>
      </w:pPr>
    </w:p>
    <w:bookmarkStart w:id="104" w:name="page105"/>
    <w:bookmarkEnd w:id="104"/>
    <w:p>
      <w:pPr>
        <w:ind w:left="432" w:right="500" w:hanging="216"/>
        <w:spacing w:after="0" w:line="276" w:lineRule="auto"/>
        <w:tabs>
          <w:tab w:leader="none" w:pos="432"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At December 31, 2019, the balance corresponded to a variable rate loan in U.S. Dollars obtained in August 2019 for US$100.0 million, equivalent to S/331.4 million, the amount of which was hedged by an IRS for a notional amount equal to the principal and with the same maturity, see Note 13(b). By means of the IRS, said loan was economically converted to a fixed rate.</w:t>
      </w:r>
    </w:p>
    <w:p>
      <w:pPr>
        <w:spacing w:after="0" w:line="114" w:lineRule="exact"/>
        <w:rPr>
          <w:rFonts w:ascii="Arial" w:cs="Arial" w:eastAsia="Arial" w:hAnsi="Arial"/>
          <w:sz w:val="12"/>
          <w:szCs w:val="12"/>
          <w:color w:val="auto"/>
        </w:rPr>
      </w:pPr>
    </w:p>
    <w:p>
      <w:pPr>
        <w:ind w:left="432" w:hanging="216"/>
        <w:spacing w:after="0" w:line="276" w:lineRule="auto"/>
        <w:tabs>
          <w:tab w:leader="none" w:pos="45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At December 31, 2018, the balance included a variable rate loan obtained in October 2018 for US$ 100.0 million, equivalent to S/337.3 million, the amount of which was hedged by an IRS for a notional amount equal to the principal and with the same maturity, see Note 13(b). By means of these IRS, said loan was economically converted to a fixed rate.</w:t>
      </w:r>
    </w:p>
    <w:p>
      <w:pPr>
        <w:spacing w:after="0" w:line="115" w:lineRule="exact"/>
        <w:rPr>
          <w:sz w:val="20"/>
          <w:szCs w:val="20"/>
          <w:color w:val="auto"/>
        </w:rPr>
      </w:pPr>
    </w:p>
    <w:p>
      <w:pPr>
        <w:ind w:left="432"/>
        <w:spacing w:after="0"/>
        <w:rPr>
          <w:sz w:val="20"/>
          <w:szCs w:val="20"/>
          <w:color w:val="auto"/>
        </w:rPr>
      </w:pPr>
      <w:r>
        <w:rPr>
          <w:rFonts w:ascii="Arial" w:cs="Arial" w:eastAsia="Arial" w:hAnsi="Arial"/>
          <w:sz w:val="12"/>
          <w:szCs w:val="12"/>
          <w:color w:val="auto"/>
        </w:rPr>
        <w:t>The said loan matured in May 2019.</w:t>
      </w:r>
    </w:p>
    <w:p>
      <w:pPr>
        <w:spacing w:after="0" w:line="150" w:lineRule="exact"/>
        <w:rPr>
          <w:sz w:val="20"/>
          <w:szCs w:val="20"/>
          <w:color w:val="auto"/>
        </w:rPr>
      </w:pPr>
    </w:p>
    <w:p>
      <w:pPr>
        <w:ind w:left="212" w:right="100" w:hanging="212"/>
        <w:spacing w:after="0" w:line="259" w:lineRule="auto"/>
        <w:tabs>
          <w:tab w:leader="none" w:pos="21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January 2020 and July 2029 and bear annual interest rates varying 4.20 percent and 7.60 percent at December 31, 2019 (between January 2019 and July 2024 and with annual interest rates ranging between 4.20 percent and 7.75 percent at December 31, 2018). These credit lines are secured by a loan portfolio totaling S/2,939.0 million and S/2,389.1 million, at December 31, 2019 and December 31, 2018, respectively.</w:t>
      </w:r>
    </w:p>
    <w:p>
      <w:pPr>
        <w:spacing w:after="0" w:line="124" w:lineRule="exact"/>
        <w:rPr>
          <w:rFonts w:ascii="Arial" w:cs="Arial" w:eastAsia="Arial" w:hAnsi="Arial"/>
          <w:sz w:val="12"/>
          <w:szCs w:val="12"/>
          <w:color w:val="auto"/>
        </w:rPr>
      </w:pPr>
    </w:p>
    <w:p>
      <w:pPr>
        <w:ind w:left="212" w:hanging="212"/>
        <w:spacing w:after="0"/>
        <w:tabs>
          <w:tab w:leader="none" w:pos="21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following table presents the maturities of due to banks and correspondents at December 31, 2019 and 2018 based on the period remaining to maturity:</w:t>
      </w:r>
    </w:p>
    <w:p>
      <w:pPr>
        <w:spacing w:after="0" w:line="155" w:lineRule="exact"/>
        <w:rPr>
          <w:sz w:val="20"/>
          <w:szCs w:val="20"/>
          <w:color w:val="auto"/>
        </w:rPr>
      </w:pPr>
    </w:p>
    <w:tbl>
      <w:tblPr>
        <w:tblLayout w:type="fixed"/>
        <w:tblInd w:w="212" w:type="dxa"/>
        <w:tblCellMar>
          <w:top w:w="0" w:type="dxa"/>
          <w:left w:w="0" w:type="dxa"/>
          <w:bottom w:w="0" w:type="dxa"/>
          <w:right w:w="0" w:type="dxa"/>
        </w:tblCellMar>
      </w:tblPr>
      <w:tr>
        <w:trPr>
          <w:trHeight w:val="157"/>
        </w:trPr>
        <w:tc>
          <w:tcPr>
            <w:tcW w:w="7080" w:type="dxa"/>
            <w:vAlign w:val="bottom"/>
          </w:tcPr>
          <w:p>
            <w:pPr>
              <w:spacing w:after="0"/>
              <w:rPr>
                <w:sz w:val="13"/>
                <w:szCs w:val="1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Up to 3 months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2,062,121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1,917,829</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80" w:type="dxa"/>
            <w:vAlign w:val="bottom"/>
          </w:tcPr>
          <w:p>
            <w:pPr>
              <w:spacing w:after="0"/>
              <w:rPr>
                <w:sz w:val="20"/>
                <w:szCs w:val="20"/>
                <w:color w:val="auto"/>
              </w:rPr>
            </w:pPr>
            <w:r>
              <w:rPr>
                <w:rFonts w:ascii="Arial" w:cs="Arial" w:eastAsia="Arial" w:hAnsi="Arial"/>
                <w:sz w:val="12"/>
                <w:szCs w:val="12"/>
                <w:color w:val="auto"/>
              </w:rPr>
              <w:t>From 3 months to 1 year</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3,693,328</w:t>
            </w:r>
          </w:p>
        </w:tc>
        <w:tc>
          <w:tcPr>
            <w:tcW w:w="920" w:type="dxa"/>
            <w:vAlign w:val="bottom"/>
          </w:tcPr>
          <w:p>
            <w:pPr>
              <w:jc w:val="right"/>
              <w:spacing w:after="0"/>
              <w:rPr>
                <w:sz w:val="20"/>
                <w:szCs w:val="20"/>
                <w:color w:val="auto"/>
              </w:rPr>
            </w:pPr>
            <w:r>
              <w:rPr>
                <w:rFonts w:ascii="Arial" w:cs="Arial" w:eastAsia="Arial" w:hAnsi="Arial"/>
                <w:sz w:val="12"/>
                <w:szCs w:val="12"/>
                <w:color w:val="auto"/>
              </w:rPr>
              <w:t>3,347,134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559,511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1,030,310</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80" w:type="dxa"/>
            <w:vAlign w:val="bottom"/>
          </w:tcPr>
          <w:p>
            <w:pPr>
              <w:spacing w:after="0"/>
              <w:rPr>
                <w:sz w:val="20"/>
                <w:szCs w:val="20"/>
                <w:color w:val="auto"/>
              </w:rPr>
            </w:pPr>
            <w:r>
              <w:rPr>
                <w:rFonts w:ascii="Arial" w:cs="Arial" w:eastAsia="Arial" w:hAnsi="Arial"/>
                <w:sz w:val="12"/>
                <w:szCs w:val="12"/>
                <w:color w:val="auto"/>
              </w:rPr>
              <w:t>From 3 to 5 years</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614,265</w:t>
            </w:r>
          </w:p>
        </w:tc>
        <w:tc>
          <w:tcPr>
            <w:tcW w:w="920" w:type="dxa"/>
            <w:vAlign w:val="bottom"/>
          </w:tcPr>
          <w:p>
            <w:pPr>
              <w:jc w:val="right"/>
              <w:spacing w:after="0"/>
              <w:rPr>
                <w:sz w:val="20"/>
                <w:szCs w:val="20"/>
                <w:color w:val="auto"/>
              </w:rPr>
            </w:pPr>
            <w:r>
              <w:rPr>
                <w:rFonts w:ascii="Arial" w:cs="Arial" w:eastAsia="Arial" w:hAnsi="Arial"/>
                <w:sz w:val="12"/>
                <w:szCs w:val="12"/>
                <w:color w:val="auto"/>
              </w:rPr>
              <w:t>406,895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1,868,770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1,694,943</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8,797,995</w:t>
            </w:r>
          </w:p>
        </w:tc>
        <w:tc>
          <w:tcPr>
            <w:tcW w:w="920" w:type="dxa"/>
            <w:vAlign w:val="bottom"/>
          </w:tcPr>
          <w:p>
            <w:pPr>
              <w:jc w:val="right"/>
              <w:spacing w:after="0"/>
              <w:rPr>
                <w:sz w:val="20"/>
                <w:szCs w:val="20"/>
                <w:color w:val="auto"/>
              </w:rPr>
            </w:pPr>
            <w:r>
              <w:rPr>
                <w:rFonts w:ascii="Arial" w:cs="Arial" w:eastAsia="Arial" w:hAnsi="Arial"/>
                <w:sz w:val="12"/>
                <w:szCs w:val="12"/>
                <w:color w:val="auto"/>
              </w:rPr>
              <w:t>8,397,111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12" w:hanging="212"/>
        <w:spacing w:after="0"/>
        <w:tabs>
          <w:tab w:leader="none" w:pos="212"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At December 31, 2019 and 2018, lines of credit granted by various local and foreign financial institutions, to be used for future operating activities total S/8,593.0 million and S/7,849.8 million, respectively.</w:t>
      </w:r>
    </w:p>
    <w:p>
      <w:pPr>
        <w:spacing w:after="0" w:line="150" w:lineRule="exact"/>
        <w:rPr>
          <w:rFonts w:ascii="Arial" w:cs="Arial" w:eastAsia="Arial" w:hAnsi="Arial"/>
          <w:sz w:val="12"/>
          <w:szCs w:val="12"/>
          <w:color w:val="auto"/>
        </w:rPr>
      </w:pPr>
    </w:p>
    <w:p>
      <w:pPr>
        <w:ind w:left="212" w:right="260" w:hanging="212"/>
        <w:spacing w:after="0" w:line="276" w:lineRule="auto"/>
        <w:tabs>
          <w:tab w:leader="none" w:pos="212" w:val="left"/>
        </w:tabs>
        <w:numPr>
          <w:ilvl w:val="0"/>
          <w:numId w:val="124"/>
        </w:numPr>
        <w:rPr>
          <w:rFonts w:ascii="Arial" w:cs="Arial" w:eastAsia="Arial" w:hAnsi="Arial"/>
          <w:sz w:val="12"/>
          <w:szCs w:val="12"/>
          <w:color w:val="auto"/>
        </w:rPr>
      </w:pPr>
      <w:r>
        <w:rPr>
          <w:rFonts w:ascii="Arial" w:cs="Arial" w:eastAsia="Arial" w:hAnsi="Arial"/>
          <w:sz w:val="12"/>
          <w:szCs w:val="12"/>
          <w:color w:val="auto"/>
        </w:rPr>
        <w:t>Certain debts to banks and correspondents include standard covenants addressing observance of financial ratios, the use of the funds and other administrative matters; which, in Management’s opinion, do not limit the Group’s operations and have been complied with at the date of the consolidated financial statements.</w:t>
      </w:r>
    </w:p>
    <w:p>
      <w:pPr>
        <w:spacing w:after="0" w:line="259" w:lineRule="exact"/>
        <w:rPr>
          <w:rFonts w:ascii="Arial" w:cs="Arial" w:eastAsia="Arial" w:hAnsi="Arial"/>
          <w:sz w:val="12"/>
          <w:szCs w:val="12"/>
          <w:color w:val="auto"/>
        </w:rPr>
      </w:pPr>
    </w:p>
    <w:p>
      <w:pPr>
        <w:ind w:left="5432" w:hanging="62"/>
        <w:spacing w:after="0"/>
        <w:tabs>
          <w:tab w:leader="none" w:pos="5432" w:val="left"/>
        </w:tabs>
        <w:numPr>
          <w:ilvl w:val="1"/>
          <w:numId w:val="124"/>
        </w:numPr>
        <w:rPr>
          <w:rFonts w:ascii="Arial" w:cs="Arial" w:eastAsia="Arial" w:hAnsi="Arial"/>
          <w:sz w:val="12"/>
          <w:szCs w:val="12"/>
          <w:color w:val="auto"/>
        </w:rPr>
      </w:pPr>
      <w:r>
        <w:rPr>
          <w:rFonts w:ascii="Arial" w:cs="Arial" w:eastAsia="Arial" w:hAnsi="Arial"/>
          <w:sz w:val="12"/>
          <w:szCs w:val="12"/>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72"/>
          </w:cols>
          <w:pgMar w:left="428" w:top="653" w:right="199" w:bottom="1440" w:gutter="0" w:footer="0" w:header="0"/>
        </w:sectPr>
      </w:pPr>
    </w:p>
    <w:bookmarkStart w:id="105" w:name="page106"/>
    <w:bookmarkEnd w:id="105"/>
    <w:p>
      <w:pPr>
        <w:ind w:left="208" w:hanging="208"/>
        <w:spacing w:after="0"/>
        <w:tabs>
          <w:tab w:leader="none" w:pos="208"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TECHNICAL RESERVES FOR INSURANCE CLAIMS AND PREMIUMS</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25"/>
        </w:numPr>
        <w:rPr>
          <w:rFonts w:ascii="Arial" w:cs="Arial" w:eastAsia="Arial" w:hAnsi="Arial"/>
          <w:sz w:val="12"/>
          <w:szCs w:val="12"/>
          <w:color w:val="auto"/>
        </w:rPr>
      </w:pPr>
      <w:r>
        <w:rPr>
          <w:rFonts w:ascii="Arial" w:cs="Arial" w:eastAsia="Arial" w:hAnsi="Arial"/>
          <w:sz w:val="12"/>
          <w:szCs w:val="12"/>
          <w:color w:val="auto"/>
        </w:rPr>
        <w:t>This item consists of the following:</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97" w:lineRule="exact"/>
        <w:rPr>
          <w:rFonts w:ascii="Arial" w:cs="Arial" w:eastAsia="Arial" w:hAnsi="Arial"/>
          <w:sz w:val="12"/>
          <w:szCs w:val="12"/>
          <w:color w:val="auto"/>
        </w:rPr>
      </w:pPr>
    </w:p>
    <w:p>
      <w:pPr>
        <w:ind w:left="428" w:right="4380"/>
        <w:spacing w:after="0" w:line="306" w:lineRule="auto"/>
        <w:rPr>
          <w:rFonts w:ascii="Arial" w:cs="Arial" w:eastAsia="Arial" w:hAnsi="Arial"/>
          <w:sz w:val="12"/>
          <w:szCs w:val="12"/>
          <w:color w:val="auto"/>
        </w:rPr>
      </w:pPr>
      <w:r>
        <w:rPr>
          <w:rFonts w:ascii="Arial" w:cs="Arial" w:eastAsia="Arial" w:hAnsi="Arial"/>
          <w:sz w:val="10"/>
          <w:szCs w:val="10"/>
          <w:color w:val="auto"/>
        </w:rPr>
        <w:t>Life insurance General insurance Health insurance</w:t>
      </w:r>
    </w:p>
    <w:p>
      <w:pPr>
        <w:spacing w:after="0" w:line="1"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b w:val="1"/>
          <w:bCs w:val="1"/>
          <w:color w:val="auto"/>
        </w:rPr>
        <w:t>Total</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61" w:lineRule="exact"/>
        <w:rPr>
          <w:rFonts w:ascii="Arial" w:cs="Arial" w:eastAsia="Arial" w:hAnsi="Arial"/>
          <w:sz w:val="12"/>
          <w:szCs w:val="12"/>
          <w:color w:val="auto"/>
        </w:rPr>
      </w:pPr>
    </w:p>
    <w:p>
      <w:pPr>
        <w:ind w:left="428" w:right="4380"/>
        <w:spacing w:after="0" w:line="306" w:lineRule="auto"/>
        <w:rPr>
          <w:rFonts w:ascii="Arial" w:cs="Arial" w:eastAsia="Arial" w:hAnsi="Arial"/>
          <w:sz w:val="12"/>
          <w:szCs w:val="12"/>
          <w:color w:val="auto"/>
        </w:rPr>
      </w:pPr>
      <w:r>
        <w:rPr>
          <w:rFonts w:ascii="Arial" w:cs="Arial" w:eastAsia="Arial" w:hAnsi="Arial"/>
          <w:sz w:val="10"/>
          <w:szCs w:val="10"/>
          <w:color w:val="auto"/>
        </w:rPr>
        <w:t>Life insurance General insurance Health insurance</w:t>
      </w:r>
    </w:p>
    <w:p>
      <w:pPr>
        <w:spacing w:after="0" w:line="1"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-1339215</wp:posOffset>
            </wp:positionV>
            <wp:extent cx="5833745" cy="9144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5833745" cy="9144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-1156335</wp:posOffset>
            </wp:positionV>
            <wp:extent cx="5833745" cy="971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5833745" cy="971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-361315</wp:posOffset>
            </wp:positionV>
            <wp:extent cx="5833745" cy="9144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5833745" cy="9144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-178435</wp:posOffset>
            </wp:positionV>
            <wp:extent cx="5833745" cy="971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5833745"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100" w:type="dxa"/>
            <w:vAlign w:val="bottom"/>
            <w:tcBorders>
              <w:top w:val="single" w:sz="8" w:color="auto"/>
            </w:tcBorders>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Technical</w:t>
            </w:r>
          </w:p>
        </w:tc>
        <w:tc>
          <w:tcPr>
            <w:tcW w:w="1100" w:type="dxa"/>
            <w:vAlign w:val="bottom"/>
            <w:tcBorders>
              <w:top w:val="single" w:sz="8" w:color="auto"/>
            </w:tcBorders>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Technical</w:t>
            </w:r>
          </w:p>
        </w:tc>
        <w:tc>
          <w:tcPr>
            <w:tcW w:w="920" w:type="dxa"/>
            <w:vAlign w:val="bottom"/>
            <w:tcBorders>
              <w:top w:val="single" w:sz="8" w:color="auto"/>
            </w:tcBorders>
          </w:tcPr>
          <w:p>
            <w:pPr>
              <w:spacing w:after="0"/>
              <w:rPr>
                <w:sz w:val="10"/>
                <w:szCs w:val="10"/>
                <w:color w:val="auto"/>
              </w:rPr>
            </w:pPr>
          </w:p>
        </w:tc>
      </w:tr>
      <w:tr>
        <w:trPr>
          <w:trHeight w:val="144"/>
        </w:trPr>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reserves for</w:t>
            </w: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reserves for</w:t>
            </w:r>
          </w:p>
        </w:tc>
        <w:tc>
          <w:tcPr>
            <w:tcW w:w="920" w:type="dxa"/>
            <w:vAlign w:val="bottom"/>
          </w:tcPr>
          <w:p>
            <w:pPr>
              <w:spacing w:after="0"/>
              <w:rPr>
                <w:sz w:val="12"/>
                <w:szCs w:val="12"/>
                <w:color w:val="auto"/>
              </w:rPr>
            </w:pPr>
          </w:p>
        </w:tc>
      </w:tr>
      <w:tr>
        <w:trPr>
          <w:trHeight w:val="157"/>
        </w:trPr>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claims</w:t>
            </w: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premiums (*)</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0"/>
              </w:rPr>
              <w:t>Total</w:t>
            </w:r>
          </w:p>
        </w:tc>
      </w:tr>
      <w:tr>
        <w:trPr>
          <w:trHeight w:val="124"/>
        </w:trPr>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r>
      <w:tr>
        <w:trPr>
          <w:trHeight w:val="144"/>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908,362</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7,548,684</w:t>
            </w:r>
          </w:p>
        </w:tc>
        <w:tc>
          <w:tcPr>
            <w:tcW w:w="920" w:type="dxa"/>
            <w:vAlign w:val="bottom"/>
          </w:tcPr>
          <w:p>
            <w:pPr>
              <w:jc w:val="right"/>
              <w:spacing w:after="0"/>
              <w:rPr>
                <w:sz w:val="20"/>
                <w:szCs w:val="20"/>
                <w:color w:val="auto"/>
              </w:rPr>
            </w:pPr>
            <w:r>
              <w:rPr>
                <w:rFonts w:ascii="Arial" w:cs="Arial" w:eastAsia="Arial" w:hAnsi="Arial"/>
                <w:sz w:val="12"/>
                <w:szCs w:val="12"/>
                <w:color w:val="auto"/>
              </w:rPr>
              <w:t>8,457,046</w:t>
            </w:r>
          </w:p>
        </w:tc>
      </w:tr>
      <w:tr>
        <w:trPr>
          <w:trHeight w:val="153"/>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590,588</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651,129</w:t>
            </w:r>
          </w:p>
        </w:tc>
        <w:tc>
          <w:tcPr>
            <w:tcW w:w="920" w:type="dxa"/>
            <w:vAlign w:val="bottom"/>
          </w:tcPr>
          <w:p>
            <w:pPr>
              <w:jc w:val="right"/>
              <w:spacing w:after="0"/>
              <w:rPr>
                <w:sz w:val="20"/>
                <w:szCs w:val="20"/>
                <w:color w:val="auto"/>
              </w:rPr>
            </w:pPr>
            <w:r>
              <w:rPr>
                <w:rFonts w:ascii="Arial" w:cs="Arial" w:eastAsia="Arial" w:hAnsi="Arial"/>
                <w:sz w:val="12"/>
                <w:szCs w:val="12"/>
                <w:color w:val="auto"/>
              </w:rPr>
              <w:t>1,241,717</w:t>
            </w:r>
          </w:p>
        </w:tc>
      </w:tr>
      <w:tr>
        <w:trPr>
          <w:trHeight w:val="153"/>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77,278</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174,192</w:t>
            </w:r>
          </w:p>
        </w:tc>
        <w:tc>
          <w:tcPr>
            <w:tcW w:w="920" w:type="dxa"/>
            <w:vAlign w:val="bottom"/>
          </w:tcPr>
          <w:p>
            <w:pPr>
              <w:jc w:val="right"/>
              <w:spacing w:after="0"/>
              <w:rPr>
                <w:sz w:val="20"/>
                <w:szCs w:val="20"/>
                <w:color w:val="auto"/>
              </w:rPr>
            </w:pPr>
            <w:r>
              <w:rPr>
                <w:rFonts w:ascii="Arial" w:cs="Arial" w:eastAsia="Arial" w:hAnsi="Arial"/>
                <w:sz w:val="12"/>
                <w:szCs w:val="12"/>
                <w:color w:val="auto"/>
              </w:rPr>
              <w:t>251,470</w:t>
            </w:r>
          </w:p>
        </w:tc>
      </w:tr>
      <w:tr>
        <w:trPr>
          <w:trHeight w:val="20"/>
        </w:trPr>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49"/>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1,576,228</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8,374,005</w:t>
            </w:r>
          </w:p>
        </w:tc>
        <w:tc>
          <w:tcPr>
            <w:tcW w:w="920" w:type="dxa"/>
            <w:vAlign w:val="bottom"/>
          </w:tcPr>
          <w:p>
            <w:pPr>
              <w:jc w:val="right"/>
              <w:spacing w:after="0"/>
              <w:rPr>
                <w:sz w:val="20"/>
                <w:szCs w:val="20"/>
                <w:color w:val="auto"/>
              </w:rPr>
            </w:pPr>
            <w:r>
              <w:rPr>
                <w:rFonts w:ascii="Arial" w:cs="Arial" w:eastAsia="Arial" w:hAnsi="Arial"/>
                <w:sz w:val="12"/>
                <w:szCs w:val="12"/>
                <w:color w:val="auto"/>
              </w:rPr>
              <w:t>9,950,233</w:t>
            </w:r>
          </w:p>
        </w:tc>
      </w:tr>
      <w:tr>
        <w:trPr>
          <w:trHeight w:val="315"/>
        </w:trPr>
        <w:tc>
          <w:tcPr>
            <w:tcW w:w="9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r>
      <w:tr>
        <w:trPr>
          <w:trHeight w:val="120"/>
        </w:trPr>
        <w:tc>
          <w:tcPr>
            <w:tcW w:w="110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Technical</w:t>
            </w:r>
          </w:p>
        </w:tc>
        <w:tc>
          <w:tcPr>
            <w:tcW w:w="110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Technical</w:t>
            </w:r>
          </w:p>
        </w:tc>
        <w:tc>
          <w:tcPr>
            <w:tcW w:w="920" w:type="dxa"/>
            <w:vAlign w:val="bottom"/>
          </w:tcPr>
          <w:p>
            <w:pPr>
              <w:spacing w:after="0"/>
              <w:rPr>
                <w:sz w:val="10"/>
                <w:szCs w:val="10"/>
                <w:color w:val="auto"/>
              </w:rPr>
            </w:pPr>
          </w:p>
        </w:tc>
      </w:tr>
      <w:tr>
        <w:trPr>
          <w:trHeight w:val="144"/>
        </w:trPr>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reserves for</w:t>
            </w: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reserves for</w:t>
            </w:r>
          </w:p>
        </w:tc>
        <w:tc>
          <w:tcPr>
            <w:tcW w:w="920" w:type="dxa"/>
            <w:vAlign w:val="bottom"/>
          </w:tcPr>
          <w:p>
            <w:pPr>
              <w:spacing w:after="0"/>
              <w:rPr>
                <w:sz w:val="12"/>
                <w:szCs w:val="12"/>
                <w:color w:val="auto"/>
              </w:rPr>
            </w:pPr>
          </w:p>
        </w:tc>
      </w:tr>
      <w:tr>
        <w:trPr>
          <w:trHeight w:val="157"/>
        </w:trPr>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claims</w:t>
            </w: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premiums (*)</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0"/>
              </w:rPr>
              <w:t>Total</w:t>
            </w:r>
          </w:p>
        </w:tc>
      </w:tr>
      <w:tr>
        <w:trPr>
          <w:trHeight w:val="124"/>
        </w:trPr>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r>
      <w:tr>
        <w:trPr>
          <w:trHeight w:val="144"/>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732,868</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6,329,512</w:t>
            </w:r>
          </w:p>
        </w:tc>
        <w:tc>
          <w:tcPr>
            <w:tcW w:w="920" w:type="dxa"/>
            <w:vAlign w:val="bottom"/>
          </w:tcPr>
          <w:p>
            <w:pPr>
              <w:jc w:val="right"/>
              <w:spacing w:after="0"/>
              <w:rPr>
                <w:sz w:val="20"/>
                <w:szCs w:val="20"/>
                <w:color w:val="auto"/>
              </w:rPr>
            </w:pPr>
            <w:r>
              <w:rPr>
                <w:rFonts w:ascii="Arial" w:cs="Arial" w:eastAsia="Arial" w:hAnsi="Arial"/>
                <w:sz w:val="12"/>
                <w:szCs w:val="12"/>
                <w:color w:val="auto"/>
              </w:rPr>
              <w:t>7,062,380</w:t>
            </w:r>
          </w:p>
        </w:tc>
      </w:tr>
      <w:tr>
        <w:trPr>
          <w:trHeight w:val="153"/>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562,430</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593,938</w:t>
            </w:r>
          </w:p>
        </w:tc>
        <w:tc>
          <w:tcPr>
            <w:tcW w:w="920" w:type="dxa"/>
            <w:vAlign w:val="bottom"/>
          </w:tcPr>
          <w:p>
            <w:pPr>
              <w:jc w:val="right"/>
              <w:spacing w:after="0"/>
              <w:rPr>
                <w:sz w:val="20"/>
                <w:szCs w:val="20"/>
                <w:color w:val="auto"/>
              </w:rPr>
            </w:pPr>
            <w:r>
              <w:rPr>
                <w:rFonts w:ascii="Arial" w:cs="Arial" w:eastAsia="Arial" w:hAnsi="Arial"/>
                <w:sz w:val="12"/>
                <w:szCs w:val="12"/>
                <w:color w:val="auto"/>
              </w:rPr>
              <w:t>1,156,368</w:t>
            </w:r>
          </w:p>
        </w:tc>
      </w:tr>
      <w:tr>
        <w:trPr>
          <w:trHeight w:val="153"/>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71,372</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162,551</w:t>
            </w:r>
          </w:p>
        </w:tc>
        <w:tc>
          <w:tcPr>
            <w:tcW w:w="920" w:type="dxa"/>
            <w:vAlign w:val="bottom"/>
          </w:tcPr>
          <w:p>
            <w:pPr>
              <w:jc w:val="right"/>
              <w:spacing w:after="0"/>
              <w:rPr>
                <w:sz w:val="20"/>
                <w:szCs w:val="20"/>
                <w:color w:val="auto"/>
              </w:rPr>
            </w:pPr>
            <w:r>
              <w:rPr>
                <w:rFonts w:ascii="Arial" w:cs="Arial" w:eastAsia="Arial" w:hAnsi="Arial"/>
                <w:sz w:val="12"/>
                <w:szCs w:val="12"/>
                <w:color w:val="auto"/>
              </w:rPr>
              <w:t>233,923</w:t>
            </w:r>
          </w:p>
        </w:tc>
      </w:tr>
      <w:tr>
        <w:trPr>
          <w:trHeight w:val="20"/>
        </w:trPr>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42"/>
        </w:trPr>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1,366,670</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7,086,001</w:t>
            </w:r>
          </w:p>
        </w:tc>
        <w:tc>
          <w:tcPr>
            <w:tcW w:w="920" w:type="dxa"/>
            <w:vAlign w:val="bottom"/>
          </w:tcPr>
          <w:p>
            <w:pPr>
              <w:jc w:val="right"/>
              <w:spacing w:after="0"/>
              <w:rPr>
                <w:sz w:val="20"/>
                <w:szCs w:val="20"/>
                <w:color w:val="auto"/>
              </w:rPr>
            </w:pPr>
            <w:r>
              <w:rPr>
                <w:rFonts w:ascii="Arial" w:cs="Arial" w:eastAsia="Arial" w:hAnsi="Arial"/>
                <w:sz w:val="12"/>
                <w:szCs w:val="12"/>
                <w:color w:val="auto"/>
              </w:rPr>
              <w:t>8,452,671</w:t>
            </w:r>
          </w:p>
        </w:tc>
      </w:tr>
      <w:tr>
        <w:trPr>
          <w:trHeight w:val="27"/>
        </w:trPr>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35" w:lineRule="exact"/>
        <w:rPr>
          <w:sz w:val="20"/>
          <w:szCs w:val="20"/>
          <w:color w:val="auto"/>
        </w:rPr>
      </w:pPr>
    </w:p>
    <w:p>
      <w:pPr>
        <w:sectPr>
          <w:pgSz w:w="11900" w:h="16838" w:orient="portrait"/>
          <w:cols w:equalWidth="0" w:num="2">
            <w:col w:w="5688" w:space="720"/>
            <w:col w:w="5020"/>
          </w:cols>
          <w:pgMar w:left="212" w:top="649" w:right="259" w:bottom="1440" w:gutter="0" w:footer="0" w:header="0"/>
        </w:sectPr>
      </w:pPr>
    </w:p>
    <w:p>
      <w:pPr>
        <w:ind w:left="428"/>
        <w:spacing w:after="0"/>
        <w:rPr>
          <w:sz w:val="20"/>
          <w:szCs w:val="20"/>
          <w:color w:val="auto"/>
        </w:rPr>
      </w:pPr>
      <w:r>
        <w:rPr>
          <w:rFonts w:ascii="Arial" w:cs="Arial" w:eastAsia="Arial" w:hAnsi="Arial"/>
          <w:sz w:val="12"/>
          <w:szCs w:val="12"/>
          <w:color w:val="auto"/>
        </w:rPr>
        <w:t>(*) At December 31, 2019, the life insurance technical reserves include the mathematical reserves of income amounting to S/5,961.0 million (S/ 4,073.3 million at December 31, 2018).</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Insurance claims reserves represent reported claims and an estimate for incurred but non reported claims (IBNR). Reported claims are adjusted on the basis of technical reports received from independent adjusters.</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Insurance claims to be paid by reinsurers and co-insurers represents ceded claims, which are presented in “Accounts receivable from reinsurers and coinsurers” of the consolidated statement of financial position, See Note 9(b).</w:t>
      </w:r>
    </w:p>
    <w:p>
      <w:pPr>
        <w:spacing w:after="0" w:line="173" w:lineRule="exact"/>
        <w:rPr>
          <w:sz w:val="20"/>
          <w:szCs w:val="20"/>
          <w:color w:val="auto"/>
        </w:rPr>
      </w:pPr>
    </w:p>
    <w:p>
      <w:pPr>
        <w:ind w:left="428" w:right="260"/>
        <w:spacing w:after="0" w:line="276" w:lineRule="auto"/>
        <w:rPr>
          <w:sz w:val="20"/>
          <w:szCs w:val="20"/>
          <w:color w:val="auto"/>
        </w:rPr>
      </w:pPr>
      <w:r>
        <w:rPr>
          <w:rFonts w:ascii="Arial" w:cs="Arial" w:eastAsia="Arial" w:hAnsi="Arial"/>
          <w:sz w:val="12"/>
          <w:szCs w:val="12"/>
          <w:color w:val="auto"/>
        </w:rPr>
        <w:t>At December 31, 2019, the reserves for direct claims include reserves for IBNR for life, general and health insurance for an amount of S/393.4 million, S/24.3 million and S/63.5 million, respectively (S/314.5 million, S/16.7 million and S/50.2 million, respectively, at December 31, 2018).</w:t>
      </w:r>
    </w:p>
    <w:p>
      <w:pPr>
        <w:spacing w:after="0" w:line="115"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At December 31, 2019 and in previous years, the differences between the estimates for the incurred and non-reported claims and the settled and pending liquidation claims have not been significant. In the case of general risks and health, retrospective analysis indicates that the amounts accrued are adequate and Management believes that the estimated IBNR reserve is sufficient to cover any liability as of December 31, 2019 and 2018.</w:t>
      </w:r>
    </w:p>
    <w:p>
      <w:pPr>
        <w:spacing w:after="0" w:line="23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649" w:right="259" w:bottom="1440" w:gutter="0" w:footer="0" w:header="0"/>
          <w:type w:val="continuous"/>
        </w:sectPr>
      </w:pPr>
    </w:p>
    <w:bookmarkStart w:id="106" w:name="page107"/>
    <w:bookmarkEnd w:id="106"/>
    <w:p>
      <w:pPr>
        <w:ind w:left="420" w:right="60"/>
        <w:spacing w:after="0" w:line="276" w:lineRule="auto"/>
        <w:rPr>
          <w:sz w:val="20"/>
          <w:szCs w:val="20"/>
          <w:color w:val="auto"/>
        </w:rPr>
      </w:pPr>
      <w:r>
        <w:rPr>
          <w:rFonts w:ascii="Arial" w:cs="Arial" w:eastAsia="Arial" w:hAnsi="Arial"/>
          <w:sz w:val="12"/>
          <w:szCs w:val="12"/>
          <w:color w:val="auto"/>
        </w:rPr>
        <w:t>Technical reserves include reserves for obligations for future benefits under insurance of life and personal accidents in force; and the unearned premium reserves in respect of the portion of premiums written that is allocable to the unexpired portion of the related policy periods of related coverage.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gridSpan w:val="2"/>
          </w:tcPr>
          <w:p>
            <w:pPr>
              <w:ind w:left="200"/>
              <w:spacing w:after="0"/>
              <w:rPr>
                <w:sz w:val="20"/>
                <w:szCs w:val="20"/>
                <w:color w:val="auto"/>
              </w:rPr>
            </w:pPr>
            <w:r>
              <w:rPr>
                <w:rFonts w:ascii="Arial" w:cs="Arial" w:eastAsia="Arial" w:hAnsi="Arial"/>
                <w:sz w:val="12"/>
                <w:szCs w:val="12"/>
                <w:color w:val="auto"/>
                <w:w w:val="91"/>
              </w:rPr>
              <w:t>b)  Movement of insurance claims reserves (direct and assumed), occurred during the years 2019 and 2018:</w:t>
            </w: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97"/>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Life</w:t>
            </w:r>
          </w:p>
        </w:tc>
        <w:tc>
          <w:tcPr>
            <w:tcW w:w="12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General</w:t>
            </w:r>
          </w:p>
        </w:tc>
        <w:tc>
          <w:tcPr>
            <w:tcW w:w="12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8"/>
              </w:rPr>
              <w:t>Health</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57"/>
        </w:trPr>
        <w:tc>
          <w:tcPr>
            <w:tcW w:w="4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insurance</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Total</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50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CCEEFF"/>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CCEEFF"/>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CCEEFF"/>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Borders>
              <w:bottom w:val="single" w:sz="8" w:color="CCEEFF"/>
            </w:tcBorders>
          </w:tcPr>
          <w:p>
            <w:pPr>
              <w:spacing w:after="0"/>
              <w:rPr>
                <w:sz w:val="11"/>
                <w:szCs w:val="11"/>
                <w:color w:val="auto"/>
              </w:rPr>
            </w:pPr>
          </w:p>
        </w:tc>
        <w:tc>
          <w:tcPr>
            <w:tcW w:w="38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50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Beginning balance</w:t>
            </w:r>
          </w:p>
        </w:tc>
        <w:tc>
          <w:tcPr>
            <w:tcW w:w="5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732,868</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562,430</w:t>
            </w:r>
          </w:p>
        </w:tc>
        <w:tc>
          <w:tcPr>
            <w:tcW w:w="2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71,372</w:t>
            </w:r>
          </w:p>
        </w:tc>
        <w:tc>
          <w:tcPr>
            <w:tcW w:w="11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1,366,670</w:t>
            </w: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Gross claims, Note 26</w:t>
            </w:r>
          </w:p>
        </w:tc>
        <w:tc>
          <w:tcPr>
            <w:tcW w:w="1660" w:type="dxa"/>
            <w:vAlign w:val="bottom"/>
            <w:gridSpan w:val="2"/>
          </w:tcPr>
          <w:p>
            <w:pPr>
              <w:jc w:val="right"/>
              <w:spacing w:after="0"/>
              <w:rPr>
                <w:sz w:val="20"/>
                <w:szCs w:val="20"/>
                <w:color w:val="auto"/>
              </w:rPr>
            </w:pPr>
            <w:r>
              <w:rPr>
                <w:rFonts w:ascii="Arial" w:cs="Arial" w:eastAsia="Arial" w:hAnsi="Arial"/>
                <w:sz w:val="12"/>
                <w:szCs w:val="12"/>
                <w:color w:val="auto"/>
              </w:rPr>
              <w:t>1,001,671</w:t>
            </w: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547,201</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326,980</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1,875,852</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Payments</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(822,644)</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(510,678)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(321,085)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(1,654,407)</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Exchange difference</w:t>
            </w:r>
          </w:p>
        </w:tc>
        <w:tc>
          <w:tcPr>
            <w:tcW w:w="5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(3,533)</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(8,365)</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11</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(11,887)</w:t>
            </w:r>
          </w:p>
        </w:tc>
        <w:tc>
          <w:tcPr>
            <w:tcW w:w="380" w:type="dxa"/>
            <w:vAlign w:val="bottom"/>
          </w:tcPr>
          <w:p>
            <w:pPr>
              <w:spacing w:after="0"/>
              <w:rPr>
                <w:sz w:val="13"/>
                <w:szCs w:val="13"/>
                <w:color w:val="auto"/>
              </w:rPr>
            </w:pPr>
          </w:p>
        </w:tc>
      </w:tr>
      <w:tr>
        <w:trPr>
          <w:trHeight w:val="149"/>
        </w:trPr>
        <w:tc>
          <w:tcPr>
            <w:tcW w:w="420" w:type="dxa"/>
            <w:vAlign w:val="bottom"/>
          </w:tcPr>
          <w:p>
            <w:pPr>
              <w:spacing w:after="0"/>
              <w:rPr>
                <w:sz w:val="12"/>
                <w:szCs w:val="12"/>
                <w:color w:val="auto"/>
              </w:rPr>
            </w:pPr>
          </w:p>
        </w:tc>
        <w:tc>
          <w:tcPr>
            <w:tcW w:w="50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Ending balance</w:t>
            </w: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908,362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590,588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77,278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1,576,228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Pr>
          <w:p>
            <w:pPr>
              <w:spacing w:after="0"/>
              <w:rPr>
                <w:sz w:val="12"/>
                <w:szCs w:val="12"/>
                <w:color w:val="auto"/>
              </w:rPr>
            </w:pPr>
          </w:p>
        </w:tc>
      </w:tr>
      <w:tr>
        <w:trPr>
          <w:trHeight w:val="315"/>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2018</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Life</w:t>
            </w:r>
          </w:p>
        </w:tc>
        <w:tc>
          <w:tcPr>
            <w:tcW w:w="12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General</w:t>
            </w:r>
          </w:p>
        </w:tc>
        <w:tc>
          <w:tcPr>
            <w:tcW w:w="12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8"/>
              </w:rPr>
              <w:t>Health</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57"/>
        </w:trPr>
        <w:tc>
          <w:tcPr>
            <w:tcW w:w="4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insurance</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Total</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Beginning balance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626,871</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484,608</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69,373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1,180,852</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Gross claims, Note 26</w:t>
            </w:r>
          </w:p>
        </w:tc>
        <w:tc>
          <w:tcPr>
            <w:tcW w:w="1660" w:type="dxa"/>
            <w:vAlign w:val="bottom"/>
            <w:gridSpan w:val="2"/>
          </w:tcPr>
          <w:p>
            <w:pPr>
              <w:jc w:val="right"/>
              <w:spacing w:after="0"/>
              <w:rPr>
                <w:sz w:val="20"/>
                <w:szCs w:val="20"/>
                <w:color w:val="auto"/>
              </w:rPr>
            </w:pPr>
            <w:r>
              <w:rPr>
                <w:rFonts w:ascii="Arial" w:cs="Arial" w:eastAsia="Arial" w:hAnsi="Arial"/>
                <w:sz w:val="12"/>
                <w:szCs w:val="12"/>
                <w:color w:val="auto"/>
              </w:rPr>
              <w:t>737,982</w:t>
            </w: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562,440</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307,182</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1,607,604</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Payments</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(635,345)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(505,069)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(305,257)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(1,445,671)</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Exchange difference</w:t>
            </w:r>
          </w:p>
        </w:tc>
        <w:tc>
          <w:tcPr>
            <w:tcW w:w="5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3,360</w:t>
            </w:r>
          </w:p>
        </w:tc>
        <w:tc>
          <w:tcPr>
            <w:tcW w:w="22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20,451</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74</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23,885</w:t>
            </w:r>
          </w:p>
        </w:tc>
        <w:tc>
          <w:tcPr>
            <w:tcW w:w="380" w:type="dxa"/>
            <w:vAlign w:val="bottom"/>
          </w:tcPr>
          <w:p>
            <w:pPr>
              <w:spacing w:after="0"/>
              <w:rPr>
                <w:sz w:val="13"/>
                <w:szCs w:val="13"/>
                <w:color w:val="auto"/>
              </w:rPr>
            </w:pPr>
          </w:p>
        </w:tc>
      </w:tr>
      <w:tr>
        <w:trPr>
          <w:trHeight w:val="162"/>
        </w:trPr>
        <w:tc>
          <w:tcPr>
            <w:tcW w:w="420" w:type="dxa"/>
            <w:vAlign w:val="bottom"/>
          </w:tcPr>
          <w:p>
            <w:pPr>
              <w:spacing w:after="0"/>
              <w:rPr>
                <w:sz w:val="14"/>
                <w:szCs w:val="14"/>
                <w:color w:val="auto"/>
              </w:rPr>
            </w:pPr>
          </w:p>
        </w:tc>
        <w:tc>
          <w:tcPr>
            <w:tcW w:w="50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Ending balance</w:t>
            </w: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732,868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562,430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71,372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1,366,670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Pr>
          <w:p>
            <w:pPr>
              <w:spacing w:after="0"/>
              <w:rPr>
                <w:sz w:val="14"/>
                <w:szCs w:val="14"/>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- 102 -</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gridSpan w:val="2"/>
          </w:tcPr>
          <w:p>
            <w:pPr>
              <w:ind w:left="200"/>
              <w:spacing w:after="0"/>
              <w:rPr>
                <w:sz w:val="20"/>
                <w:szCs w:val="20"/>
                <w:color w:val="auto"/>
              </w:rPr>
            </w:pPr>
            <w:r>
              <w:rPr>
                <w:rFonts w:ascii="Arial" w:cs="Arial" w:eastAsia="Arial" w:hAnsi="Arial"/>
                <w:sz w:val="12"/>
                <w:szCs w:val="12"/>
                <w:color w:val="auto"/>
              </w:rPr>
              <w:t>c)  Technical reserves occurred during the years 2019 and 2018:</w:t>
            </w:r>
          </w:p>
        </w:tc>
        <w:tc>
          <w:tcPr>
            <w:tcW w:w="1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97"/>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0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Life</w:t>
            </w:r>
          </w:p>
        </w:tc>
        <w:tc>
          <w:tcPr>
            <w:tcW w:w="12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General</w:t>
            </w:r>
          </w:p>
        </w:tc>
        <w:tc>
          <w:tcPr>
            <w:tcW w:w="12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8"/>
              </w:rPr>
              <w:t>Health</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57"/>
        </w:trPr>
        <w:tc>
          <w:tcPr>
            <w:tcW w:w="4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insurance</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Total</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Beginning balance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6,329,512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593,938</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162,551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7,086,001</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2"/>
                <w:szCs w:val="12"/>
                <w:color w:val="auto"/>
              </w:rPr>
              <w:t>Time course expenses and others</w:t>
            </w:r>
          </w:p>
        </w:tc>
        <w:tc>
          <w:tcPr>
            <w:tcW w:w="2900" w:type="dxa"/>
            <w:vAlign w:val="bottom"/>
            <w:gridSpan w:val="3"/>
          </w:tcPr>
          <w:p>
            <w:pPr>
              <w:jc w:val="right"/>
              <w:ind w:right="220"/>
              <w:spacing w:after="0"/>
              <w:rPr>
                <w:sz w:val="20"/>
                <w:szCs w:val="20"/>
                <w:color w:val="auto"/>
              </w:rPr>
            </w:pPr>
            <w:r>
              <w:rPr>
                <w:rFonts w:ascii="Arial" w:cs="Arial" w:eastAsia="Arial" w:hAnsi="Arial"/>
                <w:sz w:val="12"/>
                <w:szCs w:val="12"/>
                <w:color w:val="auto"/>
              </w:rPr>
              <w:t>67,989</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(3,891)</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64,098</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Unearned premium and other technical reserves variation, net</w:t>
            </w:r>
          </w:p>
        </w:tc>
        <w:tc>
          <w:tcPr>
            <w:tcW w:w="29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(61,834)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62,862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11,685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12,713</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2"/>
                <w:szCs w:val="12"/>
                <w:color w:val="auto"/>
              </w:rPr>
              <w:t>Insurance subscriptions</w:t>
            </w:r>
          </w:p>
        </w:tc>
        <w:tc>
          <w:tcPr>
            <w:tcW w:w="2680" w:type="dxa"/>
            <w:vAlign w:val="bottom"/>
            <w:gridSpan w:val="2"/>
          </w:tcPr>
          <w:p>
            <w:pPr>
              <w:jc w:val="right"/>
              <w:spacing w:after="0"/>
              <w:rPr>
                <w:sz w:val="20"/>
                <w:szCs w:val="20"/>
                <w:color w:val="auto"/>
              </w:rPr>
            </w:pPr>
            <w:r>
              <w:rPr>
                <w:rFonts w:ascii="Arial" w:cs="Arial" w:eastAsia="Arial" w:hAnsi="Arial"/>
                <w:sz w:val="12"/>
                <w:szCs w:val="12"/>
                <w:color w:val="auto"/>
              </w:rPr>
              <w:t>604,262</w:t>
            </w: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8,692</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612,954</w:t>
            </w:r>
          </w:p>
        </w:tc>
        <w:tc>
          <w:tcPr>
            <w:tcW w:w="380" w:type="dxa"/>
            <w:vAlign w:val="bottom"/>
          </w:tcPr>
          <w:p>
            <w:pPr>
              <w:spacing w:after="0"/>
              <w:rPr>
                <w:sz w:val="12"/>
                <w:szCs w:val="12"/>
                <w:color w:val="auto"/>
              </w:rPr>
            </w:pPr>
          </w:p>
        </w:tc>
      </w:tr>
      <w:tr>
        <w:trPr>
          <w:trHeight w:val="135"/>
        </w:trPr>
        <w:tc>
          <w:tcPr>
            <w:tcW w:w="420" w:type="dxa"/>
            <w:vAlign w:val="bottom"/>
          </w:tcPr>
          <w:p>
            <w:pPr>
              <w:spacing w:after="0"/>
              <w:rPr>
                <w:sz w:val="11"/>
                <w:szCs w:val="11"/>
                <w:color w:val="auto"/>
              </w:rPr>
            </w:pPr>
          </w:p>
        </w:tc>
        <w:tc>
          <w:tcPr>
            <w:tcW w:w="40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Adjustment by application of</w:t>
            </w:r>
          </w:p>
        </w:tc>
        <w:tc>
          <w:tcPr>
            <w:tcW w:w="1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market rates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666,556</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666,556</w:t>
            </w:r>
          </w:p>
        </w:tc>
        <w:tc>
          <w:tcPr>
            <w:tcW w:w="380" w:type="dxa"/>
            <w:vAlign w:val="bottom"/>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2"/>
                <w:szCs w:val="12"/>
                <w:color w:val="auto"/>
              </w:rPr>
              <w:t>Exchange difference and others</w:t>
            </w:r>
          </w:p>
        </w:tc>
        <w:tc>
          <w:tcPr>
            <w:tcW w:w="160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(57,801)</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(10,472)</w:t>
            </w: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(44)</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(68,317)</w:t>
            </w:r>
          </w:p>
        </w:tc>
        <w:tc>
          <w:tcPr>
            <w:tcW w:w="380" w:type="dxa"/>
            <w:vAlign w:val="bottom"/>
          </w:tcPr>
          <w:p>
            <w:pPr>
              <w:spacing w:after="0"/>
              <w:rPr>
                <w:sz w:val="13"/>
                <w:szCs w:val="13"/>
                <w:color w:val="auto"/>
              </w:rPr>
            </w:pPr>
          </w:p>
        </w:tc>
      </w:tr>
      <w:tr>
        <w:trPr>
          <w:trHeight w:val="149"/>
        </w:trPr>
        <w:tc>
          <w:tcPr>
            <w:tcW w:w="420" w:type="dxa"/>
            <w:vAlign w:val="bottom"/>
          </w:tcPr>
          <w:p>
            <w:pPr>
              <w:spacing w:after="0"/>
              <w:rPr>
                <w:sz w:val="12"/>
                <w:szCs w:val="12"/>
                <w:color w:val="auto"/>
              </w:rPr>
            </w:pPr>
          </w:p>
        </w:tc>
        <w:tc>
          <w:tcPr>
            <w:tcW w:w="406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Ending balance</w:t>
            </w: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7,548,684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651,129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174,192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8,374,005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Pr>
          <w:p>
            <w:pPr>
              <w:spacing w:after="0"/>
              <w:rPr>
                <w:sz w:val="12"/>
                <w:szCs w:val="12"/>
                <w:color w:val="auto"/>
              </w:rPr>
            </w:pPr>
          </w:p>
        </w:tc>
      </w:tr>
      <w:tr>
        <w:trPr>
          <w:trHeight w:val="459"/>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2018</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0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Life</w:t>
            </w:r>
          </w:p>
        </w:tc>
        <w:tc>
          <w:tcPr>
            <w:tcW w:w="12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General</w:t>
            </w:r>
          </w:p>
        </w:tc>
        <w:tc>
          <w:tcPr>
            <w:tcW w:w="12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8"/>
              </w:rPr>
              <w:t>Health</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57"/>
        </w:trPr>
        <w:tc>
          <w:tcPr>
            <w:tcW w:w="4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insurance</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Total</w:t>
            </w:r>
          </w:p>
        </w:tc>
        <w:tc>
          <w:tcPr>
            <w:tcW w:w="38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Beginning balance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5,599,777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513,826</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149,305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6,262,908</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2"/>
                <w:szCs w:val="12"/>
                <w:color w:val="auto"/>
              </w:rPr>
              <w:t>Time course expenses and others</w:t>
            </w:r>
          </w:p>
        </w:tc>
        <w:tc>
          <w:tcPr>
            <w:tcW w:w="2900" w:type="dxa"/>
            <w:vAlign w:val="bottom"/>
            <w:gridSpan w:val="3"/>
          </w:tcPr>
          <w:p>
            <w:pPr>
              <w:jc w:val="right"/>
              <w:ind w:right="180"/>
              <w:spacing w:after="0"/>
              <w:rPr>
                <w:sz w:val="20"/>
                <w:szCs w:val="20"/>
                <w:color w:val="auto"/>
              </w:rPr>
            </w:pPr>
            <w:r>
              <w:rPr>
                <w:rFonts w:ascii="Arial" w:cs="Arial" w:eastAsia="Arial" w:hAnsi="Arial"/>
                <w:sz w:val="12"/>
                <w:szCs w:val="12"/>
                <w:color w:val="auto"/>
              </w:rPr>
              <w:t>(117,965)</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(117,965)</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Unearned premium and other technical reserves variation, net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1,901</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64,302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13,146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79,349</w:t>
            </w:r>
          </w:p>
        </w:tc>
        <w:tc>
          <w:tcPr>
            <w:tcW w:w="38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2"/>
                <w:szCs w:val="12"/>
                <w:color w:val="auto"/>
              </w:rPr>
              <w:t>Insurance subscriptions</w:t>
            </w:r>
          </w:p>
        </w:tc>
        <w:tc>
          <w:tcPr>
            <w:tcW w:w="2680" w:type="dxa"/>
            <w:vAlign w:val="bottom"/>
            <w:gridSpan w:val="2"/>
          </w:tcPr>
          <w:p>
            <w:pPr>
              <w:jc w:val="right"/>
              <w:spacing w:after="0"/>
              <w:rPr>
                <w:sz w:val="20"/>
                <w:szCs w:val="20"/>
                <w:color w:val="auto"/>
              </w:rPr>
            </w:pPr>
            <w:r>
              <w:rPr>
                <w:rFonts w:ascii="Arial" w:cs="Arial" w:eastAsia="Arial" w:hAnsi="Arial"/>
                <w:sz w:val="12"/>
                <w:szCs w:val="12"/>
                <w:color w:val="auto"/>
              </w:rPr>
              <w:t>724,458</w:t>
            </w: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724,458</w:t>
            </w:r>
          </w:p>
        </w:tc>
        <w:tc>
          <w:tcPr>
            <w:tcW w:w="38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Exchange difference and others</w:t>
            </w:r>
          </w:p>
        </w:tc>
        <w:tc>
          <w:tcPr>
            <w:tcW w:w="1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121,341</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15,810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137,251</w:t>
            </w:r>
          </w:p>
        </w:tc>
        <w:tc>
          <w:tcPr>
            <w:tcW w:w="380" w:type="dxa"/>
            <w:vAlign w:val="bottom"/>
          </w:tcPr>
          <w:p>
            <w:pPr>
              <w:spacing w:after="0"/>
              <w:rPr>
                <w:sz w:val="13"/>
                <w:szCs w:val="13"/>
                <w:color w:val="auto"/>
              </w:rPr>
            </w:pPr>
          </w:p>
        </w:tc>
      </w:tr>
      <w:tr>
        <w:trPr>
          <w:trHeight w:val="149"/>
        </w:trPr>
        <w:tc>
          <w:tcPr>
            <w:tcW w:w="420" w:type="dxa"/>
            <w:vAlign w:val="bottom"/>
          </w:tcPr>
          <w:p>
            <w:pPr>
              <w:spacing w:after="0"/>
              <w:rPr>
                <w:sz w:val="12"/>
                <w:szCs w:val="12"/>
                <w:color w:val="auto"/>
              </w:rPr>
            </w:pPr>
          </w:p>
        </w:tc>
        <w:tc>
          <w:tcPr>
            <w:tcW w:w="4060" w:type="dxa"/>
            <w:vAlign w:val="bottom"/>
          </w:tcPr>
          <w:p>
            <w:pPr>
              <w:spacing w:after="0" w:line="137" w:lineRule="exact"/>
              <w:rPr>
                <w:sz w:val="20"/>
                <w:szCs w:val="20"/>
                <w:color w:val="auto"/>
              </w:rPr>
            </w:pPr>
            <w:r>
              <w:rPr>
                <w:rFonts w:ascii="Arial" w:cs="Arial" w:eastAsia="Arial" w:hAnsi="Arial"/>
                <w:sz w:val="12"/>
                <w:szCs w:val="12"/>
                <w:b w:val="1"/>
                <w:bCs w:val="1"/>
                <w:color w:val="auto"/>
              </w:rPr>
              <w:t>Ending balance</w:t>
            </w:r>
          </w:p>
        </w:tc>
        <w:tc>
          <w:tcPr>
            <w:tcW w:w="16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6,329,512</w:t>
            </w:r>
          </w:p>
        </w:tc>
        <w:tc>
          <w:tcPr>
            <w:tcW w:w="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593,938</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162,551</w:t>
            </w:r>
          </w:p>
        </w:tc>
        <w:tc>
          <w:tcPr>
            <w:tcW w:w="2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7,086,001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- 103 -</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108" w:name="page109"/>
    <w:bookmarkEnd w:id="108"/>
    <w:p>
      <w:pPr>
        <w:ind w:left="8" w:right="120"/>
        <w:spacing w:after="0" w:line="276" w:lineRule="auto"/>
        <w:rPr>
          <w:sz w:val="20"/>
          <w:szCs w:val="20"/>
          <w:color w:val="auto"/>
        </w:rPr>
      </w:pPr>
      <w:r>
        <w:rPr>
          <w:rFonts w:ascii="Arial" w:cs="Arial" w:eastAsia="Arial" w:hAnsi="Arial"/>
          <w:sz w:val="12"/>
          <w:szCs w:val="12"/>
          <w:color w:val="auto"/>
        </w:rPr>
        <w:t>At December 31, 2019 and 2018 no additional reserves were needed as a result of the liability adequacy test. The main assumptions used to estimate of retirement, disability and survival annuities and individual life (including Investment link insurance contracts) reserves, as of those dates, are as follows:</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20" w:type="dxa"/>
            <w:vAlign w:val="bottom"/>
            <w:gridSpan w:val="2"/>
            <w:vMerge w:val="restart"/>
          </w:tcPr>
          <w:p>
            <w:pPr>
              <w:ind w:left="940"/>
              <w:spacing w:after="0"/>
              <w:rPr>
                <w:sz w:val="20"/>
                <w:szCs w:val="20"/>
                <w:color w:val="auto"/>
              </w:rPr>
            </w:pPr>
            <w:r>
              <w:rPr>
                <w:rFonts w:ascii="Arial" w:cs="Arial" w:eastAsia="Arial" w:hAnsi="Arial"/>
                <w:sz w:val="10"/>
                <w:szCs w:val="10"/>
                <w:b w:val="1"/>
                <w:bCs w:val="1"/>
                <w:color w:val="auto"/>
              </w:rPr>
              <w:t>Mortality</w:t>
            </w:r>
          </w:p>
        </w:tc>
        <w:tc>
          <w:tcPr>
            <w:tcW w:w="154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At December 31, 2019</w:t>
            </w:r>
          </w:p>
        </w:tc>
        <w:tc>
          <w:tcPr>
            <w:tcW w:w="12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At December 31, 2018</w:t>
            </w:r>
          </w:p>
        </w:tc>
        <w:tc>
          <w:tcPr>
            <w:tcW w:w="0" w:type="dxa"/>
            <w:vAlign w:val="bottom"/>
          </w:tcPr>
          <w:p>
            <w:pPr>
              <w:spacing w:after="0"/>
              <w:rPr>
                <w:sz w:val="1"/>
                <w:szCs w:val="1"/>
                <w:color w:val="auto"/>
              </w:rPr>
            </w:pPr>
          </w:p>
        </w:tc>
      </w:tr>
      <w:tr>
        <w:trPr>
          <w:trHeight w:val="88"/>
        </w:trPr>
        <w:tc>
          <w:tcPr>
            <w:tcW w:w="2420" w:type="dxa"/>
            <w:vAlign w:val="bottom"/>
            <w:gridSpan w:val="2"/>
            <w:vMerge w:val="continue"/>
          </w:tcPr>
          <w:p>
            <w:pPr>
              <w:spacing w:after="0"/>
              <w:rPr>
                <w:sz w:val="7"/>
                <w:szCs w:val="7"/>
                <w:color w:val="auto"/>
              </w:rPr>
            </w:pPr>
          </w:p>
        </w:tc>
        <w:tc>
          <w:tcPr>
            <w:tcW w:w="1540" w:type="dxa"/>
            <w:vAlign w:val="bottom"/>
          </w:tcPr>
          <w:p>
            <w:pPr>
              <w:ind w:left="660"/>
              <w:spacing w:after="0" w:line="88" w:lineRule="exact"/>
              <w:rPr>
                <w:sz w:val="20"/>
                <w:szCs w:val="20"/>
                <w:color w:val="auto"/>
              </w:rPr>
            </w:pPr>
            <w:r>
              <w:rPr>
                <w:rFonts w:ascii="Arial" w:cs="Arial" w:eastAsia="Arial" w:hAnsi="Arial"/>
                <w:sz w:val="10"/>
                <w:szCs w:val="10"/>
                <w:b w:val="1"/>
                <w:bCs w:val="1"/>
                <w:color w:val="auto"/>
              </w:rPr>
              <w:t>Mortality table</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Pr>
          <w:p>
            <w:pPr>
              <w:ind w:left="900"/>
              <w:spacing w:after="0" w:line="88" w:lineRule="exact"/>
              <w:rPr>
                <w:sz w:val="20"/>
                <w:szCs w:val="20"/>
                <w:color w:val="auto"/>
              </w:rPr>
            </w:pPr>
            <w:r>
              <w:rPr>
                <w:rFonts w:ascii="Arial" w:cs="Arial" w:eastAsia="Arial" w:hAnsi="Arial"/>
                <w:sz w:val="10"/>
                <w:szCs w:val="10"/>
                <w:b w:val="1"/>
                <w:bCs w:val="1"/>
                <w:color w:val="auto"/>
              </w:rPr>
              <w:t>Technical rates</w:t>
            </w:r>
          </w:p>
        </w:tc>
        <w:tc>
          <w:tcPr>
            <w:tcW w:w="120" w:type="dxa"/>
            <w:vAlign w:val="bottom"/>
          </w:tcPr>
          <w:p>
            <w:pPr>
              <w:spacing w:after="0"/>
              <w:rPr>
                <w:sz w:val="7"/>
                <w:szCs w:val="7"/>
                <w:color w:val="auto"/>
              </w:rPr>
            </w:pPr>
          </w:p>
        </w:tc>
        <w:tc>
          <w:tcPr>
            <w:tcW w:w="1520" w:type="dxa"/>
            <w:vAlign w:val="bottom"/>
          </w:tcPr>
          <w:p>
            <w:pPr>
              <w:ind w:left="660"/>
              <w:spacing w:after="0" w:line="88" w:lineRule="exact"/>
              <w:rPr>
                <w:sz w:val="20"/>
                <w:szCs w:val="20"/>
                <w:color w:val="auto"/>
              </w:rPr>
            </w:pPr>
            <w:r>
              <w:rPr>
                <w:rFonts w:ascii="Arial" w:cs="Arial" w:eastAsia="Arial" w:hAnsi="Arial"/>
                <w:sz w:val="10"/>
                <w:szCs w:val="10"/>
                <w:b w:val="1"/>
                <w:bCs w:val="1"/>
                <w:color w:val="auto"/>
              </w:rPr>
              <w:t>Mortality table</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Pr>
          <w:p>
            <w:pPr>
              <w:ind w:left="860"/>
              <w:spacing w:after="0" w:line="88" w:lineRule="exact"/>
              <w:rPr>
                <w:sz w:val="20"/>
                <w:szCs w:val="20"/>
                <w:color w:val="auto"/>
              </w:rPr>
            </w:pPr>
            <w:r>
              <w:rPr>
                <w:rFonts w:ascii="Arial" w:cs="Arial" w:eastAsia="Arial" w:hAnsi="Arial"/>
                <w:sz w:val="10"/>
                <w:szCs w:val="10"/>
                <w:b w:val="1"/>
                <w:bCs w:val="1"/>
                <w:color w:val="auto"/>
              </w:rPr>
              <w:t>Technical rates</w:t>
            </w:r>
          </w:p>
        </w:tc>
        <w:tc>
          <w:tcPr>
            <w:tcW w:w="0" w:type="dxa"/>
            <w:vAlign w:val="bottom"/>
          </w:tcPr>
          <w:p>
            <w:pPr>
              <w:spacing w:after="0"/>
              <w:rPr>
                <w:sz w:val="1"/>
                <w:szCs w:val="1"/>
                <w:color w:val="auto"/>
              </w:rPr>
            </w:pPr>
          </w:p>
        </w:tc>
      </w:tr>
      <w:tr>
        <w:trPr>
          <w:trHeight w:val="88"/>
        </w:trPr>
        <w:tc>
          <w:tcPr>
            <w:tcW w:w="230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Annuities</w:t>
            </w:r>
          </w:p>
        </w:tc>
        <w:tc>
          <w:tcPr>
            <w:tcW w:w="120" w:type="dxa"/>
            <w:vAlign w:val="bottom"/>
            <w:tcBorders>
              <w:top w:val="single" w:sz="8" w:color="CCEEFF"/>
            </w:tcBorders>
            <w:shd w:val="clear" w:color="auto" w:fill="CCEEFF"/>
          </w:tcPr>
          <w:p>
            <w:pPr>
              <w:spacing w:after="0"/>
              <w:rPr>
                <w:sz w:val="7"/>
                <w:szCs w:val="7"/>
                <w:color w:val="auto"/>
              </w:rPr>
            </w:pPr>
          </w:p>
        </w:tc>
        <w:tc>
          <w:tcPr>
            <w:tcW w:w="154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SPP-S-2017 and SPP-I- 2017</w:t>
            </w:r>
          </w:p>
        </w:tc>
        <w:tc>
          <w:tcPr>
            <w:tcW w:w="40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2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Between 3.81% - 7.99% / Between 2.50% - 5.25%</w:t>
            </w:r>
          </w:p>
        </w:tc>
        <w:tc>
          <w:tcPr>
            <w:tcW w:w="120" w:type="dxa"/>
            <w:vAlign w:val="bottom"/>
            <w:tcBorders>
              <w:top w:val="single" w:sz="8" w:color="CCEEFF"/>
            </w:tcBorders>
            <w:shd w:val="clear" w:color="auto" w:fill="CCEEFF"/>
          </w:tcPr>
          <w:p>
            <w:pPr>
              <w:spacing w:after="0"/>
              <w:rPr>
                <w:sz w:val="7"/>
                <w:szCs w:val="7"/>
                <w:color w:val="auto"/>
              </w:rPr>
            </w:pPr>
          </w:p>
        </w:tc>
        <w:tc>
          <w:tcPr>
            <w:tcW w:w="152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SPP-S-2017 and SPP-I- 2017</w:t>
            </w:r>
          </w:p>
        </w:tc>
        <w:tc>
          <w:tcPr>
            <w:tcW w:w="42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38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Between 3.81% - 7.99% / Between 2.50% - 5.25%</w:t>
            </w:r>
          </w:p>
        </w:tc>
        <w:tc>
          <w:tcPr>
            <w:tcW w:w="0" w:type="dxa"/>
            <w:vAlign w:val="bottom"/>
          </w:tcPr>
          <w:p>
            <w:pPr>
              <w:spacing w:after="0"/>
              <w:rPr>
                <w:sz w:val="1"/>
                <w:szCs w:val="1"/>
                <w:color w:val="auto"/>
              </w:rPr>
            </w:pPr>
          </w:p>
        </w:tc>
      </w:tr>
      <w:tr>
        <w:trPr>
          <w:trHeight w:val="88"/>
        </w:trPr>
        <w:tc>
          <w:tcPr>
            <w:tcW w:w="230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Pension insurance – Temporary Regime / SCTR (*)</w:t>
            </w:r>
          </w:p>
        </w:tc>
        <w:tc>
          <w:tcPr>
            <w:tcW w:w="120" w:type="dxa"/>
            <w:vAlign w:val="bottom"/>
            <w:tcBorders>
              <w:bottom w:val="single" w:sz="8" w:color="CCEEFF"/>
            </w:tcBorders>
          </w:tcPr>
          <w:p>
            <w:pPr>
              <w:spacing w:after="0"/>
              <w:rPr>
                <w:sz w:val="7"/>
                <w:szCs w:val="7"/>
                <w:color w:val="auto"/>
              </w:rPr>
            </w:pPr>
          </w:p>
        </w:tc>
        <w:tc>
          <w:tcPr>
            <w:tcW w:w="154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B-85 and MI-85</w:t>
            </w: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42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3.00% soles VAC</w:t>
            </w:r>
          </w:p>
        </w:tc>
        <w:tc>
          <w:tcPr>
            <w:tcW w:w="120" w:type="dxa"/>
            <w:vAlign w:val="bottom"/>
            <w:tcBorders>
              <w:bottom w:val="single" w:sz="8" w:color="CCEEFF"/>
            </w:tcBorders>
          </w:tcPr>
          <w:p>
            <w:pPr>
              <w:spacing w:after="0"/>
              <w:rPr>
                <w:sz w:val="7"/>
                <w:szCs w:val="7"/>
                <w:color w:val="auto"/>
              </w:rPr>
            </w:pPr>
          </w:p>
        </w:tc>
        <w:tc>
          <w:tcPr>
            <w:tcW w:w="152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B-85 and MI-85</w:t>
            </w:r>
          </w:p>
        </w:tc>
        <w:tc>
          <w:tcPr>
            <w:tcW w:w="4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38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3.00% soles VAC</w:t>
            </w:r>
          </w:p>
        </w:tc>
        <w:tc>
          <w:tcPr>
            <w:tcW w:w="0" w:type="dxa"/>
            <w:vAlign w:val="bottom"/>
          </w:tcPr>
          <w:p>
            <w:pPr>
              <w:spacing w:after="0"/>
              <w:rPr>
                <w:sz w:val="1"/>
                <w:szCs w:val="1"/>
                <w:color w:val="auto"/>
              </w:rPr>
            </w:pPr>
          </w:p>
        </w:tc>
      </w:tr>
      <w:tr>
        <w:trPr>
          <w:trHeight w:val="88"/>
        </w:trPr>
        <w:tc>
          <w:tcPr>
            <w:tcW w:w="230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Pension insurance – Definitive Regime</w:t>
            </w:r>
          </w:p>
        </w:tc>
        <w:tc>
          <w:tcPr>
            <w:tcW w:w="120" w:type="dxa"/>
            <w:vAlign w:val="bottom"/>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B-85 and MI-85</w:t>
            </w:r>
          </w:p>
        </w:tc>
        <w:tc>
          <w:tcPr>
            <w:tcW w:w="4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2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2.41% soles VAC / 4.26% nominal dollars</w:t>
            </w:r>
          </w:p>
        </w:tc>
        <w:tc>
          <w:tcPr>
            <w:tcW w:w="120" w:type="dxa"/>
            <w:vAlign w:val="bottom"/>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B-85 and MI-85</w:t>
            </w:r>
          </w:p>
        </w:tc>
        <w:tc>
          <w:tcPr>
            <w:tcW w:w="4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38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2.96% soles VAC / 4.40% nominal dollars</w:t>
            </w:r>
          </w:p>
        </w:tc>
        <w:tc>
          <w:tcPr>
            <w:tcW w:w="0" w:type="dxa"/>
            <w:vAlign w:val="bottom"/>
          </w:tcPr>
          <w:p>
            <w:pPr>
              <w:spacing w:after="0"/>
              <w:rPr>
                <w:sz w:val="1"/>
                <w:szCs w:val="1"/>
                <w:color w:val="auto"/>
              </w:rPr>
            </w:pPr>
          </w:p>
        </w:tc>
      </w:tr>
      <w:tr>
        <w:trPr>
          <w:trHeight w:val="76"/>
        </w:trPr>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20" w:type="dxa"/>
            <w:vAlign w:val="bottom"/>
          </w:tcPr>
          <w:p>
            <w:pPr>
              <w:spacing w:after="0" w:line="76" w:lineRule="exact"/>
              <w:rPr>
                <w:sz w:val="20"/>
                <w:szCs w:val="20"/>
                <w:color w:val="auto"/>
              </w:rPr>
            </w:pPr>
            <w:r>
              <w:rPr>
                <w:rFonts w:ascii="Arial" w:cs="Arial" w:eastAsia="Arial" w:hAnsi="Arial"/>
                <w:sz w:val="8"/>
                <w:szCs w:val="8"/>
                <w:color w:val="auto"/>
              </w:rPr>
              <w:t>Between 2.41%, 3.00%, soles VAC / 4.26% nominal dollars /</w:t>
            </w: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line="76" w:lineRule="exact"/>
              <w:rPr>
                <w:sz w:val="20"/>
                <w:szCs w:val="20"/>
                <w:color w:val="auto"/>
              </w:rPr>
            </w:pPr>
            <w:r>
              <w:rPr>
                <w:rFonts w:ascii="Arial" w:cs="Arial" w:eastAsia="Arial" w:hAnsi="Arial"/>
                <w:sz w:val="8"/>
                <w:szCs w:val="8"/>
                <w:color w:val="auto"/>
              </w:rPr>
              <w:t>Between 3.00%, 2.96% soles VAC / 4.40% nominal dollars /</w:t>
            </w:r>
          </w:p>
        </w:tc>
        <w:tc>
          <w:tcPr>
            <w:tcW w:w="0" w:type="dxa"/>
            <w:vAlign w:val="bottom"/>
          </w:tcPr>
          <w:p>
            <w:pPr>
              <w:spacing w:after="0"/>
              <w:rPr>
                <w:sz w:val="1"/>
                <w:szCs w:val="1"/>
                <w:color w:val="auto"/>
              </w:rPr>
            </w:pPr>
          </w:p>
        </w:tc>
      </w:tr>
      <w:tr>
        <w:trPr>
          <w:trHeight w:val="112"/>
        </w:trPr>
        <w:tc>
          <w:tcPr>
            <w:tcW w:w="2420" w:type="dxa"/>
            <w:vAlign w:val="bottom"/>
            <w:gridSpan w:val="2"/>
          </w:tcPr>
          <w:p>
            <w:pPr>
              <w:spacing w:after="0" w:line="112" w:lineRule="exact"/>
              <w:rPr>
                <w:sz w:val="20"/>
                <w:szCs w:val="20"/>
                <w:color w:val="auto"/>
              </w:rPr>
            </w:pPr>
            <w:r>
              <w:rPr>
                <w:rFonts w:ascii="Arial" w:cs="Arial" w:eastAsia="Arial" w:hAnsi="Arial"/>
                <w:sz w:val="10"/>
                <w:szCs w:val="10"/>
                <w:color w:val="auto"/>
              </w:rPr>
              <w:t>Pension insurance – Definitive Regime / SCTR</w:t>
            </w:r>
          </w:p>
        </w:tc>
        <w:tc>
          <w:tcPr>
            <w:tcW w:w="1540" w:type="dxa"/>
            <w:vAlign w:val="bottom"/>
          </w:tcPr>
          <w:p>
            <w:pPr>
              <w:spacing w:after="0" w:line="112" w:lineRule="exact"/>
              <w:rPr>
                <w:sz w:val="20"/>
                <w:szCs w:val="20"/>
                <w:color w:val="auto"/>
              </w:rPr>
            </w:pPr>
            <w:r>
              <w:rPr>
                <w:rFonts w:ascii="Arial" w:cs="Arial" w:eastAsia="Arial" w:hAnsi="Arial"/>
                <w:sz w:val="10"/>
                <w:szCs w:val="10"/>
                <w:color w:val="auto"/>
              </w:rPr>
              <w:t>B-85 adjusted and MI-85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line="112" w:lineRule="exact"/>
              <w:rPr>
                <w:sz w:val="20"/>
                <w:szCs w:val="20"/>
                <w:color w:val="auto"/>
              </w:rPr>
            </w:pPr>
            <w:r>
              <w:rPr>
                <w:rFonts w:ascii="Arial" w:cs="Arial" w:eastAsia="Arial" w:hAnsi="Arial"/>
                <w:sz w:val="10"/>
                <w:szCs w:val="10"/>
                <w:color w:val="auto"/>
              </w:rPr>
              <w:t>5.67% soles adjusted / 4.26% dollars adjusted</w:t>
            </w:r>
          </w:p>
        </w:tc>
        <w:tc>
          <w:tcPr>
            <w:tcW w:w="1640" w:type="dxa"/>
            <w:vAlign w:val="bottom"/>
            <w:gridSpan w:val="2"/>
          </w:tcPr>
          <w:p>
            <w:pPr>
              <w:ind w:left="120"/>
              <w:spacing w:after="0" w:line="112" w:lineRule="exact"/>
              <w:rPr>
                <w:sz w:val="20"/>
                <w:szCs w:val="20"/>
                <w:color w:val="auto"/>
              </w:rPr>
            </w:pPr>
            <w:r>
              <w:rPr>
                <w:rFonts w:ascii="Arial" w:cs="Arial" w:eastAsia="Arial" w:hAnsi="Arial"/>
                <w:sz w:val="10"/>
                <w:szCs w:val="10"/>
                <w:color w:val="auto"/>
              </w:rPr>
              <w:t>B-85 adjusted and MI-85</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gridSpan w:val="2"/>
          </w:tcPr>
          <w:p>
            <w:pPr>
              <w:spacing w:after="0" w:line="112" w:lineRule="exact"/>
              <w:rPr>
                <w:sz w:val="20"/>
                <w:szCs w:val="20"/>
                <w:color w:val="auto"/>
              </w:rPr>
            </w:pPr>
            <w:r>
              <w:rPr>
                <w:rFonts w:ascii="Arial" w:cs="Arial" w:eastAsia="Arial" w:hAnsi="Arial"/>
                <w:sz w:val="10"/>
                <w:szCs w:val="10"/>
                <w:color w:val="auto"/>
              </w:rPr>
              <w:t>5.82% soles adjusted / 4.40% dollars adjusted</w:t>
            </w:r>
          </w:p>
        </w:tc>
        <w:tc>
          <w:tcPr>
            <w:tcW w:w="0" w:type="dxa"/>
            <w:vAlign w:val="bottom"/>
          </w:tcPr>
          <w:p>
            <w:pPr>
              <w:spacing w:after="0"/>
              <w:rPr>
                <w:sz w:val="1"/>
                <w:szCs w:val="1"/>
                <w:color w:val="auto"/>
              </w:rPr>
            </w:pPr>
          </w:p>
        </w:tc>
      </w:tr>
      <w:tr>
        <w:trPr>
          <w:trHeight w:val="76"/>
        </w:trPr>
        <w:tc>
          <w:tcPr>
            <w:tcW w:w="2300" w:type="dxa"/>
            <w:vAlign w:val="bottom"/>
            <w:tcBorders>
              <w:top w:val="single" w:sz="8" w:color="auto"/>
            </w:tcBorders>
            <w:shd w:val="clear" w:color="auto" w:fill="CCEEFF"/>
          </w:tcPr>
          <w:p>
            <w:pPr>
              <w:spacing w:after="0" w:line="76" w:lineRule="exact"/>
              <w:rPr>
                <w:sz w:val="20"/>
                <w:szCs w:val="20"/>
                <w:color w:val="auto"/>
              </w:rPr>
            </w:pPr>
            <w:r>
              <w:rPr>
                <w:rFonts w:ascii="Arial" w:cs="Arial" w:eastAsia="Arial" w:hAnsi="Arial"/>
                <w:sz w:val="8"/>
                <w:szCs w:val="8"/>
                <w:color w:val="auto"/>
              </w:rPr>
              <w:t>Pension insurance – Temporary Regime /SCTR</w:t>
            </w:r>
          </w:p>
        </w:tc>
        <w:tc>
          <w:tcPr>
            <w:tcW w:w="1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20" w:type="dxa"/>
            <w:vAlign w:val="bottom"/>
            <w:tcBorders>
              <w:top w:val="single" w:sz="8" w:color="auto"/>
            </w:tcBorders>
            <w:shd w:val="clear" w:color="auto" w:fill="CCEEFF"/>
          </w:tcPr>
          <w:p>
            <w:pPr>
              <w:spacing w:after="0" w:line="76" w:lineRule="exact"/>
              <w:rPr>
                <w:sz w:val="20"/>
                <w:szCs w:val="20"/>
                <w:color w:val="auto"/>
              </w:rPr>
            </w:pPr>
            <w:r>
              <w:rPr>
                <w:rFonts w:ascii="Arial" w:cs="Arial" w:eastAsia="Arial" w:hAnsi="Arial"/>
                <w:sz w:val="8"/>
                <w:szCs w:val="8"/>
                <w:color w:val="auto"/>
              </w:rPr>
              <w:t>3.816% soles VAC/Between 0.94% -2.83% soles VAC/</w:t>
            </w:r>
          </w:p>
        </w:tc>
        <w:tc>
          <w:tcPr>
            <w:tcW w:w="12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42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color w:val="auto"/>
              </w:rPr>
              <w:t>(Longevity)</w:t>
            </w:r>
          </w:p>
        </w:tc>
        <w:tc>
          <w:tcPr>
            <w:tcW w:w="154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SPP-S-2017- and SPP-I-2017</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3.771% soles VAC</w:t>
            </w:r>
          </w:p>
        </w:tc>
        <w:tc>
          <w:tcPr>
            <w:tcW w:w="1640" w:type="dxa"/>
            <w:vAlign w:val="bottom"/>
            <w:gridSpan w:val="2"/>
            <w:shd w:val="clear" w:color="auto" w:fill="CCEEFF"/>
          </w:tcPr>
          <w:p>
            <w:pPr>
              <w:ind w:left="120"/>
              <w:spacing w:after="0" w:line="112" w:lineRule="exact"/>
              <w:rPr>
                <w:sz w:val="20"/>
                <w:szCs w:val="20"/>
                <w:color w:val="auto"/>
              </w:rPr>
            </w:pPr>
            <w:r>
              <w:rPr>
                <w:rFonts w:ascii="Arial" w:cs="Arial" w:eastAsia="Arial" w:hAnsi="Arial"/>
                <w:sz w:val="10"/>
                <w:szCs w:val="10"/>
                <w:color w:val="auto"/>
              </w:rPr>
              <w:t>SPP-S-2017- and SPP-I-2017</w:t>
            </w: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color w:val="auto"/>
              </w:rPr>
              <w:t>Between 3.7910%, 3.915% soles VAC</w:t>
            </w:r>
          </w:p>
        </w:tc>
        <w:tc>
          <w:tcPr>
            <w:tcW w:w="0" w:type="dxa"/>
            <w:vAlign w:val="bottom"/>
          </w:tcPr>
          <w:p>
            <w:pPr>
              <w:spacing w:after="0"/>
              <w:rPr>
                <w:sz w:val="1"/>
                <w:szCs w:val="1"/>
                <w:color w:val="auto"/>
              </w:rPr>
            </w:pPr>
          </w:p>
        </w:tc>
      </w:tr>
      <w:tr>
        <w:trPr>
          <w:trHeight w:val="88"/>
        </w:trPr>
        <w:tc>
          <w:tcPr>
            <w:tcW w:w="23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color w:val="auto"/>
              </w:rPr>
              <w:t>Individual life</w:t>
            </w:r>
          </w:p>
        </w:tc>
        <w:tc>
          <w:tcPr>
            <w:tcW w:w="120" w:type="dxa"/>
            <w:vAlign w:val="bottom"/>
          </w:tcPr>
          <w:p>
            <w:pPr>
              <w:spacing w:after="0"/>
              <w:rPr>
                <w:sz w:val="7"/>
                <w:szCs w:val="7"/>
                <w:color w:val="auto"/>
              </w:rPr>
            </w:pPr>
          </w:p>
        </w:tc>
        <w:tc>
          <w:tcPr>
            <w:tcW w:w="15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color w:val="auto"/>
              </w:rPr>
              <w:t>CSO 80 adjusted</w:t>
            </w:r>
          </w:p>
        </w:tc>
        <w:tc>
          <w:tcPr>
            <w:tcW w:w="40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color w:val="auto"/>
              </w:rPr>
              <w:t>Between 4.00% - 5.00%</w:t>
            </w:r>
          </w:p>
        </w:tc>
        <w:tc>
          <w:tcPr>
            <w:tcW w:w="120" w:type="dxa"/>
            <w:vAlign w:val="bottom"/>
          </w:tcPr>
          <w:p>
            <w:pPr>
              <w:spacing w:after="0"/>
              <w:rPr>
                <w:sz w:val="7"/>
                <w:szCs w:val="7"/>
                <w:color w:val="auto"/>
              </w:rPr>
            </w:pPr>
          </w:p>
        </w:tc>
        <w:tc>
          <w:tcPr>
            <w:tcW w:w="152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color w:val="auto"/>
              </w:rPr>
              <w:t>CSO 80 adjusted</w:t>
            </w:r>
          </w:p>
        </w:tc>
        <w:tc>
          <w:tcPr>
            <w:tcW w:w="42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8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color w:val="auto"/>
              </w:rPr>
              <w:t>Between 4.00% - 5.00%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8" w:hanging="208"/>
        <w:spacing w:after="0"/>
        <w:tabs>
          <w:tab w:leader="none" w:pos="20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Complementary Work Risk Insurance (SCTR the Spanish acronym).</w:t>
      </w:r>
    </w:p>
    <w:p>
      <w:pPr>
        <w:spacing w:after="0" w:line="132"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The sensitivity of the estimates used by the Group to measure its insurance risks is represented primarily by the life insurance risks; the main variables as of December 31, 2019 and 2018, are the interest rates and the mortality tables used. The Group has evaluated the changes in its most significant reserves related to life insurance contracts included in retirement, disability and survival annuities reserves of +/- 100 bps of the interest rates and of +/- 5 bps of the mortality factors, with the following results:</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2"/>
              </w:rPr>
              <w:t>At December 31, 2019</w:t>
            </w: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0"/>
              </w:rPr>
              <w:t>At December 31, 2018</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0" w:type="dxa"/>
            <w:vAlign w:val="bottom"/>
            <w:gridSpan w:val="2"/>
            <w:vMerge w:val="restart"/>
          </w:tcPr>
          <w:p>
            <w:pPr>
              <w:ind w:left="1340"/>
              <w:spacing w:after="0"/>
              <w:rPr>
                <w:sz w:val="20"/>
                <w:szCs w:val="20"/>
                <w:color w:val="auto"/>
              </w:rPr>
            </w:pPr>
            <w:r>
              <w:rPr>
                <w:rFonts w:ascii="Arial" w:cs="Arial" w:eastAsia="Arial" w:hAnsi="Arial"/>
                <w:sz w:val="10"/>
                <w:szCs w:val="10"/>
                <w:b w:val="1"/>
                <w:bCs w:val="1"/>
                <w:color w:val="auto"/>
              </w:rPr>
              <w:t>Variables</w:t>
            </w:r>
          </w:p>
        </w:tc>
        <w:tc>
          <w:tcPr>
            <w:tcW w:w="90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Reserve</w:t>
            </w:r>
          </w:p>
        </w:tc>
        <w:tc>
          <w:tcPr>
            <w:tcW w:w="140" w:type="dxa"/>
            <w:vAlign w:val="bottom"/>
          </w:tcPr>
          <w:p>
            <w:pPr>
              <w:spacing w:after="0"/>
              <w:rPr>
                <w:sz w:val="8"/>
                <w:szCs w:val="8"/>
                <w:color w:val="auto"/>
              </w:rPr>
            </w:pPr>
          </w:p>
        </w:tc>
        <w:tc>
          <w:tcPr>
            <w:tcW w:w="1820" w:type="dxa"/>
            <w:vAlign w:val="bottom"/>
            <w:tcBorders>
              <w:bottom w:val="single" w:sz="8" w:color="auto"/>
            </w:tcBorders>
            <w:gridSpan w:val="3"/>
          </w:tcPr>
          <w:p>
            <w:pPr>
              <w:ind w:left="420"/>
              <w:spacing w:after="0" w:line="97" w:lineRule="exact"/>
              <w:rPr>
                <w:sz w:val="20"/>
                <w:szCs w:val="20"/>
                <w:color w:val="auto"/>
              </w:rPr>
            </w:pPr>
            <w:r>
              <w:rPr>
                <w:rFonts w:ascii="Arial" w:cs="Arial" w:eastAsia="Arial" w:hAnsi="Arial"/>
                <w:sz w:val="10"/>
                <w:szCs w:val="10"/>
                <w:b w:val="1"/>
                <w:bCs w:val="1"/>
                <w:color w:val="auto"/>
              </w:rPr>
              <w:t>Variation of the reserve</w:t>
            </w:r>
          </w:p>
        </w:tc>
        <w:tc>
          <w:tcPr>
            <w:tcW w:w="180" w:type="dxa"/>
            <w:vAlign w:val="bottom"/>
          </w:tcPr>
          <w:p>
            <w:pPr>
              <w:spacing w:after="0"/>
              <w:rPr>
                <w:sz w:val="8"/>
                <w:szCs w:val="8"/>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Reserve</w:t>
            </w:r>
          </w:p>
        </w:tc>
        <w:tc>
          <w:tcPr>
            <w:tcW w:w="100" w:type="dxa"/>
            <w:vAlign w:val="bottom"/>
          </w:tcPr>
          <w:p>
            <w:pPr>
              <w:spacing w:after="0"/>
              <w:rPr>
                <w:sz w:val="8"/>
                <w:szCs w:val="8"/>
                <w:color w:val="auto"/>
              </w:rPr>
            </w:pPr>
          </w:p>
        </w:tc>
        <w:tc>
          <w:tcPr>
            <w:tcW w:w="1820" w:type="dxa"/>
            <w:vAlign w:val="bottom"/>
            <w:tcBorders>
              <w:bottom w:val="single" w:sz="8" w:color="auto"/>
            </w:tcBorders>
            <w:gridSpan w:val="3"/>
          </w:tcPr>
          <w:p>
            <w:pPr>
              <w:ind w:left="440"/>
              <w:spacing w:after="0" w:line="97" w:lineRule="exact"/>
              <w:rPr>
                <w:sz w:val="20"/>
                <w:szCs w:val="20"/>
                <w:color w:val="auto"/>
              </w:rPr>
            </w:pPr>
            <w:r>
              <w:rPr>
                <w:rFonts w:ascii="Arial" w:cs="Arial" w:eastAsia="Arial" w:hAnsi="Arial"/>
                <w:sz w:val="10"/>
                <w:szCs w:val="10"/>
                <w:b w:val="1"/>
                <w:bCs w:val="1"/>
                <w:color w:val="auto"/>
              </w:rPr>
              <w:t>Variation of the reserve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right"/>
              <w:ind w:right="440"/>
              <w:spacing w:after="0" w:line="97" w:lineRule="exact"/>
              <w:rPr>
                <w:sz w:val="20"/>
                <w:szCs w:val="20"/>
                <w:color w:val="auto"/>
              </w:rPr>
            </w:pPr>
            <w:r>
              <w:rPr>
                <w:rFonts w:ascii="Arial" w:cs="Arial" w:eastAsia="Arial" w:hAnsi="Arial"/>
                <w:sz w:val="10"/>
                <w:szCs w:val="10"/>
                <w:b w:val="1"/>
                <w:bCs w:val="1"/>
                <w:color w:val="auto"/>
              </w:rPr>
              <w:t>Amount</w:t>
            </w:r>
          </w:p>
        </w:tc>
        <w:tc>
          <w:tcPr>
            <w:tcW w:w="80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81"/>
              </w:rPr>
              <w:t>Percentage</w:t>
            </w: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420"/>
              <w:spacing w:after="0" w:line="97" w:lineRule="exact"/>
              <w:rPr>
                <w:sz w:val="20"/>
                <w:szCs w:val="20"/>
                <w:color w:val="auto"/>
              </w:rPr>
            </w:pPr>
            <w:r>
              <w:rPr>
                <w:rFonts w:ascii="Arial" w:cs="Arial" w:eastAsia="Arial" w:hAnsi="Arial"/>
                <w:sz w:val="10"/>
                <w:szCs w:val="10"/>
                <w:b w:val="1"/>
                <w:bCs w:val="1"/>
                <w:color w:val="auto"/>
              </w:rPr>
              <w:t>Amount</w:t>
            </w:r>
          </w:p>
        </w:tc>
        <w:tc>
          <w:tcPr>
            <w:tcW w:w="82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81"/>
              </w:rPr>
              <w:t>Percentage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jc w:val="right"/>
              <w:ind w:right="312"/>
              <w:spacing w:after="0" w:line="8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top w:val="single" w:sz="8" w:color="auto"/>
            </w:tcBorders>
          </w:tcPr>
          <w:p>
            <w:pPr>
              <w:jc w:val="right"/>
              <w:ind w:right="312"/>
              <w:spacing w:after="0" w:line="8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22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b w:val="1"/>
                <w:bCs w:val="1"/>
                <w:color w:val="auto"/>
              </w:rPr>
              <w:t>Portfolio in S/ - Base amount</w:t>
            </w:r>
          </w:p>
        </w:tc>
        <w:tc>
          <w:tcPr>
            <w:tcW w:w="9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3,896,211</w:t>
            </w:r>
          </w:p>
        </w:tc>
        <w:tc>
          <w:tcPr>
            <w:tcW w:w="9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3,163,166</w:t>
            </w:r>
          </w:p>
        </w:tc>
        <w:tc>
          <w:tcPr>
            <w:tcW w:w="110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3220" w:type="dxa"/>
            <w:vAlign w:val="bottom"/>
            <w:gridSpan w:val="3"/>
          </w:tcPr>
          <w:p>
            <w:pPr>
              <w:spacing w:after="0" w:line="99" w:lineRule="exact"/>
              <w:rPr>
                <w:sz w:val="20"/>
                <w:szCs w:val="20"/>
                <w:color w:val="auto"/>
              </w:rPr>
            </w:pPr>
            <w:r>
              <w:rPr>
                <w:rFonts w:ascii="Arial" w:cs="Arial" w:eastAsia="Arial" w:hAnsi="Arial"/>
                <w:sz w:val="10"/>
                <w:szCs w:val="10"/>
                <w:color w:val="auto"/>
              </w:rPr>
              <w:t>Changes in interest rates: + 100 bps</w:t>
            </w:r>
          </w:p>
        </w:tc>
        <w:tc>
          <w:tcPr>
            <w:tcW w:w="9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3,575,717</w:t>
            </w:r>
          </w:p>
        </w:tc>
        <w:tc>
          <w:tcPr>
            <w:tcW w:w="116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(320,494)</w:t>
            </w:r>
          </w:p>
        </w:tc>
        <w:tc>
          <w:tcPr>
            <w:tcW w:w="9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(8.23)</w:t>
            </w:r>
          </w:p>
        </w:tc>
        <w:tc>
          <w:tcPr>
            <w:tcW w:w="9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2,869,164</w:t>
            </w:r>
          </w:p>
        </w:tc>
        <w:tc>
          <w:tcPr>
            <w:tcW w:w="1100" w:type="dxa"/>
            <w:vAlign w:val="bottom"/>
            <w:gridSpan w:val="3"/>
          </w:tcPr>
          <w:p>
            <w:pPr>
              <w:jc w:val="right"/>
              <w:ind w:right="140"/>
              <w:spacing w:after="0" w:line="99" w:lineRule="exact"/>
              <w:rPr>
                <w:sz w:val="20"/>
                <w:szCs w:val="20"/>
                <w:color w:val="auto"/>
              </w:rPr>
            </w:pPr>
            <w:r>
              <w:rPr>
                <w:rFonts w:ascii="Arial" w:cs="Arial" w:eastAsia="Arial" w:hAnsi="Arial"/>
                <w:sz w:val="10"/>
                <w:szCs w:val="10"/>
                <w:color w:val="auto"/>
              </w:rPr>
              <w:t>(294,001)</w:t>
            </w:r>
          </w:p>
        </w:tc>
        <w:tc>
          <w:tcPr>
            <w:tcW w:w="9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(9.29)</w:t>
            </w:r>
          </w:p>
        </w:tc>
        <w:tc>
          <w:tcPr>
            <w:tcW w:w="0" w:type="dxa"/>
            <w:vAlign w:val="bottom"/>
          </w:tcPr>
          <w:p>
            <w:pPr>
              <w:spacing w:after="0"/>
              <w:rPr>
                <w:sz w:val="1"/>
                <w:szCs w:val="1"/>
                <w:color w:val="auto"/>
              </w:rPr>
            </w:pPr>
          </w:p>
        </w:tc>
      </w:tr>
      <w:tr>
        <w:trPr>
          <w:trHeight w:val="99"/>
        </w:trPr>
        <w:tc>
          <w:tcPr>
            <w:tcW w:w="322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Changes in interest rates: - 100 bps</w:t>
            </w:r>
          </w:p>
        </w:tc>
        <w:tc>
          <w:tcPr>
            <w:tcW w:w="9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4,285,955</w:t>
            </w:r>
          </w:p>
        </w:tc>
        <w:tc>
          <w:tcPr>
            <w:tcW w:w="9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389,743</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10.00</w:t>
            </w:r>
          </w:p>
        </w:tc>
        <w:tc>
          <w:tcPr>
            <w:tcW w:w="9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3,520,992</w:t>
            </w:r>
          </w:p>
        </w:tc>
        <w:tc>
          <w:tcPr>
            <w:tcW w:w="110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357,827</w:t>
            </w:r>
          </w:p>
        </w:tc>
        <w:tc>
          <w:tcPr>
            <w:tcW w:w="9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11.31</w:t>
            </w:r>
          </w:p>
        </w:tc>
        <w:tc>
          <w:tcPr>
            <w:tcW w:w="0" w:type="dxa"/>
            <w:vAlign w:val="bottom"/>
          </w:tcPr>
          <w:p>
            <w:pPr>
              <w:spacing w:after="0"/>
              <w:rPr>
                <w:sz w:val="1"/>
                <w:szCs w:val="1"/>
                <w:color w:val="auto"/>
              </w:rPr>
            </w:pPr>
          </w:p>
        </w:tc>
      </w:tr>
      <w:tr>
        <w:trPr>
          <w:trHeight w:val="99"/>
        </w:trPr>
        <w:tc>
          <w:tcPr>
            <w:tcW w:w="3220" w:type="dxa"/>
            <w:vAlign w:val="bottom"/>
            <w:gridSpan w:val="3"/>
          </w:tcPr>
          <w:p>
            <w:pPr>
              <w:spacing w:after="0" w:line="99" w:lineRule="exact"/>
              <w:rPr>
                <w:sz w:val="20"/>
                <w:szCs w:val="20"/>
                <w:color w:val="auto"/>
              </w:rPr>
            </w:pPr>
            <w:r>
              <w:rPr>
                <w:rFonts w:ascii="Arial" w:cs="Arial" w:eastAsia="Arial" w:hAnsi="Arial"/>
                <w:sz w:val="10"/>
                <w:szCs w:val="10"/>
                <w:color w:val="auto"/>
              </w:rPr>
              <w:t>Changes in Mortality tables to 105%</w:t>
            </w:r>
          </w:p>
        </w:tc>
        <w:tc>
          <w:tcPr>
            <w:tcW w:w="9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3,872,104</w:t>
            </w:r>
          </w:p>
        </w:tc>
        <w:tc>
          <w:tcPr>
            <w:tcW w:w="116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(24,107)</w:t>
            </w:r>
          </w:p>
        </w:tc>
        <w:tc>
          <w:tcPr>
            <w:tcW w:w="9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(0.62)</w:t>
            </w:r>
          </w:p>
        </w:tc>
        <w:tc>
          <w:tcPr>
            <w:tcW w:w="9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3,141,047</w:t>
            </w:r>
          </w:p>
        </w:tc>
        <w:tc>
          <w:tcPr>
            <w:tcW w:w="1100" w:type="dxa"/>
            <w:vAlign w:val="bottom"/>
            <w:gridSpan w:val="3"/>
          </w:tcPr>
          <w:p>
            <w:pPr>
              <w:jc w:val="right"/>
              <w:ind w:right="140"/>
              <w:spacing w:after="0" w:line="99" w:lineRule="exact"/>
              <w:rPr>
                <w:sz w:val="20"/>
                <w:szCs w:val="20"/>
                <w:color w:val="auto"/>
              </w:rPr>
            </w:pPr>
            <w:r>
              <w:rPr>
                <w:rFonts w:ascii="Arial" w:cs="Arial" w:eastAsia="Arial" w:hAnsi="Arial"/>
                <w:sz w:val="10"/>
                <w:szCs w:val="10"/>
                <w:color w:val="auto"/>
              </w:rPr>
              <w:t>(22,118)</w:t>
            </w:r>
          </w:p>
        </w:tc>
        <w:tc>
          <w:tcPr>
            <w:tcW w:w="9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(0.70)</w:t>
            </w:r>
          </w:p>
        </w:tc>
        <w:tc>
          <w:tcPr>
            <w:tcW w:w="0" w:type="dxa"/>
            <w:vAlign w:val="bottom"/>
          </w:tcPr>
          <w:p>
            <w:pPr>
              <w:spacing w:after="0"/>
              <w:rPr>
                <w:sz w:val="1"/>
                <w:szCs w:val="1"/>
                <w:color w:val="auto"/>
              </w:rPr>
            </w:pPr>
          </w:p>
        </w:tc>
      </w:tr>
      <w:tr>
        <w:trPr>
          <w:trHeight w:val="99"/>
        </w:trPr>
        <w:tc>
          <w:tcPr>
            <w:tcW w:w="322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Changes in Mortality tables to 95%</w:t>
            </w:r>
          </w:p>
        </w:tc>
        <w:tc>
          <w:tcPr>
            <w:tcW w:w="9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3,922,178</w:t>
            </w:r>
          </w:p>
        </w:tc>
        <w:tc>
          <w:tcPr>
            <w:tcW w:w="9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25,967</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0.67</w:t>
            </w:r>
          </w:p>
        </w:tc>
        <w:tc>
          <w:tcPr>
            <w:tcW w:w="9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3,186,369</w:t>
            </w:r>
          </w:p>
        </w:tc>
        <w:tc>
          <w:tcPr>
            <w:tcW w:w="110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23,203</w:t>
            </w:r>
          </w:p>
        </w:tc>
        <w:tc>
          <w:tcPr>
            <w:tcW w:w="9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0.73</w:t>
            </w:r>
          </w:p>
        </w:tc>
        <w:tc>
          <w:tcPr>
            <w:tcW w:w="0" w:type="dxa"/>
            <w:vAlign w:val="bottom"/>
          </w:tcPr>
          <w:p>
            <w:pPr>
              <w:spacing w:after="0"/>
              <w:rPr>
                <w:sz w:val="1"/>
                <w:szCs w:val="1"/>
                <w:color w:val="auto"/>
              </w:rPr>
            </w:pPr>
          </w:p>
        </w:tc>
      </w:tr>
      <w:tr>
        <w:trPr>
          <w:trHeight w:val="99"/>
        </w:trPr>
        <w:tc>
          <w:tcPr>
            <w:tcW w:w="3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20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Portfolio in US$ - Base amount</w:t>
            </w:r>
          </w:p>
        </w:tc>
        <w:tc>
          <w:tcPr>
            <w:tcW w:w="9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614,766</w:t>
            </w:r>
          </w:p>
        </w:tc>
        <w:tc>
          <w:tcPr>
            <w:tcW w:w="9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518,160</w:t>
            </w:r>
          </w:p>
        </w:tc>
        <w:tc>
          <w:tcPr>
            <w:tcW w:w="110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322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Changes in interest rates: + 100 bps</w:t>
            </w:r>
          </w:p>
        </w:tc>
        <w:tc>
          <w:tcPr>
            <w:tcW w:w="9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568,767</w:t>
            </w:r>
          </w:p>
        </w:tc>
        <w:tc>
          <w:tcPr>
            <w:tcW w:w="11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(45,999)</w:t>
            </w:r>
          </w:p>
        </w:tc>
        <w:tc>
          <w:tcPr>
            <w:tcW w:w="9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(7.48)</w:t>
            </w:r>
          </w:p>
        </w:tc>
        <w:tc>
          <w:tcPr>
            <w:tcW w:w="9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473,054</w:t>
            </w:r>
          </w:p>
        </w:tc>
        <w:tc>
          <w:tcPr>
            <w:tcW w:w="1100" w:type="dxa"/>
            <w:vAlign w:val="bottom"/>
            <w:gridSpan w:val="3"/>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(45,106)</w:t>
            </w:r>
          </w:p>
        </w:tc>
        <w:tc>
          <w:tcPr>
            <w:tcW w:w="9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(8.70)</w:t>
            </w:r>
          </w:p>
        </w:tc>
        <w:tc>
          <w:tcPr>
            <w:tcW w:w="0" w:type="dxa"/>
            <w:vAlign w:val="bottom"/>
          </w:tcPr>
          <w:p>
            <w:pPr>
              <w:spacing w:after="0"/>
              <w:rPr>
                <w:sz w:val="1"/>
                <w:szCs w:val="1"/>
                <w:color w:val="auto"/>
              </w:rPr>
            </w:pPr>
          </w:p>
        </w:tc>
      </w:tr>
      <w:tr>
        <w:trPr>
          <w:trHeight w:val="99"/>
        </w:trPr>
        <w:tc>
          <w:tcPr>
            <w:tcW w:w="3220" w:type="dxa"/>
            <w:vAlign w:val="bottom"/>
            <w:gridSpan w:val="3"/>
          </w:tcPr>
          <w:p>
            <w:pPr>
              <w:spacing w:after="0" w:line="99" w:lineRule="exact"/>
              <w:rPr>
                <w:sz w:val="20"/>
                <w:szCs w:val="20"/>
                <w:color w:val="auto"/>
              </w:rPr>
            </w:pPr>
            <w:r>
              <w:rPr>
                <w:rFonts w:ascii="Arial" w:cs="Arial" w:eastAsia="Arial" w:hAnsi="Arial"/>
                <w:sz w:val="10"/>
                <w:szCs w:val="10"/>
                <w:color w:val="auto"/>
              </w:rPr>
              <w:t>Changes in interest rates: - 100 bps</w:t>
            </w:r>
          </w:p>
        </w:tc>
        <w:tc>
          <w:tcPr>
            <w:tcW w:w="9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669,412</w:t>
            </w:r>
          </w:p>
        </w:tc>
        <w:tc>
          <w:tcPr>
            <w:tcW w:w="9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54,646</w:t>
            </w:r>
          </w:p>
        </w:tc>
        <w:tc>
          <w:tcPr>
            <w:tcW w:w="18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8.89</w:t>
            </w:r>
          </w:p>
        </w:tc>
        <w:tc>
          <w:tcPr>
            <w:tcW w:w="9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571,943</w:t>
            </w:r>
          </w:p>
        </w:tc>
        <w:tc>
          <w:tcPr>
            <w:tcW w:w="1100" w:type="dxa"/>
            <w:vAlign w:val="bottom"/>
            <w:gridSpan w:val="3"/>
          </w:tcPr>
          <w:p>
            <w:pPr>
              <w:jc w:val="right"/>
              <w:ind w:right="180"/>
              <w:spacing w:after="0" w:line="99" w:lineRule="exact"/>
              <w:rPr>
                <w:sz w:val="20"/>
                <w:szCs w:val="20"/>
                <w:color w:val="auto"/>
              </w:rPr>
            </w:pPr>
            <w:r>
              <w:rPr>
                <w:rFonts w:ascii="Arial" w:cs="Arial" w:eastAsia="Arial" w:hAnsi="Arial"/>
                <w:sz w:val="10"/>
                <w:szCs w:val="10"/>
                <w:color w:val="auto"/>
              </w:rPr>
              <w:t>53,783</w:t>
            </w:r>
          </w:p>
        </w:tc>
        <w:tc>
          <w:tcPr>
            <w:tcW w:w="9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10.38</w:t>
            </w:r>
          </w:p>
        </w:tc>
        <w:tc>
          <w:tcPr>
            <w:tcW w:w="0" w:type="dxa"/>
            <w:vAlign w:val="bottom"/>
          </w:tcPr>
          <w:p>
            <w:pPr>
              <w:spacing w:after="0"/>
              <w:rPr>
                <w:sz w:val="1"/>
                <w:szCs w:val="1"/>
                <w:color w:val="auto"/>
              </w:rPr>
            </w:pPr>
          </w:p>
        </w:tc>
      </w:tr>
      <w:tr>
        <w:trPr>
          <w:trHeight w:val="99"/>
        </w:trPr>
        <w:tc>
          <w:tcPr>
            <w:tcW w:w="322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Changes in Mortality tables to 105%</w:t>
            </w:r>
          </w:p>
        </w:tc>
        <w:tc>
          <w:tcPr>
            <w:tcW w:w="9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609,349</w:t>
            </w:r>
          </w:p>
        </w:tc>
        <w:tc>
          <w:tcPr>
            <w:tcW w:w="11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(5,417)</w:t>
            </w:r>
          </w:p>
        </w:tc>
        <w:tc>
          <w:tcPr>
            <w:tcW w:w="98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(0.88)</w:t>
            </w:r>
          </w:p>
        </w:tc>
        <w:tc>
          <w:tcPr>
            <w:tcW w:w="9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512,875</w:t>
            </w:r>
          </w:p>
        </w:tc>
        <w:tc>
          <w:tcPr>
            <w:tcW w:w="1100" w:type="dxa"/>
            <w:vAlign w:val="bottom"/>
            <w:gridSpan w:val="3"/>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(5,285)</w:t>
            </w:r>
          </w:p>
        </w:tc>
        <w:tc>
          <w:tcPr>
            <w:tcW w:w="9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22"/>
        </w:trPr>
        <w:tc>
          <w:tcPr>
            <w:tcW w:w="3220" w:type="dxa"/>
            <w:vAlign w:val="bottom"/>
            <w:gridSpan w:val="3"/>
          </w:tcPr>
          <w:p>
            <w:pPr>
              <w:spacing w:after="0"/>
              <w:rPr>
                <w:sz w:val="20"/>
                <w:szCs w:val="20"/>
                <w:color w:val="auto"/>
              </w:rPr>
            </w:pPr>
            <w:r>
              <w:rPr>
                <w:rFonts w:ascii="Arial" w:cs="Arial" w:eastAsia="Arial" w:hAnsi="Arial"/>
                <w:sz w:val="10"/>
                <w:szCs w:val="10"/>
                <w:color w:val="auto"/>
              </w:rPr>
              <w:t>Changes in Mortality tables to 95%</w:t>
            </w: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620,430</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5,664</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0.92</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523,707</w:t>
            </w:r>
          </w:p>
        </w:tc>
        <w:tc>
          <w:tcPr>
            <w:tcW w:w="1100" w:type="dxa"/>
            <w:vAlign w:val="bottom"/>
            <w:gridSpan w:val="3"/>
          </w:tcPr>
          <w:p>
            <w:pPr>
              <w:jc w:val="right"/>
              <w:ind w:right="180"/>
              <w:spacing w:after="0"/>
              <w:rPr>
                <w:sz w:val="20"/>
                <w:szCs w:val="20"/>
                <w:color w:val="auto"/>
              </w:rPr>
            </w:pPr>
            <w:r>
              <w:rPr>
                <w:rFonts w:ascii="Arial" w:cs="Arial" w:eastAsia="Arial" w:hAnsi="Arial"/>
                <w:sz w:val="10"/>
                <w:szCs w:val="10"/>
                <w:color w:val="auto"/>
              </w:rPr>
              <w:t>5,547</w:t>
            </w:r>
          </w:p>
        </w:tc>
        <w:tc>
          <w:tcPr>
            <w:tcW w:w="920" w:type="dxa"/>
            <w:vAlign w:val="bottom"/>
            <w:gridSpan w:val="2"/>
          </w:tcPr>
          <w:p>
            <w:pPr>
              <w:jc w:val="right"/>
              <w:ind w:right="100"/>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109" w:name="page110"/>
    <w:bookmarkEnd w:id="109"/>
    <w:p>
      <w:pPr>
        <w:ind w:left="208" w:hanging="208"/>
        <w:spacing w:after="0"/>
        <w:tabs>
          <w:tab w:leader="none" w:pos="208"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BONDS AND NOTES ISSUED</w:t>
      </w:r>
    </w:p>
    <w:p>
      <w:pPr>
        <w:spacing w:after="0" w:line="154" w:lineRule="exact"/>
        <w:rPr>
          <w:rFonts w:ascii="Arial" w:cs="Arial" w:eastAsia="Arial" w:hAnsi="Arial"/>
          <w:sz w:val="12"/>
          <w:szCs w:val="12"/>
          <w:b w:val="1"/>
          <w:bCs w:val="1"/>
          <w:color w:val="auto"/>
        </w:rPr>
      </w:pPr>
    </w:p>
    <w:p>
      <w:pPr>
        <w:ind w:left="428" w:hanging="212"/>
        <w:spacing w:after="0"/>
        <w:tabs>
          <w:tab w:leader="none" w:pos="428"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This item consists of the following:</w:t>
      </w:r>
    </w:p>
    <w:p>
      <w:pPr>
        <w:spacing w:after="0" w:line="157" w:lineRule="exact"/>
        <w:rPr>
          <w:sz w:val="20"/>
          <w:szCs w:val="20"/>
          <w:color w:val="auto"/>
        </w:rPr>
      </w:pPr>
    </w:p>
    <w:tbl>
      <w:tblPr>
        <w:tblLayout w:type="fixed"/>
        <w:tblInd w:w="428" w:type="dxa"/>
        <w:tblCellMar>
          <w:top w:w="0" w:type="dxa"/>
          <w:left w:w="0" w:type="dxa"/>
          <w:bottom w:w="0" w:type="dxa"/>
          <w:right w:w="0" w:type="dxa"/>
        </w:tblCellMar>
      </w:tblPr>
      <w:tr>
        <w:trPr>
          <w:trHeight w:val="101"/>
        </w:trPr>
        <w:tc>
          <w:tcPr>
            <w:tcW w:w="17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Annual interest</w:t>
            </w:r>
          </w:p>
        </w:tc>
        <w:tc>
          <w:tcPr>
            <w:tcW w:w="18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6"/>
              </w:rPr>
              <w:t>Interest</w:t>
            </w: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At December 31, 2019</w:t>
            </w: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At December 31, 2018</w:t>
            </w: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7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2"/>
          </w:tcPr>
          <w:p>
            <w:pPr>
              <w:jc w:val="center"/>
              <w:ind w:right="220"/>
              <w:spacing w:after="0" w:line="78" w:lineRule="exact"/>
              <w:rPr>
                <w:sz w:val="20"/>
                <w:szCs w:val="20"/>
                <w:color w:val="auto"/>
              </w:rPr>
            </w:pPr>
            <w:r>
              <w:rPr>
                <w:rFonts w:ascii="Arial" w:cs="Arial" w:eastAsia="Arial" w:hAnsi="Arial"/>
                <w:sz w:val="8"/>
                <w:szCs w:val="8"/>
                <w:b w:val="1"/>
                <w:bCs w:val="1"/>
                <w:color w:val="auto"/>
                <w:w w:val="94"/>
              </w:rPr>
              <w:t>Issued</w:t>
            </w:r>
          </w:p>
        </w:tc>
        <w:tc>
          <w:tcPr>
            <w:tcW w:w="94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Carrying</w:t>
            </w: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2"/>
          </w:tcPr>
          <w:p>
            <w:pPr>
              <w:jc w:val="center"/>
              <w:ind w:right="300"/>
              <w:spacing w:after="0" w:line="78" w:lineRule="exact"/>
              <w:rPr>
                <w:sz w:val="20"/>
                <w:szCs w:val="20"/>
                <w:color w:val="auto"/>
              </w:rPr>
            </w:pPr>
            <w:r>
              <w:rPr>
                <w:rFonts w:ascii="Arial" w:cs="Arial" w:eastAsia="Arial" w:hAnsi="Arial"/>
                <w:sz w:val="8"/>
                <w:szCs w:val="8"/>
                <w:b w:val="1"/>
                <w:bCs w:val="1"/>
                <w:color w:val="auto"/>
                <w:w w:val="94"/>
              </w:rPr>
              <w:t>Issued</w:t>
            </w:r>
          </w:p>
        </w:tc>
        <w:tc>
          <w:tcPr>
            <w:tcW w:w="96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97"/>
              </w:rPr>
              <w:t>Carrying</w:t>
            </w: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720" w:type="dxa"/>
            <w:vAlign w:val="bottom"/>
          </w:tcPr>
          <w:p>
            <w:pPr>
              <w:spacing w:after="0"/>
              <w:rPr>
                <w:sz w:val="8"/>
                <w:szCs w:val="8"/>
                <w:color w:val="auto"/>
              </w:rPr>
            </w:pP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w w:val="95"/>
              </w:rPr>
              <w:t>rate</w:t>
            </w:r>
          </w:p>
        </w:tc>
        <w:tc>
          <w:tcPr>
            <w:tcW w:w="180" w:type="dxa"/>
            <w:vAlign w:val="bottom"/>
          </w:tcPr>
          <w:p>
            <w:pPr>
              <w:spacing w:after="0"/>
              <w:rPr>
                <w:sz w:val="8"/>
                <w:szCs w:val="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7"/>
              </w:rPr>
              <w:t>payment</w:t>
            </w:r>
          </w:p>
        </w:tc>
        <w:tc>
          <w:tcPr>
            <w:tcW w:w="10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Maturity</w:t>
            </w:r>
          </w:p>
        </w:tc>
        <w:tc>
          <w:tcPr>
            <w:tcW w:w="10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6"/>
              </w:rPr>
              <w:t>amount</w:t>
            </w:r>
          </w:p>
        </w:tc>
        <w:tc>
          <w:tcPr>
            <w:tcW w:w="11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6"/>
              </w:rPr>
              <w:t>amount</w:t>
            </w:r>
          </w:p>
        </w:tc>
        <w:tc>
          <w:tcPr>
            <w:tcW w:w="1300" w:type="dxa"/>
            <w:vAlign w:val="bottom"/>
            <w:gridSpan w:val="2"/>
          </w:tcPr>
          <w:p>
            <w:pPr>
              <w:ind w:left="320"/>
              <w:spacing w:after="0"/>
              <w:rPr>
                <w:sz w:val="20"/>
                <w:szCs w:val="20"/>
                <w:color w:val="auto"/>
              </w:rPr>
            </w:pPr>
            <w:r>
              <w:rPr>
                <w:rFonts w:ascii="Arial" w:cs="Arial" w:eastAsia="Arial" w:hAnsi="Arial"/>
                <w:sz w:val="8"/>
                <w:szCs w:val="8"/>
                <w:b w:val="1"/>
                <w:bCs w:val="1"/>
                <w:color w:val="auto"/>
              </w:rPr>
              <w:t>Maturity</w:t>
            </w:r>
          </w:p>
        </w:tc>
        <w:tc>
          <w:tcPr>
            <w:tcW w:w="12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6"/>
              </w:rPr>
              <w:t>amount</w:t>
            </w:r>
          </w:p>
        </w:tc>
        <w:tc>
          <w:tcPr>
            <w:tcW w:w="106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w w:val="96"/>
              </w:rPr>
              <w:t>amount</w:t>
            </w:r>
          </w:p>
        </w:tc>
        <w:tc>
          <w:tcPr>
            <w:tcW w:w="0" w:type="dxa"/>
            <w:vAlign w:val="bottom"/>
          </w:tcPr>
          <w:p>
            <w:pPr>
              <w:spacing w:after="0"/>
              <w:rPr>
                <w:sz w:val="1"/>
                <w:szCs w:val="1"/>
                <w:color w:val="auto"/>
              </w:rPr>
            </w:pPr>
          </w:p>
        </w:tc>
      </w:tr>
      <w:tr>
        <w:trPr>
          <w:trHeight w:val="79"/>
        </w:trPr>
        <w:tc>
          <w:tcPr>
            <w:tcW w:w="1720" w:type="dxa"/>
            <w:vAlign w:val="bottom"/>
          </w:tcPr>
          <w:p>
            <w:pPr>
              <w:spacing w:after="0"/>
              <w:rPr>
                <w:sz w:val="6"/>
                <w:szCs w:val="6"/>
                <w:color w:val="auto"/>
              </w:rPr>
            </w:pPr>
          </w:p>
        </w:tc>
        <w:tc>
          <w:tcPr>
            <w:tcW w:w="9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w:t>
            </w:r>
          </w:p>
        </w:tc>
        <w:tc>
          <w:tcPr>
            <w:tcW w:w="1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6"/>
              </w:rPr>
              <w:t>(000)</w:t>
            </w:r>
          </w:p>
        </w:tc>
        <w:tc>
          <w:tcPr>
            <w:tcW w:w="200" w:type="dxa"/>
            <w:vAlign w:val="bottom"/>
          </w:tcPr>
          <w:p>
            <w:pPr>
              <w:spacing w:after="0"/>
              <w:rPr>
                <w:sz w:val="6"/>
                <w:szCs w:val="6"/>
                <w:color w:val="auto"/>
              </w:rPr>
            </w:pPr>
          </w:p>
        </w:tc>
        <w:tc>
          <w:tcPr>
            <w:tcW w:w="9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300" w:type="dxa"/>
            <w:vAlign w:val="bottom"/>
          </w:tcPr>
          <w:p>
            <w:pPr>
              <w:spacing w:after="0"/>
              <w:rPr>
                <w:sz w:val="6"/>
                <w:szCs w:val="6"/>
                <w:color w:val="auto"/>
              </w:rPr>
            </w:pPr>
          </w:p>
        </w:tc>
        <w:tc>
          <w:tcPr>
            <w:tcW w:w="9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shd w:val="clear" w:color="auto" w:fill="CCEEFF"/>
          </w:tcPr>
          <w:p>
            <w:pPr>
              <w:spacing w:after="0"/>
              <w:rPr>
                <w:sz w:val="20"/>
                <w:szCs w:val="20"/>
                <w:color w:val="auto"/>
              </w:rPr>
            </w:pPr>
            <w:r>
              <w:rPr>
                <w:rFonts w:ascii="Arial" w:cs="Arial" w:eastAsia="Arial" w:hAnsi="Arial"/>
                <w:sz w:val="8"/>
                <w:szCs w:val="8"/>
                <w:b w:val="1"/>
                <w:bCs w:val="1"/>
                <w:color w:val="auto"/>
              </w:rPr>
              <w:t>Senior notes - BCP (i)</w:t>
            </w: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200"/>
              <w:spacing w:after="0" w:line="81" w:lineRule="exact"/>
              <w:rPr>
                <w:sz w:val="20"/>
                <w:szCs w:val="20"/>
                <w:color w:val="auto"/>
              </w:rPr>
            </w:pPr>
            <w:r>
              <w:rPr>
                <w:rFonts w:ascii="Arial" w:cs="Arial" w:eastAsia="Arial" w:hAnsi="Arial"/>
                <w:sz w:val="8"/>
                <w:szCs w:val="8"/>
                <w:color w:val="auto"/>
                <w:w w:val="91"/>
              </w:rPr>
              <w:t>September 2020 /</w:t>
            </w: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shd w:val="clear" w:color="auto" w:fill="CCEEFF"/>
          </w:tcPr>
          <w:p>
            <w:pPr>
              <w:spacing w:after="0"/>
              <w:rPr>
                <w:sz w:val="8"/>
                <w:szCs w:val="8"/>
                <w:color w:val="auto"/>
              </w:rPr>
            </w:pPr>
          </w:p>
        </w:tc>
        <w:tc>
          <w:tcPr>
            <w:tcW w:w="960" w:type="dxa"/>
            <w:vAlign w:val="bottom"/>
            <w:shd w:val="clear" w:color="auto" w:fill="CCEEFF"/>
          </w:tcPr>
          <w:p>
            <w:pPr>
              <w:jc w:val="center"/>
              <w:ind w:left="38"/>
              <w:spacing w:after="0"/>
              <w:rPr>
                <w:sz w:val="20"/>
                <w:szCs w:val="20"/>
                <w:color w:val="auto"/>
              </w:rPr>
            </w:pPr>
            <w:r>
              <w:rPr>
                <w:rFonts w:ascii="Arial" w:cs="Arial" w:eastAsia="Arial" w:hAnsi="Arial"/>
                <w:sz w:val="8"/>
                <w:szCs w:val="8"/>
                <w:color w:val="auto"/>
                <w:w w:val="95"/>
              </w:rPr>
              <w:t>Between 2.70 to 5.38</w:t>
            </w:r>
          </w:p>
        </w:tc>
        <w:tc>
          <w:tcPr>
            <w:tcW w:w="1240" w:type="dxa"/>
            <w:vAlign w:val="bottom"/>
            <w:gridSpan w:val="3"/>
            <w:shd w:val="clear" w:color="auto" w:fill="CCEEFF"/>
          </w:tcPr>
          <w:p>
            <w:pPr>
              <w:ind w:left="180"/>
              <w:spacing w:after="0"/>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8"/>
                <w:szCs w:val="8"/>
                <w:color w:val="auto"/>
                <w:w w:val="94"/>
              </w:rPr>
              <w:t>January 2025</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8"/>
                <w:szCs w:val="8"/>
                <w:color w:val="auto"/>
                <w:w w:val="93"/>
              </w:rPr>
              <w:t>US$1,074,628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3,464,199</w:t>
            </w: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8"/>
                <w:szCs w:val="8"/>
                <w:color w:val="auto"/>
                <w:w w:val="91"/>
              </w:rPr>
              <w:t>September 2020</w:t>
            </w: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8"/>
                <w:szCs w:val="8"/>
                <w:color w:val="auto"/>
              </w:rPr>
              <w:t>US$800,000</w:t>
            </w: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2,671,647</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line="90" w:lineRule="exact"/>
              <w:rPr>
                <w:sz w:val="20"/>
                <w:szCs w:val="20"/>
                <w:color w:val="auto"/>
              </w:rPr>
            </w:pPr>
            <w:r>
              <w:rPr>
                <w:rFonts w:ascii="Arial" w:cs="Arial" w:eastAsia="Arial" w:hAnsi="Arial"/>
                <w:sz w:val="8"/>
                <w:szCs w:val="8"/>
                <w:b w:val="1"/>
                <w:bCs w:val="1"/>
                <w:color w:val="auto"/>
              </w:rPr>
              <w:t>Senior notes - BCP (ii)</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4.25</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rPr>
              <w:t>April 2023</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4"/>
              </w:rPr>
              <w:t>US$716,301</w:t>
            </w: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2,318,975</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rPr>
              <w:t>April 2023</w:t>
            </w:r>
          </w:p>
        </w:tc>
        <w:tc>
          <w:tcPr>
            <w:tcW w:w="1260" w:type="dxa"/>
            <w:vAlign w:val="bottom"/>
            <w:gridSpan w:val="2"/>
          </w:tcPr>
          <w:p>
            <w:pPr>
              <w:ind w:left="540"/>
              <w:spacing w:after="0" w:line="90" w:lineRule="exact"/>
              <w:rPr>
                <w:sz w:val="20"/>
                <w:szCs w:val="20"/>
                <w:color w:val="auto"/>
              </w:rPr>
            </w:pPr>
            <w:r>
              <w:rPr>
                <w:rFonts w:ascii="Arial" w:cs="Arial" w:eastAsia="Arial" w:hAnsi="Arial"/>
                <w:sz w:val="8"/>
                <w:szCs w:val="8"/>
                <w:color w:val="auto"/>
              </w:rPr>
              <w:t>US$716,301</w:t>
            </w:r>
          </w:p>
        </w:tc>
        <w:tc>
          <w:tcPr>
            <w:tcW w:w="960" w:type="dxa"/>
            <w:vAlign w:val="bottom"/>
          </w:tcPr>
          <w:p>
            <w:pPr>
              <w:jc w:val="right"/>
              <w:spacing w:after="0" w:line="90" w:lineRule="exact"/>
              <w:rPr>
                <w:sz w:val="20"/>
                <w:szCs w:val="20"/>
                <w:color w:val="auto"/>
              </w:rPr>
            </w:pPr>
            <w:r>
              <w:rPr>
                <w:rFonts w:ascii="Arial" w:cs="Arial" w:eastAsia="Arial" w:hAnsi="Arial"/>
                <w:sz w:val="8"/>
                <w:szCs w:val="8"/>
                <w:color w:val="auto"/>
              </w:rPr>
              <w:t>2,348,651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shd w:val="clear" w:color="auto" w:fill="CCEEFF"/>
          </w:tcPr>
          <w:p>
            <w:pPr>
              <w:spacing w:after="0"/>
              <w:rPr>
                <w:sz w:val="20"/>
                <w:szCs w:val="20"/>
                <w:color w:val="auto"/>
              </w:rPr>
            </w:pPr>
            <w:r>
              <w:rPr>
                <w:rFonts w:ascii="Arial" w:cs="Arial" w:eastAsia="Arial" w:hAnsi="Arial"/>
                <w:sz w:val="8"/>
                <w:szCs w:val="8"/>
                <w:b w:val="1"/>
                <w:bCs w:val="1"/>
                <w:color w:val="auto"/>
              </w:rPr>
              <w:t>Senior notes - BCP (iii)</w:t>
            </w: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200"/>
              <w:spacing w:after="0" w:line="81" w:lineRule="exact"/>
              <w:rPr>
                <w:sz w:val="20"/>
                <w:szCs w:val="20"/>
                <w:color w:val="auto"/>
              </w:rPr>
            </w:pPr>
            <w:r>
              <w:rPr>
                <w:rFonts w:ascii="Arial" w:cs="Arial" w:eastAsia="Arial" w:hAnsi="Arial"/>
                <w:sz w:val="8"/>
                <w:szCs w:val="8"/>
                <w:color w:val="auto"/>
                <w:w w:val="94"/>
              </w:rPr>
              <w:t>October 2020 /</w:t>
            </w: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shd w:val="clear" w:color="auto" w:fill="CCEEFF"/>
          </w:tcPr>
          <w:p>
            <w:pPr>
              <w:spacing w:after="0"/>
              <w:rPr>
                <w:sz w:val="8"/>
                <w:szCs w:val="8"/>
                <w:color w:val="auto"/>
              </w:rPr>
            </w:pPr>
          </w:p>
        </w:tc>
        <w:tc>
          <w:tcPr>
            <w:tcW w:w="960" w:type="dxa"/>
            <w:vAlign w:val="bottom"/>
            <w:shd w:val="clear" w:color="auto" w:fill="CCEEFF"/>
          </w:tcPr>
          <w:p>
            <w:pPr>
              <w:jc w:val="center"/>
              <w:ind w:left="38"/>
              <w:spacing w:after="0"/>
              <w:rPr>
                <w:sz w:val="20"/>
                <w:szCs w:val="20"/>
                <w:color w:val="auto"/>
              </w:rPr>
            </w:pPr>
            <w:r>
              <w:rPr>
                <w:rFonts w:ascii="Arial" w:cs="Arial" w:eastAsia="Arial" w:hAnsi="Arial"/>
                <w:sz w:val="8"/>
                <w:szCs w:val="8"/>
                <w:color w:val="auto"/>
                <w:w w:val="95"/>
              </w:rPr>
              <w:t>Between 4.65 to 4.85</w:t>
            </w:r>
          </w:p>
        </w:tc>
        <w:tc>
          <w:tcPr>
            <w:tcW w:w="1240" w:type="dxa"/>
            <w:vAlign w:val="bottom"/>
            <w:gridSpan w:val="3"/>
            <w:shd w:val="clear" w:color="auto" w:fill="CCEEFF"/>
          </w:tcPr>
          <w:p>
            <w:pPr>
              <w:ind w:left="180"/>
              <w:spacing w:after="0"/>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8"/>
                <w:szCs w:val="8"/>
                <w:color w:val="auto"/>
                <w:w w:val="91"/>
              </w:rPr>
              <w:t>September 2024</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8"/>
                <w:szCs w:val="8"/>
                <w:color w:val="auto"/>
                <w:w w:val="92"/>
              </w:rPr>
              <w:t>S/2,900,000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2,872,355</w:t>
            </w: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8"/>
                <w:szCs w:val="8"/>
                <w:color w:val="auto"/>
                <w:w w:val="94"/>
              </w:rPr>
              <w:t>October 2020</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S/2,000,000</w:t>
            </w: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1,977,410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line="90" w:lineRule="exact"/>
              <w:rPr>
                <w:sz w:val="20"/>
                <w:szCs w:val="20"/>
                <w:color w:val="auto"/>
              </w:rPr>
            </w:pPr>
            <w:r>
              <w:rPr>
                <w:rFonts w:ascii="Arial" w:cs="Arial" w:eastAsia="Arial" w:hAnsi="Arial"/>
                <w:sz w:val="8"/>
                <w:szCs w:val="8"/>
                <w:b w:val="1"/>
                <w:bCs w:val="1"/>
                <w:color w:val="auto"/>
              </w:rPr>
              <w:t>Senior notes - BCP (iv)</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w w:val="98"/>
              </w:rPr>
              <w:t>Libor 3M + 100 pb</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Quarterly</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9"/>
              </w:rPr>
              <w:t>March 2021</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4"/>
              </w:rPr>
              <w:t>US$70,000</w:t>
            </w: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231,738</w:t>
            </w:r>
          </w:p>
        </w:tc>
        <w:tc>
          <w:tcPr>
            <w:tcW w:w="960" w:type="dxa"/>
            <w:vAlign w:val="bottom"/>
          </w:tcPr>
          <w:p>
            <w:pPr>
              <w:jc w:val="center"/>
              <w:ind w:left="58"/>
              <w:spacing w:after="0" w:line="90" w:lineRule="exact"/>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7"/>
                <w:szCs w:val="7"/>
                <w:color w:val="auto"/>
              </w:rPr>
            </w:pP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Senior notes - BCP (v)</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rPr>
              <w:t>0.42</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3"/>
              </w:rPr>
              <w:t>August 2021</w:t>
            </w: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4"/>
              </w:rPr>
              <w:t>¥5,000,000</w:t>
            </w:r>
          </w:p>
        </w:tc>
        <w:tc>
          <w:tcPr>
            <w:tcW w:w="200" w:type="dxa"/>
            <w:vAlign w:val="bottom"/>
            <w:shd w:val="clear" w:color="auto" w:fill="CCEEFF"/>
          </w:tcPr>
          <w:p>
            <w:pPr>
              <w:spacing w:after="0"/>
              <w:rPr>
                <w:sz w:val="7"/>
                <w:szCs w:val="7"/>
                <w:color w:val="auto"/>
              </w:rPr>
            </w:pP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151,888</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73"/>
              </w:rPr>
              <w:t>-</w:t>
            </w:r>
          </w:p>
        </w:tc>
        <w:tc>
          <w:tcPr>
            <w:tcW w:w="3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line="90" w:lineRule="exact"/>
              <w:rPr>
                <w:sz w:val="20"/>
                <w:szCs w:val="20"/>
                <w:color w:val="auto"/>
              </w:rPr>
            </w:pPr>
            <w:r>
              <w:rPr>
                <w:rFonts w:ascii="Arial" w:cs="Arial" w:eastAsia="Arial" w:hAnsi="Arial"/>
                <w:sz w:val="8"/>
                <w:szCs w:val="8"/>
                <w:b w:val="1"/>
                <w:bCs w:val="1"/>
                <w:color w:val="auto"/>
              </w:rPr>
              <w:t>Senior notes - BCP (vi)</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2.25</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w w:val="94"/>
              </w:rPr>
              <w:t>October 2019</w:t>
            </w:r>
          </w:p>
        </w:tc>
        <w:tc>
          <w:tcPr>
            <w:tcW w:w="1260" w:type="dxa"/>
            <w:vAlign w:val="bottom"/>
            <w:gridSpan w:val="2"/>
          </w:tcPr>
          <w:p>
            <w:pPr>
              <w:ind w:left="540"/>
              <w:spacing w:after="0" w:line="90" w:lineRule="exact"/>
              <w:rPr>
                <w:sz w:val="20"/>
                <w:szCs w:val="20"/>
                <w:color w:val="auto"/>
              </w:rPr>
            </w:pPr>
            <w:r>
              <w:rPr>
                <w:rFonts w:ascii="Arial" w:cs="Arial" w:eastAsia="Arial" w:hAnsi="Arial"/>
                <w:sz w:val="8"/>
                <w:szCs w:val="8"/>
                <w:color w:val="auto"/>
              </w:rPr>
              <w:t>US$300,000</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996,355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line="90" w:lineRule="exact"/>
              <w:rPr>
                <w:sz w:val="20"/>
                <w:szCs w:val="20"/>
                <w:color w:val="auto"/>
              </w:rPr>
            </w:pPr>
            <w:r>
              <w:rPr>
                <w:rFonts w:ascii="Arial" w:cs="Arial" w:eastAsia="Arial" w:hAnsi="Arial"/>
                <w:sz w:val="8"/>
                <w:szCs w:val="8"/>
                <w:b w:val="1"/>
                <w:bCs w:val="1"/>
                <w:color w:val="auto"/>
              </w:rPr>
              <w:t>MMT 100 - Secured notes- CCR Inc. (vii)</w:t>
            </w: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2012 Series C Floating rate certificates</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rPr>
              <w:t>4.75</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Monthly</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9"/>
              </w:rPr>
              <w:t>July 2022</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4"/>
              </w:rPr>
              <w:t>US$315,000</w:t>
            </w: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385,253</w:t>
            </w:r>
          </w:p>
        </w:tc>
        <w:tc>
          <w:tcPr>
            <w:tcW w:w="1300" w:type="dxa"/>
            <w:vAlign w:val="bottom"/>
            <w:gridSpan w:val="2"/>
            <w:shd w:val="clear" w:color="auto" w:fill="CCEEFF"/>
          </w:tcPr>
          <w:p>
            <w:pPr>
              <w:jc w:val="center"/>
              <w:ind w:right="240"/>
              <w:spacing w:after="0" w:line="90" w:lineRule="exact"/>
              <w:rPr>
                <w:sz w:val="20"/>
                <w:szCs w:val="20"/>
                <w:color w:val="auto"/>
              </w:rPr>
            </w:pPr>
            <w:r>
              <w:rPr>
                <w:rFonts w:ascii="Arial" w:cs="Arial" w:eastAsia="Arial" w:hAnsi="Arial"/>
                <w:sz w:val="8"/>
                <w:szCs w:val="8"/>
                <w:color w:val="auto"/>
                <w:w w:val="99"/>
              </w:rPr>
              <w:t>July 2022</w:t>
            </w:r>
          </w:p>
        </w:tc>
        <w:tc>
          <w:tcPr>
            <w:tcW w:w="1260" w:type="dxa"/>
            <w:vAlign w:val="bottom"/>
            <w:gridSpan w:val="2"/>
            <w:shd w:val="clear" w:color="auto" w:fill="CCEEFF"/>
          </w:tcPr>
          <w:p>
            <w:pPr>
              <w:ind w:left="540"/>
              <w:spacing w:after="0" w:line="90" w:lineRule="exact"/>
              <w:rPr>
                <w:sz w:val="20"/>
                <w:szCs w:val="20"/>
                <w:color w:val="auto"/>
              </w:rPr>
            </w:pPr>
            <w:r>
              <w:rPr>
                <w:rFonts w:ascii="Arial" w:cs="Arial" w:eastAsia="Arial" w:hAnsi="Arial"/>
                <w:sz w:val="8"/>
                <w:szCs w:val="8"/>
                <w:color w:val="auto"/>
              </w:rPr>
              <w:t>US$315,000</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543,896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Corporate bonds -</w:t>
            </w: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Fourth program</w:t>
            </w: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200"/>
              <w:spacing w:after="0" w:line="81" w:lineRule="exact"/>
              <w:rPr>
                <w:sz w:val="20"/>
                <w:szCs w:val="20"/>
                <w:color w:val="auto"/>
              </w:rPr>
            </w:pPr>
            <w:r>
              <w:rPr>
                <w:rFonts w:ascii="Arial" w:cs="Arial" w:eastAsia="Arial" w:hAnsi="Arial"/>
                <w:sz w:val="8"/>
                <w:szCs w:val="8"/>
                <w:color w:val="auto"/>
                <w:w w:val="94"/>
              </w:rPr>
              <w:t>December 2021 /</w:t>
            </w: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gridSpan w:val="2"/>
            <w:shd w:val="clear" w:color="auto" w:fill="CCEEFF"/>
          </w:tcPr>
          <w:p>
            <w:pPr>
              <w:jc w:val="center"/>
              <w:ind w:right="240"/>
              <w:spacing w:after="0" w:line="81" w:lineRule="exact"/>
              <w:rPr>
                <w:sz w:val="20"/>
                <w:szCs w:val="20"/>
                <w:color w:val="auto"/>
              </w:rPr>
            </w:pPr>
            <w:r>
              <w:rPr>
                <w:rFonts w:ascii="Arial" w:cs="Arial" w:eastAsia="Arial" w:hAnsi="Arial"/>
                <w:sz w:val="8"/>
                <w:szCs w:val="8"/>
                <w:color w:val="auto"/>
                <w:w w:val="91"/>
              </w:rPr>
              <w:t>December 2021/</w:t>
            </w: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shd w:val="clear" w:color="auto" w:fill="CCEEFF"/>
          </w:tcPr>
          <w:p>
            <w:pPr>
              <w:ind w:left="120"/>
              <w:spacing w:after="0"/>
              <w:rPr>
                <w:sz w:val="20"/>
                <w:szCs w:val="20"/>
                <w:color w:val="auto"/>
              </w:rPr>
            </w:pPr>
            <w:r>
              <w:rPr>
                <w:rFonts w:ascii="Arial" w:cs="Arial" w:eastAsia="Arial" w:hAnsi="Arial"/>
                <w:sz w:val="8"/>
                <w:szCs w:val="8"/>
                <w:color w:val="auto"/>
              </w:rPr>
              <w:t>Tenth issuance (Series A, B and C) - BCP</w:t>
            </w:r>
          </w:p>
        </w:tc>
        <w:tc>
          <w:tcPr>
            <w:tcW w:w="960" w:type="dxa"/>
            <w:vAlign w:val="bottom"/>
            <w:shd w:val="clear" w:color="auto" w:fill="CCEEFF"/>
          </w:tcPr>
          <w:p>
            <w:pPr>
              <w:jc w:val="center"/>
              <w:ind w:left="38"/>
              <w:spacing w:after="0"/>
              <w:rPr>
                <w:sz w:val="20"/>
                <w:szCs w:val="20"/>
                <w:color w:val="auto"/>
              </w:rPr>
            </w:pPr>
            <w:r>
              <w:rPr>
                <w:rFonts w:ascii="Arial" w:cs="Arial" w:eastAsia="Arial" w:hAnsi="Arial"/>
                <w:sz w:val="8"/>
                <w:szCs w:val="8"/>
                <w:color w:val="auto"/>
                <w:w w:val="95"/>
              </w:rPr>
              <w:t>Between 5.31 to 7.25</w:t>
            </w:r>
          </w:p>
        </w:tc>
        <w:tc>
          <w:tcPr>
            <w:tcW w:w="1240" w:type="dxa"/>
            <w:vAlign w:val="bottom"/>
            <w:gridSpan w:val="3"/>
            <w:shd w:val="clear" w:color="auto" w:fill="CCEEFF"/>
          </w:tcPr>
          <w:p>
            <w:pPr>
              <w:ind w:left="180"/>
              <w:spacing w:after="0"/>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8"/>
                <w:szCs w:val="8"/>
                <w:color w:val="auto"/>
                <w:w w:val="94"/>
              </w:rPr>
              <w:t>November 2022</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8"/>
                <w:szCs w:val="8"/>
                <w:color w:val="auto"/>
                <w:w w:val="93"/>
              </w:rPr>
              <w:t>S/550,000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527,868</w:t>
            </w: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8"/>
                <w:szCs w:val="8"/>
                <w:color w:val="auto"/>
                <w:w w:val="94"/>
              </w:rPr>
              <w:t>November 2022</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S/550,000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529,515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color w:val="auto"/>
              </w:rPr>
              <w:t>First issuance (Series B) - Mibanco</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7.16</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w w:val="90"/>
              </w:rPr>
              <w:t>June 2019</w:t>
            </w: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S/100,000</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100,000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Fifth program</w:t>
            </w: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First issuance (Series A) - BCP</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rPr>
              <w:t>6.41</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Semi-annual</w:t>
            </w: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300" w:type="dxa"/>
            <w:vAlign w:val="bottom"/>
            <w:gridSpan w:val="2"/>
            <w:shd w:val="clear" w:color="auto" w:fill="CCEEFF"/>
          </w:tcPr>
          <w:p>
            <w:pPr>
              <w:jc w:val="center"/>
              <w:ind w:right="240"/>
              <w:spacing w:after="0" w:line="90" w:lineRule="exact"/>
              <w:rPr>
                <w:sz w:val="20"/>
                <w:szCs w:val="20"/>
                <w:color w:val="auto"/>
              </w:rPr>
            </w:pPr>
            <w:r>
              <w:rPr>
                <w:rFonts w:ascii="Arial" w:cs="Arial" w:eastAsia="Arial" w:hAnsi="Arial"/>
                <w:sz w:val="8"/>
                <w:szCs w:val="8"/>
                <w:color w:val="auto"/>
              </w:rPr>
              <w:t>April 2019</w:t>
            </w:r>
          </w:p>
        </w:tc>
        <w:tc>
          <w:tcPr>
            <w:tcW w:w="126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S/172,870</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162,561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color w:val="auto"/>
              </w:rPr>
              <w:t>First issuance (Series B) - BCP</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5.59</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w w:val="91"/>
              </w:rPr>
              <w:t>September 2019</w:t>
            </w: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S/150,000</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128,342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First issuance (Series C) - BCP</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w w:val="99"/>
              </w:rPr>
              <w:t>5.625</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Semi-annual</w:t>
            </w: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300" w:type="dxa"/>
            <w:vAlign w:val="bottom"/>
            <w:gridSpan w:val="2"/>
            <w:shd w:val="clear" w:color="auto" w:fill="CCEEFF"/>
          </w:tcPr>
          <w:p>
            <w:pPr>
              <w:jc w:val="center"/>
              <w:ind w:right="240"/>
              <w:spacing w:after="0" w:line="90" w:lineRule="exact"/>
              <w:rPr>
                <w:sz w:val="20"/>
                <w:szCs w:val="20"/>
                <w:color w:val="auto"/>
              </w:rPr>
            </w:pPr>
            <w:r>
              <w:rPr>
                <w:rFonts w:ascii="Arial" w:cs="Arial" w:eastAsia="Arial" w:hAnsi="Arial"/>
                <w:sz w:val="8"/>
                <w:szCs w:val="8"/>
                <w:color w:val="auto"/>
                <w:w w:val="94"/>
              </w:rPr>
              <w:t>November 2019</w:t>
            </w:r>
          </w:p>
        </w:tc>
        <w:tc>
          <w:tcPr>
            <w:tcW w:w="126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S/138,410</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124,019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color w:val="auto"/>
              </w:rPr>
              <w:t>First issuance (Series D) - BCP</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5.91</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4"/>
              </w:rPr>
              <w:t>January 2020</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3"/>
              </w:rPr>
              <w:t>S/182,410</w:t>
            </w: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182,061</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w w:val="94"/>
              </w:rPr>
              <w:t>January 2020</w:t>
            </w: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S/182,410</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167,649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Third issuance (Series A) - BCP</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rPr>
              <w:t>4.59</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9"/>
              </w:rPr>
              <w:t>July 2021</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3"/>
              </w:rPr>
              <w:t>S/70,770</w:t>
            </w: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63,430</w:t>
            </w:r>
          </w:p>
        </w:tc>
        <w:tc>
          <w:tcPr>
            <w:tcW w:w="1300" w:type="dxa"/>
            <w:vAlign w:val="bottom"/>
            <w:gridSpan w:val="2"/>
            <w:shd w:val="clear" w:color="auto" w:fill="CCEEFF"/>
          </w:tcPr>
          <w:p>
            <w:pPr>
              <w:jc w:val="center"/>
              <w:ind w:right="240"/>
              <w:spacing w:after="0" w:line="90" w:lineRule="exact"/>
              <w:rPr>
                <w:sz w:val="20"/>
                <w:szCs w:val="20"/>
                <w:color w:val="auto"/>
              </w:rPr>
            </w:pPr>
            <w:r>
              <w:rPr>
                <w:rFonts w:ascii="Arial" w:cs="Arial" w:eastAsia="Arial" w:hAnsi="Arial"/>
                <w:sz w:val="8"/>
                <w:szCs w:val="8"/>
                <w:color w:val="auto"/>
                <w:w w:val="99"/>
              </w:rPr>
              <w:t>July 2021</w:t>
            </w:r>
          </w:p>
        </w:tc>
        <w:tc>
          <w:tcPr>
            <w:tcW w:w="126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S/70,770</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65,300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color w:val="auto"/>
              </w:rPr>
              <w:t>Third issuance (Series B) - BCP</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4.88</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4"/>
              </w:rPr>
              <w:t>October 2021</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3"/>
              </w:rPr>
              <w:t>S/42,200</w:t>
            </w: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29,183</w:t>
            </w:r>
          </w:p>
        </w:tc>
        <w:tc>
          <w:tcPr>
            <w:tcW w:w="1300" w:type="dxa"/>
            <w:vAlign w:val="bottom"/>
            <w:gridSpan w:val="2"/>
          </w:tcPr>
          <w:p>
            <w:pPr>
              <w:jc w:val="center"/>
              <w:ind w:right="240"/>
              <w:spacing w:after="0" w:line="90" w:lineRule="exact"/>
              <w:rPr>
                <w:sz w:val="20"/>
                <w:szCs w:val="20"/>
                <w:color w:val="auto"/>
              </w:rPr>
            </w:pPr>
            <w:r>
              <w:rPr>
                <w:rFonts w:ascii="Arial" w:cs="Arial" w:eastAsia="Arial" w:hAnsi="Arial"/>
                <w:sz w:val="8"/>
                <w:szCs w:val="8"/>
                <w:color w:val="auto"/>
                <w:w w:val="94"/>
              </w:rPr>
              <w:t>October 2021</w:t>
            </w: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S/42,200</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29,729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Third issuance (Series C) - BCP</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rPr>
              <w:t>4.25</w:t>
            </w:r>
          </w:p>
        </w:tc>
        <w:tc>
          <w:tcPr>
            <w:tcW w:w="1240" w:type="dxa"/>
            <w:vAlign w:val="bottom"/>
            <w:gridSpan w:val="3"/>
            <w:shd w:val="clear" w:color="auto" w:fill="CCEEFF"/>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9"/>
              </w:rPr>
              <w:t>July 2022</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3"/>
              </w:rPr>
              <w:t>S/109,310</w:t>
            </w:r>
          </w:p>
        </w:tc>
        <w:tc>
          <w:tcPr>
            <w:tcW w:w="114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108,821</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73"/>
              </w:rPr>
              <w:t>-</w:t>
            </w:r>
          </w:p>
        </w:tc>
        <w:tc>
          <w:tcPr>
            <w:tcW w:w="3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20" w:type="dxa"/>
            <w:vAlign w:val="bottom"/>
          </w:tcPr>
          <w:p>
            <w:pPr>
              <w:ind w:left="120"/>
              <w:spacing w:after="0" w:line="90" w:lineRule="exact"/>
              <w:rPr>
                <w:sz w:val="20"/>
                <w:szCs w:val="20"/>
                <w:color w:val="auto"/>
              </w:rPr>
            </w:pPr>
            <w:r>
              <w:rPr>
                <w:rFonts w:ascii="Arial" w:cs="Arial" w:eastAsia="Arial" w:hAnsi="Arial"/>
                <w:sz w:val="8"/>
                <w:szCs w:val="8"/>
                <w:color w:val="auto"/>
              </w:rPr>
              <w:t>Third issuance (Series D) - BCP</w:t>
            </w:r>
          </w:p>
        </w:tc>
        <w:tc>
          <w:tcPr>
            <w:tcW w:w="960" w:type="dxa"/>
            <w:vAlign w:val="bottom"/>
          </w:tcPr>
          <w:p>
            <w:pPr>
              <w:jc w:val="center"/>
              <w:ind w:left="38"/>
              <w:spacing w:after="0" w:line="90" w:lineRule="exact"/>
              <w:rPr>
                <w:sz w:val="20"/>
                <w:szCs w:val="20"/>
                <w:color w:val="auto"/>
              </w:rPr>
            </w:pPr>
            <w:r>
              <w:rPr>
                <w:rFonts w:ascii="Arial" w:cs="Arial" w:eastAsia="Arial" w:hAnsi="Arial"/>
                <w:sz w:val="8"/>
                <w:szCs w:val="8"/>
                <w:color w:val="auto"/>
              </w:rPr>
              <w:t>3.88</w:t>
            </w:r>
          </w:p>
        </w:tc>
        <w:tc>
          <w:tcPr>
            <w:tcW w:w="1240" w:type="dxa"/>
            <w:vAlign w:val="bottom"/>
            <w:gridSpan w:val="3"/>
          </w:tcPr>
          <w:p>
            <w:pPr>
              <w:ind w:left="18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3"/>
              </w:rPr>
              <w:t>August 2022</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3"/>
              </w:rPr>
              <w:t>S/42,660</w:t>
            </w:r>
          </w:p>
        </w:tc>
        <w:tc>
          <w:tcPr>
            <w:tcW w:w="114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42,337</w:t>
            </w:r>
          </w:p>
        </w:tc>
        <w:tc>
          <w:tcPr>
            <w:tcW w:w="960" w:type="dxa"/>
            <w:vAlign w:val="bottom"/>
          </w:tcPr>
          <w:p>
            <w:pPr>
              <w:jc w:val="center"/>
              <w:ind w:left="58"/>
              <w:spacing w:after="0" w:line="90" w:lineRule="exact"/>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7"/>
                <w:szCs w:val="7"/>
                <w:color w:val="auto"/>
              </w:rPr>
            </w:pPr>
          </w:p>
        </w:tc>
        <w:tc>
          <w:tcPr>
            <w:tcW w:w="126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953,700</w:t>
            </w: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1,307,115</w:t>
            </w: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67"/>
        <w:spacing w:after="0"/>
        <w:rPr>
          <w:sz w:val="20"/>
          <w:szCs w:val="20"/>
          <w:color w:val="auto"/>
        </w:rPr>
      </w:pPr>
      <w:r>
        <w:rPr>
          <w:rFonts w:ascii="Arial" w:cs="Arial" w:eastAsia="Arial" w:hAnsi="Arial"/>
          <w:sz w:val="12"/>
          <w:szCs w:val="12"/>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8"/>
          </w:cols>
          <w:pgMar w:left="212" w:top="649" w:right="4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01"/>
        </w:trPr>
        <w:tc>
          <w:tcPr>
            <w:tcW w:w="204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Annual interest</w:t>
            </w:r>
          </w:p>
        </w:tc>
        <w:tc>
          <w:tcPr>
            <w:tcW w:w="200" w:type="dxa"/>
            <w:vAlign w:val="bottom"/>
          </w:tcPr>
          <w:p>
            <w:pPr>
              <w:spacing w:after="0"/>
              <w:rPr>
                <w:sz w:val="8"/>
                <w:szCs w:val="8"/>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6"/>
              </w:rPr>
              <w:t>Interest</w:t>
            </w: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At December 31, 2019</w:t>
            </w: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8"/>
                <w:szCs w:val="8"/>
                <w:b w:val="1"/>
                <w:bCs w:val="1"/>
                <w:color w:val="auto"/>
                <w:w w:val="96"/>
              </w:rPr>
              <w:t>At December 31, 2018</w:t>
            </w: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2"/>
          </w:tcPr>
          <w:p>
            <w:pPr>
              <w:jc w:val="center"/>
              <w:ind w:right="200"/>
              <w:spacing w:after="0" w:line="78" w:lineRule="exact"/>
              <w:rPr>
                <w:sz w:val="20"/>
                <w:szCs w:val="20"/>
                <w:color w:val="auto"/>
              </w:rPr>
            </w:pPr>
            <w:r>
              <w:rPr>
                <w:rFonts w:ascii="Arial" w:cs="Arial" w:eastAsia="Arial" w:hAnsi="Arial"/>
                <w:sz w:val="8"/>
                <w:szCs w:val="8"/>
                <w:b w:val="1"/>
                <w:bCs w:val="1"/>
                <w:color w:val="auto"/>
                <w:w w:val="86"/>
              </w:rPr>
              <w:t>Issued</w:t>
            </w:r>
          </w:p>
        </w:tc>
        <w:tc>
          <w:tcPr>
            <w:tcW w:w="100" w:type="dxa"/>
            <w:vAlign w:val="bottom"/>
          </w:tcPr>
          <w:p>
            <w:pPr>
              <w:spacing w:after="0"/>
              <w:rPr>
                <w:sz w:val="6"/>
                <w:szCs w:val="6"/>
                <w:color w:val="auto"/>
              </w:rPr>
            </w:pPr>
          </w:p>
        </w:tc>
        <w:tc>
          <w:tcPr>
            <w:tcW w:w="840" w:type="dxa"/>
            <w:vAlign w:val="bottom"/>
          </w:tcPr>
          <w:p>
            <w:pPr>
              <w:jc w:val="center"/>
              <w:ind w:right="58"/>
              <w:spacing w:after="0" w:line="78" w:lineRule="exact"/>
              <w:rPr>
                <w:sz w:val="20"/>
                <w:szCs w:val="20"/>
                <w:color w:val="auto"/>
              </w:rPr>
            </w:pPr>
            <w:r>
              <w:rPr>
                <w:rFonts w:ascii="Arial" w:cs="Arial" w:eastAsia="Arial" w:hAnsi="Arial"/>
                <w:sz w:val="8"/>
                <w:szCs w:val="8"/>
                <w:b w:val="1"/>
                <w:bCs w:val="1"/>
                <w:color w:val="auto"/>
              </w:rPr>
              <w:t>Carrying</w:t>
            </w: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tcPr>
          <w:p>
            <w:pPr>
              <w:jc w:val="center"/>
              <w:ind w:right="300"/>
              <w:spacing w:after="0" w:line="78" w:lineRule="exact"/>
              <w:rPr>
                <w:sz w:val="20"/>
                <w:szCs w:val="20"/>
                <w:color w:val="auto"/>
              </w:rPr>
            </w:pPr>
            <w:r>
              <w:rPr>
                <w:rFonts w:ascii="Arial" w:cs="Arial" w:eastAsia="Arial" w:hAnsi="Arial"/>
                <w:sz w:val="8"/>
                <w:szCs w:val="8"/>
                <w:b w:val="1"/>
                <w:bCs w:val="1"/>
                <w:color w:val="auto"/>
                <w:w w:val="86"/>
              </w:rPr>
              <w:t>Issued</w:t>
            </w:r>
          </w:p>
        </w:tc>
        <w:tc>
          <w:tcPr>
            <w:tcW w:w="86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Carrying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w w:val="95"/>
              </w:rPr>
              <w:t>rate</w:t>
            </w:r>
          </w:p>
        </w:tc>
        <w:tc>
          <w:tcPr>
            <w:tcW w:w="200" w:type="dxa"/>
            <w:vAlign w:val="bottom"/>
          </w:tcPr>
          <w:p>
            <w:pPr>
              <w:spacing w:after="0"/>
              <w:rPr>
                <w:sz w:val="8"/>
                <w:szCs w:val="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7"/>
              </w:rPr>
              <w:t>payment</w:t>
            </w:r>
          </w:p>
        </w:tc>
        <w:tc>
          <w:tcPr>
            <w:tcW w:w="10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Maturity</w:t>
            </w:r>
          </w:p>
        </w:tc>
        <w:tc>
          <w:tcPr>
            <w:tcW w:w="10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amount</w:t>
            </w:r>
          </w:p>
        </w:tc>
        <w:tc>
          <w:tcPr>
            <w:tcW w:w="1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89"/>
              </w:rPr>
              <w:t>amount</w:t>
            </w:r>
          </w:p>
        </w:tc>
        <w:tc>
          <w:tcPr>
            <w:tcW w:w="118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Maturity</w:t>
            </w:r>
          </w:p>
        </w:tc>
        <w:tc>
          <w:tcPr>
            <w:tcW w:w="116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6"/>
              </w:rPr>
              <w:t>amount</w:t>
            </w:r>
          </w:p>
        </w:tc>
        <w:tc>
          <w:tcPr>
            <w:tcW w:w="96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amount</w:t>
            </w:r>
          </w:p>
        </w:tc>
        <w:tc>
          <w:tcPr>
            <w:tcW w:w="0" w:type="dxa"/>
            <w:vAlign w:val="bottom"/>
          </w:tcPr>
          <w:p>
            <w:pPr>
              <w:spacing w:after="0"/>
              <w:rPr>
                <w:sz w:val="1"/>
                <w:szCs w:val="1"/>
                <w:color w:val="auto"/>
              </w:rPr>
            </w:pPr>
          </w:p>
        </w:tc>
      </w:tr>
      <w:tr>
        <w:trPr>
          <w:trHeight w:val="79"/>
        </w:trPr>
        <w:tc>
          <w:tcPr>
            <w:tcW w:w="2040" w:type="dxa"/>
            <w:vAlign w:val="bottom"/>
          </w:tcPr>
          <w:p>
            <w:pPr>
              <w:spacing w:after="0"/>
              <w:rPr>
                <w:sz w:val="6"/>
                <w:szCs w:val="6"/>
                <w:color w:val="auto"/>
              </w:rPr>
            </w:pPr>
          </w:p>
        </w:tc>
        <w:tc>
          <w:tcPr>
            <w:tcW w:w="9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6"/>
              </w:rPr>
              <w:t>(000)</w:t>
            </w: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jc w:val="center"/>
              <w:ind w:right="58"/>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300" w:type="dxa"/>
            <w:vAlign w:val="bottom"/>
          </w:tcPr>
          <w:p>
            <w:pPr>
              <w:spacing w:after="0"/>
              <w:rPr>
                <w:sz w:val="6"/>
                <w:szCs w:val="6"/>
                <w:color w:val="auto"/>
              </w:rPr>
            </w:pPr>
          </w:p>
        </w:tc>
        <w:tc>
          <w:tcPr>
            <w:tcW w:w="8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Subordinated bonds - BCP (viii)</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6.13</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180"/>
              <w:spacing w:after="0" w:line="90" w:lineRule="exact"/>
              <w:rPr>
                <w:sz w:val="20"/>
                <w:szCs w:val="20"/>
                <w:color w:val="auto"/>
              </w:rPr>
            </w:pPr>
            <w:r>
              <w:rPr>
                <w:rFonts w:ascii="Arial" w:cs="Arial" w:eastAsia="Arial" w:hAnsi="Arial"/>
                <w:sz w:val="8"/>
                <w:szCs w:val="8"/>
                <w:color w:val="auto"/>
                <w:w w:val="99"/>
              </w:rPr>
              <w:t>April 2027</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US$720,000</w:t>
            </w:r>
          </w:p>
        </w:tc>
        <w:tc>
          <w:tcPr>
            <w:tcW w:w="94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2,383,860</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center"/>
              <w:ind w:right="300"/>
              <w:spacing w:after="0" w:line="90" w:lineRule="exact"/>
              <w:rPr>
                <w:sz w:val="20"/>
                <w:szCs w:val="20"/>
                <w:color w:val="auto"/>
              </w:rPr>
            </w:pPr>
            <w:r>
              <w:rPr>
                <w:rFonts w:ascii="Arial" w:cs="Arial" w:eastAsia="Arial" w:hAnsi="Arial"/>
                <w:sz w:val="8"/>
                <w:szCs w:val="8"/>
                <w:color w:val="auto"/>
                <w:w w:val="99"/>
              </w:rPr>
              <w:t>April 2027</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US$720,000</w:t>
            </w:r>
          </w:p>
        </w:tc>
        <w:tc>
          <w:tcPr>
            <w:tcW w:w="8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2,436,615</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Subordinated bonds - BCP (ix)</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6.88</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1"/>
              </w:rPr>
              <w:t>September 2026</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US$476,120</w:t>
            </w:r>
          </w:p>
        </w:tc>
        <w:tc>
          <w:tcPr>
            <w:tcW w:w="94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1,549,702</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1"/>
              </w:rPr>
              <w:t>September 2026</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US$476,120</w:t>
            </w:r>
          </w:p>
        </w:tc>
        <w:tc>
          <w:tcPr>
            <w:tcW w:w="8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1,559,869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Junior subordinated bonds - BCP (x)</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9.75</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4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4"/>
              </w:rPr>
              <w:t>November 2069</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US$250,000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840,543</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Subordinated bonds -</w:t>
            </w: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First program</w:t>
            </w: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First issuance (Series A) - BCP</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6.22</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6"/>
              </w:rPr>
              <w:t>May 2027</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S/15,000</w:t>
            </w:r>
          </w:p>
        </w:tc>
        <w:tc>
          <w:tcPr>
            <w:tcW w:w="114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15,000</w:t>
            </w: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6"/>
              </w:rPr>
              <w:t>May 2027</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S/15,000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15,000</w:t>
            </w: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color w:val="auto"/>
              </w:rPr>
              <w:t>First issuance (Series A) - Pacífico Seguros</w:t>
            </w:r>
          </w:p>
        </w:tc>
        <w:tc>
          <w:tcPr>
            <w:tcW w:w="960" w:type="dxa"/>
            <w:vAlign w:val="bottom"/>
          </w:tcPr>
          <w:p>
            <w:pPr>
              <w:jc w:val="center"/>
              <w:ind w:left="58"/>
              <w:spacing w:after="0" w:line="90" w:lineRule="exact"/>
              <w:rPr>
                <w:sz w:val="20"/>
                <w:szCs w:val="20"/>
                <w:color w:val="auto"/>
              </w:rPr>
            </w:pPr>
            <w:r>
              <w:rPr>
                <w:rFonts w:ascii="Arial" w:cs="Arial" w:eastAsia="Arial" w:hAnsi="Arial"/>
                <w:sz w:val="8"/>
                <w:szCs w:val="8"/>
                <w:color w:val="auto"/>
                <w:w w:val="89"/>
              </w:rPr>
              <w:t>6.97</w:t>
            </w:r>
          </w:p>
        </w:tc>
        <w:tc>
          <w:tcPr>
            <w:tcW w:w="1240" w:type="dxa"/>
            <w:vAlign w:val="bottom"/>
            <w:gridSpan w:val="3"/>
          </w:tcPr>
          <w:p>
            <w:pPr>
              <w:ind w:left="200"/>
              <w:spacing w:after="0" w:line="90" w:lineRule="exact"/>
              <w:rPr>
                <w:sz w:val="20"/>
                <w:szCs w:val="20"/>
                <w:color w:val="auto"/>
              </w:rPr>
            </w:pPr>
            <w:r>
              <w:rPr>
                <w:rFonts w:ascii="Arial" w:cs="Arial" w:eastAsia="Arial" w:hAnsi="Arial"/>
                <w:sz w:val="8"/>
                <w:szCs w:val="8"/>
                <w:color w:val="auto"/>
              </w:rPr>
              <w:t>Quarterly</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4"/>
              </w:rPr>
              <w:t>November 2026</w:t>
            </w:r>
          </w:p>
        </w:tc>
        <w:tc>
          <w:tcPr>
            <w:tcW w:w="10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US$60,000</w:t>
            </w:r>
          </w:p>
        </w:tc>
        <w:tc>
          <w:tcPr>
            <w:tcW w:w="940" w:type="dxa"/>
            <w:vAlign w:val="bottom"/>
            <w:gridSpan w:val="2"/>
          </w:tcPr>
          <w:p>
            <w:pPr>
              <w:jc w:val="right"/>
              <w:spacing w:after="0" w:line="90" w:lineRule="exact"/>
              <w:rPr>
                <w:sz w:val="20"/>
                <w:szCs w:val="20"/>
                <w:color w:val="auto"/>
              </w:rPr>
            </w:pPr>
            <w:r>
              <w:rPr>
                <w:rFonts w:ascii="Arial" w:cs="Arial" w:eastAsia="Arial" w:hAnsi="Arial"/>
                <w:sz w:val="8"/>
                <w:szCs w:val="8"/>
                <w:color w:val="auto"/>
              </w:rPr>
              <w:t>198,840</w:t>
            </w:r>
          </w:p>
        </w:tc>
        <w:tc>
          <w:tcPr>
            <w:tcW w:w="200" w:type="dxa"/>
            <w:vAlign w:val="bottom"/>
          </w:tcPr>
          <w:p>
            <w:pPr>
              <w:spacing w:after="0"/>
              <w:rPr>
                <w:sz w:val="7"/>
                <w:szCs w:val="7"/>
                <w:color w:val="auto"/>
              </w:rPr>
            </w:pPr>
          </w:p>
        </w:tc>
        <w:tc>
          <w:tcPr>
            <w:tcW w:w="1180" w:type="dxa"/>
            <w:vAlign w:val="bottom"/>
            <w:gridSpan w:val="2"/>
          </w:tcPr>
          <w:p>
            <w:pPr>
              <w:jc w:val="center"/>
              <w:ind w:right="320"/>
              <w:spacing w:after="0" w:line="90" w:lineRule="exact"/>
              <w:rPr>
                <w:sz w:val="20"/>
                <w:szCs w:val="20"/>
                <w:color w:val="auto"/>
              </w:rPr>
            </w:pPr>
            <w:r>
              <w:rPr>
                <w:rFonts w:ascii="Arial" w:cs="Arial" w:eastAsia="Arial" w:hAnsi="Arial"/>
                <w:sz w:val="8"/>
                <w:szCs w:val="8"/>
                <w:color w:val="auto"/>
                <w:w w:val="94"/>
              </w:rPr>
              <w:t>November 2026</w:t>
            </w:r>
          </w:p>
        </w:tc>
        <w:tc>
          <w:tcPr>
            <w:tcW w:w="1160" w:type="dxa"/>
            <w:vAlign w:val="bottom"/>
            <w:gridSpan w:val="2"/>
          </w:tcPr>
          <w:p>
            <w:pPr>
              <w:spacing w:after="0" w:line="90" w:lineRule="exact"/>
              <w:rPr>
                <w:sz w:val="20"/>
                <w:szCs w:val="20"/>
                <w:color w:val="auto"/>
              </w:rPr>
            </w:pPr>
            <w:r>
              <w:rPr>
                <w:rFonts w:ascii="Arial" w:cs="Arial" w:eastAsia="Arial" w:hAnsi="Arial"/>
                <w:sz w:val="8"/>
                <w:szCs w:val="8"/>
                <w:color w:val="auto"/>
              </w:rPr>
              <w:t>US$60,000</w:t>
            </w:r>
          </w:p>
        </w:tc>
        <w:tc>
          <w:tcPr>
            <w:tcW w:w="9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201,933</w:t>
            </w: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Second program</w:t>
            </w: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First issuance (Series A) - Mibanco</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8.50</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6"/>
              </w:rPr>
              <w:t>May 2026</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S/100,000</w:t>
            </w:r>
          </w:p>
        </w:tc>
        <w:tc>
          <w:tcPr>
            <w:tcW w:w="114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99,934</w:t>
            </w: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6"/>
              </w:rPr>
              <w:t>May 2026</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S/100,000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color w:val="auto"/>
              </w:rPr>
              <w:t>First issuance (Series B) - Mibanco</w:t>
            </w:r>
          </w:p>
        </w:tc>
        <w:tc>
          <w:tcPr>
            <w:tcW w:w="960" w:type="dxa"/>
            <w:vAlign w:val="bottom"/>
          </w:tcPr>
          <w:p>
            <w:pPr>
              <w:jc w:val="center"/>
              <w:ind w:left="58"/>
              <w:spacing w:after="0" w:line="90" w:lineRule="exact"/>
              <w:rPr>
                <w:sz w:val="20"/>
                <w:szCs w:val="20"/>
                <w:color w:val="auto"/>
              </w:rPr>
            </w:pPr>
            <w:r>
              <w:rPr>
                <w:rFonts w:ascii="Arial" w:cs="Arial" w:eastAsia="Arial" w:hAnsi="Arial"/>
                <w:sz w:val="8"/>
                <w:szCs w:val="8"/>
                <w:color w:val="auto"/>
                <w:w w:val="89"/>
              </w:rPr>
              <w:t>7.22</w:t>
            </w:r>
          </w:p>
        </w:tc>
        <w:tc>
          <w:tcPr>
            <w:tcW w:w="1240" w:type="dxa"/>
            <w:vAlign w:val="bottom"/>
            <w:gridSpan w:val="3"/>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200"/>
              <w:spacing w:after="0" w:line="90" w:lineRule="exact"/>
              <w:rPr>
                <w:sz w:val="20"/>
                <w:szCs w:val="20"/>
                <w:color w:val="auto"/>
              </w:rPr>
            </w:pPr>
            <w:r>
              <w:rPr>
                <w:rFonts w:ascii="Arial" w:cs="Arial" w:eastAsia="Arial" w:hAnsi="Arial"/>
                <w:sz w:val="8"/>
                <w:szCs w:val="8"/>
                <w:color w:val="auto"/>
                <w:w w:val="90"/>
              </w:rPr>
              <w:t>June 2027</w:t>
            </w:r>
          </w:p>
        </w:tc>
        <w:tc>
          <w:tcPr>
            <w:tcW w:w="10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S/30,000</w:t>
            </w:r>
          </w:p>
        </w:tc>
        <w:tc>
          <w:tcPr>
            <w:tcW w:w="114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30,000</w:t>
            </w:r>
          </w:p>
        </w:tc>
        <w:tc>
          <w:tcPr>
            <w:tcW w:w="1180" w:type="dxa"/>
            <w:vAlign w:val="bottom"/>
            <w:gridSpan w:val="2"/>
          </w:tcPr>
          <w:p>
            <w:pPr>
              <w:jc w:val="center"/>
              <w:ind w:right="320"/>
              <w:spacing w:after="0" w:line="90" w:lineRule="exact"/>
              <w:rPr>
                <w:sz w:val="20"/>
                <w:szCs w:val="20"/>
                <w:color w:val="auto"/>
              </w:rPr>
            </w:pPr>
            <w:r>
              <w:rPr>
                <w:rFonts w:ascii="Arial" w:cs="Arial" w:eastAsia="Arial" w:hAnsi="Arial"/>
                <w:sz w:val="8"/>
                <w:szCs w:val="8"/>
                <w:color w:val="auto"/>
                <w:w w:val="90"/>
              </w:rPr>
              <w:t>June 2027</w:t>
            </w:r>
          </w:p>
        </w:tc>
        <w:tc>
          <w:tcPr>
            <w:tcW w:w="1160" w:type="dxa"/>
            <w:vAlign w:val="bottom"/>
            <w:gridSpan w:val="2"/>
          </w:tcPr>
          <w:p>
            <w:pPr>
              <w:spacing w:after="0" w:line="90" w:lineRule="exact"/>
              <w:rPr>
                <w:sz w:val="20"/>
                <w:szCs w:val="20"/>
                <w:color w:val="auto"/>
              </w:rPr>
            </w:pPr>
            <w:r>
              <w:rPr>
                <w:rFonts w:ascii="Arial" w:cs="Arial" w:eastAsia="Arial" w:hAnsi="Arial"/>
                <w:sz w:val="8"/>
                <w:szCs w:val="8"/>
                <w:color w:val="auto"/>
              </w:rPr>
              <w:t>S/30,000</w:t>
            </w:r>
          </w:p>
        </w:tc>
        <w:tc>
          <w:tcPr>
            <w:tcW w:w="9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30,000</w:t>
            </w: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Third program (xiv)</w:t>
            </w: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Fourth issuance (Series A) - Mibanco</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6.19</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86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4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4"/>
              </w:rPr>
              <w:t>December 2022</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S/40,000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39,862</w:t>
            </w:r>
          </w:p>
        </w:tc>
        <w:tc>
          <w:tcPr>
            <w:tcW w:w="0" w:type="dxa"/>
            <w:vAlign w:val="bottom"/>
          </w:tcPr>
          <w:p>
            <w:pPr>
              <w:spacing w:after="0"/>
              <w:rPr>
                <w:sz w:val="1"/>
                <w:szCs w:val="1"/>
                <w:color w:val="auto"/>
              </w:rPr>
            </w:pPr>
          </w:p>
        </w:tc>
      </w:tr>
      <w:tr>
        <w:trPr>
          <w:trHeight w:val="90"/>
        </w:trPr>
        <w:tc>
          <w:tcPr>
            <w:tcW w:w="2040" w:type="dxa"/>
            <w:vAlign w:val="bottom"/>
          </w:tcPr>
          <w:p>
            <w:pPr>
              <w:ind w:left="120"/>
              <w:spacing w:after="0" w:line="90" w:lineRule="exact"/>
              <w:rPr>
                <w:sz w:val="20"/>
                <w:szCs w:val="20"/>
                <w:color w:val="auto"/>
              </w:rPr>
            </w:pPr>
            <w:r>
              <w:rPr>
                <w:rFonts w:ascii="Arial" w:cs="Arial" w:eastAsia="Arial" w:hAnsi="Arial"/>
                <w:sz w:val="8"/>
                <w:szCs w:val="8"/>
                <w:color w:val="auto"/>
              </w:rPr>
              <w:t>Fifth issuance (Series A and B) - Mibanco</w:t>
            </w:r>
          </w:p>
        </w:tc>
        <w:tc>
          <w:tcPr>
            <w:tcW w:w="960" w:type="dxa"/>
            <w:vAlign w:val="bottom"/>
          </w:tcPr>
          <w:p>
            <w:pPr>
              <w:jc w:val="center"/>
              <w:ind w:left="58"/>
              <w:spacing w:after="0" w:line="90" w:lineRule="exact"/>
              <w:rPr>
                <w:sz w:val="20"/>
                <w:szCs w:val="20"/>
                <w:color w:val="auto"/>
              </w:rPr>
            </w:pPr>
            <w:r>
              <w:rPr>
                <w:rFonts w:ascii="Arial" w:cs="Arial" w:eastAsia="Arial" w:hAnsi="Arial"/>
                <w:sz w:val="8"/>
                <w:szCs w:val="8"/>
                <w:color w:val="auto"/>
                <w:w w:val="89"/>
              </w:rPr>
              <w:t>7.75</w:t>
            </w:r>
          </w:p>
        </w:tc>
        <w:tc>
          <w:tcPr>
            <w:tcW w:w="1240" w:type="dxa"/>
            <w:vAlign w:val="bottom"/>
            <w:gridSpan w:val="3"/>
          </w:tcPr>
          <w:p>
            <w:pPr>
              <w:ind w:left="200"/>
              <w:spacing w:after="0" w:line="90" w:lineRule="exact"/>
              <w:rPr>
                <w:sz w:val="20"/>
                <w:szCs w:val="20"/>
                <w:color w:val="auto"/>
              </w:rPr>
            </w:pPr>
            <w:r>
              <w:rPr>
                <w:rFonts w:ascii="Arial" w:cs="Arial" w:eastAsia="Arial" w:hAnsi="Arial"/>
                <w:sz w:val="8"/>
                <w:szCs w:val="8"/>
                <w:color w:val="auto"/>
              </w:rPr>
              <w:t>Semi-annual</w:t>
            </w:r>
          </w:p>
        </w:tc>
        <w:tc>
          <w:tcPr>
            <w:tcW w:w="860" w:type="dxa"/>
            <w:vAlign w:val="bottom"/>
          </w:tcPr>
          <w:p>
            <w:pPr>
              <w:jc w:val="center"/>
              <w:spacing w:after="0" w:line="90" w:lineRule="exact"/>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7"/>
                <w:szCs w:val="7"/>
                <w:color w:val="auto"/>
              </w:rPr>
            </w:pPr>
          </w:p>
        </w:tc>
        <w:tc>
          <w:tcPr>
            <w:tcW w:w="10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40" w:type="dxa"/>
            <w:vAlign w:val="bottom"/>
            <w:gridSpan w:val="3"/>
          </w:tcPr>
          <w:p>
            <w:pPr>
              <w:jc w:val="right"/>
              <w:ind w:right="200"/>
              <w:spacing w:after="0" w:line="90" w:lineRule="exact"/>
              <w:rPr>
                <w:sz w:val="20"/>
                <w:szCs w:val="20"/>
                <w:color w:val="auto"/>
              </w:rPr>
            </w:pPr>
            <w:r>
              <w:rPr>
                <w:rFonts w:ascii="Arial" w:cs="Arial" w:eastAsia="Arial" w:hAnsi="Arial"/>
                <w:sz w:val="8"/>
                <w:szCs w:val="8"/>
                <w:color w:val="auto"/>
              </w:rPr>
              <w:t>-</w:t>
            </w:r>
          </w:p>
        </w:tc>
        <w:tc>
          <w:tcPr>
            <w:tcW w:w="1180" w:type="dxa"/>
            <w:vAlign w:val="bottom"/>
            <w:gridSpan w:val="2"/>
          </w:tcPr>
          <w:p>
            <w:pPr>
              <w:jc w:val="center"/>
              <w:ind w:right="300"/>
              <w:spacing w:after="0" w:line="90" w:lineRule="exact"/>
              <w:rPr>
                <w:sz w:val="20"/>
                <w:szCs w:val="20"/>
                <w:color w:val="auto"/>
              </w:rPr>
            </w:pPr>
            <w:r>
              <w:rPr>
                <w:rFonts w:ascii="Arial" w:cs="Arial" w:eastAsia="Arial" w:hAnsi="Arial"/>
                <w:sz w:val="8"/>
                <w:szCs w:val="8"/>
                <w:color w:val="auto"/>
                <w:w w:val="93"/>
              </w:rPr>
              <w:t>July 2024</w:t>
            </w:r>
          </w:p>
        </w:tc>
        <w:tc>
          <w:tcPr>
            <w:tcW w:w="1160" w:type="dxa"/>
            <w:vAlign w:val="bottom"/>
            <w:gridSpan w:val="2"/>
          </w:tcPr>
          <w:p>
            <w:pPr>
              <w:spacing w:after="0" w:line="90" w:lineRule="exact"/>
              <w:rPr>
                <w:sz w:val="20"/>
                <w:szCs w:val="20"/>
                <w:color w:val="auto"/>
              </w:rPr>
            </w:pPr>
            <w:r>
              <w:rPr>
                <w:rFonts w:ascii="Arial" w:cs="Arial" w:eastAsia="Arial" w:hAnsi="Arial"/>
                <w:sz w:val="8"/>
                <w:szCs w:val="8"/>
                <w:color w:val="auto"/>
              </w:rPr>
              <w:t>S/88,009</w:t>
            </w:r>
          </w:p>
        </w:tc>
        <w:tc>
          <w:tcPr>
            <w:tcW w:w="9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88,009</w:t>
            </w: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ind w:left="120"/>
              <w:spacing w:after="0" w:line="90" w:lineRule="exact"/>
              <w:rPr>
                <w:sz w:val="20"/>
                <w:szCs w:val="20"/>
                <w:color w:val="auto"/>
              </w:rPr>
            </w:pPr>
            <w:r>
              <w:rPr>
                <w:rFonts w:ascii="Arial" w:cs="Arial" w:eastAsia="Arial" w:hAnsi="Arial"/>
                <w:sz w:val="8"/>
                <w:szCs w:val="8"/>
                <w:color w:val="auto"/>
              </w:rPr>
              <w:t>Issuance I - Banco de Crédito de Bolivia</w:t>
            </w:r>
          </w:p>
        </w:tc>
        <w:tc>
          <w:tcPr>
            <w:tcW w:w="960" w:type="dxa"/>
            <w:vAlign w:val="bottom"/>
            <w:shd w:val="clear" w:color="auto" w:fill="CCEEFF"/>
          </w:tcPr>
          <w:p>
            <w:pPr>
              <w:jc w:val="center"/>
              <w:ind w:left="58"/>
              <w:spacing w:after="0" w:line="90" w:lineRule="exact"/>
              <w:rPr>
                <w:sz w:val="20"/>
                <w:szCs w:val="20"/>
                <w:color w:val="auto"/>
              </w:rPr>
            </w:pPr>
            <w:r>
              <w:rPr>
                <w:rFonts w:ascii="Arial" w:cs="Arial" w:eastAsia="Arial" w:hAnsi="Arial"/>
                <w:sz w:val="8"/>
                <w:szCs w:val="8"/>
                <w:color w:val="auto"/>
                <w:w w:val="89"/>
              </w:rPr>
              <w:t>6.25</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180"/>
              <w:spacing w:after="0" w:line="90" w:lineRule="exact"/>
              <w:rPr>
                <w:sz w:val="20"/>
                <w:szCs w:val="20"/>
                <w:color w:val="auto"/>
              </w:rPr>
            </w:pPr>
            <w:r>
              <w:rPr>
                <w:rFonts w:ascii="Arial" w:cs="Arial" w:eastAsia="Arial" w:hAnsi="Arial"/>
                <w:sz w:val="8"/>
                <w:szCs w:val="8"/>
                <w:color w:val="auto"/>
                <w:w w:val="97"/>
              </w:rPr>
              <w:t>August 2028</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Bs70,000</w:t>
            </w:r>
          </w:p>
        </w:tc>
        <w:tc>
          <w:tcPr>
            <w:tcW w:w="1140" w:type="dxa"/>
            <w:vAlign w:val="bottom"/>
            <w:gridSpan w:val="3"/>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33,816</w:t>
            </w:r>
          </w:p>
        </w:tc>
        <w:tc>
          <w:tcPr>
            <w:tcW w:w="1180" w:type="dxa"/>
            <w:vAlign w:val="bottom"/>
            <w:gridSpan w:val="2"/>
            <w:shd w:val="clear" w:color="auto" w:fill="CCEEFF"/>
          </w:tcPr>
          <w:p>
            <w:pPr>
              <w:jc w:val="center"/>
              <w:ind w:right="300"/>
              <w:spacing w:after="0" w:line="90" w:lineRule="exact"/>
              <w:rPr>
                <w:sz w:val="20"/>
                <w:szCs w:val="20"/>
                <w:color w:val="auto"/>
              </w:rPr>
            </w:pPr>
            <w:r>
              <w:rPr>
                <w:rFonts w:ascii="Arial" w:cs="Arial" w:eastAsia="Arial" w:hAnsi="Arial"/>
                <w:sz w:val="8"/>
                <w:szCs w:val="8"/>
                <w:color w:val="auto"/>
                <w:w w:val="97"/>
              </w:rPr>
              <w:t>August 2028</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Bs70,000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34,418</w:t>
            </w:r>
          </w:p>
        </w:tc>
        <w:tc>
          <w:tcPr>
            <w:tcW w:w="0" w:type="dxa"/>
            <w:vAlign w:val="bottom"/>
          </w:tcPr>
          <w:p>
            <w:pPr>
              <w:spacing w:after="0"/>
              <w:rPr>
                <w:sz w:val="1"/>
                <w:szCs w:val="1"/>
                <w:color w:val="auto"/>
              </w:rPr>
            </w:pPr>
          </w:p>
        </w:tc>
      </w:tr>
      <w:tr>
        <w:trPr>
          <w:trHeight w:val="99"/>
        </w:trPr>
        <w:tc>
          <w:tcPr>
            <w:tcW w:w="2040" w:type="dxa"/>
            <w:vAlign w:val="bottom"/>
          </w:tcPr>
          <w:p>
            <w:pPr>
              <w:ind w:left="120"/>
              <w:spacing w:after="0"/>
              <w:rPr>
                <w:sz w:val="20"/>
                <w:szCs w:val="20"/>
                <w:color w:val="auto"/>
              </w:rPr>
            </w:pPr>
            <w:r>
              <w:rPr>
                <w:rFonts w:ascii="Arial" w:cs="Arial" w:eastAsia="Arial" w:hAnsi="Arial"/>
                <w:sz w:val="8"/>
                <w:szCs w:val="8"/>
                <w:color w:val="auto"/>
              </w:rPr>
              <w:t>Issuance II - Banco de Crédito de Bolivia</w:t>
            </w:r>
          </w:p>
        </w:tc>
        <w:tc>
          <w:tcPr>
            <w:tcW w:w="960" w:type="dxa"/>
            <w:vAlign w:val="bottom"/>
          </w:tcPr>
          <w:p>
            <w:pPr>
              <w:jc w:val="center"/>
              <w:ind w:left="58"/>
              <w:spacing w:after="0"/>
              <w:rPr>
                <w:sz w:val="20"/>
                <w:szCs w:val="20"/>
                <w:color w:val="auto"/>
              </w:rPr>
            </w:pPr>
            <w:r>
              <w:rPr>
                <w:rFonts w:ascii="Arial" w:cs="Arial" w:eastAsia="Arial" w:hAnsi="Arial"/>
                <w:sz w:val="8"/>
                <w:szCs w:val="8"/>
                <w:color w:val="auto"/>
                <w:w w:val="89"/>
              </w:rPr>
              <w:t>5.25</w:t>
            </w:r>
          </w:p>
        </w:tc>
        <w:tc>
          <w:tcPr>
            <w:tcW w:w="1240" w:type="dxa"/>
            <w:vAlign w:val="bottom"/>
            <w:gridSpan w:val="3"/>
          </w:tcPr>
          <w:p>
            <w:pPr>
              <w:ind w:left="200"/>
              <w:spacing w:after="0"/>
              <w:rPr>
                <w:sz w:val="20"/>
                <w:szCs w:val="20"/>
                <w:color w:val="auto"/>
              </w:rPr>
            </w:pPr>
            <w:r>
              <w:rPr>
                <w:rFonts w:ascii="Arial" w:cs="Arial" w:eastAsia="Arial" w:hAnsi="Arial"/>
                <w:sz w:val="8"/>
                <w:szCs w:val="8"/>
                <w:color w:val="auto"/>
              </w:rPr>
              <w:t>Semi-annual</w:t>
            </w:r>
          </w:p>
        </w:tc>
        <w:tc>
          <w:tcPr>
            <w:tcW w:w="1060" w:type="dxa"/>
            <w:vAlign w:val="bottom"/>
            <w:gridSpan w:val="2"/>
          </w:tcPr>
          <w:p>
            <w:pPr>
              <w:jc w:val="center"/>
              <w:ind w:right="180"/>
              <w:spacing w:after="0"/>
              <w:rPr>
                <w:sz w:val="20"/>
                <w:szCs w:val="20"/>
                <w:color w:val="auto"/>
              </w:rPr>
            </w:pPr>
            <w:r>
              <w:rPr>
                <w:rFonts w:ascii="Arial" w:cs="Arial" w:eastAsia="Arial" w:hAnsi="Arial"/>
                <w:sz w:val="8"/>
                <w:szCs w:val="8"/>
                <w:color w:val="auto"/>
                <w:w w:val="97"/>
              </w:rPr>
              <w:t>August 2022</w:t>
            </w:r>
          </w:p>
        </w:tc>
        <w:tc>
          <w:tcPr>
            <w:tcW w:w="1060" w:type="dxa"/>
            <w:vAlign w:val="bottom"/>
            <w:gridSpan w:val="2"/>
          </w:tcPr>
          <w:p>
            <w:pPr>
              <w:jc w:val="right"/>
              <w:ind w:right="200"/>
              <w:spacing w:after="0"/>
              <w:rPr>
                <w:sz w:val="20"/>
                <w:szCs w:val="20"/>
                <w:color w:val="auto"/>
              </w:rPr>
            </w:pPr>
            <w:r>
              <w:rPr>
                <w:rFonts w:ascii="Arial" w:cs="Arial" w:eastAsia="Arial" w:hAnsi="Arial"/>
                <w:sz w:val="8"/>
                <w:szCs w:val="8"/>
                <w:color w:val="auto"/>
              </w:rPr>
              <w:t>Bs137,200</w:t>
            </w:r>
          </w:p>
        </w:tc>
        <w:tc>
          <w:tcPr>
            <w:tcW w:w="1140" w:type="dxa"/>
            <w:vAlign w:val="bottom"/>
            <w:gridSpan w:val="3"/>
          </w:tcPr>
          <w:p>
            <w:pPr>
              <w:jc w:val="right"/>
              <w:ind w:right="200"/>
              <w:spacing w:after="0"/>
              <w:rPr>
                <w:sz w:val="20"/>
                <w:szCs w:val="20"/>
                <w:color w:val="auto"/>
              </w:rPr>
            </w:pPr>
            <w:r>
              <w:rPr>
                <w:rFonts w:ascii="Arial" w:cs="Arial" w:eastAsia="Arial" w:hAnsi="Arial"/>
                <w:sz w:val="8"/>
                <w:szCs w:val="8"/>
                <w:color w:val="auto"/>
              </w:rPr>
              <w:t>66,782</w:t>
            </w:r>
          </w:p>
        </w:tc>
        <w:tc>
          <w:tcPr>
            <w:tcW w:w="1180" w:type="dxa"/>
            <w:vAlign w:val="bottom"/>
            <w:gridSpan w:val="2"/>
          </w:tcPr>
          <w:p>
            <w:pPr>
              <w:jc w:val="center"/>
              <w:ind w:right="300"/>
              <w:spacing w:after="0"/>
              <w:rPr>
                <w:sz w:val="20"/>
                <w:szCs w:val="20"/>
                <w:color w:val="auto"/>
              </w:rPr>
            </w:pPr>
            <w:r>
              <w:rPr>
                <w:rFonts w:ascii="Arial" w:cs="Arial" w:eastAsia="Arial" w:hAnsi="Arial"/>
                <w:sz w:val="8"/>
                <w:szCs w:val="8"/>
                <w:color w:val="auto"/>
                <w:w w:val="97"/>
              </w:rPr>
              <w:t>August 2022</w:t>
            </w:r>
          </w:p>
        </w:tc>
        <w:tc>
          <w:tcPr>
            <w:tcW w:w="1160" w:type="dxa"/>
            <w:vAlign w:val="bottom"/>
            <w:gridSpan w:val="2"/>
          </w:tcPr>
          <w:p>
            <w:pPr>
              <w:spacing w:after="0"/>
              <w:rPr>
                <w:sz w:val="20"/>
                <w:szCs w:val="20"/>
                <w:color w:val="auto"/>
              </w:rPr>
            </w:pPr>
            <w:r>
              <w:rPr>
                <w:rFonts w:ascii="Arial" w:cs="Arial" w:eastAsia="Arial" w:hAnsi="Arial"/>
                <w:sz w:val="8"/>
                <w:szCs w:val="8"/>
                <w:color w:val="auto"/>
              </w:rPr>
              <w:t>Bs137,200</w:t>
            </w:r>
          </w:p>
        </w:tc>
        <w:tc>
          <w:tcPr>
            <w:tcW w:w="960" w:type="dxa"/>
            <w:vAlign w:val="bottom"/>
            <w:gridSpan w:val="2"/>
          </w:tcPr>
          <w:p>
            <w:pPr>
              <w:jc w:val="right"/>
              <w:ind w:right="100"/>
              <w:spacing w:after="0"/>
              <w:rPr>
                <w:sz w:val="20"/>
                <w:szCs w:val="20"/>
                <w:color w:val="auto"/>
              </w:rPr>
            </w:pPr>
            <w:r>
              <w:rPr>
                <w:rFonts w:ascii="Arial" w:cs="Arial" w:eastAsia="Arial" w:hAnsi="Arial"/>
                <w:sz w:val="8"/>
                <w:szCs w:val="8"/>
                <w:color w:val="auto"/>
              </w:rPr>
              <w:t>68,168</w:t>
            </w:r>
          </w:p>
        </w:tc>
        <w:tc>
          <w:tcPr>
            <w:tcW w:w="0" w:type="dxa"/>
            <w:vAlign w:val="bottom"/>
          </w:tcPr>
          <w:p>
            <w:pPr>
              <w:spacing w:after="0"/>
              <w:rPr>
                <w:sz w:val="1"/>
                <w:szCs w:val="1"/>
                <w:color w:val="auto"/>
              </w:rPr>
            </w:pPr>
          </w:p>
        </w:tc>
      </w:tr>
      <w:tr>
        <w:trPr>
          <w:trHeight w:val="79"/>
        </w:trPr>
        <w:tc>
          <w:tcPr>
            <w:tcW w:w="20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bottom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444,372</w:t>
            </w:r>
          </w:p>
        </w:tc>
        <w:tc>
          <w:tcPr>
            <w:tcW w:w="2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577,390</w:t>
            </w: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vMerge w:val="restart"/>
            <w:shd w:val="clear" w:color="auto" w:fill="CCEEFF"/>
          </w:tcPr>
          <w:p>
            <w:pPr>
              <w:spacing w:after="0"/>
              <w:rPr>
                <w:sz w:val="20"/>
                <w:szCs w:val="20"/>
                <w:color w:val="auto"/>
              </w:rPr>
            </w:pPr>
            <w:r>
              <w:rPr>
                <w:rFonts w:ascii="Arial" w:cs="Arial" w:eastAsia="Arial" w:hAnsi="Arial"/>
                <w:sz w:val="8"/>
                <w:szCs w:val="8"/>
                <w:b w:val="1"/>
                <w:bCs w:val="1"/>
                <w:color w:val="auto"/>
              </w:rPr>
              <w:t>Negotiable certificate of deposit - Mibanco</w:t>
            </w: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200"/>
              <w:spacing w:after="0" w:line="81" w:lineRule="exact"/>
              <w:rPr>
                <w:sz w:val="20"/>
                <w:szCs w:val="20"/>
                <w:color w:val="auto"/>
              </w:rPr>
            </w:pPr>
            <w:r>
              <w:rPr>
                <w:rFonts w:ascii="Arial" w:cs="Arial" w:eastAsia="Arial" w:hAnsi="Arial"/>
                <w:sz w:val="8"/>
                <w:szCs w:val="8"/>
                <w:color w:val="auto"/>
                <w:w w:val="93"/>
              </w:rPr>
              <w:t>January 2020 / January</w:t>
            </w: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center"/>
              <w:ind w:right="320"/>
              <w:spacing w:after="0" w:line="81" w:lineRule="exact"/>
              <w:rPr>
                <w:sz w:val="20"/>
                <w:szCs w:val="20"/>
                <w:color w:val="auto"/>
              </w:rPr>
            </w:pPr>
            <w:r>
              <w:rPr>
                <w:rFonts w:ascii="Arial" w:cs="Arial" w:eastAsia="Arial" w:hAnsi="Arial"/>
                <w:sz w:val="8"/>
                <w:szCs w:val="8"/>
                <w:color w:val="auto"/>
                <w:w w:val="94"/>
              </w:rPr>
              <w:t>January 2019 /</w:t>
            </w: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40" w:type="dxa"/>
            <w:vAlign w:val="bottom"/>
            <w:vMerge w:val="continue"/>
            <w:shd w:val="clear" w:color="auto" w:fill="CCEEFF"/>
          </w:tcPr>
          <w:p>
            <w:pPr>
              <w:spacing w:after="0"/>
              <w:rPr>
                <w:sz w:val="8"/>
                <w:szCs w:val="8"/>
                <w:color w:val="auto"/>
              </w:rPr>
            </w:pPr>
          </w:p>
        </w:tc>
        <w:tc>
          <w:tcPr>
            <w:tcW w:w="960" w:type="dxa"/>
            <w:vAlign w:val="bottom"/>
            <w:shd w:val="clear" w:color="auto" w:fill="CCEEFF"/>
          </w:tcPr>
          <w:p>
            <w:pPr>
              <w:jc w:val="center"/>
              <w:ind w:left="38"/>
              <w:spacing w:after="0"/>
              <w:rPr>
                <w:sz w:val="20"/>
                <w:szCs w:val="20"/>
                <w:color w:val="auto"/>
              </w:rPr>
            </w:pPr>
            <w:r>
              <w:rPr>
                <w:rFonts w:ascii="Arial" w:cs="Arial" w:eastAsia="Arial" w:hAnsi="Arial"/>
                <w:sz w:val="8"/>
                <w:szCs w:val="8"/>
                <w:color w:val="auto"/>
                <w:w w:val="95"/>
              </w:rPr>
              <w:t>Between 3.80 to 5.80</w:t>
            </w:r>
          </w:p>
        </w:tc>
        <w:tc>
          <w:tcPr>
            <w:tcW w:w="1240" w:type="dxa"/>
            <w:vAlign w:val="bottom"/>
            <w:gridSpan w:val="3"/>
            <w:shd w:val="clear" w:color="auto" w:fill="CCEEFF"/>
          </w:tcPr>
          <w:p>
            <w:pPr>
              <w:ind w:left="200"/>
              <w:spacing w:after="0"/>
              <w:rPr>
                <w:sz w:val="20"/>
                <w:szCs w:val="20"/>
                <w:color w:val="auto"/>
              </w:rPr>
            </w:pPr>
            <w:r>
              <w:rPr>
                <w:rFonts w:ascii="Arial" w:cs="Arial" w:eastAsia="Arial" w:hAnsi="Arial"/>
                <w:sz w:val="8"/>
                <w:szCs w:val="8"/>
                <w:color w:val="auto"/>
              </w:rPr>
              <w:t>Annual</w:t>
            </w:r>
          </w:p>
        </w:tc>
        <w:tc>
          <w:tcPr>
            <w:tcW w:w="860" w:type="dxa"/>
            <w:vAlign w:val="bottom"/>
            <w:shd w:val="clear" w:color="auto" w:fill="CCEEFF"/>
          </w:tcPr>
          <w:p>
            <w:pPr>
              <w:jc w:val="center"/>
              <w:spacing w:after="0"/>
              <w:rPr>
                <w:sz w:val="20"/>
                <w:szCs w:val="20"/>
                <w:color w:val="auto"/>
              </w:rPr>
            </w:pPr>
            <w:r>
              <w:rPr>
                <w:rFonts w:ascii="Arial" w:cs="Arial" w:eastAsia="Arial" w:hAnsi="Arial"/>
                <w:sz w:val="8"/>
                <w:szCs w:val="8"/>
                <w:color w:val="auto"/>
                <w:w w:val="89"/>
              </w:rPr>
              <w:t>2024</w:t>
            </w:r>
          </w:p>
        </w:tc>
        <w:tc>
          <w:tcPr>
            <w:tcW w:w="2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S/2,998</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997</w:t>
            </w: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8"/>
                <w:szCs w:val="8"/>
                <w:color w:val="auto"/>
                <w:w w:val="94"/>
              </w:rPr>
              <w:t>January 2024</w:t>
            </w:r>
          </w:p>
        </w:tc>
        <w:tc>
          <w:tcPr>
            <w:tcW w:w="1160" w:type="dxa"/>
            <w:vAlign w:val="bottom"/>
            <w:gridSpan w:val="2"/>
            <w:shd w:val="clear" w:color="auto" w:fill="CCEEFF"/>
          </w:tcPr>
          <w:p>
            <w:pPr>
              <w:spacing w:after="0"/>
              <w:rPr>
                <w:sz w:val="20"/>
                <w:szCs w:val="20"/>
                <w:color w:val="auto"/>
              </w:rPr>
            </w:pPr>
            <w:r>
              <w:rPr>
                <w:rFonts w:ascii="Arial" w:cs="Arial" w:eastAsia="Arial" w:hAnsi="Arial"/>
                <w:sz w:val="8"/>
                <w:szCs w:val="8"/>
                <w:color w:val="auto"/>
              </w:rPr>
              <w:t>S/2,998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1,190</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Subordinated negotiable certificates - BCP</w:t>
            </w:r>
          </w:p>
        </w:tc>
        <w:tc>
          <w:tcPr>
            <w:tcW w:w="960" w:type="dxa"/>
            <w:vAlign w:val="bottom"/>
            <w:shd w:val="clear" w:color="auto" w:fill="CCEEFF"/>
          </w:tcPr>
          <w:p>
            <w:pPr>
              <w:jc w:val="center"/>
              <w:ind w:left="38"/>
              <w:spacing w:after="0" w:line="90" w:lineRule="exact"/>
              <w:rPr>
                <w:sz w:val="20"/>
                <w:szCs w:val="20"/>
                <w:color w:val="auto"/>
              </w:rPr>
            </w:pPr>
            <w:r>
              <w:rPr>
                <w:rFonts w:ascii="Arial" w:cs="Arial" w:eastAsia="Arial" w:hAnsi="Arial"/>
                <w:sz w:val="8"/>
                <w:szCs w:val="8"/>
                <w:color w:val="auto"/>
                <w:w w:val="98"/>
              </w:rPr>
              <w:t>Libor 3M + 279 bp</w:t>
            </w:r>
          </w:p>
        </w:tc>
        <w:tc>
          <w:tcPr>
            <w:tcW w:w="1240" w:type="dxa"/>
            <w:vAlign w:val="bottom"/>
            <w:gridSpan w:val="3"/>
            <w:shd w:val="clear" w:color="auto" w:fill="CCEEFF"/>
          </w:tcPr>
          <w:p>
            <w:pPr>
              <w:ind w:left="200"/>
              <w:spacing w:after="0" w:line="90" w:lineRule="exact"/>
              <w:rPr>
                <w:sz w:val="20"/>
                <w:szCs w:val="20"/>
                <w:color w:val="auto"/>
              </w:rPr>
            </w:pPr>
            <w:r>
              <w:rPr>
                <w:rFonts w:ascii="Arial" w:cs="Arial" w:eastAsia="Arial" w:hAnsi="Arial"/>
                <w:sz w:val="8"/>
                <w:szCs w:val="8"/>
                <w:color w:val="auto"/>
              </w:rPr>
              <w:t>Semi-annual</w:t>
            </w:r>
          </w:p>
        </w:tc>
        <w:tc>
          <w:tcPr>
            <w:tcW w:w="1060" w:type="dxa"/>
            <w:vAlign w:val="bottom"/>
            <w:gridSpan w:val="2"/>
            <w:shd w:val="clear" w:color="auto" w:fill="CCEEFF"/>
          </w:tcPr>
          <w:p>
            <w:pPr>
              <w:jc w:val="center"/>
              <w:ind w:right="200"/>
              <w:spacing w:after="0" w:line="90" w:lineRule="exact"/>
              <w:rPr>
                <w:sz w:val="20"/>
                <w:szCs w:val="20"/>
                <w:color w:val="auto"/>
              </w:rPr>
            </w:pPr>
            <w:r>
              <w:rPr>
                <w:rFonts w:ascii="Arial" w:cs="Arial" w:eastAsia="Arial" w:hAnsi="Arial"/>
                <w:sz w:val="8"/>
                <w:szCs w:val="8"/>
                <w:color w:val="auto"/>
                <w:w w:val="94"/>
              </w:rPr>
              <w:t>November 2021</w:t>
            </w:r>
          </w:p>
        </w:tc>
        <w:tc>
          <w:tcPr>
            <w:tcW w:w="10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US$2,960</w:t>
            </w:r>
          </w:p>
        </w:tc>
        <w:tc>
          <w:tcPr>
            <w:tcW w:w="94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9,809</w:t>
            </w:r>
          </w:p>
        </w:tc>
        <w:tc>
          <w:tcPr>
            <w:tcW w:w="20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center"/>
              <w:ind w:right="320"/>
              <w:spacing w:after="0" w:line="90" w:lineRule="exact"/>
              <w:rPr>
                <w:sz w:val="20"/>
                <w:szCs w:val="20"/>
                <w:color w:val="auto"/>
              </w:rPr>
            </w:pPr>
            <w:r>
              <w:rPr>
                <w:rFonts w:ascii="Arial" w:cs="Arial" w:eastAsia="Arial" w:hAnsi="Arial"/>
                <w:sz w:val="8"/>
                <w:szCs w:val="8"/>
                <w:color w:val="auto"/>
                <w:w w:val="94"/>
              </w:rPr>
              <w:t>November 2021</w:t>
            </w:r>
          </w:p>
        </w:tc>
        <w:tc>
          <w:tcPr>
            <w:tcW w:w="116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US$2,960</w:t>
            </w:r>
          </w:p>
        </w:tc>
        <w:tc>
          <w:tcPr>
            <w:tcW w:w="96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9,984</w:t>
            </w:r>
          </w:p>
        </w:tc>
        <w:tc>
          <w:tcPr>
            <w:tcW w:w="0" w:type="dxa"/>
            <w:vAlign w:val="bottom"/>
          </w:tcPr>
          <w:p>
            <w:pPr>
              <w:spacing w:after="0"/>
              <w:rPr>
                <w:sz w:val="1"/>
                <w:szCs w:val="1"/>
                <w:color w:val="auto"/>
              </w:rPr>
            </w:pPr>
          </w:p>
        </w:tc>
      </w:tr>
      <w:tr>
        <w:trPr>
          <w:trHeight w:val="99"/>
        </w:trPr>
        <w:tc>
          <w:tcPr>
            <w:tcW w:w="2040" w:type="dxa"/>
            <w:vAlign w:val="bottom"/>
            <w:tcBorders>
              <w:bottom w:val="single" w:sz="8" w:color="CCEEFF"/>
            </w:tcBorders>
          </w:tcPr>
          <w:p>
            <w:pPr>
              <w:spacing w:after="0"/>
              <w:rPr>
                <w:sz w:val="8"/>
                <w:szCs w:val="8"/>
                <w:color w:val="auto"/>
              </w:rPr>
            </w:pPr>
          </w:p>
        </w:tc>
        <w:tc>
          <w:tcPr>
            <w:tcW w:w="9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jc w:val="right"/>
              <w:spacing w:after="0" w:line="79" w:lineRule="exact"/>
              <w:rPr>
                <w:sz w:val="20"/>
                <w:szCs w:val="20"/>
                <w:color w:val="auto"/>
              </w:rPr>
            </w:pPr>
            <w:r>
              <w:rPr>
                <w:rFonts w:ascii="Arial" w:cs="Arial" w:eastAsia="Arial" w:hAnsi="Arial"/>
                <w:sz w:val="8"/>
                <w:szCs w:val="8"/>
                <w:color w:val="auto"/>
              </w:rPr>
              <w:t>14,766,848</w:t>
            </w: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jc w:val="right"/>
              <w:spacing w:after="0" w:line="79" w:lineRule="exact"/>
              <w:rPr>
                <w:sz w:val="20"/>
                <w:szCs w:val="20"/>
                <w:color w:val="auto"/>
              </w:rPr>
            </w:pPr>
            <w:r>
              <w:rPr>
                <w:rFonts w:ascii="Arial" w:cs="Arial" w:eastAsia="Arial" w:hAnsi="Arial"/>
                <w:sz w:val="8"/>
                <w:szCs w:val="8"/>
                <w:color w:val="auto"/>
              </w:rPr>
              <w:t>15,270,665</w:t>
            </w: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4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Interest payable</w:t>
            </w:r>
          </w:p>
        </w:tc>
        <w:tc>
          <w:tcPr>
            <w:tcW w:w="9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179,515</w:t>
            </w:r>
          </w:p>
        </w:tc>
        <w:tc>
          <w:tcPr>
            <w:tcW w:w="2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186,875</w:t>
            </w: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Total</w:t>
            </w:r>
          </w:p>
        </w:tc>
        <w:tc>
          <w:tcPr>
            <w:tcW w:w="9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8"/>
                <w:szCs w:val="8"/>
                <w:color w:val="auto"/>
              </w:rPr>
              <w:t>14,946,363</w:t>
            </w:r>
          </w:p>
        </w:tc>
        <w:tc>
          <w:tcPr>
            <w:tcW w:w="8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15,457,540</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00"/>
          </w:cols>
          <w:pgMar w:left="640" w:top="660" w:right="459" w:bottom="1440" w:gutter="0" w:footer="0" w:header="0"/>
        </w:sectPr>
      </w:pPr>
    </w:p>
    <w:bookmarkStart w:id="111" w:name="page112"/>
    <w:bookmarkEnd w:id="111"/>
    <w:p>
      <w:pPr>
        <w:ind w:left="8" w:right="80"/>
        <w:spacing w:after="0" w:line="290" w:lineRule="auto"/>
        <w:rPr>
          <w:sz w:val="20"/>
          <w:szCs w:val="20"/>
          <w:color w:val="auto"/>
        </w:rPr>
      </w:pPr>
      <w:r>
        <w:rPr>
          <w:rFonts w:ascii="Arial" w:cs="Arial" w:eastAsia="Arial" w:hAnsi="Arial"/>
          <w:sz w:val="11"/>
          <w:szCs w:val="11"/>
          <w:color w:val="auto"/>
        </w:rPr>
        <w:t>During the first quarter of 2018, in accordance with the risk exposure strategy of the interest rate, the Group discontinued the fair value hedge of certain bonds, issued in U.S. Dollars at a fixed rate, through the liquidation of the IRS. The accumulated profit of the fair value of these bonds at the time of the liquidation of the derivatives amounted to US$22.0 million (equivalent to S/71.7 million), recorded in the liability, which has been transferred to the consolidated statement of income up to the date of maturity of said bonds. As of December 31, 2019, the liability amounts to US$8.7 million, equivalent to S/28.8 million, (US$16.5 million, equivalent to S/55.7 million, as of December 31, 2018). The amount recorded in the consolidated statement of income during the year 2019 amounts to US$7.8 million, equivalent to S/26.0 million (US$5.5 million, equivalent to S/16.1 million, during the year 2018).</w:t>
      </w:r>
    </w:p>
    <w:p>
      <w:pPr>
        <w:spacing w:after="0" w:line="109" w:lineRule="exact"/>
        <w:rPr>
          <w:sz w:val="20"/>
          <w:szCs w:val="20"/>
          <w:color w:val="auto"/>
        </w:rPr>
      </w:pPr>
    </w:p>
    <w:p>
      <w:pPr>
        <w:ind w:left="208" w:hanging="208"/>
        <w:spacing w:after="0" w:line="298" w:lineRule="auto"/>
        <w:tabs>
          <w:tab w:leader="none" w:pos="208" w:val="left"/>
        </w:tabs>
        <w:numPr>
          <w:ilvl w:val="0"/>
          <w:numId w:val="128"/>
        </w:numPr>
        <w:rPr>
          <w:rFonts w:ascii="Arial" w:cs="Arial" w:eastAsia="Arial" w:hAnsi="Arial"/>
          <w:sz w:val="11"/>
          <w:szCs w:val="11"/>
          <w:color w:val="auto"/>
        </w:rPr>
      </w:pPr>
      <w:r>
        <w:rPr>
          <w:rFonts w:ascii="Arial" w:cs="Arial" w:eastAsia="Arial" w:hAnsi="Arial"/>
          <w:sz w:val="11"/>
          <w:szCs w:val="11"/>
          <w:color w:val="auto"/>
        </w:rPr>
        <w:t>In september 2019, the Bank announced a repurchase offer and propose an exchange to the holders of senior notes of the US$ 800.0 million issued in september of 2010, managing to repurchase US$ 220.3 million and exchanging US$ 205.0 million with new senior notes, at market rates , whose terms and conditions are very similar to the previous issue. At the end of said offer, the Bank keeps a notional value payable amounting to US$374.6 million, which can be redeemed by the Bank in whole or in part, in any date, having as a penalty an interest rate equal to the Treasury of the United States of America’s rate plus 40 basis points.</w:t>
      </w:r>
    </w:p>
    <w:p>
      <w:pPr>
        <w:spacing w:after="0" w:line="105" w:lineRule="exact"/>
        <w:rPr>
          <w:rFonts w:ascii="Arial" w:cs="Arial" w:eastAsia="Arial" w:hAnsi="Arial"/>
          <w:sz w:val="11"/>
          <w:szCs w:val="11"/>
          <w:color w:val="auto"/>
        </w:rPr>
      </w:pPr>
    </w:p>
    <w:p>
      <w:pPr>
        <w:ind w:left="208" w:right="60"/>
        <w:spacing w:after="0" w:line="259" w:lineRule="auto"/>
        <w:rPr>
          <w:rFonts w:ascii="Arial" w:cs="Arial" w:eastAsia="Arial" w:hAnsi="Arial"/>
          <w:sz w:val="11"/>
          <w:szCs w:val="11"/>
          <w:color w:val="auto"/>
        </w:rPr>
      </w:pPr>
      <w:r>
        <w:rPr>
          <w:rFonts w:ascii="Arial" w:cs="Arial" w:eastAsia="Arial" w:hAnsi="Arial"/>
          <w:sz w:val="12"/>
          <w:szCs w:val="12"/>
          <w:color w:val="auto"/>
        </w:rPr>
        <w:t>In the same way, in september 2019, the Bank issued senior notes of approximately US$700 million (that amount includes the US$205.0 million of the exchange mentioned in the paragraph before). The Bank can redeem all or part of the notes at any date, between October 11, 2021 and December 10, 2024, at a redemption price equal to or greater than : (i) 100 percent of the aggregate principal amount of the notes to be redeemed; and (ii) the sum of the present value of each remaining scheduled payment discounted at interest rate equal to the Treasury of the United States of America’s rate plus 20 basis points. From December 11, 2024 onwards, the Bank can redeem the total or part of the notes to a redemption price equal to 100 percent of the aggregate principal amount of the notes to be redeemed.</w:t>
      </w:r>
    </w:p>
    <w:p>
      <w:pPr>
        <w:spacing w:after="0" w:line="124" w:lineRule="exact"/>
        <w:rPr>
          <w:rFonts w:ascii="Arial" w:cs="Arial" w:eastAsia="Arial" w:hAnsi="Arial"/>
          <w:sz w:val="11"/>
          <w:szCs w:val="11"/>
          <w:color w:val="auto"/>
        </w:rPr>
      </w:pPr>
    </w:p>
    <w:p>
      <w:pPr>
        <w:ind w:left="208"/>
        <w:spacing w:after="0"/>
        <w:rPr>
          <w:rFonts w:ascii="Arial" w:cs="Arial" w:eastAsia="Arial" w:hAnsi="Arial"/>
          <w:sz w:val="11"/>
          <w:szCs w:val="11"/>
          <w:color w:val="auto"/>
        </w:rPr>
      </w:pPr>
      <w:r>
        <w:rPr>
          <w:rFonts w:ascii="Arial" w:cs="Arial" w:eastAsia="Arial" w:hAnsi="Arial"/>
          <w:sz w:val="12"/>
          <w:szCs w:val="12"/>
          <w:color w:val="auto"/>
        </w:rPr>
        <w:t>The payment of principal will take place on the due date or when the Bank redeems the notes.</w:t>
      </w:r>
    </w:p>
    <w:p>
      <w:pPr>
        <w:spacing w:after="0" w:line="150" w:lineRule="exact"/>
        <w:rPr>
          <w:rFonts w:ascii="Arial" w:cs="Arial" w:eastAsia="Arial" w:hAnsi="Arial"/>
          <w:sz w:val="11"/>
          <w:szCs w:val="11"/>
          <w:color w:val="auto"/>
        </w:rPr>
      </w:pPr>
    </w:p>
    <w:p>
      <w:pPr>
        <w:ind w:left="208" w:right="320"/>
        <w:spacing w:after="0" w:line="276" w:lineRule="auto"/>
        <w:rPr>
          <w:rFonts w:ascii="Arial" w:cs="Arial" w:eastAsia="Arial" w:hAnsi="Arial"/>
          <w:sz w:val="11"/>
          <w:szCs w:val="11"/>
          <w:color w:val="auto"/>
        </w:rPr>
      </w:pPr>
      <w:r>
        <w:rPr>
          <w:rFonts w:ascii="Arial" w:cs="Arial" w:eastAsia="Arial" w:hAnsi="Arial"/>
          <w:sz w:val="12"/>
          <w:szCs w:val="12"/>
          <w:color w:val="auto"/>
        </w:rPr>
        <w:t>At December 31, 2019, the Bank maintains a CCS which was designated as cash flows hedges of a part of senior notes in U.S Dollars subject to exchange rate risk for a notional amount of US$50.0 million, equivalent to S/165.7 million, see note 13(b). By means of the CCS, the cover part of senior notes was economically converted to soles.</w:t>
      </w:r>
    </w:p>
    <w:p>
      <w:pPr>
        <w:spacing w:after="0" w:line="114" w:lineRule="exact"/>
        <w:rPr>
          <w:rFonts w:ascii="Arial" w:cs="Arial" w:eastAsia="Arial" w:hAnsi="Arial"/>
          <w:sz w:val="11"/>
          <w:szCs w:val="11"/>
          <w:color w:val="auto"/>
        </w:rPr>
      </w:pPr>
    </w:p>
    <w:p>
      <w:pPr>
        <w:ind w:left="208" w:right="200" w:hanging="208"/>
        <w:spacing w:after="0" w:line="276" w:lineRule="auto"/>
        <w:tabs>
          <w:tab w:leader="none" w:pos="208"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Bank can redeem the total or part of the notes in any time, having as a penalty an interest rate equal to the Treasury of the United States of America’s rate plus 50 basis point. The payment of principal will take place on the due date of the notes or when the Bank redeems these notes.</w:t>
      </w:r>
    </w:p>
    <w:p>
      <w:pPr>
        <w:spacing w:after="0" w:line="114" w:lineRule="exact"/>
        <w:rPr>
          <w:rFonts w:ascii="Arial" w:cs="Arial" w:eastAsia="Arial" w:hAnsi="Arial"/>
          <w:sz w:val="12"/>
          <w:szCs w:val="12"/>
          <w:color w:val="auto"/>
        </w:rPr>
      </w:pPr>
    </w:p>
    <w:p>
      <w:pPr>
        <w:ind w:left="208" w:right="60" w:hanging="208"/>
        <w:spacing w:after="0" w:line="263" w:lineRule="auto"/>
        <w:tabs>
          <w:tab w:leader="none" w:pos="208" w:val="left"/>
        </w:tabs>
        <w:numPr>
          <w:ilvl w:val="0"/>
          <w:numId w:val="128"/>
        </w:numPr>
        <w:rPr>
          <w:rFonts w:ascii="Arial" w:cs="Arial" w:eastAsia="Arial" w:hAnsi="Arial"/>
          <w:sz w:val="12"/>
          <w:szCs w:val="12"/>
          <w:color w:val="auto"/>
        </w:rPr>
      </w:pPr>
      <w:r>
        <w:rPr>
          <w:rFonts w:ascii="Arial" w:cs="Arial" w:eastAsia="Arial" w:hAnsi="Arial"/>
          <w:sz w:val="12"/>
          <w:szCs w:val="12"/>
          <w:color w:val="auto"/>
        </w:rPr>
        <w:t>In september 2019, the Bank announced a repurchase offer and propose an exchange to the holders of senior notes of the S/2,000 million issued in October of 2017, managing to repurchase S/291.2 million and exchanging S/1,308.8 million with new senior notes, at market rates, whose terms and conditions are very similar to the previous issue. At the end of said offer, the Bank keeps a notional value payable amounting to S/400.0 million, which can be redeemed by the Bank in whole or in part, as of October 15, 2020 without penalties.</w:t>
      </w:r>
    </w:p>
    <w:p>
      <w:pPr>
        <w:spacing w:after="0" w:line="122" w:lineRule="exact"/>
        <w:rPr>
          <w:rFonts w:ascii="Arial" w:cs="Arial" w:eastAsia="Arial" w:hAnsi="Arial"/>
          <w:sz w:val="12"/>
          <w:szCs w:val="12"/>
          <w:color w:val="auto"/>
        </w:rPr>
      </w:pPr>
    </w:p>
    <w:p>
      <w:pPr>
        <w:ind w:left="208"/>
        <w:spacing w:after="0" w:line="259" w:lineRule="auto"/>
        <w:rPr>
          <w:rFonts w:ascii="Arial" w:cs="Arial" w:eastAsia="Arial" w:hAnsi="Arial"/>
          <w:sz w:val="12"/>
          <w:szCs w:val="12"/>
          <w:color w:val="auto"/>
        </w:rPr>
      </w:pPr>
      <w:r>
        <w:rPr>
          <w:rFonts w:ascii="Arial" w:cs="Arial" w:eastAsia="Arial" w:hAnsi="Arial"/>
          <w:sz w:val="12"/>
          <w:szCs w:val="12"/>
          <w:color w:val="auto"/>
        </w:rPr>
        <w:t>At the same date, the Bank issued senior notes for approximately S/2,500.0 million (this amount includes the S/1,308.8 million of the exchange mentioned in the paragraph before). The Bank can redeem the whole or part of the senior notes between October 17, 2021 and August 16, 2024, at a redemption price equal to or greater than: (i) 100 percent of the aggregate principal amount of the notes, and (ii) the sum of the present value of cash flows discounted at interest rate equivalent to sovereign bonds issued by the government of Perú or other comparable titles plus 25 basis points. As of August 17, 2024, the Bank may redeem all or part of the senior notes at a redemption price equal to 100 percent of the aggregate amount of the principal to be redeemed.</w:t>
      </w:r>
    </w:p>
    <w:p>
      <w:pPr>
        <w:spacing w:after="0" w:line="269" w:lineRule="exact"/>
        <w:rPr>
          <w:rFonts w:ascii="Arial" w:cs="Arial" w:eastAsia="Arial" w:hAnsi="Arial"/>
          <w:sz w:val="12"/>
          <w:szCs w:val="12"/>
          <w:color w:val="auto"/>
        </w:rPr>
      </w:pPr>
    </w:p>
    <w:p>
      <w:pPr>
        <w:ind w:left="5648" w:hanging="62"/>
        <w:spacing w:after="0"/>
        <w:tabs>
          <w:tab w:leader="none" w:pos="5648" w:val="left"/>
        </w:tabs>
        <w:numPr>
          <w:ilvl w:val="1"/>
          <w:numId w:val="128"/>
        </w:numPr>
        <w:rPr>
          <w:rFonts w:ascii="Arial" w:cs="Arial" w:eastAsia="Arial" w:hAnsi="Arial"/>
          <w:sz w:val="12"/>
          <w:szCs w:val="12"/>
          <w:color w:val="auto"/>
        </w:rPr>
      </w:pPr>
      <w:r>
        <w:rPr>
          <w:rFonts w:ascii="Arial" w:cs="Arial" w:eastAsia="Arial" w:hAnsi="Arial"/>
          <w:sz w:val="12"/>
          <w:szCs w:val="12"/>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53" w:right="219" w:bottom="1440" w:gutter="0" w:footer="0" w:header="0"/>
        </w:sectPr>
      </w:pPr>
    </w:p>
    <w:bookmarkStart w:id="112" w:name="page113"/>
    <w:bookmarkEnd w:id="112"/>
    <w:p>
      <w:pPr>
        <w:ind w:left="208"/>
        <w:spacing w:after="0"/>
        <w:rPr>
          <w:sz w:val="20"/>
          <w:szCs w:val="20"/>
          <w:color w:val="auto"/>
        </w:rPr>
      </w:pPr>
      <w:r>
        <w:rPr>
          <w:rFonts w:ascii="Arial" w:cs="Arial" w:eastAsia="Arial" w:hAnsi="Arial"/>
          <w:sz w:val="12"/>
          <w:szCs w:val="12"/>
          <w:color w:val="auto"/>
        </w:rPr>
        <w:t>The payment of principal will take place on the due date or when the Bank redeems the notes.</w:t>
      </w:r>
    </w:p>
    <w:p>
      <w:pPr>
        <w:spacing w:after="0" w:line="150" w:lineRule="exact"/>
        <w:rPr>
          <w:sz w:val="20"/>
          <w:szCs w:val="20"/>
          <w:color w:val="auto"/>
        </w:rPr>
      </w:pPr>
    </w:p>
    <w:p>
      <w:pPr>
        <w:ind w:left="248" w:hanging="248"/>
        <w:spacing w:after="0"/>
        <w:tabs>
          <w:tab w:leader="none" w:pos="2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 February of 2019, the Bank issued Senior Notes for approximately US$70.0 million at variable rate.</w:t>
      </w:r>
    </w:p>
    <w:p>
      <w:pPr>
        <w:spacing w:after="0" w:line="150" w:lineRule="exact"/>
        <w:rPr>
          <w:rFonts w:ascii="Arial" w:cs="Arial" w:eastAsia="Arial" w:hAnsi="Arial"/>
          <w:sz w:val="12"/>
          <w:szCs w:val="12"/>
          <w:color w:val="auto"/>
        </w:rPr>
      </w:pPr>
    </w:p>
    <w:p>
      <w:pPr>
        <w:ind w:left="248" w:right="240"/>
        <w:spacing w:after="0" w:line="276" w:lineRule="auto"/>
        <w:rPr>
          <w:rFonts w:ascii="Arial" w:cs="Arial" w:eastAsia="Arial" w:hAnsi="Arial"/>
          <w:sz w:val="12"/>
          <w:szCs w:val="12"/>
          <w:color w:val="auto"/>
        </w:rPr>
      </w:pPr>
      <w:r>
        <w:rPr>
          <w:rFonts w:ascii="Arial" w:cs="Arial" w:eastAsia="Arial" w:hAnsi="Arial"/>
          <w:sz w:val="12"/>
          <w:szCs w:val="12"/>
          <w:color w:val="auto"/>
        </w:rPr>
        <w:t>At December 31, 2019, the cash flows of these Senior Notes maintaned covered by an IRS designated as cash flows hedge, for a notional amount of US$70.0 million, equivalent to S/232.0 million, see note 13(b). By means of the IRS, the note was economically converted to a fixed interest rate.</w:t>
      </w:r>
    </w:p>
    <w:p>
      <w:pPr>
        <w:spacing w:after="0" w:line="114" w:lineRule="exact"/>
        <w:rPr>
          <w:rFonts w:ascii="Arial" w:cs="Arial" w:eastAsia="Arial" w:hAnsi="Arial"/>
          <w:sz w:val="12"/>
          <w:szCs w:val="12"/>
          <w:color w:val="auto"/>
        </w:rPr>
      </w:pPr>
    </w:p>
    <w:p>
      <w:pPr>
        <w:ind w:left="248" w:hanging="248"/>
        <w:spacing w:after="0"/>
        <w:tabs>
          <w:tab w:leader="none" w:pos="2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 july of 2019, the Bank issued Senior Notes for approximately JPY5,000.0 million at fixed interest rate.</w:t>
      </w:r>
    </w:p>
    <w:p>
      <w:pPr>
        <w:spacing w:after="0" w:line="150" w:lineRule="exact"/>
        <w:rPr>
          <w:rFonts w:ascii="Arial" w:cs="Arial" w:eastAsia="Arial" w:hAnsi="Arial"/>
          <w:sz w:val="12"/>
          <w:szCs w:val="12"/>
          <w:color w:val="auto"/>
        </w:rPr>
      </w:pPr>
    </w:p>
    <w:p>
      <w:pPr>
        <w:ind w:left="248" w:right="220"/>
        <w:spacing w:after="0" w:line="276" w:lineRule="auto"/>
        <w:rPr>
          <w:rFonts w:ascii="Arial" w:cs="Arial" w:eastAsia="Arial" w:hAnsi="Arial"/>
          <w:sz w:val="12"/>
          <w:szCs w:val="12"/>
          <w:color w:val="auto"/>
        </w:rPr>
      </w:pPr>
      <w:r>
        <w:rPr>
          <w:rFonts w:ascii="Arial" w:cs="Arial" w:eastAsia="Arial" w:hAnsi="Arial"/>
          <w:sz w:val="12"/>
          <w:szCs w:val="12"/>
          <w:color w:val="auto"/>
        </w:rPr>
        <w:t>At December 31, 2019, the cash flows of the notes issued in yen subject to exchange rate risk have been hedged through a CCS designated as a cash flow hedge, for a notional amount of JPY5,000.0 million, equivalent to S/ 152.5 million, see note 13(b). By means of the CCS, the note was economically converted to soles.</w:t>
      </w:r>
    </w:p>
    <w:p>
      <w:pPr>
        <w:spacing w:after="0" w:line="114" w:lineRule="exact"/>
        <w:rPr>
          <w:rFonts w:ascii="Arial" w:cs="Arial" w:eastAsia="Arial" w:hAnsi="Arial"/>
          <w:sz w:val="12"/>
          <w:szCs w:val="12"/>
          <w:color w:val="auto"/>
        </w:rPr>
      </w:pPr>
    </w:p>
    <w:p>
      <w:pPr>
        <w:ind w:left="248" w:right="20" w:hanging="248"/>
        <w:spacing w:after="0" w:line="276" w:lineRule="auto"/>
        <w:tabs>
          <w:tab w:leader="none" w:pos="2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The Bank can redeem the whole or part of the notes at any time, having a penalty of an interest rate equal to the Treasury of the United States of America plus 20 basis points. The payment of the principal amount has made in October of 2019.</w:t>
      </w:r>
    </w:p>
    <w:p>
      <w:pPr>
        <w:spacing w:after="0" w:line="114" w:lineRule="exact"/>
        <w:rPr>
          <w:rFonts w:ascii="Arial" w:cs="Arial" w:eastAsia="Arial" w:hAnsi="Arial"/>
          <w:sz w:val="12"/>
          <w:szCs w:val="12"/>
          <w:color w:val="auto"/>
        </w:rPr>
      </w:pPr>
    </w:p>
    <w:p>
      <w:pPr>
        <w:ind w:left="248" w:right="100"/>
        <w:spacing w:after="0" w:line="276" w:lineRule="auto"/>
        <w:rPr>
          <w:rFonts w:ascii="Arial" w:cs="Arial" w:eastAsia="Arial" w:hAnsi="Arial"/>
          <w:sz w:val="12"/>
          <w:szCs w:val="12"/>
          <w:color w:val="auto"/>
        </w:rPr>
      </w:pPr>
      <w:r>
        <w:rPr>
          <w:rFonts w:ascii="Arial" w:cs="Arial" w:eastAsia="Arial" w:hAnsi="Arial"/>
          <w:sz w:val="12"/>
          <w:szCs w:val="12"/>
          <w:color w:val="auto"/>
        </w:rPr>
        <w:t>At December 31, 2018, the cash flows of the note issued in U.S. Dollars subject to exchange rate risk were covered by three CCS designated as a cash flow hedges, for a notional amount of US$ 300.0 million equivalent to S/1,011.9 million, see note 13(b). By means of the CCS, the note was economically converted to soles. This CCS matured in October of 2019.</w:t>
      </w:r>
    </w:p>
    <w:p>
      <w:pPr>
        <w:spacing w:after="0" w:line="114" w:lineRule="exact"/>
        <w:rPr>
          <w:rFonts w:ascii="Arial" w:cs="Arial" w:eastAsia="Arial" w:hAnsi="Arial"/>
          <w:sz w:val="12"/>
          <w:szCs w:val="12"/>
          <w:color w:val="auto"/>
        </w:rPr>
      </w:pPr>
    </w:p>
    <w:p>
      <w:pPr>
        <w:ind w:left="248" w:right="80" w:hanging="248"/>
        <w:spacing w:after="0" w:line="276" w:lineRule="auto"/>
        <w:tabs>
          <w:tab w:leader="none" w:pos="2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This issue is guaranteed by the future collection of electronic payment orders sent to BCP (including foreing branches) through the Society Worldwide Interbank Financial Telecommunications, through which the correspondent bank uses the network to places orders of payment to beneficiary that is not a financial institution.</w:t>
      </w:r>
    </w:p>
    <w:p>
      <w:pPr>
        <w:spacing w:after="0" w:line="115" w:lineRule="exact"/>
        <w:rPr>
          <w:sz w:val="20"/>
          <w:szCs w:val="20"/>
          <w:color w:val="auto"/>
        </w:rPr>
      </w:pPr>
    </w:p>
    <w:p>
      <w:pPr>
        <w:ind w:left="248" w:hanging="251"/>
        <w:spacing w:after="0" w:line="263" w:lineRule="auto"/>
        <w:rPr>
          <w:sz w:val="20"/>
          <w:szCs w:val="20"/>
          <w:color w:val="auto"/>
        </w:rPr>
      </w:pPr>
      <w:r>
        <w:rPr>
          <w:rFonts w:ascii="Arial" w:cs="Arial" w:eastAsia="Arial" w:hAnsi="Arial"/>
          <w:sz w:val="12"/>
          <w:szCs w:val="12"/>
          <w:color w:val="auto"/>
        </w:rPr>
        <w:t>(viii)The Bank as of the year of 2022 will pay a three-month Libor plus 70.3 basis points. Between April 24, 2017 and April 24, 2022, the Bank can redeem the whole or part of the bonds having a penalty of an interest rate equal to the Treasury of United States of América’s rate plus 50 basis points. Also, as of April 25, 2022 or at any date after interest payment, the Bank can redeem all or part of the bonds without penalty. Payment of the principal will take place on the due date of the bonds or when the Bank redeems them.</w:t>
      </w:r>
    </w:p>
    <w:p>
      <w:pPr>
        <w:spacing w:after="0" w:line="123" w:lineRule="exact"/>
        <w:rPr>
          <w:sz w:val="20"/>
          <w:szCs w:val="20"/>
          <w:color w:val="auto"/>
        </w:rPr>
      </w:pPr>
    </w:p>
    <w:p>
      <w:pPr>
        <w:ind w:left="248" w:hanging="248"/>
        <w:spacing w:after="0" w:line="263" w:lineRule="auto"/>
        <w:tabs>
          <w:tab w:leader="none" w:pos="248"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Bank as of September 16, 2021, will pay a three-month Libor plus 770.8 basis points. Between the dates of September 16, 2016 and September 15, 2021, the Bank can redeem the whole or part of the bonds, having a penalty of an interest rate equal to the Treasury of United States of America´s rate plus 50 basis point. Also, as of September 16, 2021 or at any time after at the payment of interests, the Bank can redeem the whole or part of the bonds without penalties. The payment of the principal amount will take place on due date or in the redemptions of them.</w:t>
      </w:r>
    </w:p>
    <w:p>
      <w:pPr>
        <w:spacing w:after="0" w:line="122" w:lineRule="exact"/>
        <w:rPr>
          <w:rFonts w:ascii="Arial" w:cs="Arial" w:eastAsia="Arial" w:hAnsi="Arial"/>
          <w:sz w:val="12"/>
          <w:szCs w:val="12"/>
          <w:color w:val="auto"/>
        </w:rPr>
      </w:pPr>
    </w:p>
    <w:p>
      <w:pPr>
        <w:ind w:left="248" w:right="220" w:hanging="248"/>
        <w:spacing w:after="0" w:line="276" w:lineRule="auto"/>
        <w:tabs>
          <w:tab w:leader="none" w:pos="248"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Bank as of November of 2019, and at any date past of the payment of interests, can redeem the whole of the bonds without penalties; in that sense, using its conferred powers, the Bank redeemed all the bonds on November 6, 2019.</w:t>
      </w:r>
    </w:p>
    <w:p>
      <w:pPr>
        <w:spacing w:after="0" w:line="114" w:lineRule="exact"/>
        <w:rPr>
          <w:rFonts w:ascii="Arial" w:cs="Arial" w:eastAsia="Arial" w:hAnsi="Arial"/>
          <w:sz w:val="12"/>
          <w:szCs w:val="12"/>
          <w:color w:val="auto"/>
        </w:rPr>
      </w:pPr>
    </w:p>
    <w:p>
      <w:pPr>
        <w:ind w:left="248"/>
        <w:spacing w:after="0"/>
        <w:rPr>
          <w:rFonts w:ascii="Arial" w:cs="Arial" w:eastAsia="Arial" w:hAnsi="Arial"/>
          <w:sz w:val="12"/>
          <w:szCs w:val="12"/>
          <w:color w:val="auto"/>
        </w:rPr>
      </w:pPr>
      <w:r>
        <w:rPr>
          <w:rFonts w:ascii="Arial" w:cs="Arial" w:eastAsia="Arial" w:hAnsi="Arial"/>
          <w:sz w:val="12"/>
          <w:szCs w:val="12"/>
          <w:color w:val="auto"/>
        </w:rPr>
        <w:t>This issuance, as authorized by the SBS, qualifies as “Tier 1” equity in the determination of the regulatory capital (“patrimonio efectivo”) and has no related guarantees.</w:t>
      </w:r>
    </w:p>
    <w:p>
      <w:pPr>
        <w:spacing w:after="0" w:line="294" w:lineRule="exact"/>
        <w:rPr>
          <w:rFonts w:ascii="Arial" w:cs="Arial" w:eastAsia="Arial" w:hAnsi="Arial"/>
          <w:sz w:val="12"/>
          <w:szCs w:val="12"/>
          <w:color w:val="auto"/>
        </w:rPr>
      </w:pPr>
    </w:p>
    <w:p>
      <w:pPr>
        <w:ind w:left="5648" w:hanging="62"/>
        <w:spacing w:after="0"/>
        <w:tabs>
          <w:tab w:leader="none" w:pos="5648" w:val="left"/>
        </w:tabs>
        <w:numPr>
          <w:ilvl w:val="1"/>
          <w:numId w:val="130"/>
        </w:numPr>
        <w:rPr>
          <w:rFonts w:ascii="Arial" w:cs="Arial" w:eastAsia="Arial" w:hAnsi="Arial"/>
          <w:sz w:val="12"/>
          <w:szCs w:val="12"/>
          <w:color w:val="auto"/>
        </w:rPr>
      </w:pPr>
      <w:r>
        <w:rPr>
          <w:rFonts w:ascii="Arial" w:cs="Arial" w:eastAsia="Arial" w:hAnsi="Arial"/>
          <w:sz w:val="12"/>
          <w:szCs w:val="12"/>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53" w:right="219" w:bottom="1440" w:gutter="0" w:footer="0" w:header="0"/>
        </w:sectPr>
      </w:pPr>
    </w:p>
    <w:bookmarkStart w:id="113" w:name="page114"/>
    <w:bookmarkEnd w:id="113"/>
    <w:tbl>
      <w:tblPr>
        <w:tblLayout w:type="fixed"/>
        <w:tblInd w:w="8" w:type="dxa"/>
        <w:tblCellMar>
          <w:top w:w="0" w:type="dxa"/>
          <w:left w:w="0" w:type="dxa"/>
          <w:bottom w:w="0" w:type="dxa"/>
          <w:right w:w="0" w:type="dxa"/>
        </w:tblCellMar>
      </w:tblPr>
      <w:tr>
        <w:trPr>
          <w:trHeight w:val="153"/>
        </w:trPr>
        <w:tc>
          <w:tcPr>
            <w:tcW w:w="160" w:type="dxa"/>
            <w:vAlign w:val="bottom"/>
          </w:tcPr>
          <w:p>
            <w:pPr>
              <w:spacing w:after="0"/>
              <w:rPr>
                <w:sz w:val="20"/>
                <w:szCs w:val="20"/>
                <w:color w:val="auto"/>
              </w:rPr>
            </w:pPr>
            <w:r>
              <w:rPr>
                <w:rFonts w:ascii="Arial" w:cs="Arial" w:eastAsia="Arial" w:hAnsi="Arial"/>
                <w:sz w:val="12"/>
                <w:szCs w:val="12"/>
                <w:color w:val="auto"/>
              </w:rPr>
              <w:t>b)</w:t>
            </w:r>
          </w:p>
        </w:tc>
        <w:tc>
          <w:tcPr>
            <w:tcW w:w="8400" w:type="dxa"/>
            <w:vAlign w:val="bottom"/>
            <w:gridSpan w:val="2"/>
          </w:tcPr>
          <w:p>
            <w:pPr>
              <w:ind w:left="40"/>
              <w:spacing w:after="0"/>
              <w:rPr>
                <w:sz w:val="20"/>
                <w:szCs w:val="20"/>
                <w:color w:val="auto"/>
              </w:rPr>
            </w:pPr>
            <w:r>
              <w:rPr>
                <w:rFonts w:ascii="Arial" w:cs="Arial" w:eastAsia="Arial" w:hAnsi="Arial"/>
                <w:sz w:val="12"/>
                <w:szCs w:val="12"/>
                <w:color w:val="auto"/>
              </w:rPr>
              <w:t>The table below shows the bonds and notes issued, classified by maturity, without accrued interests:</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r>
      <w:tr>
        <w:trPr>
          <w:trHeight w:val="133"/>
        </w:trPr>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Up to 3 months</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182,365</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63,518</w:t>
            </w:r>
          </w:p>
        </w:tc>
      </w:tr>
      <w:tr>
        <w:trPr>
          <w:trHeight w:val="144"/>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360" w:type="dxa"/>
            <w:vAlign w:val="bottom"/>
          </w:tcPr>
          <w:p>
            <w:pPr>
              <w:spacing w:after="0"/>
              <w:rPr>
                <w:sz w:val="20"/>
                <w:szCs w:val="20"/>
                <w:color w:val="auto"/>
              </w:rPr>
            </w:pPr>
            <w:r>
              <w:rPr>
                <w:rFonts w:ascii="Arial" w:cs="Arial" w:eastAsia="Arial" w:hAnsi="Arial"/>
                <w:sz w:val="12"/>
                <w:szCs w:val="12"/>
                <w:color w:val="auto"/>
              </w:rPr>
              <w:t>From 3 months to 1 year</w:t>
            </w:r>
          </w:p>
        </w:tc>
        <w:tc>
          <w:tcPr>
            <w:tcW w:w="1240" w:type="dxa"/>
            <w:vAlign w:val="bottom"/>
          </w:tcPr>
          <w:p>
            <w:pPr>
              <w:jc w:val="right"/>
              <w:spacing w:after="0"/>
              <w:rPr>
                <w:sz w:val="20"/>
                <w:szCs w:val="20"/>
                <w:color w:val="auto"/>
              </w:rPr>
            </w:pPr>
            <w:r>
              <w:rPr>
                <w:rFonts w:ascii="Arial" w:cs="Arial" w:eastAsia="Arial" w:hAnsi="Arial"/>
                <w:sz w:val="12"/>
                <w:szCs w:val="12"/>
                <w:color w:val="auto"/>
              </w:rPr>
              <w:t>1,739,358</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1,625,563</w:t>
            </w:r>
          </w:p>
        </w:tc>
      </w:tr>
      <w:tr>
        <w:trPr>
          <w:trHeight w:val="144"/>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From 1 to 3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1,438,732</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5,375,585</w:t>
            </w:r>
          </w:p>
        </w:tc>
      </w:tr>
      <w:tr>
        <w:trPr>
          <w:trHeight w:val="144"/>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360" w:type="dxa"/>
            <w:vAlign w:val="bottom"/>
          </w:tcPr>
          <w:p>
            <w:pPr>
              <w:spacing w:after="0"/>
              <w:rPr>
                <w:sz w:val="20"/>
                <w:szCs w:val="20"/>
                <w:color w:val="auto"/>
              </w:rPr>
            </w:pPr>
            <w:r>
              <w:rPr>
                <w:rFonts w:ascii="Arial" w:cs="Arial" w:eastAsia="Arial" w:hAnsi="Arial"/>
                <w:sz w:val="12"/>
                <w:szCs w:val="12"/>
                <w:color w:val="auto"/>
              </w:rPr>
              <w:t>From 3 to 5 years</w:t>
            </w:r>
          </w:p>
        </w:tc>
        <w:tc>
          <w:tcPr>
            <w:tcW w:w="1240" w:type="dxa"/>
            <w:vAlign w:val="bottom"/>
          </w:tcPr>
          <w:p>
            <w:pPr>
              <w:jc w:val="right"/>
              <w:spacing w:after="0"/>
              <w:rPr>
                <w:sz w:val="20"/>
                <w:szCs w:val="20"/>
                <w:color w:val="auto"/>
              </w:rPr>
            </w:pPr>
            <w:r>
              <w:rPr>
                <w:rFonts w:ascii="Arial" w:cs="Arial" w:eastAsia="Arial" w:hAnsi="Arial"/>
                <w:sz w:val="12"/>
                <w:szCs w:val="12"/>
                <w:color w:val="auto"/>
              </w:rPr>
              <w:t>4,863,708</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2,905,763</w:t>
            </w:r>
          </w:p>
        </w:tc>
      </w:tr>
      <w:tr>
        <w:trPr>
          <w:trHeight w:val="153"/>
        </w:trPr>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More than 5 years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6,542,685</w:t>
            </w:r>
          </w:p>
        </w:tc>
        <w:tc>
          <w:tcPr>
            <w:tcW w:w="22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5,300,236</w:t>
            </w:r>
          </w:p>
        </w:tc>
        <w:tc>
          <w:tcPr>
            <w:tcW w:w="100" w:type="dxa"/>
            <w:vAlign w:val="bottom"/>
            <w:shd w:val="clear" w:color="auto" w:fill="CCEEFF"/>
          </w:tcPr>
          <w:p>
            <w:pPr>
              <w:spacing w:after="0"/>
              <w:rPr>
                <w:sz w:val="13"/>
                <w:szCs w:val="13"/>
                <w:color w:val="auto"/>
              </w:rPr>
            </w:pPr>
          </w:p>
        </w:tc>
      </w:tr>
      <w:tr>
        <w:trPr>
          <w:trHeight w:val="160"/>
        </w:trPr>
        <w:tc>
          <w:tcPr>
            <w:tcW w:w="160" w:type="dxa"/>
            <w:vAlign w:val="bottom"/>
          </w:tcPr>
          <w:p>
            <w:pPr>
              <w:spacing w:after="0"/>
              <w:rPr>
                <w:sz w:val="13"/>
                <w:szCs w:val="13"/>
                <w:color w:val="auto"/>
              </w:rPr>
            </w:pPr>
          </w:p>
        </w:tc>
        <w:tc>
          <w:tcPr>
            <w:tcW w:w="8400" w:type="dxa"/>
            <w:vAlign w:val="bottom"/>
            <w:gridSpan w:val="2"/>
          </w:tcPr>
          <w:p>
            <w:pPr>
              <w:ind w:left="40"/>
              <w:spacing w:after="0"/>
              <w:rPr>
                <w:sz w:val="20"/>
                <w:szCs w:val="20"/>
                <w:color w:val="auto"/>
              </w:rPr>
            </w:pPr>
            <w:r>
              <w:rPr>
                <w:rFonts w:ascii="Arial" w:cs="Arial" w:eastAsia="Arial" w:hAnsi="Arial"/>
                <w:sz w:val="12"/>
                <w:szCs w:val="12"/>
                <w:color w:val="auto"/>
              </w:rPr>
              <w:t>Total</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14,766,848</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15,270,665</w:t>
            </w:r>
          </w:p>
        </w:tc>
      </w:tr>
      <w:tr>
        <w:trPr>
          <w:trHeight w:val="304"/>
        </w:trPr>
        <w:tc>
          <w:tcPr>
            <w:tcW w:w="160" w:type="dxa"/>
            <w:vAlign w:val="bottom"/>
          </w:tcPr>
          <w:p>
            <w:pPr>
              <w:spacing w:after="0"/>
              <w:rPr>
                <w:sz w:val="20"/>
                <w:szCs w:val="20"/>
                <w:color w:val="auto"/>
              </w:rPr>
            </w:pPr>
            <w:r>
              <w:rPr>
                <w:rFonts w:ascii="Arial" w:cs="Arial" w:eastAsia="Arial" w:hAnsi="Arial"/>
                <w:sz w:val="12"/>
                <w:szCs w:val="12"/>
                <w:b w:val="1"/>
                <w:bCs w:val="1"/>
                <w:color w:val="auto"/>
              </w:rPr>
              <w:t>18</w:t>
            </w:r>
          </w:p>
        </w:tc>
        <w:tc>
          <w:tcPr>
            <w:tcW w:w="8400" w:type="dxa"/>
            <w:vAlign w:val="bottom"/>
            <w:gridSpan w:val="2"/>
          </w:tcPr>
          <w:p>
            <w:pPr>
              <w:ind w:left="40"/>
              <w:spacing w:after="0"/>
              <w:rPr>
                <w:sz w:val="20"/>
                <w:szCs w:val="20"/>
                <w:color w:val="auto"/>
              </w:rPr>
            </w:pPr>
            <w:r>
              <w:rPr>
                <w:rFonts w:ascii="Arial" w:cs="Arial" w:eastAsia="Arial" w:hAnsi="Arial"/>
                <w:sz w:val="12"/>
                <w:szCs w:val="12"/>
                <w:b w:val="1"/>
                <w:bCs w:val="1"/>
                <w:color w:val="auto"/>
              </w:rPr>
              <w:t>EQUITY</w:t>
            </w: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35" w:lineRule="exact"/>
        <w:rPr>
          <w:sz w:val="20"/>
          <w:szCs w:val="20"/>
          <w:color w:val="auto"/>
        </w:rPr>
      </w:pPr>
    </w:p>
    <w:p>
      <w:pPr>
        <w:ind w:left="208" w:hanging="208"/>
        <w:spacing w:after="0"/>
        <w:tabs>
          <w:tab w:leader="none" w:pos="208" w:val="left"/>
        </w:tabs>
        <w:numPr>
          <w:ilvl w:val="0"/>
          <w:numId w:val="131"/>
        </w:numPr>
        <w:rPr>
          <w:rFonts w:ascii="Arial" w:cs="Arial" w:eastAsia="Arial" w:hAnsi="Arial"/>
          <w:sz w:val="12"/>
          <w:szCs w:val="12"/>
          <w:color w:val="auto"/>
        </w:rPr>
      </w:pPr>
      <w:r>
        <w:rPr>
          <w:rFonts w:ascii="Arial" w:cs="Arial" w:eastAsia="Arial" w:hAnsi="Arial"/>
          <w:sz w:val="12"/>
          <w:szCs w:val="12"/>
          <w:color w:val="auto"/>
        </w:rPr>
        <w:t>Capital stock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At December 31, 2019, 2018 and 2017 a total of 94,382,317 shares have been issued at US$5 per share.</w:t>
      </w:r>
    </w:p>
    <w:p>
      <w:pPr>
        <w:spacing w:after="0" w:line="294"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8"/>
          </w:cols>
          <w:pgMar w:left="212" w:top="653" w:right="339" w:bottom="1440" w:gutter="0" w:footer="0" w:header="0"/>
        </w:sectPr>
      </w:pPr>
    </w:p>
    <w:bookmarkStart w:id="114" w:name="page115"/>
    <w:bookmarkEnd w:id="114"/>
    <w:p>
      <w:pPr>
        <w:ind w:left="208" w:hanging="208"/>
        <w:spacing w:after="0"/>
        <w:tabs>
          <w:tab w:leader="none" w:pos="208"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Treasury stock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We present below the treasury stock owned by the Group entities at December 31, 2019, 2018 and 2017:</w:t>
      </w:r>
    </w:p>
    <w:p>
      <w:pPr>
        <w:spacing w:after="0" w:line="155"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Number of shares</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440"/>
              <w:spacing w:after="0" w:line="121" w:lineRule="exact"/>
              <w:rPr>
                <w:sz w:val="20"/>
                <w:szCs w:val="20"/>
                <w:color w:val="auto"/>
              </w:rPr>
            </w:pPr>
            <w:r>
              <w:rPr>
                <w:rFonts w:ascii="Arial" w:cs="Arial" w:eastAsia="Arial" w:hAnsi="Arial"/>
                <w:sz w:val="12"/>
                <w:szCs w:val="12"/>
                <w:b w:val="1"/>
                <w:bCs w:val="1"/>
                <w:color w:val="auto"/>
                <w:w w:val="88"/>
              </w:rPr>
              <w:t>Shared-based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7040" w:type="dxa"/>
            <w:vAlign w:val="bottom"/>
            <w:gridSpan w:val="3"/>
          </w:tcPr>
          <w:p>
            <w:pPr>
              <w:spacing w:after="0"/>
              <w:rPr>
                <w:sz w:val="20"/>
                <w:szCs w:val="20"/>
                <w:color w:val="auto"/>
              </w:rPr>
            </w:pPr>
            <w:r>
              <w:rPr>
                <w:rFonts w:ascii="Arial" w:cs="Arial" w:eastAsia="Arial" w:hAnsi="Arial"/>
                <w:sz w:val="12"/>
                <w:szCs w:val="12"/>
                <w:b w:val="1"/>
                <w:bCs w:val="1"/>
                <w:color w:val="auto"/>
              </w:rPr>
              <w:t>At December 31, 2019</w:t>
            </w:r>
          </w:p>
        </w:tc>
        <w:tc>
          <w:tcPr>
            <w:tcW w:w="1460" w:type="dxa"/>
            <w:vAlign w:val="bottom"/>
            <w:gridSpan w:val="3"/>
          </w:tcPr>
          <w:p>
            <w:pPr>
              <w:ind w:left="260"/>
              <w:spacing w:after="0"/>
              <w:rPr>
                <w:sz w:val="20"/>
                <w:szCs w:val="20"/>
                <w:color w:val="auto"/>
              </w:rPr>
            </w:pPr>
            <w:r>
              <w:rPr>
                <w:rFonts w:ascii="Arial" w:cs="Arial" w:eastAsia="Arial" w:hAnsi="Arial"/>
                <w:sz w:val="12"/>
                <w:szCs w:val="12"/>
                <w:b w:val="1"/>
                <w:bCs w:val="1"/>
                <w:color w:val="auto"/>
              </w:rPr>
              <w:t>Treasury</w:t>
            </w:r>
          </w:p>
        </w:tc>
        <w:tc>
          <w:tcPr>
            <w:tcW w:w="142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93"/>
              </w:rPr>
              <w:t>payment</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Total</w:t>
            </w:r>
          </w:p>
        </w:tc>
      </w:tr>
      <w:tr>
        <w:trPr>
          <w:trHeight w:val="133"/>
        </w:trPr>
        <w:tc>
          <w:tcPr>
            <w:tcW w:w="68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Atlantic Security Holding Corporation</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7040" w:type="dxa"/>
            <w:vAlign w:val="bottom"/>
            <w:gridSpan w:val="3"/>
          </w:tcPr>
          <w:p>
            <w:pPr>
              <w:spacing w:after="0"/>
              <w:rPr>
                <w:sz w:val="20"/>
                <w:szCs w:val="20"/>
                <w:color w:val="auto"/>
              </w:rPr>
            </w:pPr>
            <w:r>
              <w:rPr>
                <w:rFonts w:ascii="Arial" w:cs="Arial" w:eastAsia="Arial" w:hAnsi="Arial"/>
                <w:sz w:val="12"/>
                <w:szCs w:val="12"/>
                <w:color w:val="auto"/>
              </w:rPr>
              <w:t>BCP</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134,169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134,169</w:t>
            </w:r>
          </w:p>
        </w:tc>
      </w:tr>
      <w:tr>
        <w:trPr>
          <w:trHeight w:val="144"/>
        </w:trPr>
        <w:tc>
          <w:tcPr>
            <w:tcW w:w="70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Pacífico Seguros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29,539</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29,539</w:t>
            </w:r>
          </w:p>
        </w:tc>
      </w:tr>
      <w:tr>
        <w:trPr>
          <w:trHeight w:val="144"/>
        </w:trPr>
        <w:tc>
          <w:tcPr>
            <w:tcW w:w="7040" w:type="dxa"/>
            <w:vAlign w:val="bottom"/>
            <w:gridSpan w:val="3"/>
          </w:tcPr>
          <w:p>
            <w:pPr>
              <w:spacing w:after="0"/>
              <w:rPr>
                <w:sz w:val="20"/>
                <w:szCs w:val="20"/>
                <w:color w:val="auto"/>
              </w:rPr>
            </w:pPr>
            <w:r>
              <w:rPr>
                <w:rFonts w:ascii="Arial" w:cs="Arial" w:eastAsia="Arial" w:hAnsi="Arial"/>
                <w:sz w:val="12"/>
                <w:szCs w:val="12"/>
                <w:color w:val="auto"/>
              </w:rPr>
              <w:t>Credicorp Perú</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21,695</w:t>
            </w:r>
          </w:p>
        </w:tc>
        <w:tc>
          <w:tcPr>
            <w:tcW w:w="10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21,695</w:t>
            </w:r>
          </w:p>
        </w:tc>
      </w:tr>
      <w:tr>
        <w:trPr>
          <w:trHeight w:val="144"/>
        </w:trPr>
        <w:tc>
          <w:tcPr>
            <w:tcW w:w="70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Credicorp Capital Servicios Financieros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13,830</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13,830</w:t>
            </w:r>
          </w:p>
        </w:tc>
      </w:tr>
      <w:tr>
        <w:trPr>
          <w:trHeight w:val="153"/>
        </w:trPr>
        <w:tc>
          <w:tcPr>
            <w:tcW w:w="6920" w:type="dxa"/>
            <w:vAlign w:val="bottom"/>
            <w:gridSpan w:val="2"/>
          </w:tcPr>
          <w:p>
            <w:pPr>
              <w:spacing w:after="0"/>
              <w:rPr>
                <w:sz w:val="20"/>
                <w:szCs w:val="20"/>
                <w:color w:val="auto"/>
              </w:rPr>
            </w:pPr>
            <w:r>
              <w:rPr>
                <w:rFonts w:ascii="Arial" w:cs="Arial" w:eastAsia="Arial" w:hAnsi="Arial"/>
                <w:sz w:val="12"/>
                <w:szCs w:val="12"/>
                <w:color w:val="auto"/>
              </w:rPr>
              <w:t>Other minors</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52,085</w:t>
            </w:r>
          </w:p>
        </w:tc>
        <w:tc>
          <w:tcPr>
            <w:tcW w:w="10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52,085</w:t>
            </w:r>
          </w:p>
        </w:tc>
      </w:tr>
      <w:tr>
        <w:trPr>
          <w:trHeight w:val="167"/>
        </w:trPr>
        <w:tc>
          <w:tcPr>
            <w:tcW w:w="68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14,620,846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251,318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14,872,164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58"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Number of shares</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480"/>
              <w:spacing w:after="0" w:line="121" w:lineRule="exact"/>
              <w:rPr>
                <w:sz w:val="20"/>
                <w:szCs w:val="20"/>
                <w:color w:val="auto"/>
              </w:rPr>
            </w:pPr>
            <w:r>
              <w:rPr>
                <w:rFonts w:ascii="Arial" w:cs="Arial" w:eastAsia="Arial" w:hAnsi="Arial"/>
                <w:sz w:val="12"/>
                <w:szCs w:val="12"/>
                <w:b w:val="1"/>
                <w:bCs w:val="1"/>
                <w:color w:val="auto"/>
              </w:rPr>
              <w:t>Shared-based</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6920" w:type="dxa"/>
            <w:vAlign w:val="bottom"/>
            <w:gridSpan w:val="2"/>
          </w:tcPr>
          <w:p>
            <w:pPr>
              <w:spacing w:after="0"/>
              <w:rPr>
                <w:sz w:val="20"/>
                <w:szCs w:val="20"/>
                <w:color w:val="auto"/>
              </w:rPr>
            </w:pPr>
            <w:r>
              <w:rPr>
                <w:rFonts w:ascii="Arial" w:cs="Arial" w:eastAsia="Arial" w:hAnsi="Arial"/>
                <w:sz w:val="12"/>
                <w:szCs w:val="12"/>
                <w:b w:val="1"/>
                <w:bCs w:val="1"/>
                <w:color w:val="auto"/>
              </w:rPr>
              <w:t>At December 31, 2018</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Treasury</w:t>
            </w:r>
          </w:p>
        </w:tc>
        <w:tc>
          <w:tcPr>
            <w:tcW w:w="14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payment</w:t>
            </w:r>
          </w:p>
        </w:tc>
        <w:tc>
          <w:tcPr>
            <w:tcW w:w="1320" w:type="dxa"/>
            <w:vAlign w:val="bottom"/>
            <w:gridSpan w:val="2"/>
          </w:tcPr>
          <w:p>
            <w:pPr>
              <w:ind w:left="480"/>
              <w:spacing w:after="0"/>
              <w:rPr>
                <w:sz w:val="20"/>
                <w:szCs w:val="20"/>
                <w:color w:val="auto"/>
              </w:rPr>
            </w:pPr>
            <w:r>
              <w:rPr>
                <w:rFonts w:ascii="Arial" w:cs="Arial" w:eastAsia="Arial" w:hAnsi="Arial"/>
                <w:sz w:val="12"/>
                <w:szCs w:val="12"/>
                <w:b w:val="1"/>
                <w:bCs w:val="1"/>
                <w:color w:val="auto"/>
              </w:rPr>
              <w:t>Total</w:t>
            </w:r>
          </w:p>
        </w:tc>
      </w:tr>
      <w:tr>
        <w:trPr>
          <w:trHeight w:val="133"/>
        </w:trPr>
        <w:tc>
          <w:tcPr>
            <w:tcW w:w="68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Atlantic Security Holding Corporation</w:t>
            </w:r>
          </w:p>
        </w:tc>
        <w:tc>
          <w:tcPr>
            <w:tcW w:w="1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6920" w:type="dxa"/>
            <w:vAlign w:val="bottom"/>
            <w:gridSpan w:val="2"/>
          </w:tcPr>
          <w:p>
            <w:pPr>
              <w:spacing w:after="0"/>
              <w:rPr>
                <w:sz w:val="20"/>
                <w:szCs w:val="20"/>
                <w:color w:val="auto"/>
              </w:rPr>
            </w:pPr>
            <w:r>
              <w:rPr>
                <w:rFonts w:ascii="Arial" w:cs="Arial" w:eastAsia="Arial" w:hAnsi="Arial"/>
                <w:sz w:val="12"/>
                <w:szCs w:val="12"/>
                <w:color w:val="auto"/>
              </w:rPr>
              <w:t>BCP</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162,286</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162,286</w:t>
            </w:r>
          </w:p>
        </w:tc>
      </w:tr>
      <w:tr>
        <w:trPr>
          <w:trHeight w:val="144"/>
        </w:trPr>
        <w:tc>
          <w:tcPr>
            <w:tcW w:w="6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Pacífico Seguros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33,794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33,794</w:t>
            </w:r>
          </w:p>
        </w:tc>
      </w:tr>
      <w:tr>
        <w:trPr>
          <w:trHeight w:val="144"/>
        </w:trPr>
        <w:tc>
          <w:tcPr>
            <w:tcW w:w="6920" w:type="dxa"/>
            <w:vAlign w:val="bottom"/>
            <w:gridSpan w:val="2"/>
          </w:tcPr>
          <w:p>
            <w:pPr>
              <w:spacing w:after="0"/>
              <w:rPr>
                <w:sz w:val="20"/>
                <w:szCs w:val="20"/>
                <w:color w:val="auto"/>
              </w:rPr>
            </w:pPr>
            <w:r>
              <w:rPr>
                <w:rFonts w:ascii="Arial" w:cs="Arial" w:eastAsia="Arial" w:hAnsi="Arial"/>
                <w:sz w:val="12"/>
                <w:szCs w:val="12"/>
                <w:color w:val="auto"/>
              </w:rPr>
              <w:t>Credicorp Perú</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13,113</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13,113</w:t>
            </w:r>
          </w:p>
        </w:tc>
      </w:tr>
      <w:tr>
        <w:trPr>
          <w:trHeight w:val="144"/>
        </w:trPr>
        <w:tc>
          <w:tcPr>
            <w:tcW w:w="6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Credicorp Capital Servicios Financieros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8,546</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8,546</w:t>
            </w:r>
          </w:p>
        </w:tc>
      </w:tr>
      <w:tr>
        <w:trPr>
          <w:trHeight w:val="153"/>
        </w:trPr>
        <w:tc>
          <w:tcPr>
            <w:tcW w:w="6920" w:type="dxa"/>
            <w:vAlign w:val="bottom"/>
            <w:gridSpan w:val="2"/>
          </w:tcPr>
          <w:p>
            <w:pPr>
              <w:spacing w:after="0"/>
              <w:rPr>
                <w:sz w:val="20"/>
                <w:szCs w:val="20"/>
                <w:color w:val="auto"/>
              </w:rPr>
            </w:pPr>
            <w:r>
              <w:rPr>
                <w:rFonts w:ascii="Arial" w:cs="Arial" w:eastAsia="Arial" w:hAnsi="Arial"/>
                <w:sz w:val="12"/>
                <w:szCs w:val="12"/>
                <w:color w:val="auto"/>
              </w:rPr>
              <w:t>Other minors</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44,689</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44,689</w:t>
            </w:r>
          </w:p>
        </w:tc>
      </w:tr>
      <w:tr>
        <w:trPr>
          <w:trHeight w:val="167"/>
        </w:trPr>
        <w:tc>
          <w:tcPr>
            <w:tcW w:w="68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14,620,846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262,428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14,883,274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58"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Number of shares</w:t>
            </w: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0"/>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480"/>
              <w:spacing w:after="0" w:line="121" w:lineRule="exact"/>
              <w:rPr>
                <w:sz w:val="20"/>
                <w:szCs w:val="20"/>
                <w:color w:val="auto"/>
              </w:rPr>
            </w:pPr>
            <w:r>
              <w:rPr>
                <w:rFonts w:ascii="Arial" w:cs="Arial" w:eastAsia="Arial" w:hAnsi="Arial"/>
                <w:sz w:val="12"/>
                <w:szCs w:val="12"/>
                <w:b w:val="1"/>
                <w:bCs w:val="1"/>
                <w:color w:val="auto"/>
              </w:rPr>
              <w:t>Shared-based</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7"/>
        </w:trPr>
        <w:tc>
          <w:tcPr>
            <w:tcW w:w="6920" w:type="dxa"/>
            <w:vAlign w:val="bottom"/>
            <w:gridSpan w:val="2"/>
          </w:tcPr>
          <w:p>
            <w:pPr>
              <w:spacing w:after="0"/>
              <w:rPr>
                <w:sz w:val="20"/>
                <w:szCs w:val="20"/>
                <w:color w:val="auto"/>
              </w:rPr>
            </w:pPr>
            <w:r>
              <w:rPr>
                <w:rFonts w:ascii="Arial" w:cs="Arial" w:eastAsia="Arial" w:hAnsi="Arial"/>
                <w:sz w:val="12"/>
                <w:szCs w:val="12"/>
                <w:b w:val="1"/>
                <w:bCs w:val="1"/>
                <w:color w:val="auto"/>
              </w:rPr>
              <w:t>At December 31, 2017</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Treasury</w:t>
            </w:r>
          </w:p>
        </w:tc>
        <w:tc>
          <w:tcPr>
            <w:tcW w:w="14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payment</w:t>
            </w:r>
          </w:p>
        </w:tc>
        <w:tc>
          <w:tcPr>
            <w:tcW w:w="1320" w:type="dxa"/>
            <w:vAlign w:val="bottom"/>
            <w:gridSpan w:val="3"/>
          </w:tcPr>
          <w:p>
            <w:pPr>
              <w:ind w:left="480"/>
              <w:spacing w:after="0"/>
              <w:rPr>
                <w:sz w:val="20"/>
                <w:szCs w:val="20"/>
                <w:color w:val="auto"/>
              </w:rPr>
            </w:pPr>
            <w:r>
              <w:rPr>
                <w:rFonts w:ascii="Arial" w:cs="Arial" w:eastAsia="Arial" w:hAnsi="Arial"/>
                <w:sz w:val="12"/>
                <w:szCs w:val="12"/>
                <w:b w:val="1"/>
                <w:bCs w:val="1"/>
                <w:color w:val="auto"/>
              </w:rPr>
              <w:t>Total</w:t>
            </w:r>
          </w:p>
        </w:tc>
      </w:tr>
      <w:tr>
        <w:trPr>
          <w:trHeight w:val="133"/>
        </w:trPr>
        <w:tc>
          <w:tcPr>
            <w:tcW w:w="68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Atlantic Security Holding Corporation</w:t>
            </w:r>
          </w:p>
        </w:tc>
        <w:tc>
          <w:tcPr>
            <w:tcW w:w="1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14,620,846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6920" w:type="dxa"/>
            <w:vAlign w:val="bottom"/>
            <w:gridSpan w:val="2"/>
          </w:tcPr>
          <w:p>
            <w:pPr>
              <w:spacing w:after="0"/>
              <w:rPr>
                <w:sz w:val="20"/>
                <w:szCs w:val="20"/>
                <w:color w:val="auto"/>
              </w:rPr>
            </w:pPr>
            <w:r>
              <w:rPr>
                <w:rFonts w:ascii="Arial" w:cs="Arial" w:eastAsia="Arial" w:hAnsi="Arial"/>
                <w:sz w:val="12"/>
                <w:szCs w:val="12"/>
                <w:color w:val="auto"/>
              </w:rPr>
              <w:t>BCP</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194,177</w:t>
            </w: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194,177</w:t>
            </w:r>
          </w:p>
        </w:tc>
        <w:tc>
          <w:tcPr>
            <w:tcW w:w="80" w:type="dxa"/>
            <w:vAlign w:val="bottom"/>
          </w:tcPr>
          <w:p>
            <w:pPr>
              <w:spacing w:after="0"/>
              <w:rPr>
                <w:sz w:val="12"/>
                <w:szCs w:val="12"/>
                <w:color w:val="auto"/>
              </w:rPr>
            </w:pPr>
          </w:p>
        </w:tc>
      </w:tr>
      <w:tr>
        <w:trPr>
          <w:trHeight w:val="144"/>
        </w:trPr>
        <w:tc>
          <w:tcPr>
            <w:tcW w:w="6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Pacífico Seguros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36,581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36,581</w:t>
            </w:r>
          </w:p>
        </w:tc>
        <w:tc>
          <w:tcPr>
            <w:tcW w:w="80" w:type="dxa"/>
            <w:vAlign w:val="bottom"/>
            <w:shd w:val="clear" w:color="auto" w:fill="CCEEFF"/>
          </w:tcPr>
          <w:p>
            <w:pPr>
              <w:spacing w:after="0"/>
              <w:rPr>
                <w:sz w:val="12"/>
                <w:szCs w:val="12"/>
                <w:color w:val="auto"/>
              </w:rPr>
            </w:pPr>
          </w:p>
        </w:tc>
      </w:tr>
      <w:tr>
        <w:trPr>
          <w:trHeight w:val="144"/>
        </w:trPr>
        <w:tc>
          <w:tcPr>
            <w:tcW w:w="6920" w:type="dxa"/>
            <w:vAlign w:val="bottom"/>
            <w:gridSpan w:val="2"/>
          </w:tcPr>
          <w:p>
            <w:pPr>
              <w:spacing w:after="0"/>
              <w:rPr>
                <w:sz w:val="20"/>
                <w:szCs w:val="20"/>
                <w:color w:val="auto"/>
              </w:rPr>
            </w:pPr>
            <w:r>
              <w:rPr>
                <w:rFonts w:ascii="Arial" w:cs="Arial" w:eastAsia="Arial" w:hAnsi="Arial"/>
                <w:sz w:val="12"/>
                <w:szCs w:val="12"/>
                <w:color w:val="auto"/>
              </w:rPr>
              <w:t>Credicorp Capital Ltd.</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20,752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20,752</w:t>
            </w:r>
          </w:p>
        </w:tc>
        <w:tc>
          <w:tcPr>
            <w:tcW w:w="80" w:type="dxa"/>
            <w:vAlign w:val="bottom"/>
          </w:tcPr>
          <w:p>
            <w:pPr>
              <w:spacing w:after="0"/>
              <w:rPr>
                <w:sz w:val="12"/>
                <w:szCs w:val="12"/>
                <w:color w:val="auto"/>
              </w:rPr>
            </w:pPr>
          </w:p>
        </w:tc>
      </w:tr>
      <w:tr>
        <w:trPr>
          <w:trHeight w:val="153"/>
        </w:trPr>
        <w:tc>
          <w:tcPr>
            <w:tcW w:w="6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minors</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29,652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29,652</w:t>
            </w:r>
          </w:p>
        </w:tc>
        <w:tc>
          <w:tcPr>
            <w:tcW w:w="80" w:type="dxa"/>
            <w:vAlign w:val="bottom"/>
            <w:shd w:val="clear" w:color="auto" w:fill="CCEEFF"/>
          </w:tcPr>
          <w:p>
            <w:pPr>
              <w:spacing w:after="0"/>
              <w:rPr>
                <w:sz w:val="13"/>
                <w:szCs w:val="13"/>
                <w:color w:val="auto"/>
              </w:rPr>
            </w:pPr>
          </w:p>
        </w:tc>
      </w:tr>
      <w:tr>
        <w:trPr>
          <w:trHeight w:val="167"/>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14,620,846</w:t>
            </w:r>
          </w:p>
        </w:tc>
        <w:tc>
          <w:tcPr>
            <w:tcW w:w="22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281,162</w:t>
            </w:r>
          </w:p>
        </w:tc>
        <w:tc>
          <w:tcPr>
            <w:tcW w:w="22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14,902,008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35" w:lineRule="exact"/>
        <w:rPr>
          <w:sz w:val="20"/>
          <w:szCs w:val="20"/>
          <w:color w:val="auto"/>
        </w:rPr>
      </w:pPr>
    </w:p>
    <w:p>
      <w:pPr>
        <w:ind w:left="208"/>
        <w:spacing w:after="0" w:line="276" w:lineRule="auto"/>
        <w:rPr>
          <w:sz w:val="20"/>
          <w:szCs w:val="20"/>
          <w:color w:val="auto"/>
        </w:rPr>
      </w:pPr>
      <w:r>
        <w:rPr>
          <w:rFonts w:ascii="Arial" w:cs="Arial" w:eastAsia="Arial" w:hAnsi="Arial"/>
          <w:sz w:val="12"/>
          <w:szCs w:val="12"/>
          <w:color w:val="auto"/>
        </w:rPr>
        <w:t>During 2019, 2018 and 2017, the Group purchased 129,807, 133,750 and 132,110 shares of Credicorp Ltd., respectively, for a total of US$31 million (equivalent to S/103.2 million), US$29.3 million (equivalent to S/95.4 million) and US$21.9 million (equivalent to a S/71.0 million), respectively.</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115" w:name="page116"/>
    <w:bookmarkEnd w:id="115"/>
    <w:p>
      <w:pPr>
        <w:ind w:left="208" w:hanging="208"/>
        <w:spacing w:after="0"/>
        <w:tabs>
          <w:tab w:leader="none" w:pos="20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Reserves -</w:t>
      </w:r>
    </w:p>
    <w:p>
      <w:pPr>
        <w:spacing w:after="0" w:line="150" w:lineRule="exact"/>
        <w:rPr>
          <w:rFonts w:ascii="Arial" w:cs="Arial" w:eastAsia="Arial" w:hAnsi="Arial"/>
          <w:sz w:val="12"/>
          <w:szCs w:val="12"/>
          <w:color w:val="auto"/>
        </w:rPr>
      </w:pPr>
    </w:p>
    <w:p>
      <w:pPr>
        <w:ind w:left="208" w:right="120"/>
        <w:spacing w:after="0" w:line="380" w:lineRule="auto"/>
        <w:rPr>
          <w:rFonts w:ascii="Arial" w:cs="Arial" w:eastAsia="Arial" w:hAnsi="Arial"/>
          <w:sz w:val="12"/>
          <w:szCs w:val="12"/>
          <w:color w:val="auto"/>
        </w:rPr>
      </w:pPr>
      <w:r>
        <w:rPr>
          <w:rFonts w:ascii="Arial" w:cs="Arial" w:eastAsia="Arial" w:hAnsi="Arial"/>
          <w:sz w:val="10"/>
          <w:szCs w:val="10"/>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At December 31, 2019, 2018 and 2017, the balance of this reserves amounts approximately to S/6,236.5 million, S/5,179.0 million and S/4,480.3 million, respectively.</w:t>
      </w:r>
    </w:p>
    <w:p>
      <w:pPr>
        <w:spacing w:after="0" w:line="68" w:lineRule="exact"/>
        <w:rPr>
          <w:rFonts w:ascii="Arial" w:cs="Arial" w:eastAsia="Arial" w:hAnsi="Arial"/>
          <w:sz w:val="12"/>
          <w:szCs w:val="12"/>
          <w:color w:val="auto"/>
        </w:rPr>
      </w:pPr>
    </w:p>
    <w:p>
      <w:pPr>
        <w:ind w:left="208" w:right="340"/>
        <w:spacing w:after="0" w:line="276" w:lineRule="auto"/>
        <w:rPr>
          <w:rFonts w:ascii="Arial" w:cs="Arial" w:eastAsia="Arial" w:hAnsi="Arial"/>
          <w:sz w:val="12"/>
          <w:szCs w:val="12"/>
          <w:color w:val="auto"/>
        </w:rPr>
      </w:pPr>
      <w:r>
        <w:rPr>
          <w:rFonts w:ascii="Arial" w:cs="Arial" w:eastAsia="Arial" w:hAnsi="Arial"/>
          <w:sz w:val="12"/>
          <w:szCs w:val="12"/>
          <w:color w:val="auto"/>
        </w:rPr>
        <w:t>At the Board meetings held on February 27, 2019, February 28, 2018 and February 22, 2017, the decision was made to transfer from “Retained earnings” to “Reserves” S/1,858.8 million, S/2,933.6 million and S/2,355.0 million, respectively.</w:t>
      </w:r>
    </w:p>
    <w:p>
      <w:pPr>
        <w:spacing w:after="0" w:line="114" w:lineRule="exact"/>
        <w:rPr>
          <w:rFonts w:ascii="Arial" w:cs="Arial" w:eastAsia="Arial" w:hAnsi="Arial"/>
          <w:sz w:val="12"/>
          <w:szCs w:val="12"/>
          <w:color w:val="auto"/>
        </w:rPr>
      </w:pPr>
    </w:p>
    <w:p>
      <w:pPr>
        <w:ind w:left="208" w:right="620"/>
        <w:spacing w:after="0" w:line="276" w:lineRule="auto"/>
        <w:rPr>
          <w:rFonts w:ascii="Arial" w:cs="Arial" w:eastAsia="Arial" w:hAnsi="Arial"/>
          <w:sz w:val="12"/>
          <w:szCs w:val="12"/>
          <w:color w:val="auto"/>
        </w:rPr>
      </w:pPr>
      <w:r>
        <w:rPr>
          <w:rFonts w:ascii="Arial" w:cs="Arial" w:eastAsia="Arial" w:hAnsi="Arial"/>
          <w:sz w:val="12"/>
          <w:szCs w:val="12"/>
          <w:color w:val="auto"/>
        </w:rPr>
        <w:t>“Other reserves” include unrealized gains (losses) on fair value of investments through other comprehensive income (available-for-sale investments under IAS 39, at December 31, 2017) and on cash flow hedges derivative instruments, net of deferred income tax and non-controlling interest. Movement was as follows:</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92"/>
              </w:rPr>
              <w:t>Other reserves:</w:t>
            </w: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0"/>
        </w:trPr>
        <w:tc>
          <w:tcPr>
            <w:tcW w:w="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4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3"/>
              </w:rPr>
              <w:t>Instruments</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that will not be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reclassifed to</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profit or loss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7"/>
          </w:tcPr>
          <w:p>
            <w:pPr>
              <w:jc w:val="right"/>
              <w:ind w:right="120"/>
              <w:spacing w:after="0"/>
              <w:rPr>
                <w:sz w:val="20"/>
                <w:szCs w:val="20"/>
                <w:color w:val="auto"/>
              </w:rPr>
            </w:pPr>
            <w:r>
              <w:rPr>
                <w:rFonts w:ascii="Arial" w:cs="Arial" w:eastAsia="Arial" w:hAnsi="Arial"/>
                <w:sz w:val="12"/>
                <w:szCs w:val="12"/>
                <w:b w:val="1"/>
                <w:bCs w:val="1"/>
                <w:color w:val="auto"/>
                <w:w w:val="88"/>
              </w:rPr>
              <w:t>Instruments that will be reclassified to consolidated statement of income</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0"/>
        </w:trPr>
        <w:tc>
          <w:tcPr>
            <w:tcW w:w="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0"/>
              </w:rPr>
              <w:t>Reserve for</w:t>
            </w: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6"/>
              </w:rPr>
              <w:t>Foreign</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Debt</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available-for</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Reserve for</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currency</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instruments at</w:t>
            </w: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instruments</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-sale</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cash flow</w:t>
            </w: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Insurance</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translation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fair value</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at fair value</w:t>
            </w: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investments</w:t>
            </w: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hedges</w:t>
            </w: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reserves</w:t>
            </w: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reserve</w:t>
            </w: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000" w:type="dxa"/>
            <w:vAlign w:val="bottom"/>
            <w:tcBorders>
              <w:top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2017</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1,146,788</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24,650</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38,293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1,209,731</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Increase in net unrealized gains on investments</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873,868</w:t>
            </w:r>
          </w:p>
        </w:tc>
        <w:tc>
          <w:tcPr>
            <w:tcW w:w="2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873,868</w:t>
            </w:r>
          </w:p>
        </w:tc>
        <w:tc>
          <w:tcPr>
            <w:tcW w:w="140" w:type="dxa"/>
            <w:vAlign w:val="bottom"/>
          </w:tcPr>
          <w:p>
            <w:pPr>
              <w:spacing w:after="0"/>
              <w:rPr>
                <w:sz w:val="12"/>
                <w:szCs w:val="12"/>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Transfer of net realized gains on investments to</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profit or loss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(517,006)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(517,006)</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Transfer of the recovery of the impairment loss 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investments to profit or loss, Note 24</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766</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766</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Change in net unrealized losses on cash flow hedges</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(59,709)</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(59,709)</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w w:val="97"/>
              </w:rPr>
              <w:t>Transfer of net realized losses on cash flow hedges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derivatives to profit or loss</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2,278</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2,278</w:t>
            </w:r>
          </w:p>
        </w:tc>
        <w:tc>
          <w:tcPr>
            <w:tcW w:w="140" w:type="dxa"/>
            <w:vAlign w:val="bottom"/>
          </w:tcPr>
          <w:p>
            <w:pPr>
              <w:spacing w:after="0"/>
              <w:rPr>
                <w:sz w:val="13"/>
                <w:szCs w:val="13"/>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Foreign exchange translation</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(54,334)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(54,334)</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270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December 31, 2017</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1,504,416</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(32,781)</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(16,041)</w:t>
            </w:r>
          </w:p>
        </w:tc>
        <w:tc>
          <w:tcPr>
            <w:tcW w:w="22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1,455,594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Change in accounting policy, Note 3(a)(vii)</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431,711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853,747</w:t>
            </w:r>
          </w:p>
        </w:tc>
        <w:tc>
          <w:tcPr>
            <w:tcW w:w="8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(1,504,416)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(218,958)</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270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December 31, 2017 - Restated</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431,711</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853,747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(32,781)</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(16,041)</w:t>
            </w:r>
          </w:p>
        </w:tc>
        <w:tc>
          <w:tcPr>
            <w:tcW w:w="220" w:type="dxa"/>
            <w:vAlign w:val="bottom"/>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1,236,636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Increase (decrease) in net unrealized gains on</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20,840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(583,385)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(562,545)</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Transfer of net realized gains on investments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profit or loss</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(38,983)</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(38,983)</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Transfer of the impairment credit loss on investments</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to profit or loss, Note 24</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(1,909)</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w w:val="98"/>
              </w:rPr>
              <w:t>Change in net unrealized gain on cash flow hedges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derivatives</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73,263</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73,263</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Transfer of net realized gain on cash flow hedges</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derivatives to profit or loss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(43,643)</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(43,643)</w:t>
            </w:r>
          </w:p>
        </w:tc>
        <w:tc>
          <w:tcPr>
            <w:tcW w:w="140" w:type="dxa"/>
            <w:vAlign w:val="bottom"/>
          </w:tcPr>
          <w:p>
            <w:pPr>
              <w:spacing w:after="0"/>
              <w:rPr>
                <w:sz w:val="13"/>
                <w:szCs w:val="13"/>
                <w:color w:val="auto"/>
              </w:rPr>
            </w:pPr>
          </w:p>
        </w:tc>
      </w:tr>
      <w:tr>
        <w:trPr>
          <w:trHeight w:val="153"/>
        </w:trPr>
        <w:tc>
          <w:tcPr>
            <w:tcW w:w="2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Foreign exchange translation</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45,634</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45,634</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December 31, 2018</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452,551</w:t>
            </w: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229,470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(3,161)</w:t>
            </w: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29,593</w:t>
            </w: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708,453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Increase in net unrealized gains on investments</w:t>
            </w: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97,514</w:t>
            </w:r>
          </w:p>
        </w:tc>
        <w:tc>
          <w:tcPr>
            <w:tcW w:w="1000" w:type="dxa"/>
            <w:vAlign w:val="bottom"/>
          </w:tcPr>
          <w:p>
            <w:pPr>
              <w:jc w:val="right"/>
              <w:spacing w:after="0"/>
              <w:rPr>
                <w:sz w:val="20"/>
                <w:szCs w:val="20"/>
                <w:color w:val="auto"/>
              </w:rPr>
            </w:pPr>
            <w:r>
              <w:rPr>
                <w:rFonts w:ascii="Arial" w:cs="Arial" w:eastAsia="Arial" w:hAnsi="Arial"/>
                <w:sz w:val="12"/>
                <w:szCs w:val="12"/>
                <w:color w:val="auto"/>
              </w:rPr>
              <w:t>606,276</w:t>
            </w:r>
          </w:p>
        </w:tc>
        <w:tc>
          <w:tcPr>
            <w:tcW w:w="8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703,790</w:t>
            </w:r>
          </w:p>
        </w:tc>
        <w:tc>
          <w:tcPr>
            <w:tcW w:w="140" w:type="dxa"/>
            <w:vAlign w:val="bottom"/>
          </w:tcPr>
          <w:p>
            <w:pPr>
              <w:spacing w:after="0"/>
              <w:rPr>
                <w:sz w:val="12"/>
                <w:szCs w:val="12"/>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Transfer of net realized loss on investments to profit</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or loss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420,987</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420,987</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w w:val="98"/>
              </w:rPr>
              <w:t>Transfer of recovery of credit loss of investments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profit or loss, Note 24</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(745)</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(745)</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8"/>
              </w:rPr>
              <w:t>Change in net unrealized loss on cash flow hedges</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(62,002)</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(62,002)</w:t>
            </w:r>
          </w:p>
        </w:tc>
        <w:tc>
          <w:tcPr>
            <w:tcW w:w="14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w w:val="97"/>
              </w:rPr>
              <w:t>Transfer of net realized losses on cash flow hedges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900" w:type="dxa"/>
            <w:vAlign w:val="bottom"/>
            <w:gridSpan w:val="2"/>
          </w:tcPr>
          <w:p>
            <w:pPr>
              <w:ind w:left="200"/>
              <w:spacing w:after="0"/>
              <w:rPr>
                <w:sz w:val="20"/>
                <w:szCs w:val="20"/>
                <w:color w:val="auto"/>
              </w:rPr>
            </w:pPr>
            <w:r>
              <w:rPr>
                <w:rFonts w:ascii="Arial" w:cs="Arial" w:eastAsia="Arial" w:hAnsi="Arial"/>
                <w:sz w:val="12"/>
                <w:szCs w:val="12"/>
                <w:color w:val="auto"/>
              </w:rPr>
              <w:t>derivatives to profit or loss</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35,059</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35,059</w:t>
            </w:r>
          </w:p>
        </w:tc>
        <w:tc>
          <w:tcPr>
            <w:tcW w:w="140" w:type="dxa"/>
            <w:vAlign w:val="bottom"/>
          </w:tcPr>
          <w:p>
            <w:pPr>
              <w:spacing w:after="0"/>
              <w:rPr>
                <w:sz w:val="13"/>
                <w:szCs w:val="13"/>
                <w:color w:val="auto"/>
              </w:rPr>
            </w:pPr>
          </w:p>
        </w:tc>
      </w:tr>
      <w:tr>
        <w:trPr>
          <w:trHeight w:val="144"/>
        </w:trPr>
        <w:tc>
          <w:tcPr>
            <w:tcW w:w="20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Other reserves</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(658,491)</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(658,491)</w:t>
            </w:r>
          </w:p>
        </w:tc>
        <w:tc>
          <w:tcPr>
            <w:tcW w:w="14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Foreign exchange translation</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(58,862)</w:t>
            </w: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(58,862)</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27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December 31, 2019</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550,065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1,255,988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(30,104)</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(658,491)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(29,269)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1,088,189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448"/>
        </w:trPr>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color w:val="auto"/>
              </w:rPr>
              <w:t>- 111 -</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8"/>
          </w:cols>
          <w:pgMar w:left="212" w:top="653" w:right="19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gridSpan w:val="2"/>
          </w:tcPr>
          <w:p>
            <w:pPr>
              <w:spacing w:after="0"/>
              <w:rPr>
                <w:sz w:val="20"/>
                <w:szCs w:val="20"/>
                <w:color w:val="auto"/>
              </w:rPr>
            </w:pPr>
            <w:r>
              <w:rPr>
                <w:rFonts w:ascii="Arial" w:cs="Arial" w:eastAsia="Arial" w:hAnsi="Arial"/>
                <w:sz w:val="12"/>
                <w:szCs w:val="12"/>
                <w:color w:val="auto"/>
              </w:rPr>
              <w:t>d)  Components of other comprehensive income -</w:t>
            </w:r>
          </w:p>
        </w:tc>
        <w:tc>
          <w:tcPr>
            <w:tcW w:w="2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760" w:type="dxa"/>
            <w:vAlign w:val="bottom"/>
            <w:gridSpan w:val="2"/>
          </w:tcPr>
          <w:p>
            <w:pPr>
              <w:ind w:left="200"/>
              <w:spacing w:after="0"/>
              <w:rPr>
                <w:sz w:val="20"/>
                <w:szCs w:val="20"/>
                <w:color w:val="auto"/>
              </w:rPr>
            </w:pPr>
            <w:r>
              <w:rPr>
                <w:rFonts w:ascii="Arial" w:cs="Arial" w:eastAsia="Arial" w:hAnsi="Arial"/>
                <w:sz w:val="12"/>
                <w:szCs w:val="12"/>
                <w:color w:val="auto"/>
              </w:rPr>
              <w:t>The movement of the item is as follows:</w:t>
            </w:r>
          </w:p>
        </w:tc>
        <w:tc>
          <w:tcPr>
            <w:tcW w:w="2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220" w:type="dxa"/>
            <w:vAlign w:val="bottom"/>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24"/>
                <w:szCs w:val="24"/>
                <w:color w:val="auto"/>
              </w:rPr>
            </w:pPr>
          </w:p>
        </w:tc>
        <w:tc>
          <w:tcPr>
            <w:tcW w:w="1220" w:type="dxa"/>
            <w:vAlign w:val="bottom"/>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 be reclassified to the consolidated statement of income in later periods</w:t>
            </w:r>
          </w:p>
        </w:tc>
        <w:tc>
          <w:tcPr>
            <w:tcW w:w="2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Net unrealized (gain) loss</w:t>
            </w:r>
          </w:p>
        </w:tc>
        <w:tc>
          <w:tcPr>
            <w:tcW w:w="3820" w:type="dxa"/>
            <w:vAlign w:val="bottom"/>
            <w:gridSpan w:val="3"/>
          </w:tcPr>
          <w:p>
            <w:pPr>
              <w:jc w:val="right"/>
              <w:ind w:right="180"/>
              <w:spacing w:after="0"/>
              <w:rPr>
                <w:sz w:val="20"/>
                <w:szCs w:val="20"/>
                <w:color w:val="auto"/>
              </w:rPr>
            </w:pPr>
            <w:r>
              <w:rPr>
                <w:rFonts w:ascii="Arial" w:cs="Arial" w:eastAsia="Arial" w:hAnsi="Arial"/>
                <w:sz w:val="12"/>
                <w:szCs w:val="12"/>
                <w:color w:val="auto"/>
              </w:rPr>
              <w:t>606,276</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(583,385)</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Transfer of net realized loss (gain) to profit or loss</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420,987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(38,983)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Transfer of recovery of credit loss to profit or loss</w:t>
            </w:r>
          </w:p>
        </w:tc>
        <w:tc>
          <w:tcPr>
            <w:tcW w:w="3820" w:type="dxa"/>
            <w:vAlign w:val="bottom"/>
            <w:gridSpan w:val="3"/>
          </w:tcPr>
          <w:p>
            <w:pPr>
              <w:jc w:val="right"/>
              <w:ind w:right="140"/>
              <w:spacing w:after="0"/>
              <w:rPr>
                <w:sz w:val="20"/>
                <w:szCs w:val="20"/>
                <w:color w:val="auto"/>
              </w:rPr>
            </w:pPr>
            <w:r>
              <w:rPr>
                <w:rFonts w:ascii="Arial" w:cs="Arial" w:eastAsia="Arial" w:hAnsi="Arial"/>
                <w:sz w:val="12"/>
                <w:szCs w:val="12"/>
                <w:color w:val="auto"/>
              </w:rPr>
              <w:t>(745)</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(1,909)</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Borders>
              <w:top w:val="single" w:sz="8" w:color="CCEEFF"/>
            </w:tcBorders>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Sub total</w:t>
            </w:r>
          </w:p>
        </w:tc>
        <w:tc>
          <w:tcPr>
            <w:tcW w:w="23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1,026,518</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(624,277)</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Non-controlling interest</w:t>
            </w:r>
          </w:p>
        </w:tc>
        <w:tc>
          <w:tcPr>
            <w:tcW w:w="3820" w:type="dxa"/>
            <w:vAlign w:val="bottom"/>
            <w:gridSpan w:val="3"/>
          </w:tcPr>
          <w:p>
            <w:pPr>
              <w:jc w:val="right"/>
              <w:ind w:right="180"/>
              <w:spacing w:after="0"/>
              <w:rPr>
                <w:sz w:val="20"/>
                <w:szCs w:val="20"/>
                <w:color w:val="auto"/>
              </w:rPr>
            </w:pPr>
            <w:r>
              <w:rPr>
                <w:rFonts w:ascii="Arial" w:cs="Arial" w:eastAsia="Arial" w:hAnsi="Arial"/>
                <w:sz w:val="12"/>
                <w:szCs w:val="12"/>
                <w:color w:val="auto"/>
              </w:rPr>
              <w:t>16,082</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(6,397)</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22,259</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(11,831)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1,064,859</w:t>
            </w:r>
          </w:p>
        </w:tc>
        <w:tc>
          <w:tcPr>
            <w:tcW w:w="22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(642,505)</w:t>
            </w:r>
          </w:p>
        </w:tc>
        <w:tc>
          <w:tcPr>
            <w:tcW w:w="22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vMerge w:val="restart"/>
          </w:tcPr>
          <w:p>
            <w:pPr>
              <w:spacing w:after="0"/>
              <w:rPr>
                <w:sz w:val="11"/>
                <w:szCs w:val="11"/>
                <w:color w:val="auto"/>
              </w:rPr>
            </w:pPr>
          </w:p>
        </w:tc>
        <w:tc>
          <w:tcPr>
            <w:tcW w:w="45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b w:val="1"/>
                <w:bCs w:val="1"/>
                <w:color w:val="auto"/>
              </w:rPr>
              <w:t>Available-for-sale investments:</w:t>
            </w: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unrealized gain</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873,868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Transfer of net realized gain to profit or loss</w:t>
            </w:r>
          </w:p>
        </w:tc>
        <w:tc>
          <w:tcPr>
            <w:tcW w:w="3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2"/>
                <w:szCs w:val="12"/>
                <w:color w:val="auto"/>
              </w:rPr>
              <w:t>(517,006)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Transfer of impairment loss to profit or loss</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Pr>
          <w:p>
            <w:pPr>
              <w:spacing w:after="0" w:line="133" w:lineRule="exact"/>
              <w:rPr>
                <w:sz w:val="20"/>
                <w:szCs w:val="20"/>
                <w:color w:val="auto"/>
              </w:rPr>
            </w:pPr>
            <w:r>
              <w:rPr>
                <w:rFonts w:ascii="Arial" w:cs="Arial" w:eastAsia="Arial" w:hAnsi="Arial"/>
                <w:sz w:val="12"/>
                <w:szCs w:val="12"/>
                <w:b w:val="1"/>
                <w:bCs w:val="1"/>
                <w:color w:val="auto"/>
              </w:rPr>
              <w:t>Sub total</w:t>
            </w:r>
          </w:p>
        </w:tc>
        <w:tc>
          <w:tcPr>
            <w:tcW w:w="236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357,628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Income tax</w:t>
            </w:r>
          </w:p>
        </w:tc>
        <w:tc>
          <w:tcPr>
            <w:tcW w:w="3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13,962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375,710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vMerge w:val="restart"/>
          </w:tcPr>
          <w:p>
            <w:pPr>
              <w:spacing w:after="0"/>
              <w:rPr>
                <w:sz w:val="11"/>
                <w:szCs w:val="11"/>
                <w:color w:val="auto"/>
              </w:rPr>
            </w:pPr>
          </w:p>
        </w:tc>
        <w:tc>
          <w:tcPr>
            <w:tcW w:w="4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hedge:</w:t>
            </w:r>
          </w:p>
        </w:tc>
        <w:tc>
          <w:tcPr>
            <w:tcW w:w="2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Net (losses) gains on cash flow hedges</w:t>
            </w:r>
          </w:p>
        </w:tc>
        <w:tc>
          <w:tcPr>
            <w:tcW w:w="3820" w:type="dxa"/>
            <w:vAlign w:val="bottom"/>
            <w:gridSpan w:val="3"/>
          </w:tcPr>
          <w:p>
            <w:pPr>
              <w:jc w:val="right"/>
              <w:ind w:right="140"/>
              <w:spacing w:after="0"/>
              <w:rPr>
                <w:sz w:val="20"/>
                <w:szCs w:val="20"/>
                <w:color w:val="auto"/>
              </w:rPr>
            </w:pPr>
            <w:r>
              <w:rPr>
                <w:rFonts w:ascii="Arial" w:cs="Arial" w:eastAsia="Arial" w:hAnsi="Arial"/>
                <w:sz w:val="12"/>
                <w:szCs w:val="12"/>
                <w:color w:val="auto"/>
              </w:rPr>
              <w:t>(62,002)</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73,263</w:t>
            </w:r>
          </w:p>
        </w:tc>
        <w:tc>
          <w:tcPr>
            <w:tcW w:w="1320" w:type="dxa"/>
            <w:vAlign w:val="bottom"/>
            <w:gridSpan w:val="2"/>
          </w:tcPr>
          <w:p>
            <w:pPr>
              <w:jc w:val="right"/>
              <w:ind w:right="20"/>
              <w:spacing w:after="0"/>
              <w:rPr>
                <w:sz w:val="20"/>
                <w:szCs w:val="20"/>
                <w:color w:val="auto"/>
              </w:rPr>
            </w:pPr>
            <w:r>
              <w:rPr>
                <w:rFonts w:ascii="Arial" w:cs="Arial" w:eastAsia="Arial" w:hAnsi="Arial"/>
                <w:sz w:val="12"/>
                <w:szCs w:val="12"/>
                <w:color w:val="auto"/>
              </w:rPr>
              <w:t>(59,709)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45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Transfer of net realized losses (gains) on cash flow</w:t>
            </w:r>
          </w:p>
        </w:tc>
        <w:tc>
          <w:tcPr>
            <w:tcW w:w="2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hedges derivatives to profit or loss</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35,059</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(43,643)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2,278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560" w:type="dxa"/>
            <w:vAlign w:val="bottom"/>
          </w:tcPr>
          <w:p>
            <w:pPr>
              <w:spacing w:after="0" w:line="133" w:lineRule="exact"/>
              <w:rPr>
                <w:sz w:val="20"/>
                <w:szCs w:val="20"/>
                <w:color w:val="auto"/>
              </w:rPr>
            </w:pPr>
            <w:r>
              <w:rPr>
                <w:rFonts w:ascii="Arial" w:cs="Arial" w:eastAsia="Arial" w:hAnsi="Arial"/>
                <w:sz w:val="12"/>
                <w:szCs w:val="12"/>
                <w:b w:val="1"/>
                <w:bCs w:val="1"/>
                <w:color w:val="auto"/>
              </w:rPr>
              <w:t>Sub total</w:t>
            </w:r>
          </w:p>
        </w:tc>
        <w:tc>
          <w:tcPr>
            <w:tcW w:w="2360" w:type="dxa"/>
            <w:vAlign w:val="bottom"/>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(26,943)</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29,620</w:t>
            </w:r>
          </w:p>
        </w:tc>
        <w:tc>
          <w:tcPr>
            <w:tcW w:w="220" w:type="dxa"/>
            <w:vAlign w:val="bottom"/>
          </w:tcPr>
          <w:p>
            <w:pPr>
              <w:spacing w:after="0"/>
              <w:rPr>
                <w:sz w:val="11"/>
                <w:szCs w:val="11"/>
                <w:color w:val="auto"/>
              </w:rPr>
            </w:pPr>
          </w:p>
        </w:tc>
        <w:tc>
          <w:tcPr>
            <w:tcW w:w="12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(57,431)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38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(618)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679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Income tax</w:t>
            </w:r>
          </w:p>
        </w:tc>
        <w:tc>
          <w:tcPr>
            <w:tcW w:w="23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(10,290)</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10,942</w:t>
            </w:r>
          </w:p>
        </w:tc>
        <w:tc>
          <w:tcPr>
            <w:tcW w:w="1320" w:type="dxa"/>
            <w:vAlign w:val="bottom"/>
            <w:gridSpan w:val="2"/>
          </w:tcPr>
          <w:p>
            <w:pPr>
              <w:jc w:val="right"/>
              <w:ind w:right="20"/>
              <w:spacing w:after="0"/>
              <w:rPr>
                <w:sz w:val="20"/>
                <w:szCs w:val="20"/>
                <w:color w:val="auto"/>
              </w:rPr>
            </w:pPr>
            <w:r>
              <w:rPr>
                <w:rFonts w:ascii="Arial" w:cs="Arial" w:eastAsia="Arial" w:hAnsi="Arial"/>
                <w:sz w:val="12"/>
                <w:szCs w:val="12"/>
                <w:color w:val="auto"/>
              </w:rPr>
              <w:t>(18,719)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3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2360" w:type="dxa"/>
            <w:vAlign w:val="bottom"/>
            <w:vMerge w:val="continue"/>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(37,851</w:t>
            </w:r>
          </w:p>
        </w:tc>
        <w:tc>
          <w:tcPr>
            <w:tcW w:w="220" w:type="dxa"/>
            <w:vAlign w:val="bottom"/>
            <w:vMerge w:val="continue"/>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41,241</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(77,369</w:t>
            </w:r>
          </w:p>
        </w:tc>
        <w:tc>
          <w:tcPr>
            <w:tcW w:w="100" w:type="dxa"/>
            <w:vAlign w:val="bottom"/>
            <w:vMerge w:val="continue"/>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4560" w:type="dxa"/>
            <w:vAlign w:val="bottom"/>
            <w:tcBorders>
              <w:top w:val="single" w:sz="8" w:color="CCEEFF"/>
            </w:tcBorders>
          </w:tcPr>
          <w:p>
            <w:pPr>
              <w:spacing w:after="0"/>
              <w:rPr>
                <w:sz w:val="12"/>
                <w:szCs w:val="12"/>
                <w:color w:val="auto"/>
              </w:rPr>
            </w:pPr>
          </w:p>
        </w:tc>
        <w:tc>
          <w:tcPr>
            <w:tcW w:w="236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reserves:</w:t>
            </w:r>
          </w:p>
        </w:tc>
        <w:tc>
          <w:tcPr>
            <w:tcW w:w="2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tcPr>
          <w:p>
            <w:pPr>
              <w:ind w:left="120"/>
              <w:spacing w:after="0"/>
              <w:rPr>
                <w:sz w:val="20"/>
                <w:szCs w:val="20"/>
                <w:color w:val="auto"/>
              </w:rPr>
            </w:pPr>
            <w:r>
              <w:rPr>
                <w:rFonts w:ascii="Arial" w:cs="Arial" w:eastAsia="Arial" w:hAnsi="Arial"/>
                <w:sz w:val="12"/>
                <w:szCs w:val="12"/>
                <w:color w:val="auto"/>
              </w:rPr>
              <w:t>Insurances reserves</w:t>
            </w:r>
          </w:p>
        </w:tc>
        <w:tc>
          <w:tcPr>
            <w:tcW w:w="3820" w:type="dxa"/>
            <w:vAlign w:val="bottom"/>
            <w:gridSpan w:val="3"/>
          </w:tcPr>
          <w:p>
            <w:pPr>
              <w:jc w:val="right"/>
              <w:ind w:right="140"/>
              <w:spacing w:after="0"/>
              <w:rPr>
                <w:sz w:val="20"/>
                <w:szCs w:val="20"/>
                <w:color w:val="auto"/>
              </w:rPr>
            </w:pPr>
            <w:r>
              <w:rPr>
                <w:rFonts w:ascii="Arial" w:cs="Arial" w:eastAsia="Arial" w:hAnsi="Arial"/>
                <w:sz w:val="12"/>
                <w:szCs w:val="12"/>
                <w:color w:val="auto"/>
              </w:rPr>
              <w:t>(658,491)</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23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(8,065)</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(666,556</w:t>
            </w:r>
          </w:p>
        </w:tc>
        <w:tc>
          <w:tcPr>
            <w:tcW w:w="220" w:type="dxa"/>
            <w:vAlign w:val="bottom"/>
            <w:tcBorders>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b w:val="1"/>
                <w:bCs w:val="1"/>
                <w:color w:val="auto"/>
              </w:rPr>
              <w:t>Foreign exchange traslation:</w:t>
            </w: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Exchange gains or losses</w:t>
            </w:r>
          </w:p>
        </w:tc>
        <w:tc>
          <w:tcPr>
            <w:tcW w:w="38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(58,862)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45,634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(54,334)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Non-controlling interest</w:t>
            </w:r>
          </w:p>
        </w:tc>
        <w:tc>
          <w:tcPr>
            <w:tcW w:w="236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w:t>
            </w:r>
          </w:p>
        </w:tc>
        <w:tc>
          <w:tcPr>
            <w:tcW w:w="2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2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Borders>
              <w:bottom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(58,323</w:t>
            </w:r>
          </w:p>
        </w:tc>
        <w:tc>
          <w:tcPr>
            <w:tcW w:w="220" w:type="dxa"/>
            <w:vAlign w:val="bottom"/>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45,655</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(54,227</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7"/>
        </w:trPr>
        <w:tc>
          <w:tcPr>
            <w:tcW w:w="200" w:type="dxa"/>
            <w:vAlign w:val="bottom"/>
            <w:tcBorders>
              <w:bottom w:val="single" w:sz="8" w:color="auto"/>
            </w:tcBorders>
          </w:tcPr>
          <w:p>
            <w:pPr>
              <w:spacing w:after="0"/>
              <w:rPr>
                <w:sz w:val="24"/>
                <w:szCs w:val="24"/>
                <w:color w:val="auto"/>
              </w:rPr>
            </w:pPr>
          </w:p>
        </w:tc>
        <w:tc>
          <w:tcPr>
            <w:tcW w:w="456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jc w:val="right"/>
              <w:ind w:right="1160"/>
              <w:spacing w:after="0"/>
              <w:rPr>
                <w:sz w:val="20"/>
                <w:szCs w:val="20"/>
                <w:color w:val="auto"/>
              </w:rPr>
            </w:pPr>
            <w:r>
              <w:rPr>
                <w:rFonts w:ascii="Arial" w:cs="Arial" w:eastAsia="Arial" w:hAnsi="Arial"/>
                <w:sz w:val="12"/>
                <w:szCs w:val="12"/>
                <w:color w:val="auto"/>
              </w:rPr>
              <w:t>- 112 -</w:t>
            </w: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71" w:right="199" w:bottom="1440" w:gutter="0" w:footer="0" w:header="0"/>
        </w:sectPr>
      </w:pPr>
    </w:p>
    <w:bookmarkStart w:id="117" w:name="page118"/>
    <w:bookmarkEnd w:id="117"/>
    <w:p>
      <w:pPr>
        <w:spacing w:after="0" w:line="1"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Not to be reclassified to the consolidated statement of income in later periods: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b w:val="1"/>
                <w:bCs w:val="1"/>
                <w:color w:val="auto"/>
              </w:rPr>
              <w:t>Equity instruments at fair value through other comprehensive income -</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unrealized gains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97,514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20,840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tcPr>
          <w:p>
            <w:pPr>
              <w:ind w:left="100"/>
              <w:spacing w:after="0"/>
              <w:rPr>
                <w:sz w:val="20"/>
                <w:szCs w:val="20"/>
                <w:color w:val="auto"/>
              </w:rPr>
            </w:pPr>
            <w:r>
              <w:rPr>
                <w:rFonts w:ascii="Arial" w:cs="Arial" w:eastAsia="Arial" w:hAnsi="Arial"/>
                <w:sz w:val="12"/>
                <w:szCs w:val="12"/>
                <w:color w:val="auto"/>
              </w:rPr>
              <w:t>Non-controlling interest</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(37)</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(5,999)</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91,512</w:t>
            </w:r>
          </w:p>
        </w:tc>
        <w:tc>
          <w:tcPr>
            <w:tcW w:w="22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20,971</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9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b w:val="1"/>
                <w:bCs w:val="1"/>
                <w:color w:val="auto"/>
              </w:rPr>
              <w:t>Attributable to:</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Credicorp's equity holders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379,736</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(528,183)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245,863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00" w:type="dxa"/>
            <w:vAlign w:val="bottom"/>
          </w:tcPr>
          <w:p>
            <w:pPr>
              <w:ind w:left="100"/>
              <w:spacing w:after="0"/>
              <w:rPr>
                <w:sz w:val="20"/>
                <w:szCs w:val="20"/>
                <w:color w:val="auto"/>
              </w:rPr>
            </w:pPr>
            <w:r>
              <w:rPr>
                <w:rFonts w:ascii="Arial" w:cs="Arial" w:eastAsia="Arial" w:hAnsi="Arial"/>
                <w:sz w:val="12"/>
                <w:szCs w:val="12"/>
                <w:color w:val="auto"/>
              </w:rPr>
              <w:t>Non-controlling interest</w:t>
            </w:r>
          </w:p>
        </w:tc>
        <w:tc>
          <w:tcPr>
            <w:tcW w:w="1240" w:type="dxa"/>
            <w:vAlign w:val="bottom"/>
          </w:tcPr>
          <w:p>
            <w:pPr>
              <w:jc w:val="right"/>
              <w:spacing w:after="0"/>
              <w:rPr>
                <w:sz w:val="20"/>
                <w:szCs w:val="20"/>
                <w:color w:val="auto"/>
              </w:rPr>
            </w:pPr>
            <w:r>
              <w:rPr>
                <w:rFonts w:ascii="Arial" w:cs="Arial" w:eastAsia="Arial" w:hAnsi="Arial"/>
                <w:sz w:val="12"/>
                <w:szCs w:val="12"/>
                <w:color w:val="auto"/>
              </w:rPr>
              <w:t>7,935</w:t>
            </w:r>
          </w:p>
        </w:tc>
        <w:tc>
          <w:tcPr>
            <w:tcW w:w="2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(5,734)</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3,008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387,671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(533,917</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248,871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Dividend distribution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The chart below shows the distribution of dividends agreed by the Board of Directors:</w:t>
      </w:r>
    </w:p>
    <w:p>
      <w:pPr>
        <w:spacing w:after="0" w:line="155"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69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3"/>
                <w:szCs w:val="13"/>
                <w:color w:val="auto"/>
              </w:rPr>
            </w:pPr>
          </w:p>
        </w:tc>
      </w:tr>
      <w:tr>
        <w:trPr>
          <w:trHeight w:val="133"/>
        </w:trPr>
        <w:tc>
          <w:tcPr>
            <w:tcW w:w="69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Date of Meeting - Board of Directors</w:t>
            </w:r>
          </w:p>
        </w:tc>
        <w:tc>
          <w:tcPr>
            <w:tcW w:w="1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27.02.2019</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28.02.2018</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22.02.2017</w:t>
            </w:r>
          </w:p>
        </w:tc>
        <w:tc>
          <w:tcPr>
            <w:tcW w:w="100" w:type="dxa"/>
            <w:vAlign w:val="bottom"/>
            <w:shd w:val="clear" w:color="auto" w:fill="CCEEFF"/>
          </w:tcPr>
          <w:p>
            <w:pPr>
              <w:spacing w:after="0"/>
              <w:rPr>
                <w:sz w:val="11"/>
                <w:szCs w:val="11"/>
                <w:color w:val="auto"/>
              </w:rPr>
            </w:pPr>
          </w:p>
        </w:tc>
      </w:tr>
      <w:tr>
        <w:trPr>
          <w:trHeight w:val="144"/>
        </w:trPr>
        <w:tc>
          <w:tcPr>
            <w:tcW w:w="6920" w:type="dxa"/>
            <w:vAlign w:val="bottom"/>
          </w:tcPr>
          <w:p>
            <w:pPr>
              <w:spacing w:after="0"/>
              <w:rPr>
                <w:sz w:val="20"/>
                <w:szCs w:val="20"/>
                <w:color w:val="auto"/>
              </w:rPr>
            </w:pPr>
            <w:r>
              <w:rPr>
                <w:rFonts w:ascii="Arial" w:cs="Arial" w:eastAsia="Arial" w:hAnsi="Arial"/>
                <w:sz w:val="12"/>
                <w:szCs w:val="12"/>
                <w:color w:val="auto"/>
              </w:rPr>
              <w:t>Dividends distribution, net of treasury shares effect</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1,595,229</w:t>
            </w:r>
          </w:p>
        </w:tc>
        <w:tc>
          <w:tcPr>
            <w:tcW w:w="1220" w:type="dxa"/>
            <w:vAlign w:val="bottom"/>
          </w:tcPr>
          <w:p>
            <w:pPr>
              <w:jc w:val="right"/>
              <w:spacing w:after="0"/>
              <w:rPr>
                <w:sz w:val="20"/>
                <w:szCs w:val="20"/>
                <w:color w:val="auto"/>
              </w:rPr>
            </w:pPr>
            <w:r>
              <w:rPr>
                <w:rFonts w:ascii="Arial" w:cs="Arial" w:eastAsia="Arial" w:hAnsi="Arial"/>
                <w:sz w:val="12"/>
                <w:szCs w:val="12"/>
                <w:color w:val="auto"/>
              </w:rPr>
              <w:t>1,130,427</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979,989</w:t>
            </w:r>
          </w:p>
        </w:tc>
      </w:tr>
      <w:tr>
        <w:trPr>
          <w:trHeight w:val="144"/>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Payment of dividends per share (in soles)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14.1726</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12.2865</w:t>
            </w:r>
          </w:p>
        </w:tc>
      </w:tr>
      <w:tr>
        <w:trPr>
          <w:trHeight w:val="144"/>
        </w:trPr>
        <w:tc>
          <w:tcPr>
            <w:tcW w:w="6920" w:type="dxa"/>
            <w:vAlign w:val="bottom"/>
          </w:tcPr>
          <w:p>
            <w:pPr>
              <w:spacing w:after="0"/>
              <w:rPr>
                <w:sz w:val="20"/>
                <w:szCs w:val="20"/>
                <w:color w:val="auto"/>
              </w:rPr>
            </w:pPr>
            <w:r>
              <w:rPr>
                <w:rFonts w:ascii="Arial" w:cs="Arial" w:eastAsia="Arial" w:hAnsi="Arial"/>
                <w:sz w:val="12"/>
                <w:szCs w:val="12"/>
                <w:color w:val="auto"/>
              </w:rPr>
              <w:t>Date of dividends payout</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10.05.2019</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11.05.2018</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12.05.2017</w:t>
            </w:r>
          </w:p>
        </w:tc>
      </w:tr>
      <w:tr>
        <w:trPr>
          <w:trHeight w:val="144"/>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Exchange rate published by the SBS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3.314</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3.291</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3.287</w:t>
            </w:r>
          </w:p>
        </w:tc>
      </w:tr>
      <w:tr>
        <w:trPr>
          <w:trHeight w:val="153"/>
        </w:trPr>
        <w:tc>
          <w:tcPr>
            <w:tcW w:w="6920" w:type="dxa"/>
            <w:vAlign w:val="bottom"/>
          </w:tcPr>
          <w:p>
            <w:pPr>
              <w:spacing w:after="0"/>
              <w:rPr>
                <w:sz w:val="20"/>
                <w:szCs w:val="20"/>
                <w:color w:val="auto"/>
              </w:rPr>
            </w:pPr>
            <w:r>
              <w:rPr>
                <w:rFonts w:ascii="Arial" w:cs="Arial" w:eastAsia="Arial" w:hAnsi="Arial"/>
                <w:sz w:val="12"/>
                <w:szCs w:val="12"/>
                <w:color w:val="auto"/>
              </w:rPr>
              <w:t>Dividends payout (equivalent in thousands of US$)</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481,361</w:t>
            </w:r>
          </w:p>
        </w:tc>
        <w:tc>
          <w:tcPr>
            <w:tcW w:w="1220" w:type="dxa"/>
            <w:vAlign w:val="bottom"/>
          </w:tcPr>
          <w:p>
            <w:pPr>
              <w:jc w:val="right"/>
              <w:spacing w:after="0"/>
              <w:rPr>
                <w:sz w:val="20"/>
                <w:szCs w:val="20"/>
                <w:color w:val="auto"/>
              </w:rPr>
            </w:pPr>
            <w:r>
              <w:rPr>
                <w:rFonts w:ascii="Arial" w:cs="Arial" w:eastAsia="Arial" w:hAnsi="Arial"/>
                <w:sz w:val="12"/>
                <w:szCs w:val="12"/>
                <w:color w:val="auto"/>
              </w:rPr>
              <w:t>343,490</w:t>
            </w: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298,141</w:t>
            </w:r>
          </w:p>
        </w:tc>
      </w:tr>
    </w:tbl>
    <w:p>
      <w:pPr>
        <w:spacing w:after="0" w:line="126" w:lineRule="exact"/>
        <w:rPr>
          <w:sz w:val="20"/>
          <w:szCs w:val="20"/>
          <w:color w:val="auto"/>
        </w:rPr>
      </w:pPr>
    </w:p>
    <w:p>
      <w:pPr>
        <w:ind w:left="208" w:right="140"/>
        <w:spacing w:after="0" w:line="276" w:lineRule="auto"/>
        <w:rPr>
          <w:sz w:val="20"/>
          <w:szCs w:val="20"/>
          <w:color w:val="auto"/>
        </w:rPr>
      </w:pPr>
      <w:r>
        <w:rPr>
          <w:rFonts w:ascii="Arial" w:cs="Arial" w:eastAsia="Arial" w:hAnsi="Arial"/>
          <w:sz w:val="12"/>
          <w:szCs w:val="12"/>
          <w:color w:val="auto"/>
        </w:rPr>
        <w:t>In the Board of Directors held in September 25, 2019, the agreed an additional dividend payment, net of the effect of treasury stock, for approximately S/638.1 million from the retain earnings and reserves. Said dividends have been paid in November 22, 2019.</w:t>
      </w:r>
    </w:p>
    <w:p>
      <w:pPr>
        <w:spacing w:after="0" w:line="115" w:lineRule="exact"/>
        <w:rPr>
          <w:sz w:val="20"/>
          <w:szCs w:val="20"/>
          <w:color w:val="auto"/>
        </w:rPr>
      </w:pPr>
    </w:p>
    <w:p>
      <w:pPr>
        <w:ind w:left="208" w:right="180"/>
        <w:spacing w:after="0" w:line="276" w:lineRule="auto"/>
        <w:rPr>
          <w:sz w:val="20"/>
          <w:szCs w:val="20"/>
          <w:color w:val="auto"/>
        </w:rPr>
      </w:pPr>
      <w:r>
        <w:rPr>
          <w:rFonts w:ascii="Arial" w:cs="Arial" w:eastAsia="Arial" w:hAnsi="Arial"/>
          <w:sz w:val="12"/>
          <w:szCs w:val="12"/>
          <w:color w:val="auto"/>
        </w:rPr>
        <w:t>Furthermore, at the meeting of the Board of Directors held on October 25, 2017, they agreed to make an additional dividend payment, net of the effect of treasury stock, for approximately US$386.5 million (equivalent to S/1,252.3 million) from the reserves. Said dividends were paid in November 2017.</w:t>
      </w:r>
    </w:p>
    <w:p>
      <w:pPr>
        <w:spacing w:after="0" w:line="115" w:lineRule="exact"/>
        <w:rPr>
          <w:sz w:val="20"/>
          <w:szCs w:val="20"/>
          <w:color w:val="auto"/>
        </w:rPr>
      </w:pPr>
    </w:p>
    <w:p>
      <w:pPr>
        <w:ind w:left="208"/>
        <w:spacing w:after="0" w:line="276" w:lineRule="auto"/>
        <w:rPr>
          <w:sz w:val="20"/>
          <w:szCs w:val="20"/>
          <w:color w:val="auto"/>
        </w:rPr>
      </w:pPr>
      <w:r>
        <w:rPr>
          <w:rFonts w:ascii="Arial" w:cs="Arial" w:eastAsia="Arial" w:hAnsi="Arial"/>
          <w:sz w:val="12"/>
          <w:szCs w:val="12"/>
          <w:color w:val="auto"/>
        </w:rPr>
        <w:t>In accordance with current Peruvian legislation, there is no restriction for overseas remittance of dividends or the repatriation of foreign investment. At December 31, 2019, 2018 and 2017 dividends paid by the Peruvian subsidiaries to Credicorp are subject to a 5.0 percent withholding tax.</w:t>
      </w:r>
    </w:p>
    <w:p>
      <w:pPr>
        <w:spacing w:after="0" w:line="115" w:lineRule="exact"/>
        <w:rPr>
          <w:sz w:val="20"/>
          <w:szCs w:val="20"/>
          <w:color w:val="auto"/>
        </w:rPr>
      </w:pPr>
    </w:p>
    <w:p>
      <w:pPr>
        <w:ind w:left="208" w:hanging="208"/>
        <w:spacing w:after="0"/>
        <w:tabs>
          <w:tab w:leader="none" w:pos="20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Regulatory capital -</w:t>
      </w:r>
    </w:p>
    <w:p>
      <w:pPr>
        <w:spacing w:after="0" w:line="150" w:lineRule="exact"/>
        <w:rPr>
          <w:rFonts w:ascii="Arial" w:cs="Arial" w:eastAsia="Arial" w:hAnsi="Arial"/>
          <w:sz w:val="12"/>
          <w:szCs w:val="12"/>
          <w:color w:val="auto"/>
        </w:rPr>
      </w:pPr>
    </w:p>
    <w:p>
      <w:pPr>
        <w:ind w:left="208"/>
        <w:spacing w:after="0" w:line="263" w:lineRule="auto"/>
        <w:rPr>
          <w:rFonts w:ascii="Arial" w:cs="Arial" w:eastAsia="Arial" w:hAnsi="Arial"/>
          <w:sz w:val="12"/>
          <w:szCs w:val="12"/>
          <w:color w:val="auto"/>
        </w:rPr>
      </w:pPr>
      <w:r>
        <w:rPr>
          <w:rFonts w:ascii="Arial" w:cs="Arial" w:eastAsia="Arial" w:hAnsi="Arial"/>
          <w:sz w:val="12"/>
          <w:szCs w:val="12"/>
          <w:color w:val="auto"/>
        </w:rPr>
        <w:t>At December 31, 2019 and 2018, the regulatory capital requirement (“patrimonio efectivo” in Peru) applicable to Credicorp subsidiaries engaged in financial services and insurance activities in Peru, determined under the provisions of the Peruvian banking and insurance regulator, SBS, totals approximately S/25,732.0 million and S/25,063.9 million, respectively. At those dates, the Group’s regulatory requirement exceeds by approximately S/4,151.6 million and S/4,658.1 million, respectively, the minimum regulatory capital required by the SBS.</w:t>
      </w:r>
    </w:p>
    <w:p>
      <w:pPr>
        <w:spacing w:after="0" w:line="266" w:lineRule="exact"/>
        <w:rPr>
          <w:rFonts w:ascii="Arial" w:cs="Arial" w:eastAsia="Arial" w:hAnsi="Arial"/>
          <w:sz w:val="12"/>
          <w:szCs w:val="12"/>
          <w:color w:val="auto"/>
        </w:rPr>
      </w:pPr>
    </w:p>
    <w:p>
      <w:pPr>
        <w:ind w:left="5668" w:hanging="79"/>
        <w:spacing w:after="0"/>
        <w:tabs>
          <w:tab w:leader="none" w:pos="5668" w:val="left"/>
        </w:tabs>
        <w:numPr>
          <w:ilvl w:val="1"/>
          <w:numId w:val="135"/>
        </w:numPr>
        <w:rPr>
          <w:rFonts w:ascii="Arial" w:cs="Arial" w:eastAsia="Arial" w:hAnsi="Arial"/>
          <w:sz w:val="12"/>
          <w:szCs w:val="12"/>
          <w:color w:val="auto"/>
        </w:rPr>
      </w:pPr>
      <w:r>
        <w:rPr>
          <w:rFonts w:ascii="Arial" w:cs="Arial" w:eastAsia="Arial" w:hAnsi="Arial"/>
          <w:sz w:val="12"/>
          <w:szCs w:val="12"/>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76" w:right="239" w:bottom="1440" w:gutter="0" w:footer="0" w:header="0"/>
        </w:sectPr>
      </w:pPr>
    </w:p>
    <w:bookmarkStart w:id="118" w:name="page119"/>
    <w:bookmarkEnd w:id="118"/>
    <w:p>
      <w:pPr>
        <w:ind w:left="8"/>
        <w:spacing w:after="0"/>
        <w:rPr>
          <w:sz w:val="20"/>
          <w:szCs w:val="20"/>
          <w:color w:val="auto"/>
        </w:rPr>
      </w:pPr>
      <w:r>
        <w:rPr>
          <w:rFonts w:ascii="Arial" w:cs="Arial" w:eastAsia="Arial" w:hAnsi="Arial"/>
          <w:sz w:val="12"/>
          <w:szCs w:val="12"/>
          <w:b w:val="1"/>
          <w:bCs w:val="1"/>
          <w:color w:val="auto"/>
        </w:rPr>
        <w:t>19  TAX SITUATION</w:t>
      </w:r>
    </w:p>
    <w:p>
      <w:pPr>
        <w:spacing w:after="0" w:line="154" w:lineRule="exact"/>
        <w:rPr>
          <w:sz w:val="20"/>
          <w:szCs w:val="20"/>
          <w:color w:val="auto"/>
        </w:rPr>
      </w:pPr>
    </w:p>
    <w:p>
      <w:pPr>
        <w:ind w:left="208" w:hanging="208"/>
        <w:spacing w:after="0"/>
        <w:tabs>
          <w:tab w:leader="none" w:pos="20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Credicorp is not subject to income tax or any taxes on capital gains, equity or property in Bermuda. Credicorp’s Peruvian subsidiaries are subject to the Peruvian tax regime.</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The income tax rate in Peru as of December 31, 2019 and 2018 was 29.5 percent of the taxable income after calculating the worker's participation, which is determined using a rate of 5.0 percent.</w:t>
      </w:r>
    </w:p>
    <w:p>
      <w:pPr>
        <w:spacing w:after="0" w:line="150"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The income tax rate in Bolivia is 25.0 percent as of December 31, 2019 and 2018. Financial entities have an additional rate if the ROE exceeds 6.0 percent; in that case, they must consider an additional 25.0 percent, with which the rate would be 50.0 percent.</w:t>
      </w:r>
    </w:p>
    <w:p>
      <w:pPr>
        <w:spacing w:after="0" w:line="114" w:lineRule="exact"/>
        <w:rPr>
          <w:rFonts w:ascii="Arial" w:cs="Arial" w:eastAsia="Arial" w:hAnsi="Arial"/>
          <w:sz w:val="12"/>
          <w:szCs w:val="12"/>
          <w:color w:val="auto"/>
        </w:rPr>
      </w:pPr>
    </w:p>
    <w:p>
      <w:pPr>
        <w:ind w:left="208" w:right="220"/>
        <w:spacing w:after="0" w:line="276" w:lineRule="auto"/>
        <w:rPr>
          <w:rFonts w:ascii="Arial" w:cs="Arial" w:eastAsia="Arial" w:hAnsi="Arial"/>
          <w:sz w:val="12"/>
          <w:szCs w:val="12"/>
          <w:color w:val="auto"/>
        </w:rPr>
      </w:pPr>
      <w:r>
        <w:rPr>
          <w:rFonts w:ascii="Arial" w:cs="Arial" w:eastAsia="Arial" w:hAnsi="Arial"/>
          <w:sz w:val="12"/>
          <w:szCs w:val="12"/>
          <w:color w:val="auto"/>
        </w:rPr>
        <w:t>In the case of Chile, there are two tax regimes: partially integrated regime and attributed regime. Credicorp Capital Holding Chile and all of their subsidiaries are under partially integrated regime, whose tax rate for domiciled legal entities under this regime is 27.0 percent for the year 2019 and 2018.</w:t>
      </w:r>
    </w:p>
    <w:p>
      <w:pPr>
        <w:spacing w:after="0" w:line="114" w:lineRule="exact"/>
        <w:rPr>
          <w:rFonts w:ascii="Arial" w:cs="Arial" w:eastAsia="Arial" w:hAnsi="Arial"/>
          <w:sz w:val="12"/>
          <w:szCs w:val="12"/>
          <w:color w:val="auto"/>
        </w:rPr>
      </w:pPr>
    </w:p>
    <w:p>
      <w:pPr>
        <w:ind w:left="208" w:right="100"/>
        <w:spacing w:after="0" w:line="276" w:lineRule="auto"/>
        <w:rPr>
          <w:rFonts w:ascii="Arial" w:cs="Arial" w:eastAsia="Arial" w:hAnsi="Arial"/>
          <w:sz w:val="12"/>
          <w:szCs w:val="12"/>
          <w:color w:val="auto"/>
        </w:rPr>
      </w:pPr>
      <w:r>
        <w:rPr>
          <w:rFonts w:ascii="Arial" w:cs="Arial" w:eastAsia="Arial" w:hAnsi="Arial"/>
          <w:sz w:val="12"/>
          <w:szCs w:val="12"/>
          <w:color w:val="auto"/>
        </w:rPr>
        <w:t>On the other hand, individuals or legal entities not domiciled in Chile will be subject to a tax called "Additional income tax" whose rates are between 4.0 percent and 35.0 percent, depending on the nature of the income. Additionally, Chile has signed treaties to avoid double taxation with different countries so certain income could be released from withholding tax or for the use of reduced rates.</w:t>
      </w:r>
    </w:p>
    <w:p>
      <w:pPr>
        <w:spacing w:after="0" w:line="114" w:lineRule="exact"/>
        <w:rPr>
          <w:rFonts w:ascii="Arial" w:cs="Arial" w:eastAsia="Arial" w:hAnsi="Arial"/>
          <w:sz w:val="12"/>
          <w:szCs w:val="12"/>
          <w:color w:val="auto"/>
        </w:rPr>
      </w:pPr>
    </w:p>
    <w:p>
      <w:pPr>
        <w:ind w:left="208" w:right="20"/>
        <w:spacing w:after="0" w:line="263" w:lineRule="auto"/>
        <w:rPr>
          <w:rFonts w:ascii="Arial" w:cs="Arial" w:eastAsia="Arial" w:hAnsi="Arial"/>
          <w:sz w:val="12"/>
          <w:szCs w:val="12"/>
          <w:color w:val="auto"/>
        </w:rPr>
      </w:pPr>
      <w:r>
        <w:rPr>
          <w:rFonts w:ascii="Arial" w:cs="Arial" w:eastAsia="Arial" w:hAnsi="Arial"/>
          <w:sz w:val="12"/>
          <w:szCs w:val="12"/>
          <w:color w:val="auto"/>
        </w:rPr>
        <w:t>In the case of Colombia, the income tax rate for 2018 was 33.0 percent plus a surcharge of 4.0 percent for all entities in this country (whose taxe base is taxable income less US$800.0 million of colombian pesos). In the year 2019, under the law called “Financing Law” N° 1943 dated December 28, 2018, the income tax rate of 33.0 percent was established for all entities without surcharge. As of the year 2020, under the law N° 2010 issued in December 27, 2019, the tax rates are as follows:</w:t>
      </w:r>
    </w:p>
    <w:p>
      <w:pPr>
        <w:spacing w:after="0" w:line="119"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Additional rate</w:t>
            </w:r>
          </w:p>
        </w:tc>
      </w:tr>
      <w:tr>
        <w:trPr>
          <w:trHeight w:val="157"/>
        </w:trPr>
        <w:tc>
          <w:tcPr>
            <w:tcW w:w="5720" w:type="dxa"/>
            <w:vAlign w:val="bottom"/>
            <w:gridSpan w:val="2"/>
          </w:tcPr>
          <w:p>
            <w:pPr>
              <w:spacing w:after="0"/>
              <w:rPr>
                <w:sz w:val="20"/>
                <w:szCs w:val="20"/>
                <w:color w:val="auto"/>
              </w:rPr>
            </w:pPr>
            <w:r>
              <w:rPr>
                <w:rFonts w:ascii="Arial" w:cs="Arial" w:eastAsia="Arial" w:hAnsi="Arial"/>
                <w:sz w:val="12"/>
                <w:szCs w:val="12"/>
                <w:b w:val="1"/>
                <w:bCs w:val="1"/>
                <w:color w:val="auto"/>
              </w:rPr>
              <w:t>Taxable year</w:t>
            </w:r>
          </w:p>
        </w:tc>
        <w:tc>
          <w:tcPr>
            <w:tcW w:w="1060" w:type="dxa"/>
            <w:vAlign w:val="bottom"/>
            <w:gridSpan w:val="2"/>
          </w:tcPr>
          <w:p>
            <w:pPr>
              <w:ind w:left="320"/>
              <w:spacing w:after="0"/>
              <w:rPr>
                <w:sz w:val="20"/>
                <w:szCs w:val="20"/>
                <w:color w:val="auto"/>
              </w:rPr>
            </w:pPr>
            <w:r>
              <w:rPr>
                <w:rFonts w:ascii="Arial" w:cs="Arial" w:eastAsia="Arial" w:hAnsi="Arial"/>
                <w:sz w:val="12"/>
                <w:szCs w:val="12"/>
                <w:b w:val="1"/>
                <w:bCs w:val="1"/>
                <w:color w:val="auto"/>
              </w:rPr>
              <w:t>Rate</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(surcharge) (*)</w:t>
            </w:r>
          </w:p>
        </w:tc>
      </w:tr>
      <w:tr>
        <w:trPr>
          <w:trHeight w:val="133"/>
        </w:trPr>
        <w:tc>
          <w:tcPr>
            <w:tcW w:w="55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2020</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w:t>
            </w:r>
          </w:p>
        </w:tc>
        <w:tc>
          <w:tcPr>
            <w:tcW w:w="1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31</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3</w:t>
            </w: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color w:val="auto"/>
              </w:rPr>
              <w:t>As of 2023</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30</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ind w:left="428" w:right="160" w:hanging="212"/>
        <w:spacing w:after="0" w:line="276" w:lineRule="auto"/>
        <w:tabs>
          <w:tab w:leader="none" w:pos="428"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The additional rate (surcharge) will be applicable only to financial entities that have a taxable rate equal or greater than 120,000 Unit of tax value (“UVT” from its Spanish acronym) which as of December 31,2019 amounts to a total of S/4.2 million; in that sense, Credicorp Capital Fiduciaria and Banco Compartir must pay the income tax taking into account the aforemetioned.</w:t>
      </w:r>
    </w:p>
    <w:p>
      <w:pPr>
        <w:spacing w:after="0" w:line="115" w:lineRule="exact"/>
        <w:rPr>
          <w:sz w:val="20"/>
          <w:szCs w:val="20"/>
          <w:color w:val="auto"/>
        </w:rPr>
      </w:pPr>
    </w:p>
    <w:p>
      <w:pPr>
        <w:ind w:left="208"/>
        <w:spacing w:after="0" w:line="276" w:lineRule="auto"/>
        <w:rPr>
          <w:sz w:val="20"/>
          <w:szCs w:val="20"/>
          <w:color w:val="auto"/>
        </w:rPr>
      </w:pPr>
      <w:r>
        <w:rPr>
          <w:rFonts w:ascii="Arial" w:cs="Arial" w:eastAsia="Arial" w:hAnsi="Arial"/>
          <w:sz w:val="12"/>
          <w:szCs w:val="12"/>
          <w:color w:val="auto"/>
        </w:rPr>
        <w:t>Atlantic Security Holding Corporation and its Subsidiaries are not subject to taxes in the Cayman Islands or Panama. For the years ended December 31, 2019, 2018 and 2017, no taxable income was generated from the operations in the United States of America.</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49"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3"/>
        </w:trPr>
        <w:tc>
          <w:tcPr>
            <w:tcW w:w="7120" w:type="dxa"/>
            <w:vAlign w:val="bottom"/>
            <w:gridSpan w:val="2"/>
          </w:tcPr>
          <w:p>
            <w:pPr>
              <w:ind w:left="200"/>
              <w:spacing w:after="0"/>
              <w:rPr>
                <w:sz w:val="20"/>
                <w:szCs w:val="20"/>
                <w:color w:val="auto"/>
              </w:rPr>
            </w:pPr>
            <w:r>
              <w:rPr>
                <w:rFonts w:ascii="Arial" w:cs="Arial" w:eastAsia="Arial" w:hAnsi="Arial"/>
                <w:sz w:val="12"/>
                <w:szCs w:val="12"/>
                <w:color w:val="auto"/>
              </w:rPr>
              <w:t>The reconciliation of the statutory income tax rate to the effective tax rate for the Group is as follows:</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color w:val="auto"/>
                <w:w w:val="93"/>
              </w:rPr>
              <w:t>%</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color w:val="auto"/>
                <w:w w:val="93"/>
              </w:rPr>
              <w:t>%</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color w:val="auto"/>
                <w:w w:val="93"/>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Peruvian statutory income tax rate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29.50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29.50</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tcPr>
          <w:p>
            <w:pPr>
              <w:spacing w:after="0"/>
              <w:rPr>
                <w:sz w:val="20"/>
                <w:szCs w:val="20"/>
                <w:color w:val="auto"/>
              </w:rPr>
            </w:pPr>
            <w:r>
              <w:rPr>
                <w:rFonts w:ascii="Arial" w:cs="Arial" w:eastAsia="Arial" w:hAnsi="Arial"/>
                <w:sz w:val="12"/>
                <w:szCs w:val="12"/>
                <w:b w:val="1"/>
                <w:bCs w:val="1"/>
                <w:color w:val="auto"/>
              </w:rPr>
              <w:t>Increase (decrease) in the statutory tax rate due to:</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 Increase arising from income of subsidiaries not domiciled in Peru</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920" w:type="dxa"/>
            <w:vAlign w:val="bottom"/>
          </w:tcPr>
          <w:p>
            <w:pPr>
              <w:ind w:left="120"/>
              <w:spacing w:after="0"/>
              <w:rPr>
                <w:sz w:val="20"/>
                <w:szCs w:val="20"/>
                <w:color w:val="auto"/>
              </w:rPr>
            </w:pPr>
            <w:r>
              <w:rPr>
                <w:rFonts w:ascii="Arial" w:cs="Arial" w:eastAsia="Arial" w:hAnsi="Arial"/>
                <w:sz w:val="12"/>
                <w:szCs w:val="12"/>
                <w:color w:val="auto"/>
              </w:rPr>
              <w:t>(ii) Non-taxable income, net</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(3.91)</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(2.39)</w:t>
            </w:r>
          </w:p>
        </w:tc>
        <w:tc>
          <w:tcPr>
            <w:tcW w:w="1320" w:type="dxa"/>
            <w:vAlign w:val="bottom"/>
            <w:gridSpan w:val="3"/>
          </w:tcPr>
          <w:p>
            <w:pPr>
              <w:jc w:val="right"/>
              <w:ind w:right="60"/>
              <w:spacing w:after="0"/>
              <w:rPr>
                <w:sz w:val="20"/>
                <w:szCs w:val="20"/>
                <w:color w:val="auto"/>
              </w:rPr>
            </w:pPr>
            <w:r>
              <w:rPr>
                <w:rFonts w:ascii="Arial" w:cs="Arial" w:eastAsia="Arial" w:hAnsi="Arial"/>
                <w:sz w:val="12"/>
                <w:szCs w:val="12"/>
                <w:color w:val="auto"/>
              </w:rPr>
              <w:t>(4.98)</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Effective income tax rate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7120" w:type="dxa"/>
            <w:vAlign w:val="bottom"/>
            <w:gridSpan w:val="2"/>
          </w:tcPr>
          <w:p>
            <w:pPr>
              <w:spacing w:after="0"/>
              <w:rPr>
                <w:sz w:val="20"/>
                <w:szCs w:val="20"/>
                <w:color w:val="auto"/>
              </w:rPr>
            </w:pPr>
            <w:r>
              <w:rPr>
                <w:rFonts w:ascii="Arial" w:cs="Arial" w:eastAsia="Arial" w:hAnsi="Arial"/>
                <w:sz w:val="12"/>
                <w:szCs w:val="12"/>
                <w:color w:val="auto"/>
              </w:rPr>
              <w:t>b)  Income tax expense for the years ended December 31, 2019, 2018 and 2017 comprises: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tcPr>
          <w:p>
            <w:pPr>
              <w:spacing w:after="0"/>
              <w:rPr>
                <w:sz w:val="20"/>
                <w:szCs w:val="20"/>
                <w:color w:val="auto"/>
              </w:rPr>
            </w:pPr>
            <w:r>
              <w:rPr>
                <w:rFonts w:ascii="Arial" w:cs="Arial" w:eastAsia="Arial" w:hAnsi="Arial"/>
                <w:sz w:val="12"/>
                <w:szCs w:val="12"/>
                <w:color w:val="auto"/>
              </w:rPr>
              <w:t>In Peru</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1,469,497</w:t>
            </w:r>
          </w:p>
        </w:tc>
        <w:tc>
          <w:tcPr>
            <w:tcW w:w="1220" w:type="dxa"/>
            <w:vAlign w:val="bottom"/>
          </w:tcPr>
          <w:p>
            <w:pPr>
              <w:jc w:val="right"/>
              <w:spacing w:after="0"/>
              <w:rPr>
                <w:sz w:val="20"/>
                <w:szCs w:val="20"/>
                <w:color w:val="auto"/>
              </w:rPr>
            </w:pPr>
            <w:r>
              <w:rPr>
                <w:rFonts w:ascii="Arial" w:cs="Arial" w:eastAsia="Arial" w:hAnsi="Arial"/>
                <w:sz w:val="12"/>
                <w:szCs w:val="12"/>
                <w:color w:val="auto"/>
              </w:rPr>
              <w:t>1,315,896</w:t>
            </w: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1,262,302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In other countries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206,120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113,912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134,540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92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1,675,617</w:t>
            </w:r>
          </w:p>
        </w:tc>
        <w:tc>
          <w:tcPr>
            <w:tcW w:w="22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1,429,808</w:t>
            </w:r>
          </w:p>
        </w:tc>
        <w:tc>
          <w:tcPr>
            <w:tcW w:w="22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1,396,842</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vMerge w:val="restart"/>
          </w:tcPr>
          <w:p>
            <w:pPr>
              <w:spacing w:after="0"/>
              <w:rPr>
                <w:sz w:val="11"/>
                <w:szCs w:val="11"/>
                <w:color w:val="auto"/>
              </w:rPr>
            </w:pPr>
          </w:p>
        </w:tc>
        <w:tc>
          <w:tcPr>
            <w:tcW w:w="69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6920" w:type="dxa"/>
            <w:vAlign w:val="bottom"/>
          </w:tcPr>
          <w:p>
            <w:pPr>
              <w:spacing w:after="0"/>
              <w:rPr>
                <w:sz w:val="20"/>
                <w:szCs w:val="20"/>
                <w:color w:val="auto"/>
              </w:rPr>
            </w:pPr>
            <w:r>
              <w:rPr>
                <w:rFonts w:ascii="Arial" w:cs="Arial" w:eastAsia="Arial" w:hAnsi="Arial"/>
                <w:sz w:val="12"/>
                <w:szCs w:val="12"/>
                <w:b w:val="1"/>
                <w:bCs w:val="1"/>
                <w:color w:val="auto"/>
              </w:rPr>
              <w:t>Deferred -</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In Peru</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(30,967)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87,952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(18,264)</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920" w:type="dxa"/>
            <w:vAlign w:val="bottom"/>
          </w:tcPr>
          <w:p>
            <w:pPr>
              <w:spacing w:after="0"/>
              <w:rPr>
                <w:sz w:val="20"/>
                <w:szCs w:val="20"/>
                <w:color w:val="auto"/>
              </w:rPr>
            </w:pPr>
            <w:r>
              <w:rPr>
                <w:rFonts w:ascii="Arial" w:cs="Arial" w:eastAsia="Arial" w:hAnsi="Arial"/>
                <w:sz w:val="12"/>
                <w:szCs w:val="12"/>
                <w:color w:val="auto"/>
              </w:rPr>
              <w:t>In other countries</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(21,573)</w:t>
            </w:r>
          </w:p>
        </w:tc>
        <w:tc>
          <w:tcPr>
            <w:tcW w:w="1220" w:type="dxa"/>
            <w:vAlign w:val="bottom"/>
          </w:tcPr>
          <w:p>
            <w:pPr>
              <w:jc w:val="right"/>
              <w:spacing w:after="0"/>
              <w:rPr>
                <w:sz w:val="20"/>
                <w:szCs w:val="20"/>
                <w:color w:val="auto"/>
              </w:rPr>
            </w:pPr>
            <w:r>
              <w:rPr>
                <w:rFonts w:ascii="Arial" w:cs="Arial" w:eastAsia="Arial" w:hAnsi="Arial"/>
                <w:sz w:val="12"/>
                <w:szCs w:val="12"/>
                <w:color w:val="auto"/>
              </w:rPr>
              <w:t>3,149</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14,708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9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(52,540)</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91,101</w:t>
            </w: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(3,556)</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2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1,623,077</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1,520,909</w:t>
            </w:r>
          </w:p>
        </w:tc>
        <w:tc>
          <w:tcPr>
            <w:tcW w:w="22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1,393,286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deferred income tax has been calculated on all temporary differences, considering the income tax rates effective where Credicorp’s subsidiaries are located.</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20" w:top="653"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53"/>
        </w:trPr>
        <w:tc>
          <w:tcPr>
            <w:tcW w:w="9360" w:type="dxa"/>
            <w:vAlign w:val="bottom"/>
            <w:gridSpan w:val="3"/>
          </w:tcPr>
          <w:p>
            <w:pPr>
              <w:spacing w:after="0"/>
              <w:rPr>
                <w:sz w:val="20"/>
                <w:szCs w:val="20"/>
                <w:color w:val="auto"/>
              </w:rPr>
            </w:pPr>
            <w:r>
              <w:rPr>
                <w:rFonts w:ascii="Arial" w:cs="Arial" w:eastAsia="Arial" w:hAnsi="Arial"/>
                <w:sz w:val="12"/>
                <w:szCs w:val="12"/>
                <w:color w:val="auto"/>
              </w:rPr>
              <w:t>c)  The following table presents a summary of the Group’s deferred income tax:</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936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800" w:type="dxa"/>
            <w:vAlign w:val="bottom"/>
            <w:tcBorders>
              <w:top w:val="single" w:sz="8" w:color="auto"/>
            </w:tcBorders>
          </w:tcPr>
          <w:p>
            <w:pPr>
              <w:jc w:val="center"/>
              <w:ind w:left="380"/>
              <w:spacing w:after="0" w:line="133" w:lineRule="exact"/>
              <w:rPr>
                <w:sz w:val="20"/>
                <w:szCs w:val="20"/>
                <w:color w:val="auto"/>
              </w:rPr>
            </w:pPr>
            <w:r>
              <w:rPr>
                <w:rFonts w:ascii="Arial" w:cs="Arial" w:eastAsia="Arial" w:hAnsi="Arial"/>
                <w:sz w:val="12"/>
                <w:szCs w:val="12"/>
                <w:b w:val="1"/>
                <w:bCs w:val="1"/>
                <w:color w:val="auto"/>
                <w:w w:val="91"/>
              </w:rPr>
              <w:t>S/(000)</w:t>
            </w: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Deferred income tax asset, net</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b w:val="1"/>
                <w:bCs w:val="1"/>
                <w:color w:val="auto"/>
              </w:rPr>
              <w:t>Deferred asset</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Allowance for loan losses for loan portfolio</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699,970</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674,689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Provision for profit sharing</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57,351</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8,852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sundry expenses and risks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36,256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27,404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Provision for pending vacations</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24,378</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16,817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of improvements for leased premises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20,479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Unrealized loss in valuation on cash flow hedge derivatives</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14,992</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9,286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Carry forward tax losses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4,773</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Unrealized losses due to valuation of investments at fair value through other comprehensive income</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632</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4,105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51,541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35,122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8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Deferred liability</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Intangibles, net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(223,101)</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(159,620)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 depreciation</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(66,818)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(68,398)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Adjustment for difference in exchange of SUNAT and SBS</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(30,846)</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(47,289)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acquisitions costs - DAC</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(17,578)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(14,913)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Unrealized gain due to valuation of investments at fair value through other comprehensive income</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(12,387)</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(3,190)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in valuation on fair value hedge derivatives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(9,451)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Fluctuation of the fair value of the covered bonds</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(7,971)</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(16,558)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in valuation on cash flow hedge derivatives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(2,021)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160" w:type="dxa"/>
            <w:vAlign w:val="bottom"/>
            <w:gridSpan w:val="2"/>
          </w:tcPr>
          <w:p>
            <w:pPr>
              <w:spacing w:after="0"/>
              <w:rPr>
                <w:sz w:val="20"/>
                <w:szCs w:val="20"/>
                <w:color w:val="auto"/>
              </w:rPr>
            </w:pPr>
            <w:r>
              <w:rPr>
                <w:rFonts w:ascii="Arial" w:cs="Arial" w:eastAsia="Arial" w:hAnsi="Arial"/>
                <w:sz w:val="12"/>
                <w:szCs w:val="12"/>
                <w:color w:val="auto"/>
              </w:rPr>
              <w:t>Buildings revaluation</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(4,795)</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(5,356)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(12,977)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(12,694)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520,953</w:t>
            </w:r>
          </w:p>
        </w:tc>
        <w:tc>
          <w:tcPr>
            <w:tcW w:w="22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463,717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8560" w:type="dxa"/>
            <w:vAlign w:val="bottom"/>
            <w:tcBorders>
              <w:bottom w:val="single" w:sz="8" w:color="auto"/>
            </w:tcBorders>
            <w:gridSpan w:val="2"/>
          </w:tcPr>
          <w:p>
            <w:pPr>
              <w:jc w:val="right"/>
              <w:ind w:right="2600"/>
              <w:spacing w:after="0"/>
              <w:rPr>
                <w:sz w:val="20"/>
                <w:szCs w:val="20"/>
                <w:color w:val="auto"/>
              </w:rPr>
            </w:pPr>
            <w:r>
              <w:rPr>
                <w:rFonts w:ascii="Arial" w:cs="Arial" w:eastAsia="Arial" w:hAnsi="Arial"/>
                <w:sz w:val="12"/>
                <w:szCs w:val="12"/>
                <w:color w:val="auto"/>
              </w:rPr>
              <w:t>- 116 -</w:t>
            </w: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21" w:name="page122"/>
    <w:bookmarkEnd w:id="121"/>
    <w:p>
      <w:pPr>
        <w:spacing w:after="0" w:line="1" w:lineRule="exact"/>
        <w:rPr>
          <w:sz w:val="20"/>
          <w:szCs w:val="20"/>
          <w:color w:val="auto"/>
        </w:rPr>
      </w:pPr>
    </w:p>
    <w:tbl>
      <w:tblPr>
        <w:tblLayout w:type="fixed"/>
        <w:tblInd w:w="208" w:type="dxa"/>
        <w:tblCellMar>
          <w:top w:w="0" w:type="dxa"/>
          <w:left w:w="0" w:type="dxa"/>
          <w:bottom w:w="0" w:type="dxa"/>
          <w:right w:w="0" w:type="dxa"/>
        </w:tblCellMar>
      </w:tblPr>
      <w:tr>
        <w:trPr>
          <w:trHeight w:val="157"/>
        </w:trPr>
        <w:tc>
          <w:tcPr>
            <w:tcW w:w="8800" w:type="dxa"/>
            <w:vAlign w:val="bottom"/>
            <w:gridSpan w:val="3"/>
          </w:tcPr>
          <w:p>
            <w:pPr>
              <w:ind w:left="8420"/>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00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w w:val="91"/>
              </w:rPr>
              <w:t>S/(000)</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Deferred income tax liability, net</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b w:val="1"/>
                <w:bCs w:val="1"/>
                <w:color w:val="auto"/>
              </w:rPr>
              <w:t>Deferred asset</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Carry forward tax losses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14,309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20,369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Deferred income due to commission</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8,138</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7,503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Allowance for loan losses for insurance</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6,945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8,298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Unrealized losses due to valuation of investments at fair value through other comprehensive income</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6,229</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11,893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sundry expenses and risks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5,313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Others</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27,913</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5,126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7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b w:val="1"/>
                <w:bCs w:val="1"/>
                <w:color w:val="auto"/>
              </w:rPr>
              <w:t>Deferred liability</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Intangibles, net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(50,048)</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(36,907)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Gain generated in the reorganization of Pacífico EPS</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(39,515)</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(39,515)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due to valuation of investments at fair value through other comprehensive income</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(34,054)</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(20,790)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Deferred acquisitions costs - DAC</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(27,925)</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(28,581)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Technical reserves for premiums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(23,180)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(12,084)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Others</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(11,202)</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(5,107)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Catastrophic insurance reserve</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(9,776)</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Leasing operations related to loans</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(3,810)</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(4,788)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 revaluation</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(3,463)</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gridSpan w:val="2"/>
          </w:tcPr>
          <w:p>
            <w:pPr>
              <w:spacing w:after="0"/>
              <w:rPr>
                <w:sz w:val="20"/>
                <w:szCs w:val="20"/>
                <w:color w:val="auto"/>
              </w:rPr>
            </w:pPr>
            <w:r>
              <w:rPr>
                <w:rFonts w:ascii="Arial" w:cs="Arial" w:eastAsia="Arial" w:hAnsi="Arial"/>
                <w:sz w:val="12"/>
                <w:szCs w:val="12"/>
                <w:color w:val="auto"/>
              </w:rPr>
              <w:t>Buildings depreciation</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(78)</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(3,076)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Fluctuation due to valuation of investments at fair value through profit or loss</w:t>
            </w:r>
          </w:p>
        </w:tc>
        <w:tc>
          <w:tcPr>
            <w:tcW w:w="10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(3,061)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(134,204)</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(108,603)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right="440"/>
        <w:spacing w:after="0" w:line="276" w:lineRule="auto"/>
        <w:rPr>
          <w:sz w:val="20"/>
          <w:szCs w:val="20"/>
          <w:color w:val="auto"/>
        </w:rPr>
      </w:pPr>
      <w:r>
        <w:rPr>
          <w:rFonts w:ascii="Arial" w:cs="Arial" w:eastAsia="Arial" w:hAnsi="Arial"/>
          <w:sz w:val="12"/>
          <w:szCs w:val="12"/>
          <w:color w:val="auto"/>
        </w:rPr>
        <w:t>As of December 31, 2019 and 2018, the Group has recorded a deferred liability of deferred income tax of S/26.6 million and S/5.3 million, respectively, corresponding to unrealized gains and losses generated by investments at fair value through other comprehensive income and cash flow hedges derivatives.</w:t>
      </w:r>
    </w:p>
    <w:p>
      <w:pPr>
        <w:spacing w:after="0" w:line="115" w:lineRule="exact"/>
        <w:rPr>
          <w:sz w:val="20"/>
          <w:szCs w:val="20"/>
          <w:color w:val="auto"/>
        </w:rPr>
      </w:pPr>
    </w:p>
    <w:p>
      <w:pPr>
        <w:ind w:left="208" w:right="740"/>
        <w:spacing w:after="0" w:line="276" w:lineRule="auto"/>
        <w:rPr>
          <w:sz w:val="20"/>
          <w:szCs w:val="20"/>
          <w:color w:val="auto"/>
        </w:rPr>
      </w:pPr>
      <w:r>
        <w:rPr>
          <w:rFonts w:ascii="Arial" w:cs="Arial" w:eastAsia="Arial" w:hAnsi="Arial"/>
          <w:sz w:val="12"/>
          <w:szCs w:val="12"/>
          <w:color w:val="auto"/>
        </w:rPr>
        <w:t>At December 31, 2017, the Group has recorded a deferred liability of deferred income tax of S/ 32.1 million,corresponding to unrealized gains and losses generated by investments available for sale and cash flow hedges derivatives.</w:t>
      </w:r>
    </w:p>
    <w:p>
      <w:pPr>
        <w:spacing w:after="0" w:line="115" w:lineRule="exact"/>
        <w:rPr>
          <w:sz w:val="20"/>
          <w:szCs w:val="20"/>
          <w:color w:val="auto"/>
        </w:rPr>
      </w:pPr>
    </w:p>
    <w:p>
      <w:pPr>
        <w:ind w:left="208" w:right="300" w:hanging="208"/>
        <w:spacing w:after="0" w:line="276" w:lineRule="auto"/>
        <w:tabs>
          <w:tab w:leader="none" w:pos="20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040" w:type="dxa"/>
            <w:vAlign w:val="bottom"/>
          </w:tcPr>
          <w:p>
            <w:pPr>
              <w:ind w:left="340"/>
              <w:spacing w:after="0"/>
              <w:rPr>
                <w:sz w:val="20"/>
                <w:szCs w:val="20"/>
                <w:color w:val="auto"/>
              </w:rPr>
            </w:pPr>
            <w:r>
              <w:rPr>
                <w:rFonts w:ascii="Arial" w:cs="Arial" w:eastAsia="Arial" w:hAnsi="Arial"/>
                <w:sz w:val="12"/>
                <w:szCs w:val="12"/>
                <w:color w:val="auto"/>
              </w:rPr>
              <w:t>Banco de Crédito del Perú S.A.</w:t>
            </w:r>
          </w:p>
        </w:tc>
        <w:tc>
          <w:tcPr>
            <w:tcW w:w="7440" w:type="dxa"/>
            <w:vAlign w:val="bottom"/>
          </w:tcPr>
          <w:p>
            <w:pPr>
              <w:ind w:left="2780"/>
              <w:spacing w:after="0"/>
              <w:rPr>
                <w:sz w:val="20"/>
                <w:szCs w:val="20"/>
                <w:color w:val="auto"/>
              </w:rPr>
            </w:pPr>
            <w:r>
              <w:rPr>
                <w:rFonts w:ascii="Arial" w:cs="Arial" w:eastAsia="Arial" w:hAnsi="Arial"/>
                <w:sz w:val="12"/>
                <w:szCs w:val="12"/>
                <w:color w:val="auto"/>
              </w:rPr>
              <w:t>2016 to 2019</w:t>
            </w:r>
          </w:p>
        </w:tc>
      </w:tr>
      <w:tr>
        <w:trPr>
          <w:trHeight w:val="153"/>
        </w:trPr>
        <w:tc>
          <w:tcPr>
            <w:tcW w:w="4040" w:type="dxa"/>
            <w:vAlign w:val="bottom"/>
          </w:tcPr>
          <w:p>
            <w:pPr>
              <w:ind w:left="340"/>
              <w:spacing w:after="0"/>
              <w:rPr>
                <w:sz w:val="20"/>
                <w:szCs w:val="20"/>
                <w:color w:val="auto"/>
              </w:rPr>
            </w:pPr>
            <w:r>
              <w:rPr>
                <w:rFonts w:ascii="Arial" w:cs="Arial" w:eastAsia="Arial" w:hAnsi="Arial"/>
                <w:sz w:val="12"/>
                <w:szCs w:val="12"/>
                <w:color w:val="auto"/>
              </w:rPr>
              <w:t>Mibanco, Banco de la Microempresa S.A.</w:t>
            </w:r>
          </w:p>
        </w:tc>
        <w:tc>
          <w:tcPr>
            <w:tcW w:w="7440" w:type="dxa"/>
            <w:vAlign w:val="bottom"/>
          </w:tcPr>
          <w:p>
            <w:pPr>
              <w:ind w:left="2780"/>
              <w:spacing w:after="0"/>
              <w:rPr>
                <w:sz w:val="20"/>
                <w:szCs w:val="20"/>
                <w:color w:val="auto"/>
              </w:rPr>
            </w:pPr>
            <w:r>
              <w:rPr>
                <w:rFonts w:ascii="Arial" w:cs="Arial" w:eastAsia="Arial" w:hAnsi="Arial"/>
                <w:sz w:val="12"/>
                <w:szCs w:val="12"/>
                <w:color w:val="auto"/>
              </w:rPr>
              <w:t>2015 to 2019</w:t>
            </w:r>
          </w:p>
        </w:tc>
      </w:tr>
      <w:tr>
        <w:trPr>
          <w:trHeight w:val="153"/>
        </w:trPr>
        <w:tc>
          <w:tcPr>
            <w:tcW w:w="4040" w:type="dxa"/>
            <w:vAlign w:val="bottom"/>
          </w:tcPr>
          <w:p>
            <w:pPr>
              <w:ind w:left="340"/>
              <w:spacing w:after="0"/>
              <w:rPr>
                <w:sz w:val="20"/>
                <w:szCs w:val="20"/>
                <w:color w:val="auto"/>
              </w:rPr>
            </w:pPr>
            <w:r>
              <w:rPr>
                <w:rFonts w:ascii="Arial" w:cs="Arial" w:eastAsia="Arial" w:hAnsi="Arial"/>
                <w:sz w:val="12"/>
                <w:szCs w:val="12"/>
                <w:color w:val="auto"/>
              </w:rPr>
              <w:t>Prima AFP S.A</w:t>
            </w:r>
          </w:p>
        </w:tc>
        <w:tc>
          <w:tcPr>
            <w:tcW w:w="7440" w:type="dxa"/>
            <w:vAlign w:val="bottom"/>
          </w:tcPr>
          <w:p>
            <w:pPr>
              <w:ind w:left="2780"/>
              <w:spacing w:after="0"/>
              <w:rPr>
                <w:sz w:val="20"/>
                <w:szCs w:val="20"/>
                <w:color w:val="auto"/>
              </w:rPr>
            </w:pPr>
            <w:r>
              <w:rPr>
                <w:rFonts w:ascii="Arial" w:cs="Arial" w:eastAsia="Arial" w:hAnsi="Arial"/>
                <w:sz w:val="12"/>
                <w:szCs w:val="12"/>
                <w:color w:val="auto"/>
              </w:rPr>
              <w:t>2016 to 2019</w:t>
            </w:r>
          </w:p>
        </w:tc>
      </w:tr>
      <w:tr>
        <w:trPr>
          <w:trHeight w:val="153"/>
        </w:trPr>
        <w:tc>
          <w:tcPr>
            <w:tcW w:w="4040" w:type="dxa"/>
            <w:vAlign w:val="bottom"/>
          </w:tcPr>
          <w:p>
            <w:pPr>
              <w:ind w:left="340"/>
              <w:spacing w:after="0"/>
              <w:rPr>
                <w:sz w:val="20"/>
                <w:szCs w:val="20"/>
                <w:color w:val="auto"/>
              </w:rPr>
            </w:pPr>
            <w:r>
              <w:rPr>
                <w:rFonts w:ascii="Arial" w:cs="Arial" w:eastAsia="Arial" w:hAnsi="Arial"/>
                <w:sz w:val="12"/>
                <w:szCs w:val="12"/>
                <w:color w:val="auto"/>
              </w:rPr>
              <w:t>Pacífico Compañía de Seguros y Reaseguros</w:t>
            </w:r>
          </w:p>
        </w:tc>
        <w:tc>
          <w:tcPr>
            <w:tcW w:w="7440" w:type="dxa"/>
            <w:vAlign w:val="bottom"/>
          </w:tcPr>
          <w:p>
            <w:pPr>
              <w:ind w:left="2780"/>
              <w:spacing w:after="0"/>
              <w:rPr>
                <w:sz w:val="20"/>
                <w:szCs w:val="20"/>
                <w:color w:val="auto"/>
              </w:rPr>
            </w:pPr>
            <w:r>
              <w:rPr>
                <w:rFonts w:ascii="Arial" w:cs="Arial" w:eastAsia="Arial" w:hAnsi="Arial"/>
                <w:sz w:val="12"/>
                <w:szCs w:val="12"/>
                <w:color w:val="auto"/>
              </w:rPr>
              <w:t>2015 to 2019</w:t>
            </w:r>
          </w:p>
        </w:tc>
      </w:tr>
      <w:tr>
        <w:trPr>
          <w:trHeight w:val="153"/>
        </w:trPr>
        <w:tc>
          <w:tcPr>
            <w:tcW w:w="4040" w:type="dxa"/>
            <w:vAlign w:val="bottom"/>
          </w:tcPr>
          <w:p>
            <w:pPr>
              <w:ind w:left="340"/>
              <w:spacing w:after="0"/>
              <w:rPr>
                <w:sz w:val="20"/>
                <w:szCs w:val="20"/>
                <w:color w:val="auto"/>
              </w:rPr>
            </w:pPr>
            <w:r>
              <w:rPr>
                <w:rFonts w:ascii="Arial" w:cs="Arial" w:eastAsia="Arial" w:hAnsi="Arial"/>
                <w:sz w:val="12"/>
                <w:szCs w:val="12"/>
                <w:color w:val="auto"/>
              </w:rPr>
              <w:t>Pacífico Peruano Suiza</w:t>
            </w:r>
          </w:p>
        </w:tc>
        <w:tc>
          <w:tcPr>
            <w:tcW w:w="7440" w:type="dxa"/>
            <w:vAlign w:val="bottom"/>
          </w:tcPr>
          <w:p>
            <w:pPr>
              <w:ind w:left="2780"/>
              <w:spacing w:after="0"/>
              <w:rPr>
                <w:sz w:val="20"/>
                <w:szCs w:val="20"/>
                <w:color w:val="auto"/>
              </w:rPr>
            </w:pPr>
            <w:r>
              <w:rPr>
                <w:rFonts w:ascii="Arial" w:cs="Arial" w:eastAsia="Arial" w:hAnsi="Arial"/>
                <w:sz w:val="12"/>
                <w:szCs w:val="12"/>
                <w:color w:val="auto"/>
              </w:rPr>
              <w:t>2015 to 2017</w:t>
            </w:r>
          </w:p>
        </w:tc>
      </w:tr>
      <w:tr>
        <w:trPr>
          <w:trHeight w:val="441"/>
        </w:trPr>
        <w:tc>
          <w:tcPr>
            <w:tcW w:w="40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rPr>
              <w:t>- 117 -</w:t>
            </w:r>
          </w:p>
        </w:tc>
      </w:tr>
    </w:tbl>
    <w:p>
      <w:pPr>
        <w:sectPr>
          <w:pgSz w:w="11900" w:h="16838" w:orient="portrait"/>
          <w:cols w:equalWidth="0" w:num="1">
            <w:col w:w="11488"/>
          </w:cols>
          <w:pgMar w:left="212" w:top="658" w:right="199" w:bottom="1440" w:gutter="0" w:footer="0" w:header="0"/>
        </w:sectPr>
      </w:pPr>
    </w:p>
    <w:bookmarkStart w:id="122" w:name="page123"/>
    <w:bookmarkEnd w:id="122"/>
    <w:p>
      <w:pPr>
        <w:ind w:left="208" w:right="60"/>
        <w:spacing w:after="0" w:line="263" w:lineRule="auto"/>
        <w:rPr>
          <w:sz w:val="20"/>
          <w:szCs w:val="20"/>
          <w:color w:val="auto"/>
        </w:rPr>
      </w:pPr>
      <w:r>
        <w:rPr>
          <w:rFonts w:ascii="Arial" w:cs="Arial" w:eastAsia="Arial" w:hAnsi="Arial"/>
          <w:sz w:val="12"/>
          <w:szCs w:val="12"/>
          <w:color w:val="auto"/>
        </w:rPr>
        <w:t>On September 10, 2019 and December 20, 2019, the Peruvian Tax Authority started the examination of income tax returns of Banco de Crédito del Peru for the year 2014 and 2015, respectively, of Banco de Crédito del Perú, a tax control process that is still in process. Likewise, on December 10, 2019 the Tax Administration notified a Resolution finalizing the process of inspection of the Income Tax declaration of 2013 fiscal year in which a lower tax payment was determined.</w:t>
      </w:r>
    </w:p>
    <w:p>
      <w:pPr>
        <w:spacing w:after="0" w:line="12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It is important to mentioned that the Peruvian Tax Authority is auditing the Income Tax declaration of 2014 of Mibanco.</w:t>
      </w:r>
    </w:p>
    <w:p>
      <w:pPr>
        <w:spacing w:after="0" w:line="150" w:lineRule="exact"/>
        <w:rPr>
          <w:sz w:val="20"/>
          <w:szCs w:val="20"/>
          <w:color w:val="auto"/>
        </w:rPr>
      </w:pPr>
    </w:p>
    <w:p>
      <w:pPr>
        <w:ind w:left="208" w:right="120"/>
        <w:spacing w:after="0" w:line="263" w:lineRule="auto"/>
        <w:rPr>
          <w:sz w:val="20"/>
          <w:szCs w:val="20"/>
          <w:color w:val="auto"/>
        </w:rPr>
      </w:pPr>
      <w:r>
        <w:rPr>
          <w:rFonts w:ascii="Arial" w:cs="Arial" w:eastAsia="Arial" w:hAnsi="Arial"/>
          <w:sz w:val="12"/>
          <w:szCs w:val="12"/>
          <w:color w:val="auto"/>
        </w:rPr>
        <w:t>The Bolivian, Chilean and Colombian Tax Authorities have the power to review and, if applicable, make a new determination for the income tax calculated by the subsidiaries located in said countries in the previous 8 years, 3 years and 3 years, respectively,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23" w:lineRule="exact"/>
        <w:rPr>
          <w:sz w:val="20"/>
          <w:szCs w:val="20"/>
          <w:color w:val="auto"/>
        </w:rPr>
      </w:pPr>
    </w:p>
    <w:tbl>
      <w:tblPr>
        <w:tblLayout w:type="fixed"/>
        <w:tblInd w:w="348" w:type="dxa"/>
        <w:tblCellMar>
          <w:top w:w="0" w:type="dxa"/>
          <w:left w:w="0" w:type="dxa"/>
          <w:bottom w:w="0" w:type="dxa"/>
          <w:right w:w="0" w:type="dxa"/>
        </w:tblCellMar>
      </w:tblPr>
      <w:tr>
        <w:trPr>
          <w:trHeight w:val="153"/>
        </w:trPr>
        <w:tc>
          <w:tcPr>
            <w:tcW w:w="3720" w:type="dxa"/>
            <w:vAlign w:val="bottom"/>
          </w:tcPr>
          <w:p>
            <w:pPr>
              <w:spacing w:after="0"/>
              <w:rPr>
                <w:sz w:val="20"/>
                <w:szCs w:val="20"/>
                <w:color w:val="auto"/>
              </w:rPr>
            </w:pPr>
            <w:r>
              <w:rPr>
                <w:rFonts w:ascii="Arial" w:cs="Arial" w:eastAsia="Arial" w:hAnsi="Arial"/>
                <w:sz w:val="12"/>
                <w:szCs w:val="12"/>
                <w:color w:val="auto"/>
              </w:rPr>
              <w:t>Banco de Crédito de Bolivia</w:t>
            </w:r>
          </w:p>
        </w:tc>
        <w:tc>
          <w:tcPr>
            <w:tcW w:w="3380" w:type="dxa"/>
            <w:vAlign w:val="bottom"/>
          </w:tcPr>
          <w:p>
            <w:pPr>
              <w:jc w:val="right"/>
              <w:spacing w:after="0"/>
              <w:rPr>
                <w:sz w:val="20"/>
                <w:szCs w:val="20"/>
                <w:color w:val="auto"/>
              </w:rPr>
            </w:pPr>
            <w:r>
              <w:rPr>
                <w:rFonts w:ascii="Arial" w:cs="Arial" w:eastAsia="Arial" w:hAnsi="Arial"/>
                <w:sz w:val="12"/>
                <w:szCs w:val="12"/>
                <w:color w:val="auto"/>
              </w:rPr>
              <w:t>2011, 2012, 2014 to 2019</w:t>
            </w:r>
          </w:p>
        </w:tc>
      </w:tr>
      <w:tr>
        <w:trPr>
          <w:trHeight w:val="153"/>
        </w:trPr>
        <w:tc>
          <w:tcPr>
            <w:tcW w:w="3720" w:type="dxa"/>
            <w:vAlign w:val="bottom"/>
          </w:tcPr>
          <w:p>
            <w:pPr>
              <w:spacing w:after="0"/>
              <w:rPr>
                <w:sz w:val="20"/>
                <w:szCs w:val="20"/>
                <w:color w:val="auto"/>
              </w:rPr>
            </w:pPr>
            <w:r>
              <w:rPr>
                <w:rFonts w:ascii="Arial" w:cs="Arial" w:eastAsia="Arial" w:hAnsi="Arial"/>
                <w:sz w:val="12"/>
                <w:szCs w:val="12"/>
                <w:color w:val="auto"/>
              </w:rPr>
              <w:t>Credicorp Capital Colombia</w:t>
            </w:r>
          </w:p>
        </w:tc>
        <w:tc>
          <w:tcPr>
            <w:tcW w:w="3380" w:type="dxa"/>
            <w:vAlign w:val="bottom"/>
          </w:tcPr>
          <w:p>
            <w:pPr>
              <w:jc w:val="right"/>
              <w:spacing w:after="0"/>
              <w:rPr>
                <w:sz w:val="20"/>
                <w:szCs w:val="20"/>
                <w:color w:val="auto"/>
              </w:rPr>
            </w:pPr>
            <w:r>
              <w:rPr>
                <w:rFonts w:ascii="Arial" w:cs="Arial" w:eastAsia="Arial" w:hAnsi="Arial"/>
                <w:sz w:val="12"/>
                <w:szCs w:val="12"/>
                <w:color w:val="auto"/>
              </w:rPr>
              <w:t>2016 to 2019</w:t>
            </w:r>
          </w:p>
        </w:tc>
      </w:tr>
      <w:tr>
        <w:trPr>
          <w:trHeight w:val="153"/>
        </w:trPr>
        <w:tc>
          <w:tcPr>
            <w:tcW w:w="3720" w:type="dxa"/>
            <w:vAlign w:val="bottom"/>
          </w:tcPr>
          <w:p>
            <w:pPr>
              <w:spacing w:after="0"/>
              <w:rPr>
                <w:sz w:val="20"/>
                <w:szCs w:val="20"/>
                <w:color w:val="auto"/>
              </w:rPr>
            </w:pPr>
            <w:r>
              <w:rPr>
                <w:rFonts w:ascii="Arial" w:cs="Arial" w:eastAsia="Arial" w:hAnsi="Arial"/>
                <w:sz w:val="12"/>
                <w:szCs w:val="12"/>
                <w:color w:val="auto"/>
              </w:rPr>
              <w:t>Credicorp Capital Holding Chile</w:t>
            </w:r>
          </w:p>
        </w:tc>
        <w:tc>
          <w:tcPr>
            <w:tcW w:w="3380" w:type="dxa"/>
            <w:vAlign w:val="bottom"/>
          </w:tcPr>
          <w:p>
            <w:pPr>
              <w:jc w:val="right"/>
              <w:spacing w:after="0"/>
              <w:rPr>
                <w:sz w:val="20"/>
                <w:szCs w:val="20"/>
                <w:color w:val="auto"/>
              </w:rPr>
            </w:pPr>
            <w:r>
              <w:rPr>
                <w:rFonts w:ascii="Arial" w:cs="Arial" w:eastAsia="Arial" w:hAnsi="Arial"/>
                <w:sz w:val="12"/>
                <w:szCs w:val="12"/>
                <w:color w:val="auto"/>
              </w:rPr>
              <w:t>2018 to 2019</w:t>
            </w:r>
          </w:p>
        </w:tc>
      </w:tr>
    </w:tbl>
    <w:p>
      <w:pPr>
        <w:spacing w:after="0" w:line="144" w:lineRule="exact"/>
        <w:rPr>
          <w:sz w:val="20"/>
          <w:szCs w:val="20"/>
          <w:color w:val="auto"/>
        </w:rPr>
      </w:pPr>
    </w:p>
    <w:p>
      <w:pPr>
        <w:ind w:left="208"/>
        <w:spacing w:after="0" w:line="298" w:lineRule="auto"/>
        <w:rPr>
          <w:sz w:val="20"/>
          <w:szCs w:val="20"/>
          <w:color w:val="auto"/>
        </w:rPr>
      </w:pPr>
      <w:r>
        <w:rPr>
          <w:rFonts w:ascii="Arial" w:cs="Arial" w:eastAsia="Arial" w:hAnsi="Arial"/>
          <w:sz w:val="11"/>
          <w:szCs w:val="11"/>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2019 and 2018.</w:t>
      </w:r>
    </w:p>
    <w:p>
      <w:pPr>
        <w:spacing w:after="0" w:line="101" w:lineRule="exact"/>
        <w:rPr>
          <w:sz w:val="20"/>
          <w:szCs w:val="20"/>
          <w:color w:val="auto"/>
        </w:rPr>
      </w:pPr>
    </w:p>
    <w:p>
      <w:pPr>
        <w:ind w:left="208" w:hanging="208"/>
        <w:spacing w:after="0"/>
        <w:tabs>
          <w:tab w:leader="none" w:pos="208"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 PLANS</w:t>
      </w:r>
    </w:p>
    <w:p>
      <w:pPr>
        <w:spacing w:after="0" w:line="154" w:lineRule="exact"/>
        <w:rPr>
          <w:rFonts w:ascii="Arial" w:cs="Arial" w:eastAsia="Arial" w:hAnsi="Arial"/>
          <w:sz w:val="12"/>
          <w:szCs w:val="12"/>
          <w:b w:val="1"/>
          <w:bCs w:val="1"/>
          <w:color w:val="auto"/>
        </w:rPr>
      </w:pPr>
    </w:p>
    <w:p>
      <w:pPr>
        <w:ind w:left="208" w:right="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As indicated in Note 3(x), in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corresponds to 30 percent of the benefit.</w:t>
      </w:r>
    </w:p>
    <w:p>
      <w:pPr>
        <w:spacing w:after="0" w:line="114" w:lineRule="exact"/>
        <w:rPr>
          <w:rFonts w:ascii="Arial" w:cs="Arial" w:eastAsia="Arial" w:hAnsi="Arial"/>
          <w:sz w:val="12"/>
          <w:szCs w:val="12"/>
          <w:b w:val="1"/>
          <w:bCs w:val="1"/>
          <w:color w:val="auto"/>
        </w:rPr>
      </w:pPr>
    </w:p>
    <w:p>
      <w:pPr>
        <w:ind w:left="208" w:right="4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At December 31, 2019, 2018 and 2017, the Group has granted 116,594, 119,840 and 140,812 Credicorp shares, of which 251,318, 262,428 and 281,162 shares were pending delivery as of December 31, 2019, 2018 and 2017, respectively. During those years, the recorded expense amounted to approximately S/ 120.1 million, S/ 106.9 million and S/ 104.2 million, respectively, see Note 27.</w:t>
      </w:r>
    </w:p>
    <w:p>
      <w:pPr>
        <w:spacing w:after="0" w:line="259" w:lineRule="exact"/>
        <w:rPr>
          <w:rFonts w:ascii="Arial" w:cs="Arial" w:eastAsia="Arial" w:hAnsi="Arial"/>
          <w:sz w:val="12"/>
          <w:szCs w:val="12"/>
          <w:b w:val="1"/>
          <w:bCs w:val="1"/>
          <w:color w:val="auto"/>
        </w:rPr>
      </w:pPr>
    </w:p>
    <w:p>
      <w:pPr>
        <w:ind w:left="5668" w:hanging="79"/>
        <w:spacing w:after="0"/>
        <w:tabs>
          <w:tab w:leader="none" w:pos="566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653"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57"/>
        </w:trPr>
        <w:tc>
          <w:tcPr>
            <w:tcW w:w="8000" w:type="dxa"/>
            <w:vAlign w:val="bottom"/>
            <w:gridSpan w:val="2"/>
          </w:tcPr>
          <w:p>
            <w:pPr>
              <w:spacing w:after="0"/>
              <w:rPr>
                <w:sz w:val="20"/>
                <w:szCs w:val="20"/>
                <w:color w:val="auto"/>
              </w:rPr>
            </w:pPr>
            <w:r>
              <w:rPr>
                <w:rFonts w:ascii="Arial" w:cs="Arial" w:eastAsia="Arial" w:hAnsi="Arial"/>
                <w:sz w:val="12"/>
                <w:szCs w:val="12"/>
                <w:b w:val="1"/>
                <w:bCs w:val="1"/>
                <w:color w:val="auto"/>
              </w:rPr>
              <w:t>21  OFF-BALANCE SHEET ACCOUNTS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8000" w:type="dxa"/>
            <w:vAlign w:val="bottom"/>
            <w:gridSpan w:val="2"/>
          </w:tcPr>
          <w:p>
            <w:pPr>
              <w:ind w:left="200"/>
              <w:spacing w:after="0"/>
              <w:rPr>
                <w:sz w:val="20"/>
                <w:szCs w:val="20"/>
                <w:color w:val="auto"/>
              </w:rPr>
            </w:pPr>
            <w:r>
              <w:rPr>
                <w:rFonts w:ascii="Arial" w:cs="Arial" w:eastAsia="Arial" w:hAnsi="Arial"/>
                <w:sz w:val="12"/>
                <w:szCs w:val="12"/>
                <w:color w:val="auto"/>
              </w:rPr>
              <w:t>a)  This item consists of the following:</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40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1380" w:type="dxa"/>
            <w:vAlign w:val="bottom"/>
          </w:tcPr>
          <w:p>
            <w:pPr>
              <w:jc w:val="right"/>
              <w:ind w:right="40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Contingent credits - indirect loans (b)</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580" w:type="dxa"/>
            <w:vAlign w:val="bottom"/>
          </w:tcPr>
          <w:p>
            <w:pPr>
              <w:ind w:left="120"/>
              <w:spacing w:after="0"/>
              <w:rPr>
                <w:sz w:val="20"/>
                <w:szCs w:val="20"/>
                <w:color w:val="auto"/>
              </w:rPr>
            </w:pPr>
            <w:r>
              <w:rPr>
                <w:rFonts w:ascii="Arial" w:cs="Arial" w:eastAsia="Arial" w:hAnsi="Arial"/>
                <w:sz w:val="12"/>
                <w:szCs w:val="12"/>
                <w:color w:val="auto"/>
              </w:rPr>
              <w:t>Guarantees and standby letters</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18,894,456</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18,874,073</w:t>
            </w:r>
          </w:p>
        </w:tc>
      </w:tr>
      <w:tr>
        <w:trPr>
          <w:trHeight w:val="153"/>
        </w:trPr>
        <w:tc>
          <w:tcPr>
            <w:tcW w:w="420" w:type="dxa"/>
            <w:vAlign w:val="bottom"/>
          </w:tcPr>
          <w:p>
            <w:pPr>
              <w:spacing w:after="0"/>
              <w:rPr>
                <w:sz w:val="13"/>
                <w:szCs w:val="13"/>
                <w:color w:val="auto"/>
              </w:rPr>
            </w:pPr>
          </w:p>
        </w:tc>
        <w:tc>
          <w:tcPr>
            <w:tcW w:w="7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Import and export letters of credit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2,186,579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1,900,198</w:t>
            </w:r>
          </w:p>
        </w:tc>
      </w:tr>
      <w:tr>
        <w:trPr>
          <w:trHeight w:val="133"/>
        </w:trPr>
        <w:tc>
          <w:tcPr>
            <w:tcW w:w="420" w:type="dxa"/>
            <w:vAlign w:val="bottom"/>
          </w:tcPr>
          <w:p>
            <w:pPr>
              <w:spacing w:after="0"/>
              <w:rPr>
                <w:sz w:val="11"/>
                <w:szCs w:val="11"/>
                <w:color w:val="auto"/>
              </w:rPr>
            </w:pPr>
          </w:p>
        </w:tc>
        <w:tc>
          <w:tcPr>
            <w:tcW w:w="7580" w:type="dxa"/>
            <w:vAlign w:val="bottom"/>
          </w:tcPr>
          <w:p>
            <w:pPr>
              <w:spacing w:after="0" w:line="133" w:lineRule="exact"/>
              <w:rPr>
                <w:sz w:val="20"/>
                <w:szCs w:val="20"/>
                <w:color w:val="auto"/>
              </w:rPr>
            </w:pPr>
            <w:r>
              <w:rPr>
                <w:rFonts w:ascii="Arial" w:cs="Arial" w:eastAsia="Arial" w:hAnsi="Arial"/>
                <w:sz w:val="12"/>
                <w:szCs w:val="12"/>
                <w:color w:val="auto"/>
              </w:rPr>
              <w:t>Sub-total, Note 7(b)</w:t>
            </w:r>
          </w:p>
        </w:tc>
        <w:tc>
          <w:tcPr>
            <w:tcW w:w="1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21,081,035</w:t>
            </w:r>
          </w:p>
        </w:tc>
        <w:tc>
          <w:tcPr>
            <w:tcW w:w="220" w:type="dxa"/>
            <w:vAlign w:val="bottom"/>
          </w:tcPr>
          <w:p>
            <w:pPr>
              <w:spacing w:after="0"/>
              <w:rPr>
                <w:sz w:val="11"/>
                <w:szCs w:val="11"/>
                <w:color w:val="auto"/>
              </w:rPr>
            </w:pPr>
          </w:p>
        </w:tc>
        <w:tc>
          <w:tcPr>
            <w:tcW w:w="1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20,774,271</w:t>
            </w:r>
          </w:p>
        </w:tc>
        <w:tc>
          <w:tcPr>
            <w:tcW w:w="1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5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Responsibilities under credit line agreements (c)</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75,615,563</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74,234,033</w:t>
            </w:r>
          </w:p>
        </w:tc>
      </w:tr>
      <w:tr>
        <w:trPr>
          <w:trHeight w:val="133"/>
        </w:trPr>
        <w:tc>
          <w:tcPr>
            <w:tcW w:w="420" w:type="dxa"/>
            <w:vAlign w:val="bottom"/>
          </w:tcPr>
          <w:p>
            <w:pPr>
              <w:spacing w:after="0"/>
              <w:rPr>
                <w:sz w:val="11"/>
                <w:szCs w:val="11"/>
                <w:color w:val="auto"/>
              </w:rPr>
            </w:pPr>
          </w:p>
        </w:tc>
        <w:tc>
          <w:tcPr>
            <w:tcW w:w="75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1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96,696,598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95,008,304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Reference values of operations with derivatives are recorded in off-balance sheet accounts in the committed currency, as shown in Note 13(b).</w:t>
      </w:r>
    </w:p>
    <w:p>
      <w:pPr>
        <w:spacing w:after="0" w:line="150" w:lineRule="exact"/>
        <w:rPr>
          <w:sz w:val="20"/>
          <w:szCs w:val="20"/>
          <w:color w:val="auto"/>
        </w:rPr>
      </w:pPr>
    </w:p>
    <w:p>
      <w:pPr>
        <w:ind w:left="420" w:hanging="212"/>
        <w:spacing w:after="0" w:line="276" w:lineRule="auto"/>
        <w:tabs>
          <w:tab w:leader="none" w:pos="42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14" w:lineRule="exact"/>
        <w:rPr>
          <w:rFonts w:ascii="Arial" w:cs="Arial" w:eastAsia="Arial" w:hAnsi="Arial"/>
          <w:sz w:val="12"/>
          <w:szCs w:val="12"/>
          <w:color w:val="auto"/>
        </w:rPr>
      </w:pPr>
    </w:p>
    <w:p>
      <w:pPr>
        <w:jc w:val="both"/>
        <w:ind w:left="420" w:right="160"/>
        <w:spacing w:after="0" w:line="263" w:lineRule="auto"/>
        <w:rPr>
          <w:rFonts w:ascii="Arial" w:cs="Arial" w:eastAsia="Arial" w:hAnsi="Arial"/>
          <w:sz w:val="12"/>
          <w:szCs w:val="12"/>
          <w:color w:val="auto"/>
        </w:rPr>
      </w:pPr>
      <w:r>
        <w:rPr>
          <w:rFonts w:ascii="Arial" w:cs="Arial" w:eastAsia="Arial" w:hAnsi="Arial"/>
          <w:sz w:val="12"/>
          <w:szCs w:val="12"/>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22" w:lineRule="exact"/>
        <w:rPr>
          <w:rFonts w:ascii="Arial" w:cs="Arial" w:eastAsia="Arial" w:hAnsi="Arial"/>
          <w:sz w:val="12"/>
          <w:szCs w:val="12"/>
          <w:color w:val="auto"/>
        </w:rPr>
      </w:pPr>
    </w:p>
    <w:p>
      <w:pPr>
        <w:ind w:left="420" w:right="320"/>
        <w:spacing w:after="0" w:line="276" w:lineRule="auto"/>
        <w:rPr>
          <w:rFonts w:ascii="Arial" w:cs="Arial" w:eastAsia="Arial" w:hAnsi="Arial"/>
          <w:sz w:val="12"/>
          <w:szCs w:val="12"/>
          <w:color w:val="auto"/>
        </w:rPr>
      </w:pPr>
      <w:r>
        <w:rPr>
          <w:rFonts w:ascii="Arial" w:cs="Arial" w:eastAsia="Arial" w:hAnsi="Arial"/>
          <w:sz w:val="12"/>
          <w:szCs w:val="12"/>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Lines of credit include consumer loans and other consumer loan facilities (credit card receivables) granted to customers and are cancelable upon related notice to the customer.</w:t>
      </w:r>
    </w:p>
    <w:p>
      <w:pPr>
        <w:spacing w:after="0" w:line="294" w:lineRule="exact"/>
        <w:rPr>
          <w:rFonts w:ascii="Arial" w:cs="Arial" w:eastAsia="Arial" w:hAnsi="Arial"/>
          <w:sz w:val="12"/>
          <w:szCs w:val="12"/>
          <w:color w:val="auto"/>
        </w:rPr>
      </w:pPr>
    </w:p>
    <w:p>
      <w:pPr>
        <w:ind w:left="5660" w:hanging="79"/>
        <w:spacing w:after="0"/>
        <w:tabs>
          <w:tab w:leader="none" w:pos="566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60"/>
          </w:cols>
          <w:pgMar w:left="220" w:top="649"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57"/>
        </w:trPr>
        <w:tc>
          <w:tcPr>
            <w:tcW w:w="4660" w:type="dxa"/>
            <w:vAlign w:val="bottom"/>
            <w:gridSpan w:val="2"/>
          </w:tcPr>
          <w:p>
            <w:pPr>
              <w:spacing w:after="0"/>
              <w:rPr>
                <w:sz w:val="20"/>
                <w:szCs w:val="20"/>
                <w:color w:val="auto"/>
              </w:rPr>
            </w:pPr>
            <w:r>
              <w:rPr>
                <w:rFonts w:ascii="Arial" w:cs="Arial" w:eastAsia="Arial" w:hAnsi="Arial"/>
                <w:sz w:val="12"/>
                <w:szCs w:val="12"/>
                <w:b w:val="1"/>
                <w:bCs w:val="1"/>
                <w:color w:val="auto"/>
              </w:rPr>
              <w:t>22  INTEREST, SIMILAR INCOME AND SIMILAR EXPENSES</w:t>
            </w: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660" w:type="dxa"/>
            <w:vAlign w:val="bottom"/>
            <w:gridSpan w:val="2"/>
          </w:tcPr>
          <w:p>
            <w:pPr>
              <w:ind w:left="200"/>
              <w:spacing w:after="0"/>
              <w:rPr>
                <w:sz w:val="20"/>
                <w:szCs w:val="20"/>
                <w:color w:val="auto"/>
              </w:rPr>
            </w:pPr>
            <w:r>
              <w:rPr>
                <w:rFonts w:ascii="Arial" w:cs="Arial" w:eastAsia="Arial" w:hAnsi="Arial"/>
                <w:sz w:val="12"/>
                <w:szCs w:val="12"/>
                <w:color w:val="auto"/>
              </w:rPr>
              <w:t>This item consists of the following:</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20" w:type="dxa"/>
            <w:vAlign w:val="bottom"/>
            <w:gridSpan w:val="2"/>
          </w:tcPr>
          <w:p>
            <w:pPr>
              <w:ind w:left="2180"/>
              <w:spacing w:after="0"/>
              <w:rPr>
                <w:sz w:val="20"/>
                <w:szCs w:val="20"/>
                <w:color w:val="auto"/>
              </w:rPr>
            </w:pPr>
            <w:r>
              <w:rPr>
                <w:rFonts w:ascii="Arial" w:cs="Arial" w:eastAsia="Arial" w:hAnsi="Arial"/>
                <w:sz w:val="12"/>
                <w:szCs w:val="12"/>
                <w:b w:val="1"/>
                <w:bCs w:val="1"/>
                <w:color w:val="auto"/>
              </w:rPr>
              <w:t>2019</w:t>
            </w:r>
          </w:p>
        </w:tc>
        <w:tc>
          <w:tcPr>
            <w:tcW w:w="340" w:type="dxa"/>
            <w:vAlign w:val="bottom"/>
          </w:tcPr>
          <w:p>
            <w:pPr>
              <w:spacing w:after="0"/>
              <w:rPr>
                <w:sz w:val="24"/>
                <w:szCs w:val="24"/>
                <w:color w:val="auto"/>
              </w:rPr>
            </w:pPr>
          </w:p>
        </w:tc>
        <w:tc>
          <w:tcPr>
            <w:tcW w:w="1440" w:type="dxa"/>
            <w:vAlign w:val="bottom"/>
          </w:tcPr>
          <w:p>
            <w:pPr>
              <w:ind w:left="600"/>
              <w:spacing w:after="0"/>
              <w:rPr>
                <w:sz w:val="20"/>
                <w:szCs w:val="20"/>
                <w:color w:val="auto"/>
              </w:rPr>
            </w:pPr>
            <w:r>
              <w:rPr>
                <w:rFonts w:ascii="Arial" w:cs="Arial" w:eastAsia="Arial" w:hAnsi="Arial"/>
                <w:sz w:val="12"/>
                <w:szCs w:val="12"/>
                <w:b w:val="1"/>
                <w:bCs w:val="1"/>
                <w:color w:val="auto"/>
              </w:rPr>
              <w:t>2018</w:t>
            </w:r>
          </w:p>
        </w:tc>
        <w:tc>
          <w:tcPr>
            <w:tcW w:w="340" w:type="dxa"/>
            <w:vAlign w:val="bottom"/>
          </w:tcPr>
          <w:p>
            <w:pPr>
              <w:spacing w:after="0"/>
              <w:rPr>
                <w:sz w:val="24"/>
                <w:szCs w:val="24"/>
                <w:color w:val="auto"/>
              </w:rPr>
            </w:pP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6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rPr>
              <w:t>S/(000)</w:t>
            </w:r>
          </w:p>
        </w:tc>
        <w:tc>
          <w:tcPr>
            <w:tcW w:w="340" w:type="dxa"/>
            <w:vAlign w:val="bottom"/>
          </w:tcPr>
          <w:p>
            <w:pPr>
              <w:spacing w:after="0"/>
              <w:rPr>
                <w:sz w:val="11"/>
                <w:szCs w:val="11"/>
                <w:color w:val="auto"/>
              </w:rPr>
            </w:pPr>
          </w:p>
        </w:tc>
        <w:tc>
          <w:tcPr>
            <w:tcW w:w="1440" w:type="dxa"/>
            <w:vAlign w:val="bottom"/>
            <w:tcBorders>
              <w:top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rPr>
              <w:t>S/(000)</w:t>
            </w:r>
          </w:p>
        </w:tc>
        <w:tc>
          <w:tcPr>
            <w:tcW w:w="340" w:type="dxa"/>
            <w:vAlign w:val="bottom"/>
          </w:tcPr>
          <w:p>
            <w:pPr>
              <w:spacing w:after="0"/>
              <w:rPr>
                <w:sz w:val="11"/>
                <w:szCs w:val="11"/>
                <w:color w:val="auto"/>
              </w:rPr>
            </w:pPr>
          </w:p>
        </w:tc>
        <w:tc>
          <w:tcPr>
            <w:tcW w:w="1440" w:type="dxa"/>
            <w:vAlign w:val="bottom"/>
            <w:tcBorders>
              <w:top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and similar income</w:t>
            </w:r>
          </w:p>
        </w:tc>
        <w:tc>
          <w:tcPr>
            <w:tcW w:w="15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loans</w:t>
            </w:r>
          </w:p>
        </w:tc>
        <w:tc>
          <w:tcPr>
            <w:tcW w:w="3020" w:type="dxa"/>
            <w:vAlign w:val="bottom"/>
            <w:gridSpan w:val="2"/>
          </w:tcPr>
          <w:p>
            <w:pPr>
              <w:jc w:val="right"/>
              <w:spacing w:after="0"/>
              <w:rPr>
                <w:sz w:val="20"/>
                <w:szCs w:val="20"/>
                <w:color w:val="auto"/>
              </w:rPr>
            </w:pPr>
            <w:r>
              <w:rPr>
                <w:rFonts w:ascii="Arial" w:cs="Arial" w:eastAsia="Arial" w:hAnsi="Arial"/>
                <w:sz w:val="12"/>
                <w:szCs w:val="12"/>
                <w:color w:val="auto"/>
              </w:rPr>
              <w:t>10,664,519</w:t>
            </w:r>
          </w:p>
        </w:tc>
        <w:tc>
          <w:tcPr>
            <w:tcW w:w="340" w:type="dxa"/>
            <w:vAlign w:val="bottom"/>
          </w:tcPr>
          <w:p>
            <w:pPr>
              <w:spacing w:after="0"/>
              <w:rPr>
                <w:sz w:val="12"/>
                <w:szCs w:val="12"/>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10,041,097</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9,546,454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Interest on investments at fair value through other comprehensive income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1,070,469</w:t>
            </w:r>
          </w:p>
        </w:tc>
        <w:tc>
          <w:tcPr>
            <w:tcW w:w="3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954,288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available-for-sale investments</w:t>
            </w:r>
          </w:p>
        </w:tc>
        <w:tc>
          <w:tcPr>
            <w:tcW w:w="30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951,981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Interest on investments at amortized cost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194,803</w:t>
            </w:r>
          </w:p>
        </w:tc>
        <w:tc>
          <w:tcPr>
            <w:tcW w:w="3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211,102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held-to-maturity investments</w:t>
            </w:r>
          </w:p>
        </w:tc>
        <w:tc>
          <w:tcPr>
            <w:tcW w:w="30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234,380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Interest on due from banks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320,713</w:t>
            </w:r>
          </w:p>
        </w:tc>
        <w:tc>
          <w:tcPr>
            <w:tcW w:w="3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159,381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88,359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investments at fair value through profit or loss</w:t>
            </w:r>
          </w:p>
        </w:tc>
        <w:tc>
          <w:tcPr>
            <w:tcW w:w="3360" w:type="dxa"/>
            <w:vAlign w:val="bottom"/>
            <w:gridSpan w:val="3"/>
          </w:tcPr>
          <w:p>
            <w:pPr>
              <w:jc w:val="right"/>
              <w:ind w:right="340"/>
              <w:spacing w:after="0"/>
              <w:rPr>
                <w:sz w:val="20"/>
                <w:szCs w:val="20"/>
                <w:color w:val="auto"/>
              </w:rPr>
            </w:pPr>
            <w:r>
              <w:rPr>
                <w:rFonts w:ascii="Arial" w:cs="Arial" w:eastAsia="Arial" w:hAnsi="Arial"/>
                <w:sz w:val="12"/>
                <w:szCs w:val="12"/>
                <w:color w:val="auto"/>
              </w:rPr>
              <w:t>46,170</w:t>
            </w: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87,409</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113,484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Dividends received</w:t>
            </w:r>
          </w:p>
        </w:tc>
        <w:tc>
          <w:tcPr>
            <w:tcW w:w="33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25,259</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24,390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gridSpan w:val="2"/>
          </w:tcPr>
          <w:p>
            <w:pPr>
              <w:ind w:left="200"/>
              <w:spacing w:after="0"/>
              <w:rPr>
                <w:sz w:val="20"/>
                <w:szCs w:val="20"/>
                <w:color w:val="auto"/>
              </w:rPr>
            </w:pPr>
            <w:r>
              <w:rPr>
                <w:rFonts w:ascii="Arial" w:cs="Arial" w:eastAsia="Arial" w:hAnsi="Arial"/>
                <w:sz w:val="12"/>
                <w:szCs w:val="12"/>
                <w:color w:val="auto"/>
              </w:rPr>
              <w:t>Other interest and similar income</w:t>
            </w:r>
          </w:p>
        </w:tc>
        <w:tc>
          <w:tcPr>
            <w:tcW w:w="3360" w:type="dxa"/>
            <w:vAlign w:val="bottom"/>
            <w:gridSpan w:val="3"/>
          </w:tcPr>
          <w:p>
            <w:pPr>
              <w:jc w:val="right"/>
              <w:ind w:right="340"/>
              <w:spacing w:after="0"/>
              <w:rPr>
                <w:sz w:val="20"/>
                <w:szCs w:val="20"/>
                <w:color w:val="auto"/>
              </w:rPr>
            </w:pPr>
            <w:r>
              <w:rPr>
                <w:rFonts w:ascii="Arial" w:cs="Arial" w:eastAsia="Arial" w:hAnsi="Arial"/>
                <w:sz w:val="12"/>
                <w:szCs w:val="12"/>
                <w:color w:val="auto"/>
              </w:rPr>
              <w:t>59,731</w:t>
            </w: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44,967</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43,119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4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156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12,381,664</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11,522,634</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11,030,683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 w:type="dxa"/>
            <w:vAlign w:val="bottom"/>
            <w:vMerge w:val="restart"/>
          </w:tcPr>
          <w:p>
            <w:pPr>
              <w:spacing w:after="0"/>
              <w:rPr>
                <w:sz w:val="12"/>
                <w:szCs w:val="12"/>
                <w:color w:val="auto"/>
              </w:rPr>
            </w:pPr>
          </w:p>
        </w:tc>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and similar expense</w:t>
            </w:r>
          </w:p>
        </w:tc>
        <w:tc>
          <w:tcPr>
            <w:tcW w:w="15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deposits and obligations</w:t>
            </w:r>
          </w:p>
        </w:tc>
        <w:tc>
          <w:tcPr>
            <w:tcW w:w="3360" w:type="dxa"/>
            <w:vAlign w:val="bottom"/>
            <w:gridSpan w:val="3"/>
          </w:tcPr>
          <w:p>
            <w:pPr>
              <w:jc w:val="right"/>
              <w:ind w:right="300"/>
              <w:spacing w:after="0"/>
              <w:rPr>
                <w:sz w:val="20"/>
                <w:szCs w:val="20"/>
                <w:color w:val="auto"/>
              </w:rPr>
            </w:pPr>
            <w:r>
              <w:rPr>
                <w:rFonts w:ascii="Arial" w:cs="Arial" w:eastAsia="Arial" w:hAnsi="Arial"/>
                <w:sz w:val="12"/>
                <w:szCs w:val="12"/>
                <w:color w:val="auto"/>
              </w:rPr>
              <w:t>(1,458,910)</w:t>
            </w:r>
          </w:p>
        </w:tc>
        <w:tc>
          <w:tcPr>
            <w:tcW w:w="1780" w:type="dxa"/>
            <w:vAlign w:val="bottom"/>
            <w:gridSpan w:val="2"/>
          </w:tcPr>
          <w:p>
            <w:pPr>
              <w:jc w:val="right"/>
              <w:ind w:right="300"/>
              <w:spacing w:after="0"/>
              <w:rPr>
                <w:sz w:val="20"/>
                <w:szCs w:val="20"/>
                <w:color w:val="auto"/>
              </w:rPr>
            </w:pPr>
            <w:r>
              <w:rPr>
                <w:rFonts w:ascii="Arial" w:cs="Arial" w:eastAsia="Arial" w:hAnsi="Arial"/>
                <w:sz w:val="12"/>
                <w:szCs w:val="12"/>
                <w:color w:val="auto"/>
              </w:rPr>
              <w:t>(1,202,025)</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(1,132,041)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Interest on bonds and notes issued</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(900,172)</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(911,006)</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(835,255)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due to banks and correspondents</w:t>
            </w:r>
          </w:p>
        </w:tc>
        <w:tc>
          <w:tcPr>
            <w:tcW w:w="3360" w:type="dxa"/>
            <w:vAlign w:val="bottom"/>
            <w:gridSpan w:val="3"/>
          </w:tcPr>
          <w:p>
            <w:pPr>
              <w:jc w:val="right"/>
              <w:ind w:right="300"/>
              <w:spacing w:after="0"/>
              <w:rPr>
                <w:sz w:val="20"/>
                <w:szCs w:val="20"/>
                <w:color w:val="auto"/>
              </w:rPr>
            </w:pPr>
            <w:r>
              <w:rPr>
                <w:rFonts w:ascii="Arial" w:cs="Arial" w:eastAsia="Arial" w:hAnsi="Arial"/>
                <w:sz w:val="12"/>
                <w:szCs w:val="12"/>
                <w:color w:val="auto"/>
              </w:rPr>
              <w:t>(590,908)</w:t>
            </w:r>
          </w:p>
        </w:tc>
        <w:tc>
          <w:tcPr>
            <w:tcW w:w="1780" w:type="dxa"/>
            <w:vAlign w:val="bottom"/>
            <w:gridSpan w:val="2"/>
          </w:tcPr>
          <w:p>
            <w:pPr>
              <w:jc w:val="right"/>
              <w:ind w:right="300"/>
              <w:spacing w:after="0"/>
              <w:rPr>
                <w:sz w:val="20"/>
                <w:szCs w:val="20"/>
                <w:color w:val="auto"/>
              </w:rPr>
            </w:pPr>
            <w:r>
              <w:rPr>
                <w:rFonts w:ascii="Arial" w:cs="Arial" w:eastAsia="Arial" w:hAnsi="Arial"/>
                <w:sz w:val="12"/>
                <w:szCs w:val="12"/>
                <w:color w:val="auto"/>
              </w:rPr>
              <w:t>(623,001)</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(763,436)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Deposit Insurance Fund</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(151,626)</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(140,184)</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(128,625)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Interest on rental income</w:t>
            </w:r>
          </w:p>
        </w:tc>
        <w:tc>
          <w:tcPr>
            <w:tcW w:w="3360" w:type="dxa"/>
            <w:vAlign w:val="bottom"/>
            <w:gridSpan w:val="3"/>
          </w:tcPr>
          <w:p>
            <w:pPr>
              <w:jc w:val="right"/>
              <w:ind w:right="300"/>
              <w:spacing w:after="0"/>
              <w:rPr>
                <w:sz w:val="20"/>
                <w:szCs w:val="20"/>
                <w:color w:val="auto"/>
              </w:rPr>
            </w:pPr>
            <w:r>
              <w:rPr>
                <w:rFonts w:ascii="Arial" w:cs="Arial" w:eastAsia="Arial" w:hAnsi="Arial"/>
                <w:sz w:val="12"/>
                <w:szCs w:val="12"/>
                <w:color w:val="auto"/>
              </w:rPr>
              <w:t>(37,438)</w:t>
            </w: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and similar expense</w:t>
            </w:r>
          </w:p>
        </w:tc>
        <w:tc>
          <w:tcPr>
            <w:tcW w:w="156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(151,813)</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(157,313)</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(99,839)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Total</w:t>
            </w:r>
          </w:p>
        </w:tc>
        <w:tc>
          <w:tcPr>
            <w:tcW w:w="1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2"/>
                <w:szCs w:val="12"/>
                <w:color w:val="auto"/>
              </w:rPr>
              <w:t>(3,290,867)</w:t>
            </w:r>
          </w:p>
        </w:tc>
        <w:tc>
          <w:tcPr>
            <w:tcW w:w="1780" w:type="dxa"/>
            <w:vAlign w:val="bottom"/>
            <w:gridSpan w:val="2"/>
          </w:tcPr>
          <w:p>
            <w:pPr>
              <w:jc w:val="right"/>
              <w:ind w:right="300"/>
              <w:spacing w:after="0"/>
              <w:rPr>
                <w:sz w:val="20"/>
                <w:szCs w:val="20"/>
                <w:color w:val="auto"/>
              </w:rPr>
            </w:pPr>
            <w:r>
              <w:rPr>
                <w:rFonts w:ascii="Arial" w:cs="Arial" w:eastAsia="Arial" w:hAnsi="Arial"/>
                <w:sz w:val="12"/>
                <w:szCs w:val="12"/>
                <w:color w:val="auto"/>
              </w:rPr>
              <w:t>(3,033,529)</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(2,959,196)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- 120 -</w:t>
            </w:r>
          </w:p>
        </w:tc>
        <w:tc>
          <w:tcPr>
            <w:tcW w:w="14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0" w:type="dxa"/>
            <w:vAlign w:val="bottom"/>
            <w:gridSpan w:val="3"/>
          </w:tcPr>
          <w:p>
            <w:pPr>
              <w:spacing w:after="0"/>
              <w:rPr>
                <w:sz w:val="20"/>
                <w:szCs w:val="20"/>
                <w:color w:val="auto"/>
              </w:rPr>
            </w:pPr>
            <w:r>
              <w:rPr>
                <w:rFonts w:ascii="Arial" w:cs="Arial" w:eastAsia="Arial" w:hAnsi="Arial"/>
                <w:sz w:val="12"/>
                <w:szCs w:val="12"/>
                <w:b w:val="1"/>
                <w:bCs w:val="1"/>
                <w:color w:val="auto"/>
              </w:rPr>
              <w:t>23  COMMISSIONS AND FEES</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This item consists of the following:</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00" w:type="dxa"/>
            <w:vAlign w:val="bottom"/>
            <w:gridSpan w:val="3"/>
          </w:tcPr>
          <w:p>
            <w:pPr>
              <w:ind w:left="6840"/>
              <w:spacing w:after="0"/>
              <w:rPr>
                <w:sz w:val="20"/>
                <w:szCs w:val="20"/>
                <w:color w:val="auto"/>
              </w:rPr>
            </w:pPr>
            <w:r>
              <w:rPr>
                <w:rFonts w:ascii="Arial" w:cs="Arial" w:eastAsia="Arial" w:hAnsi="Arial"/>
                <w:sz w:val="12"/>
                <w:szCs w:val="12"/>
                <w:b w:val="1"/>
                <w:bCs w:val="1"/>
                <w:color w:val="auto"/>
              </w:rPr>
              <w:t>2019</w:t>
            </w:r>
          </w:p>
        </w:tc>
        <w:tc>
          <w:tcPr>
            <w:tcW w:w="1780" w:type="dxa"/>
            <w:vAlign w:val="bottom"/>
            <w:gridSpan w:val="3"/>
          </w:tcPr>
          <w:p>
            <w:pPr>
              <w:ind w:left="14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ind w:left="60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8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ind w:left="58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Maintenance of accounts, transfers and credit and debit card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1,148,515</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6"/>
              </w:rPr>
              <w:t>1,214,365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1,251,935</w:t>
            </w: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Funds and equity management</w:t>
            </w:r>
          </w:p>
        </w:tc>
        <w:tc>
          <w:tcPr>
            <w:tcW w:w="480" w:type="dxa"/>
            <w:vAlign w:val="bottom"/>
          </w:tcPr>
          <w:p>
            <w:pPr>
              <w:jc w:val="right"/>
              <w:spacing w:after="0"/>
              <w:rPr>
                <w:sz w:val="20"/>
                <w:szCs w:val="20"/>
                <w:color w:val="auto"/>
              </w:rPr>
            </w:pPr>
            <w:r>
              <w:rPr>
                <w:rFonts w:ascii="Arial" w:cs="Arial" w:eastAsia="Arial" w:hAnsi="Arial"/>
                <w:sz w:val="12"/>
                <w:szCs w:val="12"/>
                <w:color w:val="auto"/>
              </w:rPr>
              <w:t>681,072</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644,038</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505,215</w:t>
            </w: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Contingent loans and foreign trade fees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372,647</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360,798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279,211</w:t>
            </w: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Commissions for banking services</w:t>
            </w:r>
          </w:p>
        </w:tc>
        <w:tc>
          <w:tcPr>
            <w:tcW w:w="480" w:type="dxa"/>
            <w:vAlign w:val="bottom"/>
          </w:tcPr>
          <w:p>
            <w:pPr>
              <w:jc w:val="right"/>
              <w:spacing w:after="0"/>
              <w:rPr>
                <w:sz w:val="20"/>
                <w:szCs w:val="20"/>
                <w:color w:val="auto"/>
              </w:rPr>
            </w:pPr>
            <w:r>
              <w:rPr>
                <w:rFonts w:ascii="Arial" w:cs="Arial" w:eastAsia="Arial" w:hAnsi="Arial"/>
                <w:sz w:val="12"/>
                <w:szCs w:val="12"/>
                <w:color w:val="auto"/>
              </w:rPr>
              <w:t>278,993</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270,784</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290,855</w:t>
            </w: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Collection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364,456</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234,754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235,369</w:t>
            </w: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Brokerage, securities and custody services</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78,737</w:t>
            </w: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108,333</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142,288</w:t>
            </w: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Penalty commissions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84,757</w:t>
            </w: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71,049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49,350</w:t>
            </w:r>
          </w:p>
        </w:tc>
      </w:tr>
      <w:tr>
        <w:trPr>
          <w:trHeight w:val="153"/>
        </w:trPr>
        <w:tc>
          <w:tcPr>
            <w:tcW w:w="200" w:type="dxa"/>
            <w:vAlign w:val="bottom"/>
          </w:tcPr>
          <w:p>
            <w:pPr>
              <w:spacing w:after="0"/>
              <w:rPr>
                <w:sz w:val="13"/>
                <w:szCs w:val="13"/>
                <w:color w:val="auto"/>
              </w:rPr>
            </w:pPr>
          </w:p>
        </w:tc>
        <w:tc>
          <w:tcPr>
            <w:tcW w:w="6020" w:type="dxa"/>
            <w:vAlign w:val="bottom"/>
          </w:tcPr>
          <w:p>
            <w:pPr>
              <w:spacing w:after="0"/>
              <w:rPr>
                <w:sz w:val="20"/>
                <w:szCs w:val="20"/>
                <w:color w:val="auto"/>
              </w:rPr>
            </w:pPr>
            <w:r>
              <w:rPr>
                <w:rFonts w:ascii="Arial" w:cs="Arial" w:eastAsia="Arial" w:hAnsi="Arial"/>
                <w:sz w:val="12"/>
                <w:szCs w:val="12"/>
                <w:color w:val="auto"/>
              </w:rPr>
              <w:t>Others</w:t>
            </w: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223,604</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222,736</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157,185</w:t>
            </w: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3,232,781</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3,126,857</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2,911,408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86"/>
        </w:trPr>
        <w:tc>
          <w:tcPr>
            <w:tcW w:w="7200" w:type="dxa"/>
            <w:vAlign w:val="bottom"/>
            <w:gridSpan w:val="3"/>
          </w:tcPr>
          <w:p>
            <w:pPr>
              <w:spacing w:after="0"/>
              <w:rPr>
                <w:sz w:val="20"/>
                <w:szCs w:val="20"/>
                <w:color w:val="auto"/>
              </w:rPr>
            </w:pPr>
            <w:r>
              <w:rPr>
                <w:rFonts w:ascii="Arial" w:cs="Arial" w:eastAsia="Arial" w:hAnsi="Arial"/>
                <w:sz w:val="12"/>
                <w:szCs w:val="12"/>
                <w:b w:val="1"/>
                <w:bCs w:val="1"/>
                <w:color w:val="auto"/>
              </w:rPr>
              <w:t>24  NET GAIN ON SECURITIES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This item consists of the following:</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00" w:type="dxa"/>
            <w:vAlign w:val="bottom"/>
            <w:gridSpan w:val="3"/>
          </w:tcPr>
          <w:p>
            <w:pPr>
              <w:ind w:left="6840"/>
              <w:spacing w:after="0"/>
              <w:rPr>
                <w:sz w:val="20"/>
                <w:szCs w:val="20"/>
                <w:color w:val="auto"/>
              </w:rPr>
            </w:pPr>
            <w:r>
              <w:rPr>
                <w:rFonts w:ascii="Arial" w:cs="Arial" w:eastAsia="Arial" w:hAnsi="Arial"/>
                <w:sz w:val="12"/>
                <w:szCs w:val="12"/>
                <w:b w:val="1"/>
                <w:bCs w:val="1"/>
                <w:color w:val="auto"/>
              </w:rPr>
              <w:t>2019</w:t>
            </w:r>
          </w:p>
        </w:tc>
        <w:tc>
          <w:tcPr>
            <w:tcW w:w="1780" w:type="dxa"/>
            <w:vAlign w:val="bottom"/>
            <w:gridSpan w:val="3"/>
          </w:tcPr>
          <w:p>
            <w:pPr>
              <w:ind w:left="14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ind w:left="60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8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ind w:left="58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gain on the purchase and sale of securities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317,862</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135,253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658,495</w:t>
            </w: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Net gain in associates (*)</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79,844</w:t>
            </w: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72,254</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49,268</w:t>
            </w: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gain on financial assets at fair value through profit or loss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147,582</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33,333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54,019</w:t>
            </w: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Recovery of credit loss for investments at fair value through other comprehensive income, Note 6(b)</w:t>
            </w:r>
          </w:p>
        </w:tc>
        <w:tc>
          <w:tcPr>
            <w:tcW w:w="480" w:type="dxa"/>
            <w:vAlign w:val="bottom"/>
          </w:tcPr>
          <w:p>
            <w:pPr>
              <w:jc w:val="right"/>
              <w:spacing w:after="0"/>
              <w:rPr>
                <w:sz w:val="20"/>
                <w:szCs w:val="20"/>
                <w:color w:val="auto"/>
              </w:rPr>
            </w:pPr>
            <w:r>
              <w:rPr>
                <w:rFonts w:ascii="Arial" w:cs="Arial" w:eastAsia="Arial" w:hAnsi="Arial"/>
                <w:sz w:val="12"/>
                <w:szCs w:val="12"/>
                <w:color w:val="auto"/>
              </w:rPr>
              <w:t>745</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1,909</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Credit loss on investments available-for-sale</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(766)</w:t>
            </w:r>
          </w:p>
        </w:tc>
      </w:tr>
      <w:tr>
        <w:trPr>
          <w:trHeight w:val="153"/>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Others</w:t>
            </w:r>
          </w:p>
        </w:tc>
        <w:tc>
          <w:tcPr>
            <w:tcW w:w="480" w:type="dxa"/>
            <w:vAlign w:val="bottom"/>
          </w:tcPr>
          <w:p>
            <w:pPr>
              <w:jc w:val="right"/>
              <w:spacing w:after="0"/>
              <w:rPr>
                <w:sz w:val="20"/>
                <w:szCs w:val="20"/>
                <w:color w:val="auto"/>
              </w:rPr>
            </w:pPr>
            <w:r>
              <w:rPr>
                <w:rFonts w:ascii="Arial" w:cs="Arial" w:eastAsia="Arial" w:hAnsi="Arial"/>
                <w:sz w:val="12"/>
                <w:szCs w:val="12"/>
                <w:color w:val="auto"/>
              </w:rPr>
              <w:t>781</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80</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(244)</w:t>
            </w: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546,814</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242,829</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760,772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35" w:lineRule="exact"/>
        <w:rPr>
          <w:sz w:val="20"/>
          <w:szCs w:val="20"/>
          <w:color w:val="auto"/>
        </w:rPr>
      </w:pPr>
    </w:p>
    <w:p>
      <w:pPr>
        <w:ind w:left="380" w:hanging="172"/>
        <w:spacing w:after="0"/>
        <w:tabs>
          <w:tab w:leader="none" w:pos="3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It mainly includes the gain of its associated “Entidad Prestadora de Salud” for approximately S/53.6 million during the year 2019 (S/50.4 million during the year 2018).</w:t>
      </w:r>
    </w:p>
    <w:p>
      <w:pPr>
        <w:spacing w:after="0" w:line="294" w:lineRule="exact"/>
        <w:rPr>
          <w:rFonts w:ascii="Arial" w:cs="Arial" w:eastAsia="Arial" w:hAnsi="Arial"/>
          <w:sz w:val="12"/>
          <w:szCs w:val="12"/>
          <w:color w:val="auto"/>
        </w:rPr>
      </w:pPr>
    </w:p>
    <w:p>
      <w:pPr>
        <w:ind w:left="5640" w:hanging="62"/>
        <w:spacing w:after="0"/>
        <w:tabs>
          <w:tab w:leader="none" w:pos="5640" w:val="left"/>
        </w:tabs>
        <w:numPr>
          <w:ilvl w:val="1"/>
          <w:numId w:val="141"/>
        </w:numPr>
        <w:rPr>
          <w:rFonts w:ascii="Arial" w:cs="Arial" w:eastAsia="Arial" w:hAnsi="Arial"/>
          <w:sz w:val="12"/>
          <w:szCs w:val="12"/>
          <w:color w:val="auto"/>
        </w:rPr>
      </w:pPr>
      <w:r>
        <w:rPr>
          <w:rFonts w:ascii="Arial" w:cs="Arial" w:eastAsia="Arial" w:hAnsi="Arial"/>
          <w:sz w:val="12"/>
          <w:szCs w:val="12"/>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20" w:top="649" w:right="33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b w:val="1"/>
          <w:bCs w:val="1"/>
          <w:color w:val="auto"/>
        </w:rPr>
        <w:t>25  NET PREMIUMS EARNED</w:t>
      </w:r>
    </w:p>
    <w:p>
      <w:pPr>
        <w:spacing w:after="0" w:line="154"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a)</w:t>
        <w:tab/>
        <w:t>This item consists of the following:</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2"/>
          </w:tcPr>
          <w:p>
            <w:pPr>
              <w:ind w:left="420"/>
              <w:spacing w:after="0"/>
              <w:rPr>
                <w:sz w:val="20"/>
                <w:szCs w:val="20"/>
                <w:color w:val="auto"/>
              </w:rPr>
            </w:pPr>
            <w:r>
              <w:rPr>
                <w:rFonts w:ascii="Arial" w:cs="Arial" w:eastAsia="Arial" w:hAnsi="Arial"/>
                <w:sz w:val="8"/>
                <w:szCs w:val="8"/>
                <w:b w:val="1"/>
                <w:bCs w:val="1"/>
                <w:color w:val="auto"/>
              </w:rPr>
              <w:t>Results of</w:t>
            </w: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2"/>
          </w:tcPr>
          <w:p>
            <w:pPr>
              <w:ind w:left="340"/>
              <w:spacing w:after="0" w:line="90" w:lineRule="exact"/>
              <w:rPr>
                <w:sz w:val="20"/>
                <w:szCs w:val="20"/>
                <w:color w:val="auto"/>
              </w:rPr>
            </w:pPr>
            <w:r>
              <w:rPr>
                <w:rFonts w:ascii="Arial" w:cs="Arial" w:eastAsia="Arial" w:hAnsi="Arial"/>
                <w:sz w:val="8"/>
                <w:szCs w:val="8"/>
                <w:b w:val="1"/>
                <w:bCs w:val="1"/>
                <w:color w:val="auto"/>
              </w:rPr>
              <w:t>financial assets</w:t>
            </w: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designated at fair</w:t>
            </w: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3"/>
              </w:rPr>
              <w:t>Premiums ceded</w:t>
            </w:r>
          </w:p>
        </w:tc>
        <w:tc>
          <w:tcPr>
            <w:tcW w:w="1540" w:type="dxa"/>
            <w:vAlign w:val="bottom"/>
            <w:gridSpan w:val="2"/>
          </w:tcPr>
          <w:p>
            <w:pPr>
              <w:ind w:left="340"/>
              <w:spacing w:after="0" w:line="90" w:lineRule="exact"/>
              <w:rPr>
                <w:sz w:val="20"/>
                <w:szCs w:val="20"/>
                <w:color w:val="auto"/>
              </w:rPr>
            </w:pPr>
            <w:r>
              <w:rPr>
                <w:rFonts w:ascii="Arial" w:cs="Arial" w:eastAsia="Arial" w:hAnsi="Arial"/>
                <w:sz w:val="8"/>
                <w:szCs w:val="8"/>
                <w:b w:val="1"/>
                <w:bCs w:val="1"/>
                <w:color w:val="auto"/>
              </w:rPr>
              <w:t>value through</w:t>
            </w:r>
          </w:p>
        </w:tc>
        <w:tc>
          <w:tcPr>
            <w:tcW w:w="1320" w:type="dxa"/>
            <w:vAlign w:val="bottom"/>
            <w:gridSpan w:val="2"/>
          </w:tcPr>
          <w:p>
            <w:pPr>
              <w:ind w:left="420"/>
              <w:spacing w:after="0" w:line="90" w:lineRule="exact"/>
              <w:rPr>
                <w:sz w:val="20"/>
                <w:szCs w:val="20"/>
                <w:color w:val="auto"/>
              </w:rPr>
            </w:pPr>
            <w:r>
              <w:rPr>
                <w:rFonts w:ascii="Arial" w:cs="Arial" w:eastAsia="Arial" w:hAnsi="Arial"/>
                <w:sz w:val="8"/>
                <w:szCs w:val="8"/>
                <w:b w:val="1"/>
                <w:bCs w:val="1"/>
                <w:color w:val="auto"/>
              </w:rPr>
              <w:t>Total Net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Gross written</w:t>
            </w: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jc w:val="center"/>
              <w:ind w:left="258"/>
              <w:spacing w:after="0" w:line="90" w:lineRule="exact"/>
              <w:rPr>
                <w:sz w:val="20"/>
                <w:szCs w:val="20"/>
                <w:color w:val="auto"/>
              </w:rPr>
            </w:pPr>
            <w:r>
              <w:rPr>
                <w:rFonts w:ascii="Arial" w:cs="Arial" w:eastAsia="Arial" w:hAnsi="Arial"/>
                <w:sz w:val="8"/>
                <w:szCs w:val="8"/>
                <w:b w:val="1"/>
                <w:bCs w:val="1"/>
                <w:color w:val="auto"/>
                <w:w w:val="91"/>
              </w:rPr>
              <w:t>Technical reserve</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80" w:type="dxa"/>
            <w:vAlign w:val="bottom"/>
            <w:gridSpan w:val="2"/>
          </w:tcPr>
          <w:p>
            <w:pPr>
              <w:jc w:val="right"/>
              <w:ind w:right="760"/>
              <w:spacing w:after="0" w:line="90" w:lineRule="exact"/>
              <w:rPr>
                <w:sz w:val="20"/>
                <w:szCs w:val="20"/>
                <w:color w:val="auto"/>
              </w:rPr>
            </w:pPr>
            <w:r>
              <w:rPr>
                <w:rFonts w:ascii="Arial" w:cs="Arial" w:eastAsia="Arial" w:hAnsi="Arial"/>
                <w:sz w:val="8"/>
                <w:szCs w:val="8"/>
                <w:b w:val="1"/>
                <w:bCs w:val="1"/>
                <w:color w:val="auto"/>
              </w:rPr>
              <w:t>Total gross</w:t>
            </w:r>
          </w:p>
        </w:tc>
        <w:tc>
          <w:tcPr>
            <w:tcW w:w="15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4"/>
              </w:rPr>
              <w:t>to reinsurers and</w:t>
            </w:r>
          </w:p>
        </w:tc>
        <w:tc>
          <w:tcPr>
            <w:tcW w:w="1540" w:type="dxa"/>
            <w:vAlign w:val="bottom"/>
            <w:gridSpan w:val="2"/>
          </w:tcPr>
          <w:p>
            <w:pPr>
              <w:ind w:left="320"/>
              <w:spacing w:after="0" w:line="90" w:lineRule="exact"/>
              <w:rPr>
                <w:sz w:val="20"/>
                <w:szCs w:val="20"/>
                <w:color w:val="auto"/>
              </w:rPr>
            </w:pPr>
            <w:r>
              <w:rPr>
                <w:rFonts w:ascii="Arial" w:cs="Arial" w:eastAsia="Arial" w:hAnsi="Arial"/>
                <w:sz w:val="8"/>
                <w:szCs w:val="8"/>
                <w:b w:val="1"/>
                <w:bCs w:val="1"/>
                <w:color w:val="auto"/>
              </w:rPr>
              <w:t>profit and loss,</w:t>
            </w:r>
          </w:p>
        </w:tc>
        <w:tc>
          <w:tcPr>
            <w:tcW w:w="1320" w:type="dxa"/>
            <w:vAlign w:val="bottom"/>
            <w:gridSpan w:val="2"/>
          </w:tcPr>
          <w:p>
            <w:pPr>
              <w:jc w:val="right"/>
              <w:ind w:right="540"/>
              <w:spacing w:after="0" w:line="90" w:lineRule="exact"/>
              <w:rPr>
                <w:sz w:val="20"/>
                <w:szCs w:val="20"/>
                <w:color w:val="auto"/>
              </w:rPr>
            </w:pPr>
            <w:r>
              <w:rPr>
                <w:rFonts w:ascii="Arial" w:cs="Arial" w:eastAsia="Arial" w:hAnsi="Arial"/>
                <w:sz w:val="8"/>
                <w:szCs w:val="8"/>
                <w:b w:val="1"/>
                <w:bCs w:val="1"/>
                <w:color w:val="auto"/>
              </w:rPr>
              <w:t>premiums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80" w:type="dxa"/>
            <w:vAlign w:val="bottom"/>
          </w:tcPr>
          <w:p>
            <w:pPr>
              <w:jc w:val="right"/>
              <w:ind w:right="38"/>
              <w:spacing w:after="0"/>
              <w:rPr>
                <w:sz w:val="20"/>
                <w:szCs w:val="20"/>
                <w:color w:val="auto"/>
              </w:rPr>
            </w:pPr>
            <w:r>
              <w:rPr>
                <w:rFonts w:ascii="Arial" w:cs="Arial" w:eastAsia="Arial" w:hAnsi="Arial"/>
                <w:sz w:val="8"/>
                <w:szCs w:val="8"/>
                <w:b w:val="1"/>
                <w:bCs w:val="1"/>
                <w:color w:val="auto"/>
              </w:rPr>
              <w:t>premiums</w:t>
            </w: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jc w:val="center"/>
              <w:ind w:left="258"/>
              <w:spacing w:after="0"/>
              <w:rPr>
                <w:sz w:val="20"/>
                <w:szCs w:val="20"/>
                <w:color w:val="auto"/>
              </w:rPr>
            </w:pPr>
            <w:r>
              <w:rPr>
                <w:rFonts w:ascii="Arial" w:cs="Arial" w:eastAsia="Arial" w:hAnsi="Arial"/>
                <w:sz w:val="8"/>
                <w:szCs w:val="8"/>
                <w:b w:val="1"/>
                <w:bCs w:val="1"/>
                <w:color w:val="auto"/>
                <w:w w:val="98"/>
              </w:rPr>
              <w:t>adjustment</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8"/>
                <w:szCs w:val="8"/>
                <w:b w:val="1"/>
                <w:bCs w:val="1"/>
                <w:color w:val="auto"/>
              </w:rPr>
              <w:t>written premiums (*)</w:t>
            </w:r>
          </w:p>
        </w:tc>
        <w:tc>
          <w:tcPr>
            <w:tcW w:w="154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co-insurers, net (**)</w:t>
            </w:r>
          </w:p>
        </w:tc>
        <w:tc>
          <w:tcPr>
            <w:tcW w:w="154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Note 8</w:t>
            </w:r>
          </w:p>
        </w:tc>
        <w:tc>
          <w:tcPr>
            <w:tcW w:w="1320" w:type="dxa"/>
            <w:vAlign w:val="bottom"/>
            <w:gridSpan w:val="2"/>
          </w:tcPr>
          <w:p>
            <w:pPr>
              <w:ind w:left="480"/>
              <w:spacing w:after="0"/>
              <w:rPr>
                <w:sz w:val="20"/>
                <w:szCs w:val="20"/>
                <w:color w:val="auto"/>
              </w:rPr>
            </w:pPr>
            <w:r>
              <w:rPr>
                <w:rFonts w:ascii="Arial" w:cs="Arial" w:eastAsia="Arial" w:hAnsi="Arial"/>
                <w:sz w:val="8"/>
                <w:szCs w:val="8"/>
                <w:b w:val="1"/>
                <w:bCs w:val="1"/>
                <w:color w:val="auto"/>
              </w:rPr>
              <w:t>earned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80" w:type="dxa"/>
            <w:vAlign w:val="bottom"/>
            <w:tcBorders>
              <w:top w:val="single" w:sz="8" w:color="auto"/>
            </w:tcBorders>
          </w:tcPr>
          <w:p>
            <w:pPr>
              <w:jc w:val="right"/>
              <w:ind w:right="38"/>
              <w:spacing w:after="0" w:line="79" w:lineRule="exact"/>
              <w:rPr>
                <w:sz w:val="20"/>
                <w:szCs w:val="20"/>
                <w:color w:val="auto"/>
              </w:rPr>
            </w:pPr>
            <w:r>
              <w:rPr>
                <w:rFonts w:ascii="Arial" w:cs="Arial" w:eastAsia="Arial" w:hAnsi="Arial"/>
                <w:sz w:val="8"/>
                <w:szCs w:val="8"/>
                <w:b w:val="1"/>
                <w:bCs w:val="1"/>
                <w:color w:val="auto"/>
              </w:rPr>
              <w:t>S/(000)</w:t>
            </w:r>
          </w:p>
        </w:tc>
        <w:tc>
          <w:tcPr>
            <w:tcW w:w="3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Borders>
              <w:top w:val="single" w:sz="8" w:color="auto"/>
            </w:tcBorders>
          </w:tcPr>
          <w:p>
            <w:pPr>
              <w:ind w:left="540"/>
              <w:spacing w:after="0" w:line="79" w:lineRule="exact"/>
              <w:rPr>
                <w:sz w:val="20"/>
                <w:szCs w:val="20"/>
                <w:color w:val="auto"/>
              </w:rPr>
            </w:pPr>
            <w:r>
              <w:rPr>
                <w:rFonts w:ascii="Arial" w:cs="Arial" w:eastAsia="Arial" w:hAnsi="Arial"/>
                <w:sz w:val="8"/>
                <w:szCs w:val="8"/>
                <w:b w:val="1"/>
                <w:bCs w:val="1"/>
                <w:color w:val="auto"/>
              </w:rPr>
              <w:t>S/(000)</w:t>
            </w:r>
          </w:p>
        </w:tc>
        <w:tc>
          <w:tcPr>
            <w:tcW w:w="3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Borders>
              <w:top w:val="single" w:sz="8" w:color="auto"/>
            </w:tcBorders>
          </w:tcPr>
          <w:p>
            <w:pPr>
              <w:jc w:val="right"/>
              <w:ind w:right="378"/>
              <w:spacing w:after="0" w:line="79" w:lineRule="exact"/>
              <w:rPr>
                <w:sz w:val="20"/>
                <w:szCs w:val="20"/>
                <w:color w:val="auto"/>
              </w:rPr>
            </w:pPr>
            <w:r>
              <w:rPr>
                <w:rFonts w:ascii="Arial" w:cs="Arial" w:eastAsia="Arial" w:hAnsi="Arial"/>
                <w:sz w:val="8"/>
                <w:szCs w:val="8"/>
                <w:b w:val="1"/>
                <w:bCs w:val="1"/>
                <w:color w:val="auto"/>
              </w:rPr>
              <w:t>S/(000)</w:t>
            </w:r>
          </w:p>
        </w:tc>
        <w:tc>
          <w:tcPr>
            <w:tcW w:w="340" w:type="dxa"/>
            <w:vAlign w:val="bottom"/>
          </w:tcPr>
          <w:p>
            <w:pPr>
              <w:spacing w:after="0"/>
              <w:rPr>
                <w:sz w:val="6"/>
                <w:szCs w:val="6"/>
                <w:color w:val="auto"/>
              </w:rPr>
            </w:pPr>
          </w:p>
        </w:tc>
        <w:tc>
          <w:tcPr>
            <w:tcW w:w="1220" w:type="dxa"/>
            <w:vAlign w:val="bottom"/>
            <w:tcBorders>
              <w:top w:val="single" w:sz="8" w:color="auto"/>
            </w:tcBorders>
          </w:tcPr>
          <w:p>
            <w:pPr>
              <w:jc w:val="right"/>
              <w:ind w:right="398"/>
              <w:spacing w:after="0" w:line="79" w:lineRule="exact"/>
              <w:rPr>
                <w:sz w:val="20"/>
                <w:szCs w:val="20"/>
                <w:color w:val="auto"/>
              </w:rPr>
            </w:pPr>
            <w:r>
              <w:rPr>
                <w:rFonts w:ascii="Arial" w:cs="Arial" w:eastAsia="Arial" w:hAnsi="Arial"/>
                <w:sz w:val="8"/>
                <w:szCs w:val="8"/>
                <w:b w:val="1"/>
                <w:bCs w:val="1"/>
                <w:color w:val="auto"/>
              </w:rPr>
              <w:t>S/(000)</w:t>
            </w:r>
          </w:p>
        </w:tc>
        <w:tc>
          <w:tcPr>
            <w:tcW w:w="320" w:type="dxa"/>
            <w:vAlign w:val="bottom"/>
          </w:tcPr>
          <w:p>
            <w:pPr>
              <w:spacing w:after="0"/>
              <w:rPr>
                <w:sz w:val="6"/>
                <w:szCs w:val="6"/>
                <w:color w:val="auto"/>
              </w:rPr>
            </w:pPr>
          </w:p>
        </w:tc>
        <w:tc>
          <w:tcPr>
            <w:tcW w:w="1220" w:type="dxa"/>
            <w:vAlign w:val="bottom"/>
            <w:tcBorders>
              <w:top w:val="single" w:sz="8" w:color="auto"/>
            </w:tcBorders>
          </w:tcPr>
          <w:p>
            <w:pPr>
              <w:jc w:val="right"/>
              <w:ind w:right="398"/>
              <w:spacing w:after="0" w:line="79" w:lineRule="exact"/>
              <w:rPr>
                <w:sz w:val="20"/>
                <w:szCs w:val="20"/>
                <w:color w:val="auto"/>
              </w:rPr>
            </w:pPr>
            <w:r>
              <w:rPr>
                <w:rFonts w:ascii="Arial" w:cs="Arial" w:eastAsia="Arial" w:hAnsi="Arial"/>
                <w:sz w:val="8"/>
                <w:szCs w:val="8"/>
                <w:b w:val="1"/>
                <w:bCs w:val="1"/>
                <w:color w:val="auto"/>
              </w:rPr>
              <w:t>S/(000)</w:t>
            </w:r>
          </w:p>
        </w:tc>
        <w:tc>
          <w:tcPr>
            <w:tcW w:w="320" w:type="dxa"/>
            <w:vAlign w:val="bottom"/>
          </w:tcPr>
          <w:p>
            <w:pPr>
              <w:spacing w:after="0"/>
              <w:rPr>
                <w:sz w:val="6"/>
                <w:szCs w:val="6"/>
                <w:color w:val="auto"/>
              </w:rPr>
            </w:pPr>
          </w:p>
        </w:tc>
        <w:tc>
          <w:tcPr>
            <w:tcW w:w="1220" w:type="dxa"/>
            <w:vAlign w:val="bottom"/>
            <w:tcBorders>
              <w:top w:val="single" w:sz="8" w:color="auto"/>
            </w:tcBorders>
          </w:tcPr>
          <w:p>
            <w:pPr>
              <w:jc w:val="right"/>
              <w:ind w:right="398"/>
              <w:spacing w:after="0" w:line="79" w:lineRule="exact"/>
              <w:rPr>
                <w:sz w:val="20"/>
                <w:szCs w:val="20"/>
                <w:color w:val="auto"/>
              </w:rPr>
            </w:pPr>
            <w:r>
              <w:rPr>
                <w:rFonts w:ascii="Arial" w:cs="Arial" w:eastAsia="Arial" w:hAnsi="Arial"/>
                <w:sz w:val="8"/>
                <w:szCs w:val="8"/>
                <w:b w:val="1"/>
                <w:bCs w:val="1"/>
                <w:color w:val="auto"/>
              </w:rPr>
              <w:t>S/(000)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2019</w:t>
            </w: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900" w:type="dxa"/>
            <w:vAlign w:val="bottom"/>
            <w:gridSpan w:val="3"/>
          </w:tcPr>
          <w:p>
            <w:pPr>
              <w:spacing w:after="0" w:line="90" w:lineRule="exact"/>
              <w:rPr>
                <w:sz w:val="20"/>
                <w:szCs w:val="20"/>
                <w:color w:val="auto"/>
              </w:rPr>
            </w:pPr>
            <w:r>
              <w:rPr>
                <w:rFonts w:ascii="Arial" w:cs="Arial" w:eastAsia="Arial" w:hAnsi="Arial"/>
                <w:sz w:val="8"/>
                <w:szCs w:val="8"/>
                <w:color w:val="auto"/>
              </w:rPr>
              <w:t>Life insurance</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w w:val="95"/>
              </w:rPr>
              <w:t>1,984,279</w:t>
            </w:r>
          </w:p>
        </w:tc>
        <w:tc>
          <w:tcPr>
            <w:tcW w:w="920" w:type="dxa"/>
            <w:vAlign w:val="bottom"/>
          </w:tcPr>
          <w:p>
            <w:pPr>
              <w:spacing w:after="0"/>
              <w:rPr>
                <w:sz w:val="7"/>
                <w:szCs w:val="7"/>
                <w:color w:val="auto"/>
              </w:rPr>
            </w:pPr>
          </w:p>
        </w:tc>
        <w:tc>
          <w:tcPr>
            <w:tcW w:w="6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w w:val="93"/>
              </w:rPr>
              <w:t>(738,421)</w:t>
            </w:r>
          </w:p>
        </w:tc>
        <w:tc>
          <w:tcPr>
            <w:tcW w:w="158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1,245,858</w:t>
            </w:r>
          </w:p>
        </w:tc>
        <w:tc>
          <w:tcPr>
            <w:tcW w:w="15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(119,310)</w:t>
            </w:r>
          </w:p>
        </w:tc>
        <w:tc>
          <w:tcPr>
            <w:tcW w:w="15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93,664</w:t>
            </w:r>
          </w:p>
        </w:tc>
        <w:tc>
          <w:tcPr>
            <w:tcW w:w="13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1,220,212</w:t>
            </w:r>
          </w:p>
        </w:tc>
        <w:tc>
          <w:tcPr>
            <w:tcW w:w="0" w:type="dxa"/>
            <w:vAlign w:val="bottom"/>
          </w:tcPr>
          <w:p>
            <w:pPr>
              <w:spacing w:after="0"/>
              <w:rPr>
                <w:sz w:val="1"/>
                <w:szCs w:val="1"/>
                <w:color w:val="auto"/>
              </w:rPr>
            </w:pPr>
          </w:p>
        </w:tc>
      </w:tr>
      <w:tr>
        <w:trPr>
          <w:trHeight w:val="90"/>
        </w:trPr>
        <w:tc>
          <w:tcPr>
            <w:tcW w:w="29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Health insurance</w:t>
            </w:r>
          </w:p>
        </w:tc>
        <w:tc>
          <w:tcPr>
            <w:tcW w:w="70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571,006</w:t>
            </w:r>
          </w:p>
        </w:tc>
        <w:tc>
          <w:tcPr>
            <w:tcW w:w="9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(22,843)</w:t>
            </w:r>
          </w:p>
        </w:tc>
        <w:tc>
          <w:tcPr>
            <w:tcW w:w="158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548,163</w:t>
            </w:r>
          </w:p>
        </w:tc>
        <w:tc>
          <w:tcPr>
            <w:tcW w:w="15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(12,828)</w:t>
            </w:r>
          </w:p>
        </w:tc>
        <w:tc>
          <w:tcPr>
            <w:tcW w:w="15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535,335</w:t>
            </w:r>
          </w:p>
        </w:tc>
        <w:tc>
          <w:tcPr>
            <w:tcW w:w="0" w:type="dxa"/>
            <w:vAlign w:val="bottom"/>
          </w:tcPr>
          <w:p>
            <w:pPr>
              <w:spacing w:after="0"/>
              <w:rPr>
                <w:sz w:val="1"/>
                <w:szCs w:val="1"/>
                <w:color w:val="auto"/>
              </w:rPr>
            </w:pPr>
          </w:p>
        </w:tc>
      </w:tr>
      <w:tr>
        <w:trPr>
          <w:trHeight w:val="90"/>
        </w:trPr>
        <w:tc>
          <w:tcPr>
            <w:tcW w:w="2900" w:type="dxa"/>
            <w:vAlign w:val="bottom"/>
            <w:gridSpan w:val="3"/>
          </w:tcPr>
          <w:p>
            <w:pPr>
              <w:spacing w:after="0" w:line="90" w:lineRule="exact"/>
              <w:rPr>
                <w:sz w:val="20"/>
                <w:szCs w:val="20"/>
                <w:color w:val="auto"/>
              </w:rPr>
            </w:pPr>
            <w:r>
              <w:rPr>
                <w:rFonts w:ascii="Arial" w:cs="Arial" w:eastAsia="Arial" w:hAnsi="Arial"/>
                <w:sz w:val="8"/>
                <w:szCs w:val="8"/>
                <w:color w:val="auto"/>
              </w:rPr>
              <w:t>General insurance</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w w:val="95"/>
              </w:rPr>
              <w:t>1,076,595</w:t>
            </w:r>
          </w:p>
        </w:tc>
        <w:tc>
          <w:tcPr>
            <w:tcW w:w="920" w:type="dxa"/>
            <w:vAlign w:val="bottom"/>
          </w:tcPr>
          <w:p>
            <w:pPr>
              <w:spacing w:after="0"/>
              <w:rPr>
                <w:sz w:val="7"/>
                <w:szCs w:val="7"/>
                <w:color w:val="auto"/>
              </w:rPr>
            </w:pPr>
          </w:p>
        </w:tc>
        <w:tc>
          <w:tcPr>
            <w:tcW w:w="64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14,229</w:t>
            </w:r>
          </w:p>
        </w:tc>
        <w:tc>
          <w:tcPr>
            <w:tcW w:w="158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1,090,824</w:t>
            </w:r>
          </w:p>
        </w:tc>
        <w:tc>
          <w:tcPr>
            <w:tcW w:w="15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(427,022)</w:t>
            </w:r>
          </w:p>
        </w:tc>
        <w:tc>
          <w:tcPr>
            <w:tcW w:w="15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663,802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w:t>
            </w:r>
          </w:p>
        </w:tc>
        <w:tc>
          <w:tcPr>
            <w:tcW w:w="880" w:type="dxa"/>
            <w:vAlign w:val="bottom"/>
            <w:tcBorders>
              <w:top w:val="single" w:sz="8" w:color="auto"/>
              <w:bottom w:val="single" w:sz="8" w:color="auto"/>
            </w:tcBorders>
            <w:shd w:val="clear" w:color="auto" w:fill="CCEEFF"/>
          </w:tcPr>
          <w:p>
            <w:pPr>
              <w:spacing w:after="0"/>
              <w:rPr>
                <w:sz w:val="6"/>
                <w:szCs w:val="6"/>
                <w:color w:val="auto"/>
              </w:rPr>
            </w:pPr>
          </w:p>
        </w:tc>
        <w:tc>
          <w:tcPr>
            <w:tcW w:w="3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95"/>
              </w:rPr>
              <w:t>3,631,880</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920" w:type="dxa"/>
            <w:vAlign w:val="bottom"/>
            <w:tcBorders>
              <w:top w:val="single" w:sz="8" w:color="auto"/>
              <w:bottom w:val="single" w:sz="8" w:color="auto"/>
            </w:tcBorders>
            <w:shd w:val="clear" w:color="auto" w:fill="CCEEFF"/>
          </w:tcPr>
          <w:p>
            <w:pPr>
              <w:spacing w:after="0"/>
              <w:rPr>
                <w:sz w:val="6"/>
                <w:szCs w:val="6"/>
                <w:color w:val="auto"/>
              </w:rPr>
            </w:pPr>
          </w:p>
        </w:tc>
        <w:tc>
          <w:tcPr>
            <w:tcW w:w="3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1"/>
              </w:rPr>
              <w:t>(747,035)</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12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2,884,845</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(559,160)</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93,664</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2,419,349</w:t>
            </w:r>
          </w:p>
        </w:tc>
        <w:tc>
          <w:tcPr>
            <w:tcW w:w="100" w:type="dxa"/>
            <w:vAlign w:val="bottom"/>
            <w:tcBorders>
              <w:top w:val="single" w:sz="8" w:color="CCEEFF"/>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2000" w:type="dxa"/>
            <w:vAlign w:val="bottom"/>
          </w:tcPr>
          <w:p>
            <w:pPr>
              <w:spacing w:after="0" w:line="90" w:lineRule="exact"/>
              <w:rPr>
                <w:sz w:val="20"/>
                <w:szCs w:val="20"/>
                <w:color w:val="auto"/>
              </w:rPr>
            </w:pPr>
            <w:r>
              <w:rPr>
                <w:rFonts w:ascii="Arial" w:cs="Arial" w:eastAsia="Arial" w:hAnsi="Arial"/>
                <w:sz w:val="8"/>
                <w:szCs w:val="8"/>
                <w:b w:val="1"/>
                <w:bCs w:val="1"/>
                <w:color w:val="auto"/>
              </w:rPr>
              <w:t>2018</w:t>
            </w: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9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Life insurance</w:t>
            </w:r>
          </w:p>
        </w:tc>
        <w:tc>
          <w:tcPr>
            <w:tcW w:w="70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w w:val="95"/>
              </w:rPr>
              <w:t>1,821,867</w:t>
            </w:r>
          </w:p>
        </w:tc>
        <w:tc>
          <w:tcPr>
            <w:tcW w:w="9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w w:val="93"/>
              </w:rPr>
              <w:t>(677,708)</w:t>
            </w:r>
          </w:p>
        </w:tc>
        <w:tc>
          <w:tcPr>
            <w:tcW w:w="158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1,144,159</w:t>
            </w:r>
          </w:p>
        </w:tc>
        <w:tc>
          <w:tcPr>
            <w:tcW w:w="15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(116,043)</w:t>
            </w:r>
          </w:p>
        </w:tc>
        <w:tc>
          <w:tcPr>
            <w:tcW w:w="15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(53,935)</w:t>
            </w:r>
          </w:p>
        </w:tc>
        <w:tc>
          <w:tcPr>
            <w:tcW w:w="13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974,181</w:t>
            </w:r>
          </w:p>
        </w:tc>
        <w:tc>
          <w:tcPr>
            <w:tcW w:w="0" w:type="dxa"/>
            <w:vAlign w:val="bottom"/>
          </w:tcPr>
          <w:p>
            <w:pPr>
              <w:spacing w:after="0"/>
              <w:rPr>
                <w:sz w:val="1"/>
                <w:szCs w:val="1"/>
                <w:color w:val="auto"/>
              </w:rPr>
            </w:pPr>
          </w:p>
        </w:tc>
      </w:tr>
      <w:tr>
        <w:trPr>
          <w:trHeight w:val="90"/>
        </w:trPr>
        <w:tc>
          <w:tcPr>
            <w:tcW w:w="2900" w:type="dxa"/>
            <w:vAlign w:val="bottom"/>
            <w:gridSpan w:val="3"/>
          </w:tcPr>
          <w:p>
            <w:pPr>
              <w:spacing w:after="0" w:line="90" w:lineRule="exact"/>
              <w:rPr>
                <w:sz w:val="20"/>
                <w:szCs w:val="20"/>
                <w:color w:val="auto"/>
              </w:rPr>
            </w:pPr>
            <w:r>
              <w:rPr>
                <w:rFonts w:ascii="Arial" w:cs="Arial" w:eastAsia="Arial" w:hAnsi="Arial"/>
                <w:sz w:val="8"/>
                <w:szCs w:val="8"/>
                <w:color w:val="auto"/>
              </w:rPr>
              <w:t>Health insurance</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554,517</w:t>
            </w:r>
          </w:p>
        </w:tc>
        <w:tc>
          <w:tcPr>
            <w:tcW w:w="920" w:type="dxa"/>
            <w:vAlign w:val="bottom"/>
          </w:tcPr>
          <w:p>
            <w:pPr>
              <w:spacing w:after="0"/>
              <w:rPr>
                <w:sz w:val="7"/>
                <w:szCs w:val="7"/>
                <w:color w:val="auto"/>
              </w:rPr>
            </w:pPr>
          </w:p>
        </w:tc>
        <w:tc>
          <w:tcPr>
            <w:tcW w:w="6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(18,383)</w:t>
            </w:r>
          </w:p>
        </w:tc>
        <w:tc>
          <w:tcPr>
            <w:tcW w:w="158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536,134</w:t>
            </w:r>
          </w:p>
        </w:tc>
        <w:tc>
          <w:tcPr>
            <w:tcW w:w="15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(10,257)</w:t>
            </w:r>
          </w:p>
        </w:tc>
        <w:tc>
          <w:tcPr>
            <w:tcW w:w="15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525,877</w:t>
            </w:r>
          </w:p>
        </w:tc>
        <w:tc>
          <w:tcPr>
            <w:tcW w:w="0" w:type="dxa"/>
            <w:vAlign w:val="bottom"/>
          </w:tcPr>
          <w:p>
            <w:pPr>
              <w:spacing w:after="0"/>
              <w:rPr>
                <w:sz w:val="1"/>
                <w:szCs w:val="1"/>
                <w:color w:val="auto"/>
              </w:rPr>
            </w:pPr>
          </w:p>
        </w:tc>
      </w:tr>
      <w:tr>
        <w:trPr>
          <w:trHeight w:val="90"/>
        </w:trPr>
        <w:tc>
          <w:tcPr>
            <w:tcW w:w="20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General insurance</w:t>
            </w: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5"/>
              </w:rPr>
              <w:t>1,014,705</w:t>
            </w:r>
          </w:p>
        </w:tc>
        <w:tc>
          <w:tcPr>
            <w:tcW w:w="3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(52,051)</w:t>
            </w:r>
          </w:p>
        </w:tc>
        <w:tc>
          <w:tcPr>
            <w:tcW w:w="158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962,654</w:t>
            </w:r>
          </w:p>
        </w:tc>
        <w:tc>
          <w:tcPr>
            <w:tcW w:w="15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(371,346)</w:t>
            </w:r>
          </w:p>
        </w:tc>
        <w:tc>
          <w:tcPr>
            <w:tcW w:w="15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591,308</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Total</w:t>
            </w: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w w:val="95"/>
              </w:rPr>
              <w:t>3,391,089</w:t>
            </w: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8"/>
                <w:szCs w:val="8"/>
                <w:color w:val="auto"/>
                <w:w w:val="93"/>
              </w:rPr>
              <w:t>(748,142)</w:t>
            </w:r>
          </w:p>
        </w:tc>
        <w:tc>
          <w:tcPr>
            <w:tcW w:w="1580" w:type="dxa"/>
            <w:vAlign w:val="bottom"/>
            <w:gridSpan w:val="2"/>
          </w:tcPr>
          <w:p>
            <w:pPr>
              <w:jc w:val="right"/>
              <w:ind w:right="340"/>
              <w:spacing w:after="0"/>
              <w:rPr>
                <w:sz w:val="20"/>
                <w:szCs w:val="20"/>
                <w:color w:val="auto"/>
              </w:rPr>
            </w:pPr>
            <w:r>
              <w:rPr>
                <w:rFonts w:ascii="Arial" w:cs="Arial" w:eastAsia="Arial" w:hAnsi="Arial"/>
                <w:sz w:val="8"/>
                <w:szCs w:val="8"/>
                <w:color w:val="auto"/>
              </w:rPr>
              <w:t>2,642,947</w:t>
            </w:r>
          </w:p>
        </w:tc>
        <w:tc>
          <w:tcPr>
            <w:tcW w:w="1540" w:type="dxa"/>
            <w:vAlign w:val="bottom"/>
            <w:gridSpan w:val="2"/>
          </w:tcPr>
          <w:p>
            <w:pPr>
              <w:jc w:val="right"/>
              <w:ind w:right="300"/>
              <w:spacing w:after="0"/>
              <w:rPr>
                <w:sz w:val="20"/>
                <w:szCs w:val="20"/>
                <w:color w:val="auto"/>
              </w:rPr>
            </w:pPr>
            <w:r>
              <w:rPr>
                <w:rFonts w:ascii="Arial" w:cs="Arial" w:eastAsia="Arial" w:hAnsi="Arial"/>
                <w:sz w:val="8"/>
                <w:szCs w:val="8"/>
                <w:color w:val="auto"/>
              </w:rPr>
              <w:t>(497,646)</w:t>
            </w:r>
          </w:p>
        </w:tc>
        <w:tc>
          <w:tcPr>
            <w:tcW w:w="1540" w:type="dxa"/>
            <w:vAlign w:val="bottom"/>
            <w:gridSpan w:val="2"/>
          </w:tcPr>
          <w:p>
            <w:pPr>
              <w:jc w:val="right"/>
              <w:ind w:right="300"/>
              <w:spacing w:after="0"/>
              <w:rPr>
                <w:sz w:val="20"/>
                <w:szCs w:val="20"/>
                <w:color w:val="auto"/>
              </w:rPr>
            </w:pPr>
            <w:r>
              <w:rPr>
                <w:rFonts w:ascii="Arial" w:cs="Arial" w:eastAsia="Arial" w:hAnsi="Arial"/>
                <w:sz w:val="8"/>
                <w:szCs w:val="8"/>
                <w:color w:val="auto"/>
              </w:rPr>
              <w:t>(53,935)</w:t>
            </w:r>
          </w:p>
        </w:tc>
        <w:tc>
          <w:tcPr>
            <w:tcW w:w="1320" w:type="dxa"/>
            <w:vAlign w:val="bottom"/>
            <w:gridSpan w:val="2"/>
          </w:tcPr>
          <w:p>
            <w:pPr>
              <w:jc w:val="right"/>
              <w:ind w:right="100"/>
              <w:spacing w:after="0"/>
              <w:rPr>
                <w:sz w:val="20"/>
                <w:szCs w:val="20"/>
                <w:color w:val="auto"/>
              </w:rPr>
            </w:pPr>
            <w:r>
              <w:rPr>
                <w:rFonts w:ascii="Arial" w:cs="Arial" w:eastAsia="Arial" w:hAnsi="Arial"/>
                <w:sz w:val="8"/>
                <w:szCs w:val="8"/>
                <w:color w:val="auto"/>
              </w:rPr>
              <w:t>2,091,366</w:t>
            </w: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20" w:type="dxa"/>
            <w:vAlign w:val="bottom"/>
            <w:gridSpan w:val="2"/>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2017</w:t>
            </w: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900" w:type="dxa"/>
            <w:vAlign w:val="bottom"/>
            <w:gridSpan w:val="3"/>
          </w:tcPr>
          <w:p>
            <w:pPr>
              <w:spacing w:after="0" w:line="90" w:lineRule="exact"/>
              <w:rPr>
                <w:sz w:val="20"/>
                <w:szCs w:val="20"/>
                <w:color w:val="auto"/>
              </w:rPr>
            </w:pPr>
            <w:r>
              <w:rPr>
                <w:rFonts w:ascii="Arial" w:cs="Arial" w:eastAsia="Arial" w:hAnsi="Arial"/>
                <w:sz w:val="8"/>
                <w:szCs w:val="8"/>
                <w:color w:val="auto"/>
              </w:rPr>
              <w:t>Life insurance</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w w:val="95"/>
              </w:rPr>
              <w:t>1,498,943</w:t>
            </w:r>
          </w:p>
        </w:tc>
        <w:tc>
          <w:tcPr>
            <w:tcW w:w="920" w:type="dxa"/>
            <w:vAlign w:val="bottom"/>
          </w:tcPr>
          <w:p>
            <w:pPr>
              <w:spacing w:after="0"/>
              <w:rPr>
                <w:sz w:val="7"/>
                <w:szCs w:val="7"/>
                <w:color w:val="auto"/>
              </w:rPr>
            </w:pPr>
          </w:p>
        </w:tc>
        <w:tc>
          <w:tcPr>
            <w:tcW w:w="6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w w:val="93"/>
              </w:rPr>
              <w:t>(611,621)</w:t>
            </w:r>
          </w:p>
        </w:tc>
        <w:tc>
          <w:tcPr>
            <w:tcW w:w="158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887,322</w:t>
            </w:r>
          </w:p>
        </w:tc>
        <w:tc>
          <w:tcPr>
            <w:tcW w:w="15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(106,652)</w:t>
            </w:r>
          </w:p>
        </w:tc>
        <w:tc>
          <w:tcPr>
            <w:tcW w:w="15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67,633</w:t>
            </w:r>
          </w:p>
        </w:tc>
        <w:tc>
          <w:tcPr>
            <w:tcW w:w="13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848,303</w:t>
            </w:r>
          </w:p>
        </w:tc>
        <w:tc>
          <w:tcPr>
            <w:tcW w:w="0" w:type="dxa"/>
            <w:vAlign w:val="bottom"/>
          </w:tcPr>
          <w:p>
            <w:pPr>
              <w:spacing w:after="0"/>
              <w:rPr>
                <w:sz w:val="1"/>
                <w:szCs w:val="1"/>
                <w:color w:val="auto"/>
              </w:rPr>
            </w:pPr>
          </w:p>
        </w:tc>
      </w:tr>
      <w:tr>
        <w:trPr>
          <w:trHeight w:val="90"/>
        </w:trPr>
        <w:tc>
          <w:tcPr>
            <w:tcW w:w="2900" w:type="dxa"/>
            <w:vAlign w:val="bottom"/>
            <w:gridSpan w:val="3"/>
            <w:shd w:val="clear" w:color="auto" w:fill="CCEEFF"/>
          </w:tcPr>
          <w:p>
            <w:pPr>
              <w:spacing w:after="0" w:line="90" w:lineRule="exact"/>
              <w:rPr>
                <w:sz w:val="20"/>
                <w:szCs w:val="20"/>
                <w:color w:val="auto"/>
              </w:rPr>
            </w:pPr>
            <w:r>
              <w:rPr>
                <w:rFonts w:ascii="Arial" w:cs="Arial" w:eastAsia="Arial" w:hAnsi="Arial"/>
                <w:sz w:val="8"/>
                <w:szCs w:val="8"/>
                <w:color w:val="auto"/>
              </w:rPr>
              <w:t>Health insurance</w:t>
            </w:r>
          </w:p>
        </w:tc>
        <w:tc>
          <w:tcPr>
            <w:tcW w:w="70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502,148</w:t>
            </w:r>
          </w:p>
        </w:tc>
        <w:tc>
          <w:tcPr>
            <w:tcW w:w="9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(5,147)</w:t>
            </w:r>
          </w:p>
        </w:tc>
        <w:tc>
          <w:tcPr>
            <w:tcW w:w="158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497,001</w:t>
            </w:r>
          </w:p>
        </w:tc>
        <w:tc>
          <w:tcPr>
            <w:tcW w:w="1540" w:type="dxa"/>
            <w:vAlign w:val="bottom"/>
            <w:gridSpan w:val="2"/>
            <w:shd w:val="clear" w:color="auto" w:fill="CCEEFF"/>
          </w:tcPr>
          <w:p>
            <w:pPr>
              <w:jc w:val="right"/>
              <w:ind w:right="300"/>
              <w:spacing w:after="0" w:line="90" w:lineRule="exact"/>
              <w:rPr>
                <w:sz w:val="20"/>
                <w:szCs w:val="20"/>
                <w:color w:val="auto"/>
              </w:rPr>
            </w:pPr>
            <w:r>
              <w:rPr>
                <w:rFonts w:ascii="Arial" w:cs="Arial" w:eastAsia="Arial" w:hAnsi="Arial"/>
                <w:sz w:val="8"/>
                <w:szCs w:val="8"/>
                <w:color w:val="auto"/>
              </w:rPr>
              <w:t>(15,294)</w:t>
            </w:r>
          </w:p>
        </w:tc>
        <w:tc>
          <w:tcPr>
            <w:tcW w:w="15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481,707</w:t>
            </w:r>
          </w:p>
        </w:tc>
        <w:tc>
          <w:tcPr>
            <w:tcW w:w="0" w:type="dxa"/>
            <w:vAlign w:val="bottom"/>
          </w:tcPr>
          <w:p>
            <w:pPr>
              <w:spacing w:after="0"/>
              <w:rPr>
                <w:sz w:val="1"/>
                <w:szCs w:val="1"/>
                <w:color w:val="auto"/>
              </w:rPr>
            </w:pPr>
          </w:p>
        </w:tc>
      </w:tr>
      <w:tr>
        <w:trPr>
          <w:trHeight w:val="90"/>
        </w:trPr>
        <w:tc>
          <w:tcPr>
            <w:tcW w:w="2900" w:type="dxa"/>
            <w:vAlign w:val="bottom"/>
            <w:gridSpan w:val="3"/>
          </w:tcPr>
          <w:p>
            <w:pPr>
              <w:spacing w:after="0" w:line="90" w:lineRule="exact"/>
              <w:rPr>
                <w:sz w:val="20"/>
                <w:szCs w:val="20"/>
                <w:color w:val="auto"/>
              </w:rPr>
            </w:pPr>
            <w:r>
              <w:rPr>
                <w:rFonts w:ascii="Arial" w:cs="Arial" w:eastAsia="Arial" w:hAnsi="Arial"/>
                <w:sz w:val="8"/>
                <w:szCs w:val="8"/>
                <w:color w:val="auto"/>
              </w:rPr>
              <w:t>General insurance</w:t>
            </w: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936,316</w:t>
            </w:r>
          </w:p>
        </w:tc>
        <w:tc>
          <w:tcPr>
            <w:tcW w:w="920" w:type="dxa"/>
            <w:vAlign w:val="bottom"/>
          </w:tcPr>
          <w:p>
            <w:pPr>
              <w:spacing w:after="0"/>
              <w:rPr>
                <w:sz w:val="7"/>
                <w:szCs w:val="7"/>
                <w:color w:val="auto"/>
              </w:rPr>
            </w:pPr>
          </w:p>
        </w:tc>
        <w:tc>
          <w:tcPr>
            <w:tcW w:w="6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(12,496)</w:t>
            </w:r>
          </w:p>
        </w:tc>
        <w:tc>
          <w:tcPr>
            <w:tcW w:w="158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923,820</w:t>
            </w:r>
          </w:p>
        </w:tc>
        <w:tc>
          <w:tcPr>
            <w:tcW w:w="1540" w:type="dxa"/>
            <w:vAlign w:val="bottom"/>
            <w:gridSpan w:val="2"/>
          </w:tcPr>
          <w:p>
            <w:pPr>
              <w:jc w:val="right"/>
              <w:ind w:right="300"/>
              <w:spacing w:after="0" w:line="90" w:lineRule="exact"/>
              <w:rPr>
                <w:sz w:val="20"/>
                <w:szCs w:val="20"/>
                <w:color w:val="auto"/>
              </w:rPr>
            </w:pPr>
            <w:r>
              <w:rPr>
                <w:rFonts w:ascii="Arial" w:cs="Arial" w:eastAsia="Arial" w:hAnsi="Arial"/>
                <w:sz w:val="8"/>
                <w:szCs w:val="8"/>
                <w:color w:val="auto"/>
              </w:rPr>
              <w:t>(377,857)</w:t>
            </w:r>
          </w:p>
        </w:tc>
        <w:tc>
          <w:tcPr>
            <w:tcW w:w="15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w:t>
            </w:r>
          </w:p>
        </w:tc>
        <w:tc>
          <w:tcPr>
            <w:tcW w:w="13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545,963</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00" w:type="dxa"/>
            <w:vAlign w:val="bottom"/>
            <w:tcBorders>
              <w:top w:val="single" w:sz="8" w:color="CCEEFF"/>
              <w:bottom w:val="single" w:sz="8" w:color="CCEEFF"/>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w:t>
            </w:r>
          </w:p>
        </w:tc>
        <w:tc>
          <w:tcPr>
            <w:tcW w:w="880" w:type="dxa"/>
            <w:vAlign w:val="bottom"/>
            <w:tcBorders>
              <w:top w:val="single" w:sz="8" w:color="auto"/>
              <w:bottom w:val="single" w:sz="8" w:color="auto"/>
            </w:tcBorders>
            <w:shd w:val="clear" w:color="auto" w:fill="CCEEFF"/>
          </w:tcPr>
          <w:p>
            <w:pPr>
              <w:spacing w:after="0"/>
              <w:rPr>
                <w:sz w:val="6"/>
                <w:szCs w:val="6"/>
                <w:color w:val="auto"/>
              </w:rPr>
            </w:pPr>
          </w:p>
        </w:tc>
        <w:tc>
          <w:tcPr>
            <w:tcW w:w="3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95"/>
              </w:rPr>
              <w:t>2,937,407</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920" w:type="dxa"/>
            <w:vAlign w:val="bottom"/>
            <w:tcBorders>
              <w:top w:val="single" w:sz="8" w:color="auto"/>
              <w:bottom w:val="single" w:sz="8" w:color="auto"/>
            </w:tcBorders>
            <w:shd w:val="clear" w:color="auto" w:fill="CCEEFF"/>
          </w:tcPr>
          <w:p>
            <w:pPr>
              <w:spacing w:after="0"/>
              <w:rPr>
                <w:sz w:val="6"/>
                <w:szCs w:val="6"/>
                <w:color w:val="auto"/>
              </w:rPr>
            </w:pPr>
          </w:p>
        </w:tc>
        <w:tc>
          <w:tcPr>
            <w:tcW w:w="3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1"/>
              </w:rPr>
              <w:t>(629,264)</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12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2,308,143</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(499,803)</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67,633</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2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1,875,973</w:t>
            </w:r>
          </w:p>
        </w:tc>
        <w:tc>
          <w:tcPr>
            <w:tcW w:w="100" w:type="dxa"/>
            <w:vAlign w:val="bottom"/>
            <w:tcBorders>
              <w:top w:val="single" w:sz="8" w:color="CCEEFF"/>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0" w:right="5260" w:firstLine="8"/>
        <w:spacing w:after="0" w:line="505" w:lineRule="auto"/>
        <w:tabs>
          <w:tab w:leader="none" w:pos="452"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This item includes earned premiums, reinsurance premiums accepted and coinsurance premiums accepted and received. (**) “Premiums ceded to reinsurers and coinsurers, net” include: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280" w:type="dxa"/>
            <w:vAlign w:val="bottom"/>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3"/>
                <w:szCs w:val="13"/>
                <w:color w:val="auto"/>
              </w:rPr>
            </w:pPr>
          </w:p>
        </w:tc>
        <w:tc>
          <w:tcPr>
            <w:tcW w:w="1260" w:type="dxa"/>
            <w:vAlign w:val="bottom"/>
          </w:tcPr>
          <w:p>
            <w:pPr>
              <w:jc w:val="right"/>
              <w:ind w:right="460"/>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33"/>
        </w:trPr>
        <w:tc>
          <w:tcPr>
            <w:tcW w:w="4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Borders>
              <w:top w:val="single" w:sz="8" w:color="auto"/>
            </w:tcBorders>
          </w:tcPr>
          <w:p>
            <w:pPr>
              <w:jc w:val="right"/>
              <w:ind w:right="34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280" w:type="dxa"/>
            <w:vAlign w:val="bottom"/>
            <w:tcBorders>
              <w:top w:val="single" w:sz="8" w:color="auto"/>
            </w:tcBorders>
          </w:tcPr>
          <w:p>
            <w:pPr>
              <w:jc w:val="right"/>
              <w:ind w:right="36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260" w:type="dxa"/>
            <w:vAlign w:val="bottom"/>
            <w:tcBorders>
              <w:top w:val="single" w:sz="8" w:color="auto"/>
            </w:tcBorders>
          </w:tcPr>
          <w:p>
            <w:pPr>
              <w:jc w:val="right"/>
              <w:ind w:right="340"/>
              <w:spacing w:after="0" w:line="13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460" w:type="dxa"/>
            <w:vAlign w:val="bottom"/>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Premiums ceded for automatic contracts (mainly excess of loss), Note 9(b)</w:t>
            </w:r>
          </w:p>
        </w:tc>
        <w:tc>
          <w:tcPr>
            <w:tcW w:w="25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(254,839)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(243,427)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(257,617)</w:t>
            </w:r>
          </w:p>
        </w:tc>
        <w:tc>
          <w:tcPr>
            <w:tcW w:w="126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Premiums ceded for facultative contracts, Note 9(b)</w:t>
            </w:r>
          </w:p>
        </w:tc>
        <w:tc>
          <w:tcPr>
            <w:tcW w:w="2580" w:type="dxa"/>
            <w:vAlign w:val="bottom"/>
            <w:gridSpan w:val="3"/>
          </w:tcPr>
          <w:p>
            <w:pPr>
              <w:jc w:val="right"/>
              <w:ind w:right="160"/>
              <w:spacing w:after="0"/>
              <w:rPr>
                <w:sz w:val="20"/>
                <w:szCs w:val="20"/>
                <w:color w:val="auto"/>
              </w:rPr>
            </w:pPr>
            <w:r>
              <w:rPr>
                <w:rFonts w:ascii="Arial" w:cs="Arial" w:eastAsia="Arial" w:hAnsi="Arial"/>
                <w:sz w:val="12"/>
                <w:szCs w:val="12"/>
                <w:color w:val="auto"/>
              </w:rPr>
              <w:t>(289,386)</w:t>
            </w:r>
          </w:p>
        </w:tc>
        <w:tc>
          <w:tcPr>
            <w:tcW w:w="1480" w:type="dxa"/>
            <w:vAlign w:val="bottom"/>
            <w:gridSpan w:val="2"/>
          </w:tcPr>
          <w:p>
            <w:pPr>
              <w:jc w:val="right"/>
              <w:ind w:right="160"/>
              <w:spacing w:after="0"/>
              <w:rPr>
                <w:sz w:val="20"/>
                <w:szCs w:val="20"/>
                <w:color w:val="auto"/>
              </w:rPr>
            </w:pPr>
            <w:r>
              <w:rPr>
                <w:rFonts w:ascii="Arial" w:cs="Arial" w:eastAsia="Arial" w:hAnsi="Arial"/>
                <w:sz w:val="12"/>
                <w:szCs w:val="12"/>
                <w:color w:val="auto"/>
              </w:rPr>
              <w:t>(288,928)</w:t>
            </w:r>
          </w:p>
        </w:tc>
        <w:tc>
          <w:tcPr>
            <w:tcW w:w="1340" w:type="dxa"/>
            <w:vAlign w:val="bottom"/>
            <w:gridSpan w:val="2"/>
          </w:tcPr>
          <w:p>
            <w:pPr>
              <w:jc w:val="right"/>
              <w:ind w:right="40"/>
              <w:spacing w:after="0"/>
              <w:rPr>
                <w:sz w:val="20"/>
                <w:szCs w:val="20"/>
                <w:color w:val="auto"/>
              </w:rPr>
            </w:pPr>
            <w:r>
              <w:rPr>
                <w:rFonts w:ascii="Arial" w:cs="Arial" w:eastAsia="Arial" w:hAnsi="Arial"/>
                <w:sz w:val="12"/>
                <w:szCs w:val="12"/>
                <w:color w:val="auto"/>
              </w:rPr>
              <w:t>(263,378)</w:t>
            </w:r>
          </w:p>
        </w:tc>
        <w:tc>
          <w:tcPr>
            <w:tcW w:w="1260" w:type="dxa"/>
            <w:vAlign w:val="bottom"/>
          </w:tcPr>
          <w:p>
            <w:pPr>
              <w:spacing w:after="0"/>
              <w:rPr>
                <w:sz w:val="12"/>
                <w:szCs w:val="12"/>
                <w:color w:val="auto"/>
              </w:rPr>
            </w:pPr>
          </w:p>
        </w:tc>
      </w:tr>
      <w:tr>
        <w:trPr>
          <w:trHeight w:val="153"/>
        </w:trPr>
        <w:tc>
          <w:tcPr>
            <w:tcW w:w="46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Annual variation of reserve risk in progress of premiums ceded, Note 9(b)</w:t>
            </w:r>
          </w:p>
        </w:tc>
        <w:tc>
          <w:tcPr>
            <w:tcW w:w="25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(14,935)</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34,709</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21,192</w:t>
            </w:r>
          </w:p>
        </w:tc>
        <w:tc>
          <w:tcPr>
            <w:tcW w:w="80" w:type="dxa"/>
            <w:vAlign w:val="bottom"/>
            <w:shd w:val="clear" w:color="auto" w:fill="CCEEFF"/>
          </w:tcPr>
          <w:p>
            <w:pPr>
              <w:spacing w:after="0"/>
              <w:rPr>
                <w:sz w:val="13"/>
                <w:szCs w:val="13"/>
                <w:color w:val="auto"/>
              </w:rPr>
            </w:pPr>
          </w:p>
        </w:tc>
        <w:tc>
          <w:tcPr>
            <w:tcW w:w="1260" w:type="dxa"/>
            <w:vAlign w:val="bottom"/>
          </w:tcPr>
          <w:p>
            <w:pPr>
              <w:spacing w:after="0"/>
              <w:rPr>
                <w:sz w:val="13"/>
                <w:szCs w:val="13"/>
                <w:color w:val="auto"/>
              </w:rPr>
            </w:pPr>
          </w:p>
        </w:tc>
      </w:tr>
      <w:tr>
        <w:trPr>
          <w:trHeight w:val="133"/>
        </w:trPr>
        <w:tc>
          <w:tcPr>
            <w:tcW w:w="4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(559,160)</w:t>
            </w:r>
          </w:p>
        </w:tc>
        <w:tc>
          <w:tcPr>
            <w:tcW w:w="200" w:type="dxa"/>
            <w:vAlign w:val="bottom"/>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(497,646)</w:t>
            </w:r>
          </w:p>
        </w:tc>
        <w:tc>
          <w:tcPr>
            <w:tcW w:w="20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(499,803)</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430"/>
        </w:trPr>
        <w:tc>
          <w:tcPr>
            <w:tcW w:w="4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- 122 -</w:t>
            </w: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49" w:right="199" w:bottom="1440" w:gutter="0" w:footer="0" w:header="0"/>
        </w:sectPr>
      </w:pPr>
    </w:p>
    <w:bookmarkStart w:id="127" w:name="page128"/>
    <w:bookmarkEnd w:id="127"/>
    <w:p>
      <w:pPr>
        <w:ind w:left="208"/>
        <w:spacing w:after="0"/>
        <w:tabs>
          <w:tab w:leader="none" w:pos="40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Gross written premiums by insurance type are described below:</w:t>
      </w:r>
    </w:p>
    <w:p>
      <w:pPr>
        <w:spacing w:after="0" w:line="152"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2020" w:type="dxa"/>
            <w:vAlign w:val="bottom"/>
          </w:tcPr>
          <w:p>
            <w:pPr>
              <w:spacing w:after="0"/>
              <w:rPr>
                <w:sz w:val="10"/>
                <w:szCs w:val="10"/>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2019</w:t>
            </w:r>
          </w:p>
        </w:tc>
        <w:tc>
          <w:tcPr>
            <w:tcW w:w="12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2018</w:t>
            </w:r>
          </w:p>
        </w:tc>
        <w:tc>
          <w:tcPr>
            <w:tcW w:w="12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98"/>
              </w:rPr>
              <w:t>2017</w:t>
            </w:r>
          </w:p>
        </w:tc>
        <w:tc>
          <w:tcPr>
            <w:tcW w:w="1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20" w:type="dxa"/>
            <w:vAlign w:val="bottom"/>
          </w:tcPr>
          <w:p>
            <w:pPr>
              <w:spacing w:after="0"/>
              <w:rPr>
                <w:sz w:val="7"/>
                <w:szCs w:val="7"/>
                <w:color w:val="auto"/>
              </w:rPr>
            </w:pPr>
          </w:p>
        </w:tc>
        <w:tc>
          <w:tcPr>
            <w:tcW w:w="1580" w:type="dxa"/>
            <w:vAlign w:val="bottom"/>
            <w:gridSpan w:val="2"/>
          </w:tcPr>
          <w:p>
            <w:pPr>
              <w:jc w:val="right"/>
              <w:ind w:right="760"/>
              <w:spacing w:after="0" w:line="88" w:lineRule="exact"/>
              <w:rPr>
                <w:sz w:val="20"/>
                <w:szCs w:val="20"/>
                <w:color w:val="auto"/>
              </w:rPr>
            </w:pPr>
            <w:r>
              <w:rPr>
                <w:rFonts w:ascii="Arial" w:cs="Arial" w:eastAsia="Arial" w:hAnsi="Arial"/>
                <w:sz w:val="10"/>
                <w:szCs w:val="10"/>
                <w:b w:val="1"/>
                <w:bCs w:val="1"/>
                <w:color w:val="auto"/>
              </w:rPr>
              <w:t>S/(000)</w:t>
            </w:r>
          </w:p>
        </w:tc>
        <w:tc>
          <w:tcPr>
            <w:tcW w:w="1220" w:type="dxa"/>
            <w:vAlign w:val="bottom"/>
          </w:tcPr>
          <w:p>
            <w:pPr>
              <w:jc w:val="right"/>
              <w:ind w:right="452"/>
              <w:spacing w:after="0" w:line="88"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7"/>
                <w:szCs w:val="7"/>
                <w:color w:val="auto"/>
              </w:rPr>
            </w:pPr>
          </w:p>
        </w:tc>
        <w:tc>
          <w:tcPr>
            <w:tcW w:w="1580" w:type="dxa"/>
            <w:vAlign w:val="bottom"/>
            <w:gridSpan w:val="2"/>
          </w:tcPr>
          <w:p>
            <w:pPr>
              <w:jc w:val="right"/>
              <w:ind w:right="760"/>
              <w:spacing w:after="0" w:line="88" w:lineRule="exact"/>
              <w:rPr>
                <w:sz w:val="20"/>
                <w:szCs w:val="20"/>
                <w:color w:val="auto"/>
              </w:rPr>
            </w:pPr>
            <w:r>
              <w:rPr>
                <w:rFonts w:ascii="Arial" w:cs="Arial" w:eastAsia="Arial" w:hAnsi="Arial"/>
                <w:sz w:val="10"/>
                <w:szCs w:val="10"/>
                <w:b w:val="1"/>
                <w:bCs w:val="1"/>
                <w:color w:val="auto"/>
              </w:rPr>
              <w:t>S/(000)</w:t>
            </w:r>
          </w:p>
        </w:tc>
        <w:tc>
          <w:tcPr>
            <w:tcW w:w="1220" w:type="dxa"/>
            <w:vAlign w:val="bottom"/>
          </w:tcPr>
          <w:p>
            <w:pPr>
              <w:jc w:val="right"/>
              <w:ind w:right="472"/>
              <w:spacing w:after="0" w:line="88"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7"/>
                <w:szCs w:val="7"/>
                <w:color w:val="auto"/>
              </w:rPr>
            </w:pPr>
          </w:p>
        </w:tc>
        <w:tc>
          <w:tcPr>
            <w:tcW w:w="1240" w:type="dxa"/>
            <w:vAlign w:val="bottom"/>
            <w:gridSpan w:val="2"/>
          </w:tcPr>
          <w:p>
            <w:pPr>
              <w:ind w:left="520"/>
              <w:spacing w:after="0" w:line="88" w:lineRule="exact"/>
              <w:rPr>
                <w:sz w:val="20"/>
                <w:szCs w:val="20"/>
                <w:color w:val="auto"/>
              </w:rPr>
            </w:pPr>
            <w:r>
              <w:rPr>
                <w:rFonts w:ascii="Arial" w:cs="Arial" w:eastAsia="Arial" w:hAnsi="Arial"/>
                <w:sz w:val="10"/>
                <w:szCs w:val="10"/>
                <w:b w:val="1"/>
                <w:bCs w:val="1"/>
                <w:color w:val="auto"/>
              </w:rPr>
              <w:t>S/(000)</w:t>
            </w:r>
          </w:p>
        </w:tc>
        <w:tc>
          <w:tcPr>
            <w:tcW w:w="1520" w:type="dxa"/>
            <w:vAlign w:val="bottom"/>
            <w:gridSpan w:val="2"/>
          </w:tcPr>
          <w:p>
            <w:pPr>
              <w:jc w:val="right"/>
              <w:ind w:right="520"/>
              <w:spacing w:after="0" w:line="8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Life insurance (i)</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1,245,858</w:t>
            </w:r>
          </w:p>
        </w:tc>
        <w:tc>
          <w:tcPr>
            <w:tcW w:w="15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43.19</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1,144,159</w:t>
            </w:r>
          </w:p>
        </w:tc>
        <w:tc>
          <w:tcPr>
            <w:tcW w:w="1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43.29</w:t>
            </w:r>
          </w:p>
        </w:tc>
        <w:tc>
          <w:tcPr>
            <w:tcW w:w="12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887,322</w:t>
            </w:r>
          </w:p>
        </w:tc>
        <w:tc>
          <w:tcPr>
            <w:tcW w:w="15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38.44</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20" w:type="dxa"/>
            <w:vAlign w:val="bottom"/>
          </w:tcPr>
          <w:p>
            <w:pPr>
              <w:spacing w:after="0" w:line="99" w:lineRule="exact"/>
              <w:rPr>
                <w:sz w:val="20"/>
                <w:szCs w:val="20"/>
                <w:color w:val="auto"/>
              </w:rPr>
            </w:pPr>
            <w:r>
              <w:rPr>
                <w:rFonts w:ascii="Arial" w:cs="Arial" w:eastAsia="Arial" w:hAnsi="Arial"/>
                <w:sz w:val="10"/>
                <w:szCs w:val="10"/>
                <w:color w:val="auto"/>
              </w:rPr>
              <w:t>Health insurance (ii)</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548,163</w:t>
            </w:r>
          </w:p>
        </w:tc>
        <w:tc>
          <w:tcPr>
            <w:tcW w:w="1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19.00</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536,134</w:t>
            </w:r>
          </w:p>
        </w:tc>
        <w:tc>
          <w:tcPr>
            <w:tcW w:w="15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20.29</w:t>
            </w:r>
          </w:p>
        </w:tc>
        <w:tc>
          <w:tcPr>
            <w:tcW w:w="12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497,001</w:t>
            </w:r>
          </w:p>
        </w:tc>
        <w:tc>
          <w:tcPr>
            <w:tcW w:w="15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21.54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General insurance (iii)</w:t>
            </w:r>
          </w:p>
        </w:tc>
        <w:tc>
          <w:tcPr>
            <w:tcW w:w="12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1,090,824</w:t>
            </w:r>
          </w:p>
        </w:tc>
        <w:tc>
          <w:tcPr>
            <w:tcW w:w="340" w:type="dxa"/>
            <w:vAlign w:val="bottom"/>
            <w:shd w:val="clear" w:color="auto" w:fill="CCEEFF"/>
          </w:tcPr>
          <w:p>
            <w:pPr>
              <w:spacing w:after="0"/>
              <w:rPr>
                <w:sz w:val="9"/>
                <w:szCs w:val="9"/>
                <w:color w:val="auto"/>
              </w:rPr>
            </w:pPr>
          </w:p>
        </w:tc>
        <w:tc>
          <w:tcPr>
            <w:tcW w:w="156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37.81</w:t>
            </w:r>
          </w:p>
        </w:tc>
        <w:tc>
          <w:tcPr>
            <w:tcW w:w="158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962,654</w:t>
            </w:r>
          </w:p>
        </w:tc>
        <w:tc>
          <w:tcPr>
            <w:tcW w:w="15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36.42</w:t>
            </w:r>
          </w:p>
        </w:tc>
        <w:tc>
          <w:tcPr>
            <w:tcW w:w="1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923,820</w:t>
            </w:r>
          </w:p>
        </w:tc>
        <w:tc>
          <w:tcPr>
            <w:tcW w:w="1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40.02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0"/>
                <w:szCs w:val="10"/>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20" w:type="dxa"/>
            <w:vAlign w:val="bottom"/>
            <w:vMerge w:val="continue"/>
          </w:tcPr>
          <w:p>
            <w:pPr>
              <w:spacing w:after="0"/>
              <w:rPr>
                <w:sz w:val="10"/>
                <w:szCs w:val="10"/>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2,884,845</w:t>
            </w:r>
          </w:p>
        </w:tc>
        <w:tc>
          <w:tcPr>
            <w:tcW w:w="340" w:type="dxa"/>
            <w:vAlign w:val="bottom"/>
          </w:tcPr>
          <w:p>
            <w:pPr>
              <w:spacing w:after="0"/>
              <w:rPr>
                <w:sz w:val="10"/>
                <w:szCs w:val="1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0"/>
                <w:szCs w:val="10"/>
                <w:color w:val="auto"/>
              </w:rPr>
              <w:t>100.00</w:t>
            </w:r>
          </w:p>
        </w:tc>
        <w:tc>
          <w:tcPr>
            <w:tcW w:w="1580" w:type="dxa"/>
            <w:vAlign w:val="bottom"/>
            <w:gridSpan w:val="2"/>
          </w:tcPr>
          <w:p>
            <w:pPr>
              <w:jc w:val="right"/>
              <w:ind w:right="340"/>
              <w:spacing w:after="0"/>
              <w:rPr>
                <w:sz w:val="20"/>
                <w:szCs w:val="20"/>
                <w:color w:val="auto"/>
              </w:rPr>
            </w:pPr>
            <w:r>
              <w:rPr>
                <w:rFonts w:ascii="Arial" w:cs="Arial" w:eastAsia="Arial" w:hAnsi="Arial"/>
                <w:sz w:val="10"/>
                <w:szCs w:val="10"/>
                <w:color w:val="auto"/>
              </w:rPr>
              <w:t>2,642,947</w:t>
            </w:r>
          </w:p>
        </w:tc>
        <w:tc>
          <w:tcPr>
            <w:tcW w:w="1540" w:type="dxa"/>
            <w:vAlign w:val="bottom"/>
            <w:gridSpan w:val="2"/>
          </w:tcPr>
          <w:p>
            <w:pPr>
              <w:jc w:val="right"/>
              <w:ind w:right="320"/>
              <w:spacing w:after="0"/>
              <w:rPr>
                <w:sz w:val="20"/>
                <w:szCs w:val="20"/>
                <w:color w:val="auto"/>
              </w:rPr>
            </w:pPr>
            <w:r>
              <w:rPr>
                <w:rFonts w:ascii="Arial" w:cs="Arial" w:eastAsia="Arial" w:hAnsi="Arial"/>
                <w:sz w:val="10"/>
                <w:szCs w:val="10"/>
                <w:color w:val="auto"/>
              </w:rPr>
              <w:t>100.00</w:t>
            </w:r>
          </w:p>
        </w:tc>
        <w:tc>
          <w:tcPr>
            <w:tcW w:w="1240" w:type="dxa"/>
            <w:vAlign w:val="bottom"/>
            <w:gridSpan w:val="2"/>
          </w:tcPr>
          <w:p>
            <w:pPr>
              <w:jc w:val="right"/>
              <w:ind w:right="20"/>
              <w:spacing w:after="0"/>
              <w:rPr>
                <w:sz w:val="20"/>
                <w:szCs w:val="20"/>
                <w:color w:val="auto"/>
              </w:rPr>
            </w:pPr>
            <w:r>
              <w:rPr>
                <w:rFonts w:ascii="Arial" w:cs="Arial" w:eastAsia="Arial" w:hAnsi="Arial"/>
                <w:sz w:val="10"/>
                <w:szCs w:val="10"/>
                <w:color w:val="auto"/>
              </w:rPr>
              <w:t>2,308,143</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48" w:hanging="432"/>
        <w:spacing w:after="0"/>
        <w:tabs>
          <w:tab w:leader="none" w:pos="6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breakdown of life insurance gross written premiums is as follows:</w:t>
      </w:r>
    </w:p>
    <w:p>
      <w:pPr>
        <w:spacing w:after="0" w:line="152"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2020" w:type="dxa"/>
            <w:vAlign w:val="bottom"/>
          </w:tcPr>
          <w:p>
            <w:pPr>
              <w:spacing w:after="0"/>
              <w:rPr>
                <w:sz w:val="10"/>
                <w:szCs w:val="10"/>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2019</w:t>
            </w:r>
          </w:p>
        </w:tc>
        <w:tc>
          <w:tcPr>
            <w:tcW w:w="12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2018</w:t>
            </w:r>
          </w:p>
        </w:tc>
        <w:tc>
          <w:tcPr>
            <w:tcW w:w="12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98"/>
              </w:rPr>
              <w:t>2017</w:t>
            </w:r>
          </w:p>
        </w:tc>
        <w:tc>
          <w:tcPr>
            <w:tcW w:w="1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20" w:type="dxa"/>
            <w:vAlign w:val="bottom"/>
          </w:tcPr>
          <w:p>
            <w:pPr>
              <w:spacing w:after="0"/>
              <w:rPr>
                <w:sz w:val="7"/>
                <w:szCs w:val="7"/>
                <w:color w:val="auto"/>
              </w:rPr>
            </w:pPr>
          </w:p>
        </w:tc>
        <w:tc>
          <w:tcPr>
            <w:tcW w:w="1580" w:type="dxa"/>
            <w:vAlign w:val="bottom"/>
            <w:gridSpan w:val="2"/>
          </w:tcPr>
          <w:p>
            <w:pPr>
              <w:jc w:val="right"/>
              <w:ind w:right="760"/>
              <w:spacing w:after="0" w:line="88" w:lineRule="exact"/>
              <w:rPr>
                <w:sz w:val="20"/>
                <w:szCs w:val="20"/>
                <w:color w:val="auto"/>
              </w:rPr>
            </w:pPr>
            <w:r>
              <w:rPr>
                <w:rFonts w:ascii="Arial" w:cs="Arial" w:eastAsia="Arial" w:hAnsi="Arial"/>
                <w:sz w:val="10"/>
                <w:szCs w:val="10"/>
                <w:b w:val="1"/>
                <w:bCs w:val="1"/>
                <w:color w:val="auto"/>
              </w:rPr>
              <w:t>S/(000)</w:t>
            </w:r>
          </w:p>
        </w:tc>
        <w:tc>
          <w:tcPr>
            <w:tcW w:w="1220" w:type="dxa"/>
            <w:vAlign w:val="bottom"/>
          </w:tcPr>
          <w:p>
            <w:pPr>
              <w:jc w:val="right"/>
              <w:ind w:right="452"/>
              <w:spacing w:after="0" w:line="88"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7"/>
                <w:szCs w:val="7"/>
                <w:color w:val="auto"/>
              </w:rPr>
            </w:pPr>
          </w:p>
        </w:tc>
        <w:tc>
          <w:tcPr>
            <w:tcW w:w="1580" w:type="dxa"/>
            <w:vAlign w:val="bottom"/>
            <w:gridSpan w:val="2"/>
          </w:tcPr>
          <w:p>
            <w:pPr>
              <w:jc w:val="right"/>
              <w:ind w:right="760"/>
              <w:spacing w:after="0" w:line="88" w:lineRule="exact"/>
              <w:rPr>
                <w:sz w:val="20"/>
                <w:szCs w:val="20"/>
                <w:color w:val="auto"/>
              </w:rPr>
            </w:pPr>
            <w:r>
              <w:rPr>
                <w:rFonts w:ascii="Arial" w:cs="Arial" w:eastAsia="Arial" w:hAnsi="Arial"/>
                <w:sz w:val="10"/>
                <w:szCs w:val="10"/>
                <w:b w:val="1"/>
                <w:bCs w:val="1"/>
                <w:color w:val="auto"/>
              </w:rPr>
              <w:t>S/(000)</w:t>
            </w:r>
          </w:p>
        </w:tc>
        <w:tc>
          <w:tcPr>
            <w:tcW w:w="1220" w:type="dxa"/>
            <w:vAlign w:val="bottom"/>
          </w:tcPr>
          <w:p>
            <w:pPr>
              <w:jc w:val="right"/>
              <w:ind w:right="472"/>
              <w:spacing w:after="0" w:line="88"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7"/>
                <w:szCs w:val="7"/>
                <w:color w:val="auto"/>
              </w:rPr>
            </w:pPr>
          </w:p>
        </w:tc>
        <w:tc>
          <w:tcPr>
            <w:tcW w:w="1240" w:type="dxa"/>
            <w:vAlign w:val="bottom"/>
            <w:gridSpan w:val="2"/>
          </w:tcPr>
          <w:p>
            <w:pPr>
              <w:ind w:left="520"/>
              <w:spacing w:after="0" w:line="88" w:lineRule="exact"/>
              <w:rPr>
                <w:sz w:val="20"/>
                <w:szCs w:val="20"/>
                <w:color w:val="auto"/>
              </w:rPr>
            </w:pPr>
            <w:r>
              <w:rPr>
                <w:rFonts w:ascii="Arial" w:cs="Arial" w:eastAsia="Arial" w:hAnsi="Arial"/>
                <w:sz w:val="10"/>
                <w:szCs w:val="10"/>
                <w:b w:val="1"/>
                <w:bCs w:val="1"/>
                <w:color w:val="auto"/>
              </w:rPr>
              <w:t>S/(000)</w:t>
            </w:r>
          </w:p>
        </w:tc>
        <w:tc>
          <w:tcPr>
            <w:tcW w:w="1520" w:type="dxa"/>
            <w:vAlign w:val="bottom"/>
            <w:gridSpan w:val="2"/>
          </w:tcPr>
          <w:p>
            <w:pPr>
              <w:jc w:val="right"/>
              <w:ind w:right="520"/>
              <w:spacing w:after="0" w:line="8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Credit life</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536,091</w:t>
            </w:r>
          </w:p>
        </w:tc>
        <w:tc>
          <w:tcPr>
            <w:tcW w:w="15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43.03</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507,496</w:t>
            </w:r>
          </w:p>
        </w:tc>
        <w:tc>
          <w:tcPr>
            <w:tcW w:w="1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44.36</w:t>
            </w:r>
          </w:p>
        </w:tc>
        <w:tc>
          <w:tcPr>
            <w:tcW w:w="12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436,443</w:t>
            </w:r>
          </w:p>
        </w:tc>
        <w:tc>
          <w:tcPr>
            <w:tcW w:w="15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49.19</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20" w:type="dxa"/>
            <w:vAlign w:val="bottom"/>
          </w:tcPr>
          <w:p>
            <w:pPr>
              <w:spacing w:after="0" w:line="99" w:lineRule="exact"/>
              <w:rPr>
                <w:sz w:val="20"/>
                <w:szCs w:val="20"/>
                <w:color w:val="auto"/>
              </w:rPr>
            </w:pPr>
            <w:r>
              <w:rPr>
                <w:rFonts w:ascii="Arial" w:cs="Arial" w:eastAsia="Arial" w:hAnsi="Arial"/>
                <w:sz w:val="10"/>
                <w:szCs w:val="10"/>
                <w:color w:val="auto"/>
              </w:rPr>
              <w:t>Disability and survival (*)</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470,066</w:t>
            </w:r>
          </w:p>
        </w:tc>
        <w:tc>
          <w:tcPr>
            <w:tcW w:w="1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37.73</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272,144</w:t>
            </w:r>
          </w:p>
        </w:tc>
        <w:tc>
          <w:tcPr>
            <w:tcW w:w="15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23.79</w:t>
            </w:r>
          </w:p>
        </w:tc>
        <w:tc>
          <w:tcPr>
            <w:tcW w:w="12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237,559</w:t>
            </w:r>
          </w:p>
        </w:tc>
        <w:tc>
          <w:tcPr>
            <w:tcW w:w="15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26.77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Individual life (**)</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60,705</w:t>
            </w:r>
          </w:p>
        </w:tc>
        <w:tc>
          <w:tcPr>
            <w:tcW w:w="15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4.87</w:t>
            </w:r>
          </w:p>
        </w:tc>
        <w:tc>
          <w:tcPr>
            <w:tcW w:w="158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10"/>
                <w:szCs w:val="10"/>
                <w:color w:val="auto"/>
              </w:rPr>
              <w:t>203,662</w:t>
            </w:r>
          </w:p>
        </w:tc>
        <w:tc>
          <w:tcPr>
            <w:tcW w:w="1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17.80</w:t>
            </w:r>
          </w:p>
        </w:tc>
        <w:tc>
          <w:tcPr>
            <w:tcW w:w="12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69,647</w:t>
            </w:r>
          </w:p>
        </w:tc>
        <w:tc>
          <w:tcPr>
            <w:tcW w:w="15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7.85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20" w:type="dxa"/>
            <w:vAlign w:val="bottom"/>
          </w:tcPr>
          <w:p>
            <w:pPr>
              <w:spacing w:after="0" w:line="99" w:lineRule="exact"/>
              <w:rPr>
                <w:sz w:val="20"/>
                <w:szCs w:val="20"/>
                <w:color w:val="auto"/>
              </w:rPr>
            </w:pPr>
            <w:r>
              <w:rPr>
                <w:rFonts w:ascii="Arial" w:cs="Arial" w:eastAsia="Arial" w:hAnsi="Arial"/>
                <w:sz w:val="10"/>
                <w:szCs w:val="10"/>
                <w:color w:val="auto"/>
              </w:rPr>
              <w:t>Group life</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128,656</w:t>
            </w:r>
          </w:p>
        </w:tc>
        <w:tc>
          <w:tcPr>
            <w:tcW w:w="1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10.33</w:t>
            </w:r>
          </w:p>
        </w:tc>
        <w:tc>
          <w:tcPr>
            <w:tcW w:w="158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113,273</w:t>
            </w:r>
          </w:p>
        </w:tc>
        <w:tc>
          <w:tcPr>
            <w:tcW w:w="15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9.90</w:t>
            </w:r>
          </w:p>
        </w:tc>
        <w:tc>
          <w:tcPr>
            <w:tcW w:w="124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117,580</w:t>
            </w:r>
          </w:p>
        </w:tc>
        <w:tc>
          <w:tcPr>
            <w:tcW w:w="15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13.25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Annuities</w:t>
            </w:r>
          </w:p>
        </w:tc>
        <w:tc>
          <w:tcPr>
            <w:tcW w:w="12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50,340</w:t>
            </w:r>
          </w:p>
        </w:tc>
        <w:tc>
          <w:tcPr>
            <w:tcW w:w="340" w:type="dxa"/>
            <w:vAlign w:val="bottom"/>
            <w:shd w:val="clear" w:color="auto" w:fill="CCEEFF"/>
          </w:tcPr>
          <w:p>
            <w:pPr>
              <w:spacing w:after="0"/>
              <w:rPr>
                <w:sz w:val="9"/>
                <w:szCs w:val="9"/>
                <w:color w:val="auto"/>
              </w:rPr>
            </w:pPr>
          </w:p>
        </w:tc>
        <w:tc>
          <w:tcPr>
            <w:tcW w:w="156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4.04</w:t>
            </w:r>
          </w:p>
        </w:tc>
        <w:tc>
          <w:tcPr>
            <w:tcW w:w="158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47,584</w:t>
            </w:r>
          </w:p>
        </w:tc>
        <w:tc>
          <w:tcPr>
            <w:tcW w:w="15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4.15</w:t>
            </w:r>
          </w:p>
        </w:tc>
        <w:tc>
          <w:tcPr>
            <w:tcW w:w="1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26,093</w:t>
            </w:r>
          </w:p>
        </w:tc>
        <w:tc>
          <w:tcPr>
            <w:tcW w:w="1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2.94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0"/>
                <w:szCs w:val="10"/>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20" w:type="dxa"/>
            <w:vAlign w:val="bottom"/>
            <w:vMerge w:val="continue"/>
          </w:tcPr>
          <w:p>
            <w:pPr>
              <w:spacing w:after="0"/>
              <w:rPr>
                <w:sz w:val="10"/>
                <w:szCs w:val="10"/>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1,245,858</w:t>
            </w:r>
          </w:p>
        </w:tc>
        <w:tc>
          <w:tcPr>
            <w:tcW w:w="340" w:type="dxa"/>
            <w:vAlign w:val="bottom"/>
          </w:tcPr>
          <w:p>
            <w:pPr>
              <w:spacing w:after="0"/>
              <w:rPr>
                <w:sz w:val="10"/>
                <w:szCs w:val="1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0"/>
                <w:szCs w:val="10"/>
                <w:color w:val="auto"/>
              </w:rPr>
              <w:t>100.00</w:t>
            </w:r>
          </w:p>
        </w:tc>
        <w:tc>
          <w:tcPr>
            <w:tcW w:w="1580" w:type="dxa"/>
            <w:vAlign w:val="bottom"/>
            <w:gridSpan w:val="2"/>
          </w:tcPr>
          <w:p>
            <w:pPr>
              <w:jc w:val="right"/>
              <w:ind w:right="340"/>
              <w:spacing w:after="0"/>
              <w:rPr>
                <w:sz w:val="20"/>
                <w:szCs w:val="20"/>
                <w:color w:val="auto"/>
              </w:rPr>
            </w:pPr>
            <w:r>
              <w:rPr>
                <w:rFonts w:ascii="Arial" w:cs="Arial" w:eastAsia="Arial" w:hAnsi="Arial"/>
                <w:sz w:val="10"/>
                <w:szCs w:val="10"/>
                <w:color w:val="auto"/>
              </w:rPr>
              <w:t>1,144,159</w:t>
            </w:r>
          </w:p>
        </w:tc>
        <w:tc>
          <w:tcPr>
            <w:tcW w:w="1540" w:type="dxa"/>
            <w:vAlign w:val="bottom"/>
            <w:gridSpan w:val="2"/>
          </w:tcPr>
          <w:p>
            <w:pPr>
              <w:jc w:val="right"/>
              <w:ind w:right="320"/>
              <w:spacing w:after="0"/>
              <w:rPr>
                <w:sz w:val="20"/>
                <w:szCs w:val="20"/>
                <w:color w:val="auto"/>
              </w:rPr>
            </w:pPr>
            <w:r>
              <w:rPr>
                <w:rFonts w:ascii="Arial" w:cs="Arial" w:eastAsia="Arial" w:hAnsi="Arial"/>
                <w:sz w:val="10"/>
                <w:szCs w:val="10"/>
                <w:color w:val="auto"/>
              </w:rPr>
              <w:t>100.00</w:t>
            </w:r>
          </w:p>
        </w:tc>
        <w:tc>
          <w:tcPr>
            <w:tcW w:w="1240" w:type="dxa"/>
            <w:vAlign w:val="bottom"/>
            <w:gridSpan w:val="2"/>
          </w:tcPr>
          <w:p>
            <w:pPr>
              <w:jc w:val="right"/>
              <w:ind w:right="20"/>
              <w:spacing w:after="0"/>
              <w:rPr>
                <w:sz w:val="20"/>
                <w:szCs w:val="20"/>
                <w:color w:val="auto"/>
              </w:rPr>
            </w:pPr>
            <w:r>
              <w:rPr>
                <w:rFonts w:ascii="Arial" w:cs="Arial" w:eastAsia="Arial" w:hAnsi="Arial"/>
                <w:sz w:val="10"/>
                <w:szCs w:val="10"/>
                <w:color w:val="auto"/>
              </w:rPr>
              <w:t>887,322</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right="6380" w:firstLine="8"/>
        <w:spacing w:after="0" w:line="546" w:lineRule="auto"/>
        <w:tabs>
          <w:tab w:leader="none" w:pos="424" w:val="left"/>
        </w:tabs>
        <w:numPr>
          <w:ilvl w:val="1"/>
          <w:numId w:val="144"/>
        </w:numPr>
        <w:rPr>
          <w:rFonts w:ascii="Arial" w:cs="Arial" w:eastAsia="Arial" w:hAnsi="Arial"/>
          <w:sz w:val="11"/>
          <w:szCs w:val="11"/>
          <w:color w:val="auto"/>
        </w:rPr>
      </w:pPr>
      <w:r>
        <w:rPr>
          <w:rFonts w:ascii="Arial" w:cs="Arial" w:eastAsia="Arial" w:hAnsi="Arial"/>
          <w:sz w:val="11"/>
          <w:szCs w:val="11"/>
          <w:color w:val="auto"/>
        </w:rPr>
        <w:t>This item includes Complementary Work Risk Insurance (“SCTR” from its Spanish acronym). (**) Individual life insurance premiums include Investment Link insurance contracts.</w:t>
      </w:r>
    </w:p>
    <w:p>
      <w:pPr>
        <w:ind w:left="208" w:right="300" w:hanging="208"/>
        <w:spacing w:after="0" w:line="276" w:lineRule="auto"/>
        <w:tabs>
          <w:tab w:leader="none" w:pos="20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Health insurance gross written premiums after adjustments include medical assistance which amounts to S/ 464.7 million at December 31, 2019 (S/ 420.5 and S/ 386.3 million at December 31, 2018 and 2017, respectively) and represents 84.78 percent of this line of business at December 31, 2019 (78.44 and 77.73 percent at December 31, 2018 and 2017, respectively).</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General insurance gross written premiums consist of the following:</w:t>
      </w:r>
    </w:p>
    <w:p>
      <w:pPr>
        <w:spacing w:after="0" w:line="157" w:lineRule="exact"/>
        <w:rPr>
          <w:sz w:val="20"/>
          <w:szCs w:val="20"/>
          <w:color w:val="auto"/>
        </w:rPr>
      </w:pPr>
    </w:p>
    <w:tbl>
      <w:tblPr>
        <w:tblLayout w:type="fixed"/>
        <w:tblInd w:w="208" w:type="dxa"/>
        <w:tblCellMar>
          <w:top w:w="0" w:type="dxa"/>
          <w:left w:w="0" w:type="dxa"/>
          <w:bottom w:w="0" w:type="dxa"/>
          <w:right w:w="0" w:type="dxa"/>
        </w:tblCellMar>
      </w:tblPr>
      <w:tr>
        <w:trPr>
          <w:trHeight w:val="101"/>
        </w:trPr>
        <w:tc>
          <w:tcPr>
            <w:tcW w:w="2660" w:type="dxa"/>
            <w:vAlign w:val="bottom"/>
          </w:tcPr>
          <w:p>
            <w:pPr>
              <w:spacing w:after="0"/>
              <w:rPr>
                <w:sz w:val="8"/>
                <w:szCs w:val="8"/>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8"/>
                <w:szCs w:val="8"/>
                <w:b w:val="1"/>
                <w:bCs w:val="1"/>
                <w:color w:val="auto"/>
              </w:rPr>
              <w:t>2019</w:t>
            </w: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2018</w:t>
            </w: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2017</w:t>
            </w:r>
          </w:p>
        </w:tc>
        <w:tc>
          <w:tcPr>
            <w:tcW w:w="1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9"/>
        </w:trPr>
        <w:tc>
          <w:tcPr>
            <w:tcW w:w="2660" w:type="dxa"/>
            <w:vAlign w:val="bottom"/>
          </w:tcPr>
          <w:p>
            <w:pPr>
              <w:spacing w:after="0"/>
              <w:rPr>
                <w:sz w:val="6"/>
                <w:szCs w:val="6"/>
                <w:color w:val="auto"/>
              </w:rPr>
            </w:pPr>
          </w:p>
        </w:tc>
        <w:tc>
          <w:tcPr>
            <w:tcW w:w="1460" w:type="dxa"/>
            <w:vAlign w:val="bottom"/>
            <w:gridSpan w:val="2"/>
          </w:tcPr>
          <w:p>
            <w:pPr>
              <w:jc w:val="right"/>
              <w:ind w:right="720"/>
              <w:spacing w:after="0" w:line="79" w:lineRule="exact"/>
              <w:rPr>
                <w:sz w:val="20"/>
                <w:szCs w:val="20"/>
                <w:color w:val="auto"/>
              </w:rPr>
            </w:pPr>
            <w:r>
              <w:rPr>
                <w:rFonts w:ascii="Arial" w:cs="Arial" w:eastAsia="Arial" w:hAnsi="Arial"/>
                <w:sz w:val="8"/>
                <w:szCs w:val="8"/>
                <w:b w:val="1"/>
                <w:bCs w:val="1"/>
                <w:color w:val="auto"/>
              </w:rPr>
              <w:t>S/(000)</w:t>
            </w:r>
          </w:p>
        </w:tc>
        <w:tc>
          <w:tcPr>
            <w:tcW w:w="1120" w:type="dxa"/>
            <w:vAlign w:val="bottom"/>
          </w:tcPr>
          <w:p>
            <w:pPr>
              <w:jc w:val="right"/>
              <w:ind w:right="418"/>
              <w:spacing w:after="0" w:line="79" w:lineRule="exact"/>
              <w:rPr>
                <w:sz w:val="20"/>
                <w:szCs w:val="20"/>
                <w:color w:val="auto"/>
              </w:rPr>
            </w:pPr>
            <w:r>
              <w:rPr>
                <w:rFonts w:ascii="Arial" w:cs="Arial" w:eastAsia="Arial" w:hAnsi="Arial"/>
                <w:sz w:val="8"/>
                <w:szCs w:val="8"/>
                <w:b w:val="1"/>
                <w:bCs w:val="1"/>
                <w:color w:val="auto"/>
              </w:rPr>
              <w:t>%</w:t>
            </w:r>
          </w:p>
        </w:tc>
        <w:tc>
          <w:tcPr>
            <w:tcW w:w="320" w:type="dxa"/>
            <w:vAlign w:val="bottom"/>
          </w:tcPr>
          <w:p>
            <w:pPr>
              <w:spacing w:after="0"/>
              <w:rPr>
                <w:sz w:val="6"/>
                <w:szCs w:val="6"/>
                <w:color w:val="auto"/>
              </w:rPr>
            </w:pPr>
          </w:p>
        </w:tc>
        <w:tc>
          <w:tcPr>
            <w:tcW w:w="1140" w:type="dxa"/>
            <w:vAlign w:val="bottom"/>
            <w:gridSpan w:val="2"/>
          </w:tcPr>
          <w:p>
            <w:pPr>
              <w:ind w:left="480"/>
              <w:spacing w:after="0" w:line="79" w:lineRule="exact"/>
              <w:rPr>
                <w:sz w:val="20"/>
                <w:szCs w:val="20"/>
                <w:color w:val="auto"/>
              </w:rPr>
            </w:pPr>
            <w:r>
              <w:rPr>
                <w:rFonts w:ascii="Arial" w:cs="Arial" w:eastAsia="Arial" w:hAnsi="Arial"/>
                <w:sz w:val="8"/>
                <w:szCs w:val="8"/>
                <w:b w:val="1"/>
                <w:bCs w:val="1"/>
                <w:color w:val="auto"/>
              </w:rPr>
              <w:t>S/(000)</w:t>
            </w:r>
          </w:p>
        </w:tc>
        <w:tc>
          <w:tcPr>
            <w:tcW w:w="1380" w:type="dxa"/>
            <w:vAlign w:val="bottom"/>
            <w:gridSpan w:val="2"/>
          </w:tcPr>
          <w:p>
            <w:pPr>
              <w:jc w:val="right"/>
              <w:ind w:right="418"/>
              <w:spacing w:after="0" w:line="79" w:lineRule="exact"/>
              <w:rPr>
                <w:sz w:val="20"/>
                <w:szCs w:val="20"/>
                <w:color w:val="auto"/>
              </w:rPr>
            </w:pPr>
            <w:r>
              <w:rPr>
                <w:rFonts w:ascii="Arial" w:cs="Arial" w:eastAsia="Arial" w:hAnsi="Arial"/>
                <w:sz w:val="8"/>
                <w:szCs w:val="8"/>
                <w:b w:val="1"/>
                <w:bCs w:val="1"/>
                <w:color w:val="auto"/>
              </w:rPr>
              <w:t>%</w:t>
            </w:r>
          </w:p>
        </w:tc>
        <w:tc>
          <w:tcPr>
            <w:tcW w:w="320" w:type="dxa"/>
            <w:vAlign w:val="bottom"/>
          </w:tcPr>
          <w:p>
            <w:pPr>
              <w:spacing w:after="0"/>
              <w:rPr>
                <w:sz w:val="6"/>
                <w:szCs w:val="6"/>
                <w:color w:val="auto"/>
              </w:rPr>
            </w:pPr>
          </w:p>
        </w:tc>
        <w:tc>
          <w:tcPr>
            <w:tcW w:w="1140" w:type="dxa"/>
            <w:vAlign w:val="bottom"/>
            <w:gridSpan w:val="2"/>
          </w:tcPr>
          <w:p>
            <w:pPr>
              <w:jc w:val="right"/>
              <w:ind w:right="400"/>
              <w:spacing w:after="0" w:line="79" w:lineRule="exact"/>
              <w:rPr>
                <w:sz w:val="20"/>
                <w:szCs w:val="20"/>
                <w:color w:val="auto"/>
              </w:rPr>
            </w:pPr>
            <w:r>
              <w:rPr>
                <w:rFonts w:ascii="Arial" w:cs="Arial" w:eastAsia="Arial" w:hAnsi="Arial"/>
                <w:sz w:val="8"/>
                <w:szCs w:val="8"/>
                <w:b w:val="1"/>
                <w:bCs w:val="1"/>
                <w:color w:val="auto"/>
              </w:rPr>
              <w:t>S/(000)</w:t>
            </w:r>
          </w:p>
        </w:tc>
        <w:tc>
          <w:tcPr>
            <w:tcW w:w="1380" w:type="dxa"/>
            <w:vAlign w:val="bottom"/>
            <w:gridSpan w:val="2"/>
          </w:tcPr>
          <w:p>
            <w:pPr>
              <w:jc w:val="right"/>
              <w:ind w:right="398"/>
              <w:spacing w:after="0" w:line="79" w:lineRule="exact"/>
              <w:rPr>
                <w:sz w:val="20"/>
                <w:szCs w:val="20"/>
                <w:color w:val="auto"/>
              </w:rPr>
            </w:pPr>
            <w:r>
              <w:rPr>
                <w:rFonts w:ascii="Arial" w:cs="Arial" w:eastAsia="Arial" w:hAnsi="Arial"/>
                <w:sz w:val="8"/>
                <w:szCs w:val="8"/>
                <w:b w:val="1"/>
                <w:bCs w:val="1"/>
                <w:color w:val="auto"/>
              </w:rPr>
              <w:t>%</w:t>
            </w:r>
          </w:p>
        </w:tc>
        <w:tc>
          <w:tcPr>
            <w:tcW w:w="120" w:type="dxa"/>
            <w:vAlign w:val="bottom"/>
          </w:tcPr>
          <w:p>
            <w:pPr>
              <w:spacing w:after="0"/>
              <w:rPr>
                <w:sz w:val="6"/>
                <w:szCs w:val="6"/>
                <w:color w:val="auto"/>
              </w:rPr>
            </w:pPr>
          </w:p>
        </w:tc>
      </w:tr>
      <w:tr>
        <w:trPr>
          <w:trHeight w:val="90"/>
        </w:trPr>
        <w:tc>
          <w:tcPr>
            <w:tcW w:w="26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Automobile</w:t>
            </w:r>
          </w:p>
        </w:tc>
        <w:tc>
          <w:tcPr>
            <w:tcW w:w="146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357,796</w:t>
            </w:r>
          </w:p>
        </w:tc>
        <w:tc>
          <w:tcPr>
            <w:tcW w:w="14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32.80</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340,236</w:t>
            </w:r>
          </w:p>
        </w:tc>
        <w:tc>
          <w:tcPr>
            <w:tcW w:w="1700" w:type="dxa"/>
            <w:vAlign w:val="bottom"/>
            <w:gridSpan w:val="3"/>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35.34</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308,910</w:t>
            </w:r>
          </w:p>
        </w:tc>
        <w:tc>
          <w:tcPr>
            <w:tcW w:w="15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33.44</w:t>
            </w:r>
          </w:p>
        </w:tc>
      </w:tr>
      <w:tr>
        <w:trPr>
          <w:trHeight w:val="90"/>
        </w:trPr>
        <w:tc>
          <w:tcPr>
            <w:tcW w:w="2660" w:type="dxa"/>
            <w:vAlign w:val="bottom"/>
          </w:tcPr>
          <w:p>
            <w:pPr>
              <w:spacing w:after="0" w:line="90" w:lineRule="exact"/>
              <w:rPr>
                <w:sz w:val="20"/>
                <w:szCs w:val="20"/>
                <w:color w:val="auto"/>
              </w:rPr>
            </w:pPr>
            <w:r>
              <w:rPr>
                <w:rFonts w:ascii="Arial" w:cs="Arial" w:eastAsia="Arial" w:hAnsi="Arial"/>
                <w:sz w:val="8"/>
                <w:szCs w:val="8"/>
                <w:color w:val="auto"/>
              </w:rPr>
              <w:t>Fire and allied lines</w:t>
            </w:r>
          </w:p>
        </w:tc>
        <w:tc>
          <w:tcPr>
            <w:tcW w:w="146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293,392</w:t>
            </w:r>
          </w:p>
        </w:tc>
        <w:tc>
          <w:tcPr>
            <w:tcW w:w="14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26.90</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248,832</w:t>
            </w:r>
          </w:p>
        </w:tc>
        <w:tc>
          <w:tcPr>
            <w:tcW w:w="1700" w:type="dxa"/>
            <w:vAlign w:val="bottom"/>
            <w:gridSpan w:val="3"/>
          </w:tcPr>
          <w:p>
            <w:pPr>
              <w:jc w:val="right"/>
              <w:ind w:right="320"/>
              <w:spacing w:after="0" w:line="90" w:lineRule="exact"/>
              <w:rPr>
                <w:sz w:val="20"/>
                <w:szCs w:val="20"/>
                <w:color w:val="auto"/>
              </w:rPr>
            </w:pPr>
            <w:r>
              <w:rPr>
                <w:rFonts w:ascii="Arial" w:cs="Arial" w:eastAsia="Arial" w:hAnsi="Arial"/>
                <w:sz w:val="8"/>
                <w:szCs w:val="8"/>
                <w:color w:val="auto"/>
              </w:rPr>
              <w:t>25.85</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244,474</w:t>
            </w:r>
          </w:p>
        </w:tc>
        <w:tc>
          <w:tcPr>
            <w:tcW w:w="150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26.46</w:t>
            </w:r>
          </w:p>
        </w:tc>
      </w:tr>
      <w:tr>
        <w:trPr>
          <w:trHeight w:val="90"/>
        </w:trPr>
        <w:tc>
          <w:tcPr>
            <w:tcW w:w="26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Theft and robbery</w:t>
            </w:r>
          </w:p>
        </w:tc>
        <w:tc>
          <w:tcPr>
            <w:tcW w:w="146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110,395</w:t>
            </w:r>
          </w:p>
        </w:tc>
        <w:tc>
          <w:tcPr>
            <w:tcW w:w="14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10.12</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91,369</w:t>
            </w:r>
          </w:p>
        </w:tc>
        <w:tc>
          <w:tcPr>
            <w:tcW w:w="1700" w:type="dxa"/>
            <w:vAlign w:val="bottom"/>
            <w:gridSpan w:val="3"/>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9.49</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81,699</w:t>
            </w:r>
          </w:p>
        </w:tc>
        <w:tc>
          <w:tcPr>
            <w:tcW w:w="15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8.84</w:t>
            </w:r>
          </w:p>
        </w:tc>
      </w:tr>
      <w:tr>
        <w:trPr>
          <w:trHeight w:val="90"/>
        </w:trPr>
        <w:tc>
          <w:tcPr>
            <w:tcW w:w="2660" w:type="dxa"/>
            <w:vAlign w:val="bottom"/>
          </w:tcPr>
          <w:p>
            <w:pPr>
              <w:spacing w:after="0" w:line="90" w:lineRule="exact"/>
              <w:rPr>
                <w:sz w:val="20"/>
                <w:szCs w:val="20"/>
                <w:color w:val="auto"/>
              </w:rPr>
            </w:pPr>
            <w:r>
              <w:rPr>
                <w:rFonts w:ascii="Arial" w:cs="Arial" w:eastAsia="Arial" w:hAnsi="Arial"/>
                <w:sz w:val="8"/>
                <w:szCs w:val="8"/>
                <w:color w:val="auto"/>
              </w:rPr>
              <w:t>Technical lines (*)</w:t>
            </w:r>
          </w:p>
        </w:tc>
        <w:tc>
          <w:tcPr>
            <w:tcW w:w="146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70,364</w:t>
            </w:r>
          </w:p>
        </w:tc>
        <w:tc>
          <w:tcPr>
            <w:tcW w:w="14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6.45</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64,141</w:t>
            </w:r>
          </w:p>
        </w:tc>
        <w:tc>
          <w:tcPr>
            <w:tcW w:w="1700" w:type="dxa"/>
            <w:vAlign w:val="bottom"/>
            <w:gridSpan w:val="3"/>
          </w:tcPr>
          <w:p>
            <w:pPr>
              <w:jc w:val="right"/>
              <w:ind w:right="320"/>
              <w:spacing w:after="0" w:line="90" w:lineRule="exact"/>
              <w:rPr>
                <w:sz w:val="20"/>
                <w:szCs w:val="20"/>
                <w:color w:val="auto"/>
              </w:rPr>
            </w:pPr>
            <w:r>
              <w:rPr>
                <w:rFonts w:ascii="Arial" w:cs="Arial" w:eastAsia="Arial" w:hAnsi="Arial"/>
                <w:sz w:val="8"/>
                <w:szCs w:val="8"/>
                <w:color w:val="auto"/>
              </w:rPr>
              <w:t>6.66</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62,973</w:t>
            </w:r>
          </w:p>
        </w:tc>
        <w:tc>
          <w:tcPr>
            <w:tcW w:w="150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6.82</w:t>
            </w:r>
          </w:p>
        </w:tc>
      </w:tr>
      <w:tr>
        <w:trPr>
          <w:trHeight w:val="90"/>
        </w:trPr>
        <w:tc>
          <w:tcPr>
            <w:tcW w:w="26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Third party liability</w:t>
            </w:r>
          </w:p>
        </w:tc>
        <w:tc>
          <w:tcPr>
            <w:tcW w:w="146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50,024</w:t>
            </w:r>
          </w:p>
        </w:tc>
        <w:tc>
          <w:tcPr>
            <w:tcW w:w="14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4.59</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49,421</w:t>
            </w:r>
          </w:p>
        </w:tc>
        <w:tc>
          <w:tcPr>
            <w:tcW w:w="1700" w:type="dxa"/>
            <w:vAlign w:val="bottom"/>
            <w:gridSpan w:val="3"/>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5.13</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44,536</w:t>
            </w:r>
          </w:p>
        </w:tc>
        <w:tc>
          <w:tcPr>
            <w:tcW w:w="15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4.82</w:t>
            </w:r>
          </w:p>
        </w:tc>
      </w:tr>
      <w:tr>
        <w:trPr>
          <w:trHeight w:val="90"/>
        </w:trPr>
        <w:tc>
          <w:tcPr>
            <w:tcW w:w="2660" w:type="dxa"/>
            <w:vAlign w:val="bottom"/>
          </w:tcPr>
          <w:p>
            <w:pPr>
              <w:spacing w:after="0" w:line="90" w:lineRule="exact"/>
              <w:rPr>
                <w:sz w:val="20"/>
                <w:szCs w:val="20"/>
                <w:color w:val="auto"/>
              </w:rPr>
            </w:pPr>
            <w:r>
              <w:rPr>
                <w:rFonts w:ascii="Arial" w:cs="Arial" w:eastAsia="Arial" w:hAnsi="Arial"/>
                <w:sz w:val="8"/>
                <w:szCs w:val="8"/>
                <w:color w:val="auto"/>
              </w:rPr>
              <w:t>Transport</w:t>
            </w:r>
          </w:p>
        </w:tc>
        <w:tc>
          <w:tcPr>
            <w:tcW w:w="146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44,368</w:t>
            </w:r>
          </w:p>
        </w:tc>
        <w:tc>
          <w:tcPr>
            <w:tcW w:w="14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4.07</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49,441</w:t>
            </w:r>
          </w:p>
        </w:tc>
        <w:tc>
          <w:tcPr>
            <w:tcW w:w="1700" w:type="dxa"/>
            <w:vAlign w:val="bottom"/>
            <w:gridSpan w:val="3"/>
          </w:tcPr>
          <w:p>
            <w:pPr>
              <w:jc w:val="right"/>
              <w:ind w:right="320"/>
              <w:spacing w:after="0" w:line="90" w:lineRule="exact"/>
              <w:rPr>
                <w:sz w:val="20"/>
                <w:szCs w:val="20"/>
                <w:color w:val="auto"/>
              </w:rPr>
            </w:pPr>
            <w:r>
              <w:rPr>
                <w:rFonts w:ascii="Arial" w:cs="Arial" w:eastAsia="Arial" w:hAnsi="Arial"/>
                <w:sz w:val="8"/>
                <w:szCs w:val="8"/>
                <w:color w:val="auto"/>
              </w:rPr>
              <w:t>5.14</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46,534</w:t>
            </w:r>
          </w:p>
        </w:tc>
        <w:tc>
          <w:tcPr>
            <w:tcW w:w="150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5.04</w:t>
            </w:r>
          </w:p>
        </w:tc>
      </w:tr>
      <w:tr>
        <w:trPr>
          <w:trHeight w:val="90"/>
        </w:trPr>
        <w:tc>
          <w:tcPr>
            <w:tcW w:w="26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SOAT (Mandatory automobile line)</w:t>
            </w:r>
          </w:p>
        </w:tc>
        <w:tc>
          <w:tcPr>
            <w:tcW w:w="146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41,068</w:t>
            </w:r>
          </w:p>
        </w:tc>
        <w:tc>
          <w:tcPr>
            <w:tcW w:w="14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3.76</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32,015</w:t>
            </w:r>
          </w:p>
        </w:tc>
        <w:tc>
          <w:tcPr>
            <w:tcW w:w="1700" w:type="dxa"/>
            <w:vAlign w:val="bottom"/>
            <w:gridSpan w:val="3"/>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3.33</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24,573</w:t>
            </w:r>
          </w:p>
        </w:tc>
        <w:tc>
          <w:tcPr>
            <w:tcW w:w="15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2.66</w:t>
            </w:r>
          </w:p>
        </w:tc>
      </w:tr>
      <w:tr>
        <w:trPr>
          <w:trHeight w:val="90"/>
        </w:trPr>
        <w:tc>
          <w:tcPr>
            <w:tcW w:w="2660" w:type="dxa"/>
            <w:vAlign w:val="bottom"/>
          </w:tcPr>
          <w:p>
            <w:pPr>
              <w:spacing w:after="0" w:line="90" w:lineRule="exact"/>
              <w:rPr>
                <w:sz w:val="20"/>
                <w:szCs w:val="20"/>
                <w:color w:val="auto"/>
              </w:rPr>
            </w:pPr>
            <w:r>
              <w:rPr>
                <w:rFonts w:ascii="Arial" w:cs="Arial" w:eastAsia="Arial" w:hAnsi="Arial"/>
                <w:sz w:val="8"/>
                <w:szCs w:val="8"/>
                <w:color w:val="auto"/>
              </w:rPr>
              <w:t>Marine Hull</w:t>
            </w:r>
          </w:p>
        </w:tc>
        <w:tc>
          <w:tcPr>
            <w:tcW w:w="146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27,005</w:t>
            </w:r>
          </w:p>
        </w:tc>
        <w:tc>
          <w:tcPr>
            <w:tcW w:w="1440" w:type="dxa"/>
            <w:vAlign w:val="bottom"/>
            <w:gridSpan w:val="2"/>
          </w:tcPr>
          <w:p>
            <w:pPr>
              <w:jc w:val="right"/>
              <w:ind w:right="320"/>
              <w:spacing w:after="0" w:line="90" w:lineRule="exact"/>
              <w:rPr>
                <w:sz w:val="20"/>
                <w:szCs w:val="20"/>
                <w:color w:val="auto"/>
              </w:rPr>
            </w:pPr>
            <w:r>
              <w:rPr>
                <w:rFonts w:ascii="Arial" w:cs="Arial" w:eastAsia="Arial" w:hAnsi="Arial"/>
                <w:sz w:val="8"/>
                <w:szCs w:val="8"/>
                <w:color w:val="auto"/>
              </w:rPr>
              <w:t>2.48</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27,394</w:t>
            </w:r>
          </w:p>
        </w:tc>
        <w:tc>
          <w:tcPr>
            <w:tcW w:w="1700" w:type="dxa"/>
            <w:vAlign w:val="bottom"/>
            <w:gridSpan w:val="3"/>
          </w:tcPr>
          <w:p>
            <w:pPr>
              <w:jc w:val="right"/>
              <w:ind w:right="320"/>
              <w:spacing w:after="0" w:line="90" w:lineRule="exact"/>
              <w:rPr>
                <w:sz w:val="20"/>
                <w:szCs w:val="20"/>
                <w:color w:val="auto"/>
              </w:rPr>
            </w:pPr>
            <w:r>
              <w:rPr>
                <w:rFonts w:ascii="Arial" w:cs="Arial" w:eastAsia="Arial" w:hAnsi="Arial"/>
                <w:sz w:val="8"/>
                <w:szCs w:val="8"/>
                <w:color w:val="auto"/>
              </w:rPr>
              <w:t>2.85</w:t>
            </w:r>
          </w:p>
        </w:tc>
        <w:tc>
          <w:tcPr>
            <w:tcW w:w="1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27,317</w:t>
            </w:r>
          </w:p>
        </w:tc>
        <w:tc>
          <w:tcPr>
            <w:tcW w:w="150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2.96</w:t>
            </w:r>
          </w:p>
        </w:tc>
      </w:tr>
      <w:tr>
        <w:trPr>
          <w:trHeight w:val="90"/>
        </w:trPr>
        <w:tc>
          <w:tcPr>
            <w:tcW w:w="26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Aviation</w:t>
            </w:r>
          </w:p>
        </w:tc>
        <w:tc>
          <w:tcPr>
            <w:tcW w:w="1460" w:type="dxa"/>
            <w:vAlign w:val="bottom"/>
            <w:gridSpan w:val="2"/>
            <w:shd w:val="clear" w:color="auto" w:fill="CCEEFF"/>
          </w:tcPr>
          <w:p>
            <w:pPr>
              <w:jc w:val="right"/>
              <w:ind w:right="340"/>
              <w:spacing w:after="0" w:line="90" w:lineRule="exact"/>
              <w:rPr>
                <w:sz w:val="20"/>
                <w:szCs w:val="20"/>
                <w:color w:val="auto"/>
              </w:rPr>
            </w:pPr>
            <w:r>
              <w:rPr>
                <w:rFonts w:ascii="Arial" w:cs="Arial" w:eastAsia="Arial" w:hAnsi="Arial"/>
                <w:sz w:val="8"/>
                <w:szCs w:val="8"/>
                <w:color w:val="auto"/>
              </w:rPr>
              <w:t>42,191</w:t>
            </w:r>
          </w:p>
        </w:tc>
        <w:tc>
          <w:tcPr>
            <w:tcW w:w="1440" w:type="dxa"/>
            <w:vAlign w:val="bottom"/>
            <w:gridSpan w:val="2"/>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3.87</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16,173</w:t>
            </w:r>
          </w:p>
        </w:tc>
        <w:tc>
          <w:tcPr>
            <w:tcW w:w="1700" w:type="dxa"/>
            <w:vAlign w:val="bottom"/>
            <w:gridSpan w:val="3"/>
            <w:shd w:val="clear" w:color="auto" w:fill="CCEEFF"/>
          </w:tcPr>
          <w:p>
            <w:pPr>
              <w:jc w:val="right"/>
              <w:ind w:right="320"/>
              <w:spacing w:after="0" w:line="90" w:lineRule="exact"/>
              <w:rPr>
                <w:sz w:val="20"/>
                <w:szCs w:val="20"/>
                <w:color w:val="auto"/>
              </w:rPr>
            </w:pPr>
            <w:r>
              <w:rPr>
                <w:rFonts w:ascii="Arial" w:cs="Arial" w:eastAsia="Arial" w:hAnsi="Arial"/>
                <w:sz w:val="8"/>
                <w:szCs w:val="8"/>
                <w:color w:val="auto"/>
              </w:rPr>
              <w:t>1.68</w:t>
            </w:r>
          </w:p>
        </w:tc>
        <w:tc>
          <w:tcPr>
            <w:tcW w:w="1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25,185</w:t>
            </w:r>
          </w:p>
        </w:tc>
        <w:tc>
          <w:tcPr>
            <w:tcW w:w="15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2.73</w:t>
            </w:r>
          </w:p>
        </w:tc>
      </w:tr>
      <w:tr>
        <w:trPr>
          <w:trHeight w:val="99"/>
        </w:trPr>
        <w:tc>
          <w:tcPr>
            <w:tcW w:w="2660" w:type="dxa"/>
            <w:vAlign w:val="bottom"/>
          </w:tcPr>
          <w:p>
            <w:pPr>
              <w:spacing w:after="0"/>
              <w:rPr>
                <w:sz w:val="20"/>
                <w:szCs w:val="20"/>
                <w:color w:val="auto"/>
              </w:rPr>
            </w:pPr>
            <w:r>
              <w:rPr>
                <w:rFonts w:ascii="Arial" w:cs="Arial" w:eastAsia="Arial" w:hAnsi="Arial"/>
                <w:sz w:val="8"/>
                <w:szCs w:val="8"/>
                <w:color w:val="auto"/>
              </w:rPr>
              <w:t>Others</w:t>
            </w:r>
          </w:p>
        </w:tc>
        <w:tc>
          <w:tcPr>
            <w:tcW w:w="1460" w:type="dxa"/>
            <w:vAlign w:val="bottom"/>
            <w:gridSpan w:val="2"/>
          </w:tcPr>
          <w:p>
            <w:pPr>
              <w:jc w:val="right"/>
              <w:ind w:right="340"/>
              <w:spacing w:after="0"/>
              <w:rPr>
                <w:sz w:val="20"/>
                <w:szCs w:val="20"/>
                <w:color w:val="auto"/>
              </w:rPr>
            </w:pPr>
            <w:r>
              <w:rPr>
                <w:rFonts w:ascii="Arial" w:cs="Arial" w:eastAsia="Arial" w:hAnsi="Arial"/>
                <w:sz w:val="8"/>
                <w:szCs w:val="8"/>
                <w:color w:val="auto"/>
              </w:rPr>
              <w:t>54,221</w:t>
            </w:r>
          </w:p>
        </w:tc>
        <w:tc>
          <w:tcPr>
            <w:tcW w:w="1440" w:type="dxa"/>
            <w:vAlign w:val="bottom"/>
            <w:gridSpan w:val="2"/>
          </w:tcPr>
          <w:p>
            <w:pPr>
              <w:jc w:val="right"/>
              <w:ind w:right="320"/>
              <w:spacing w:after="0"/>
              <w:rPr>
                <w:sz w:val="20"/>
                <w:szCs w:val="20"/>
                <w:color w:val="auto"/>
              </w:rPr>
            </w:pPr>
            <w:r>
              <w:rPr>
                <w:rFonts w:ascii="Arial" w:cs="Arial" w:eastAsia="Arial" w:hAnsi="Arial"/>
                <w:sz w:val="8"/>
                <w:szCs w:val="8"/>
                <w:color w:val="auto"/>
              </w:rPr>
              <w:t>4.96</w:t>
            </w:r>
          </w:p>
        </w:tc>
        <w:tc>
          <w:tcPr>
            <w:tcW w:w="1140" w:type="dxa"/>
            <w:vAlign w:val="bottom"/>
            <w:gridSpan w:val="2"/>
          </w:tcPr>
          <w:p>
            <w:pPr>
              <w:jc w:val="right"/>
              <w:ind w:right="40"/>
              <w:spacing w:after="0"/>
              <w:rPr>
                <w:sz w:val="20"/>
                <w:szCs w:val="20"/>
                <w:color w:val="auto"/>
              </w:rPr>
            </w:pPr>
            <w:r>
              <w:rPr>
                <w:rFonts w:ascii="Arial" w:cs="Arial" w:eastAsia="Arial" w:hAnsi="Arial"/>
                <w:sz w:val="8"/>
                <w:szCs w:val="8"/>
                <w:color w:val="auto"/>
              </w:rPr>
              <w:t>43,632</w:t>
            </w:r>
          </w:p>
        </w:tc>
        <w:tc>
          <w:tcPr>
            <w:tcW w:w="1700" w:type="dxa"/>
            <w:vAlign w:val="bottom"/>
            <w:gridSpan w:val="3"/>
          </w:tcPr>
          <w:p>
            <w:pPr>
              <w:jc w:val="right"/>
              <w:ind w:right="320"/>
              <w:spacing w:after="0"/>
              <w:rPr>
                <w:sz w:val="20"/>
                <w:szCs w:val="20"/>
                <w:color w:val="auto"/>
              </w:rPr>
            </w:pPr>
            <w:r>
              <w:rPr>
                <w:rFonts w:ascii="Arial" w:cs="Arial" w:eastAsia="Arial" w:hAnsi="Arial"/>
                <w:sz w:val="8"/>
                <w:szCs w:val="8"/>
                <w:color w:val="auto"/>
              </w:rPr>
              <w:t>4.53</w:t>
            </w:r>
          </w:p>
        </w:tc>
        <w:tc>
          <w:tcPr>
            <w:tcW w:w="1140" w:type="dxa"/>
            <w:vAlign w:val="bottom"/>
            <w:gridSpan w:val="2"/>
          </w:tcPr>
          <w:p>
            <w:pPr>
              <w:jc w:val="right"/>
              <w:ind w:right="40"/>
              <w:spacing w:after="0"/>
              <w:rPr>
                <w:sz w:val="20"/>
                <w:szCs w:val="20"/>
                <w:color w:val="auto"/>
              </w:rPr>
            </w:pPr>
            <w:r>
              <w:rPr>
                <w:rFonts w:ascii="Arial" w:cs="Arial" w:eastAsia="Arial" w:hAnsi="Arial"/>
                <w:sz w:val="8"/>
                <w:szCs w:val="8"/>
                <w:color w:val="auto"/>
              </w:rPr>
              <w:t>57,619</w:t>
            </w:r>
          </w:p>
        </w:tc>
        <w:tc>
          <w:tcPr>
            <w:tcW w:w="1500" w:type="dxa"/>
            <w:vAlign w:val="bottom"/>
            <w:gridSpan w:val="3"/>
          </w:tcPr>
          <w:p>
            <w:pPr>
              <w:jc w:val="right"/>
              <w:ind w:right="120"/>
              <w:spacing w:after="0"/>
              <w:rPr>
                <w:sz w:val="20"/>
                <w:szCs w:val="20"/>
                <w:color w:val="auto"/>
              </w:rPr>
            </w:pPr>
            <w:r>
              <w:rPr>
                <w:rFonts w:ascii="Arial" w:cs="Arial" w:eastAsia="Arial" w:hAnsi="Arial"/>
                <w:sz w:val="8"/>
                <w:szCs w:val="8"/>
                <w:color w:val="auto"/>
              </w:rPr>
              <w:t>6.23</w:t>
            </w:r>
          </w:p>
        </w:tc>
      </w:tr>
      <w:tr>
        <w:trPr>
          <w:trHeight w:val="79"/>
        </w:trPr>
        <w:tc>
          <w:tcPr>
            <w:tcW w:w="2660" w:type="dxa"/>
            <w:vAlign w:val="bottom"/>
            <w:tcBorders>
              <w:top w:val="single" w:sz="8" w:color="CCEEFF"/>
              <w:bottom w:val="single" w:sz="8" w:color="CCEEFF"/>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1,090,824</w:t>
            </w:r>
          </w:p>
        </w:tc>
        <w:tc>
          <w:tcPr>
            <w:tcW w:w="340" w:type="dxa"/>
            <w:vAlign w:val="bottom"/>
            <w:tcBorders>
              <w:top w:val="single" w:sz="8" w:color="CCEEFF"/>
              <w:bottom w:val="single" w:sz="8" w:color="CCEEFF"/>
            </w:tcBorders>
            <w:shd w:val="clear" w:color="auto" w:fill="CCEEFF"/>
          </w:tcPr>
          <w:p>
            <w:pPr>
              <w:spacing w:after="0"/>
              <w:rPr>
                <w:sz w:val="6"/>
                <w:szCs w:val="6"/>
                <w:color w:val="auto"/>
              </w:rPr>
            </w:pPr>
          </w:p>
        </w:tc>
        <w:tc>
          <w:tcPr>
            <w:tcW w:w="11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100.00</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1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962,654</w:t>
            </w: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280" w:type="dxa"/>
            <w:vAlign w:val="bottom"/>
            <w:tcBorders>
              <w:top w:val="single" w:sz="8" w:color="CCEEFF"/>
              <w:bottom w:val="single" w:sz="8" w:color="CCEEFF"/>
            </w:tcBorders>
            <w:shd w:val="clear" w:color="auto" w:fill="CCEEFF"/>
          </w:tcPr>
          <w:p>
            <w:pPr>
              <w:spacing w:after="0"/>
              <w:rPr>
                <w:sz w:val="6"/>
                <w:szCs w:val="6"/>
                <w:color w:val="auto"/>
              </w:rPr>
            </w:pPr>
          </w:p>
        </w:tc>
        <w:tc>
          <w:tcPr>
            <w:tcW w:w="11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100.00</w:t>
            </w:r>
          </w:p>
        </w:tc>
        <w:tc>
          <w:tcPr>
            <w:tcW w:w="320" w:type="dxa"/>
            <w:vAlign w:val="bottom"/>
            <w:tcBorders>
              <w:top w:val="single" w:sz="8" w:color="CCEEFF"/>
              <w:bottom w:val="single" w:sz="8" w:color="CCEEFF"/>
            </w:tcBorders>
            <w:shd w:val="clear" w:color="auto" w:fill="CCEEFF"/>
          </w:tcPr>
          <w:p>
            <w:pPr>
              <w:spacing w:after="0"/>
              <w:rPr>
                <w:sz w:val="6"/>
                <w:szCs w:val="6"/>
                <w:color w:val="auto"/>
              </w:rPr>
            </w:pPr>
          </w:p>
        </w:tc>
        <w:tc>
          <w:tcPr>
            <w:tcW w:w="11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923,820</w:t>
            </w: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280" w:type="dxa"/>
            <w:vAlign w:val="bottom"/>
            <w:tcBorders>
              <w:top w:val="single" w:sz="8" w:color="CCEEFF"/>
              <w:bottom w:val="single" w:sz="8" w:color="CCEEFF"/>
            </w:tcBorders>
            <w:shd w:val="clear" w:color="auto" w:fill="CCEEFF"/>
          </w:tcPr>
          <w:p>
            <w:pPr>
              <w:spacing w:after="0"/>
              <w:rPr>
                <w:sz w:val="6"/>
                <w:szCs w:val="6"/>
                <w:color w:val="auto"/>
              </w:rPr>
            </w:pPr>
          </w:p>
        </w:tc>
        <w:tc>
          <w:tcPr>
            <w:tcW w:w="11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100.00</w:t>
            </w:r>
          </w:p>
        </w:tc>
        <w:tc>
          <w:tcPr>
            <w:tcW w:w="120" w:type="dxa"/>
            <w:vAlign w:val="bottom"/>
            <w:tcBorders>
              <w:top w:val="single" w:sz="8" w:color="CCEEFF"/>
              <w:bottom w:val="single" w:sz="8" w:color="CCEEFF"/>
            </w:tcBorders>
            <w:shd w:val="clear" w:color="auto" w:fill="CCEEFF"/>
          </w:tcPr>
          <w:p>
            <w:pPr>
              <w:spacing w:after="0"/>
              <w:rPr>
                <w:sz w:val="6"/>
                <w:szCs w:val="6"/>
                <w:color w:val="auto"/>
              </w:rPr>
            </w:pPr>
          </w:p>
        </w:tc>
      </w:tr>
    </w:tbl>
    <w:p>
      <w:pPr>
        <w:spacing w:after="0" w:line="153" w:lineRule="exact"/>
        <w:rPr>
          <w:sz w:val="20"/>
          <w:szCs w:val="20"/>
          <w:color w:val="auto"/>
        </w:rPr>
      </w:pPr>
    </w:p>
    <w:p>
      <w:pPr>
        <w:ind w:left="208" w:hanging="208"/>
        <w:spacing w:after="0"/>
        <w:tabs>
          <w:tab w:leader="none" w:pos="20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Technical lines include Contractor’s All Risk (CAR), Machinery breakdown, All Risk (EAR), Electronic equipment (EE), All Risk Contractor’s Equipment (ARCE).</w:t>
      </w:r>
    </w:p>
    <w:p>
      <w:pPr>
        <w:spacing w:after="0" w:line="312" w:lineRule="exact"/>
        <w:rPr>
          <w:rFonts w:ascii="Arial" w:cs="Arial" w:eastAsia="Arial" w:hAnsi="Arial"/>
          <w:sz w:val="12"/>
          <w:szCs w:val="12"/>
          <w:color w:val="auto"/>
        </w:rPr>
      </w:pPr>
    </w:p>
    <w:p>
      <w:pPr>
        <w:ind w:left="5648" w:hanging="62"/>
        <w:spacing w:after="0"/>
        <w:tabs>
          <w:tab w:leader="none" w:pos="5648" w:val="left"/>
        </w:tabs>
        <w:numPr>
          <w:ilvl w:val="1"/>
          <w:numId w:val="145"/>
        </w:numPr>
        <w:rPr>
          <w:rFonts w:ascii="Arial" w:cs="Arial" w:eastAsia="Arial" w:hAnsi="Arial"/>
          <w:sz w:val="12"/>
          <w:szCs w:val="12"/>
          <w:color w:val="auto"/>
        </w:rPr>
      </w:pPr>
      <w:r>
        <w:rPr>
          <w:rFonts w:ascii="Arial" w:cs="Arial" w:eastAsia="Arial" w:hAnsi="Arial"/>
          <w:sz w:val="12"/>
          <w:szCs w:val="12"/>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8"/>
          </w:cols>
          <w:pgMar w:left="212" w:top="653" w:right="339" w:bottom="1440" w:gutter="0" w:footer="0" w:header="0"/>
        </w:sectPr>
      </w:pPr>
    </w:p>
    <w:bookmarkStart w:id="128" w:name="page129"/>
    <w:bookmarkEnd w:id="128"/>
    <w:p>
      <w:pPr>
        <w:ind w:left="208" w:right="6240" w:hanging="208"/>
        <w:spacing w:after="0" w:line="509" w:lineRule="auto"/>
        <w:tabs>
          <w:tab w:leader="none" w:pos="208"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NET CLAIMS INCURRED FOR LIFE, GENERAL AND HEALTH INSURANCE CONTRACTS </w:t>
      </w:r>
      <w:r>
        <w:rPr>
          <w:rFonts w:ascii="Arial" w:cs="Arial" w:eastAsia="Arial" w:hAnsi="Arial"/>
          <w:sz w:val="12"/>
          <w:szCs w:val="12"/>
          <w:color w:val="auto"/>
        </w:rPr>
        <w:t>This item consists of the following:</w:t>
      </w:r>
    </w:p>
    <w:tbl>
      <w:tblPr>
        <w:tblLayout w:type="fixed"/>
        <w:tblInd w:w="8"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1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0"/>
        </w:trPr>
        <w:tc>
          <w:tcPr>
            <w:tcW w:w="2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60" w:type="dxa"/>
            <w:vAlign w:val="bottom"/>
            <w:gridSpan w:val="2"/>
          </w:tcPr>
          <w:p>
            <w:pPr>
              <w:jc w:val="right"/>
              <w:ind w:right="840"/>
              <w:spacing w:after="0" w:line="121" w:lineRule="exact"/>
              <w:rPr>
                <w:sz w:val="20"/>
                <w:szCs w:val="20"/>
                <w:color w:val="auto"/>
              </w:rPr>
            </w:pPr>
            <w:r>
              <w:rPr>
                <w:rFonts w:ascii="Arial" w:cs="Arial" w:eastAsia="Arial" w:hAnsi="Arial"/>
                <w:sz w:val="12"/>
                <w:szCs w:val="12"/>
                <w:b w:val="1"/>
                <w:bCs w:val="1"/>
                <w:color w:val="auto"/>
              </w:rPr>
              <w:t>Life</w:t>
            </w:r>
          </w:p>
        </w:tc>
        <w:tc>
          <w:tcPr>
            <w:tcW w:w="1580" w:type="dxa"/>
            <w:vAlign w:val="bottom"/>
            <w:gridSpan w:val="2"/>
          </w:tcPr>
          <w:p>
            <w:pPr>
              <w:jc w:val="right"/>
              <w:ind w:right="740"/>
              <w:spacing w:after="0" w:line="121" w:lineRule="exact"/>
              <w:rPr>
                <w:sz w:val="20"/>
                <w:szCs w:val="20"/>
                <w:color w:val="auto"/>
              </w:rPr>
            </w:pPr>
            <w:r>
              <w:rPr>
                <w:rFonts w:ascii="Arial" w:cs="Arial" w:eastAsia="Arial" w:hAnsi="Arial"/>
                <w:sz w:val="12"/>
                <w:szCs w:val="12"/>
                <w:b w:val="1"/>
                <w:bCs w:val="1"/>
                <w:color w:val="auto"/>
              </w:rPr>
              <w:t>General</w:t>
            </w:r>
          </w:p>
        </w:tc>
        <w:tc>
          <w:tcPr>
            <w:tcW w:w="1540" w:type="dxa"/>
            <w:vAlign w:val="bottom"/>
            <w:gridSpan w:val="2"/>
          </w:tcPr>
          <w:p>
            <w:pPr>
              <w:jc w:val="right"/>
              <w:ind w:right="760"/>
              <w:spacing w:after="0" w:line="121" w:lineRule="exact"/>
              <w:rPr>
                <w:sz w:val="20"/>
                <w:szCs w:val="20"/>
                <w:color w:val="auto"/>
              </w:rPr>
            </w:pPr>
            <w:r>
              <w:rPr>
                <w:rFonts w:ascii="Arial" w:cs="Arial" w:eastAsia="Arial" w:hAnsi="Arial"/>
                <w:sz w:val="12"/>
                <w:szCs w:val="12"/>
                <w:b w:val="1"/>
                <w:bCs w:val="1"/>
                <w:color w:val="auto"/>
              </w:rPr>
              <w:t>Health</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insurance</w:t>
            </w:r>
          </w:p>
        </w:tc>
        <w:tc>
          <w:tcPr>
            <w:tcW w:w="158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insurance</w:t>
            </w:r>
          </w:p>
        </w:tc>
        <w:tc>
          <w:tcPr>
            <w:tcW w:w="154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insurance</w:t>
            </w:r>
          </w:p>
        </w:tc>
        <w:tc>
          <w:tcPr>
            <w:tcW w:w="13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4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2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Gross claims, Note 16(b)</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1,001,671</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547,201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326,980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1,875,852</w:t>
            </w:r>
          </w:p>
        </w:tc>
        <w:tc>
          <w:tcPr>
            <w:tcW w:w="140" w:type="dxa"/>
            <w:vAlign w:val="bottom"/>
          </w:tcPr>
          <w:p>
            <w:pPr>
              <w:spacing w:after="0"/>
              <w:rPr>
                <w:sz w:val="12"/>
                <w:szCs w:val="12"/>
                <w:color w:val="auto"/>
              </w:rPr>
            </w:pPr>
          </w:p>
        </w:tc>
      </w:tr>
      <w:tr>
        <w:trPr>
          <w:trHeight w:val="153"/>
        </w:trPr>
        <w:tc>
          <w:tcPr>
            <w:tcW w:w="5340" w:type="dxa"/>
            <w:vAlign w:val="bottom"/>
            <w:gridSpan w:val="2"/>
          </w:tcPr>
          <w:p>
            <w:pPr>
              <w:ind w:left="200"/>
              <w:spacing w:after="0"/>
              <w:rPr>
                <w:sz w:val="20"/>
                <w:szCs w:val="20"/>
                <w:color w:val="auto"/>
              </w:rPr>
            </w:pPr>
            <w:r>
              <w:rPr>
                <w:rFonts w:ascii="Arial" w:cs="Arial" w:eastAsia="Arial" w:hAnsi="Arial"/>
                <w:sz w:val="12"/>
                <w:szCs w:val="12"/>
                <w:color w:val="auto"/>
              </w:rPr>
              <w:t>Ceded claims, Note 9(b)</w:t>
            </w:r>
          </w:p>
        </w:tc>
        <w:tc>
          <w:tcPr>
            <w:tcW w:w="1560" w:type="dxa"/>
            <w:vAlign w:val="bottom"/>
            <w:gridSpan w:val="2"/>
          </w:tcPr>
          <w:p>
            <w:pPr>
              <w:jc w:val="right"/>
              <w:ind w:right="300"/>
              <w:spacing w:after="0"/>
              <w:rPr>
                <w:sz w:val="20"/>
                <w:szCs w:val="20"/>
                <w:color w:val="auto"/>
              </w:rPr>
            </w:pPr>
            <w:r>
              <w:rPr>
                <w:rFonts w:ascii="Arial" w:cs="Arial" w:eastAsia="Arial" w:hAnsi="Arial"/>
                <w:sz w:val="12"/>
                <w:szCs w:val="12"/>
                <w:color w:val="auto"/>
              </w:rPr>
              <w:t>(100,432)</w:t>
            </w: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(208,761)</w:t>
            </w:r>
          </w:p>
        </w:tc>
        <w:tc>
          <w:tcPr>
            <w:tcW w:w="1540" w:type="dxa"/>
            <w:vAlign w:val="bottom"/>
            <w:gridSpan w:val="2"/>
          </w:tcPr>
          <w:p>
            <w:pPr>
              <w:jc w:val="right"/>
              <w:ind w:right="280"/>
              <w:spacing w:after="0"/>
              <w:rPr>
                <w:sz w:val="20"/>
                <w:szCs w:val="20"/>
                <w:color w:val="auto"/>
              </w:rPr>
            </w:pPr>
            <w:r>
              <w:rPr>
                <w:rFonts w:ascii="Arial" w:cs="Arial" w:eastAsia="Arial" w:hAnsi="Arial"/>
                <w:sz w:val="12"/>
                <w:szCs w:val="12"/>
                <w:color w:val="auto"/>
              </w:rPr>
              <w:t>(12,182)</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(321,375)</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insurance claims</w:t>
            </w: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901,239</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338,440</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314,798</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1,554,477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313"/>
        </w:trPr>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0"/>
        </w:trPr>
        <w:tc>
          <w:tcPr>
            <w:tcW w:w="2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6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rPr>
              <w:t>Life</w:t>
            </w:r>
          </w:p>
        </w:tc>
        <w:tc>
          <w:tcPr>
            <w:tcW w:w="15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General</w:t>
            </w:r>
          </w:p>
        </w:tc>
        <w:tc>
          <w:tcPr>
            <w:tcW w:w="154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8"/>
              </w:rPr>
              <w:t>Health</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insurance</w:t>
            </w: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4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2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Gross claims, Note 16(b)</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737,982</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562,440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307,182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1,607,604</w:t>
            </w:r>
          </w:p>
        </w:tc>
        <w:tc>
          <w:tcPr>
            <w:tcW w:w="140" w:type="dxa"/>
            <w:vAlign w:val="bottom"/>
          </w:tcPr>
          <w:p>
            <w:pPr>
              <w:spacing w:after="0"/>
              <w:rPr>
                <w:sz w:val="12"/>
                <w:szCs w:val="12"/>
                <w:color w:val="auto"/>
              </w:rPr>
            </w:pPr>
          </w:p>
        </w:tc>
      </w:tr>
      <w:tr>
        <w:trPr>
          <w:trHeight w:val="153"/>
        </w:trPr>
        <w:tc>
          <w:tcPr>
            <w:tcW w:w="5340" w:type="dxa"/>
            <w:vAlign w:val="bottom"/>
            <w:gridSpan w:val="2"/>
          </w:tcPr>
          <w:p>
            <w:pPr>
              <w:ind w:left="200"/>
              <w:spacing w:after="0"/>
              <w:rPr>
                <w:sz w:val="20"/>
                <w:szCs w:val="20"/>
                <w:color w:val="auto"/>
              </w:rPr>
            </w:pPr>
            <w:r>
              <w:rPr>
                <w:rFonts w:ascii="Arial" w:cs="Arial" w:eastAsia="Arial" w:hAnsi="Arial"/>
                <w:sz w:val="12"/>
                <w:szCs w:val="12"/>
                <w:color w:val="auto"/>
              </w:rPr>
              <w:t>Ceded claims, Note 9(b)</w:t>
            </w:r>
          </w:p>
        </w:tc>
        <w:tc>
          <w:tcPr>
            <w:tcW w:w="1560" w:type="dxa"/>
            <w:vAlign w:val="bottom"/>
            <w:gridSpan w:val="2"/>
          </w:tcPr>
          <w:p>
            <w:pPr>
              <w:jc w:val="right"/>
              <w:ind w:right="300"/>
              <w:spacing w:after="0"/>
              <w:rPr>
                <w:sz w:val="20"/>
                <w:szCs w:val="20"/>
                <w:color w:val="auto"/>
              </w:rPr>
            </w:pPr>
            <w:r>
              <w:rPr>
                <w:rFonts w:ascii="Arial" w:cs="Arial" w:eastAsia="Arial" w:hAnsi="Arial"/>
                <w:sz w:val="12"/>
                <w:szCs w:val="12"/>
                <w:color w:val="auto"/>
              </w:rPr>
              <w:t>(101,115)</w:t>
            </w: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(257,072)</w:t>
            </w:r>
          </w:p>
        </w:tc>
        <w:tc>
          <w:tcPr>
            <w:tcW w:w="1540" w:type="dxa"/>
            <w:vAlign w:val="bottom"/>
            <w:gridSpan w:val="2"/>
          </w:tcPr>
          <w:p>
            <w:pPr>
              <w:jc w:val="right"/>
              <w:ind w:right="280"/>
              <w:spacing w:after="0"/>
              <w:rPr>
                <w:sz w:val="20"/>
                <w:szCs w:val="20"/>
                <w:color w:val="auto"/>
              </w:rPr>
            </w:pPr>
            <w:r>
              <w:rPr>
                <w:rFonts w:ascii="Arial" w:cs="Arial" w:eastAsia="Arial" w:hAnsi="Arial"/>
                <w:sz w:val="12"/>
                <w:szCs w:val="12"/>
                <w:color w:val="auto"/>
              </w:rPr>
              <w:t>(9,782)</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(367,969)</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insurance claims</w:t>
            </w: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636,867</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305,368</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297,400</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1,239,635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313"/>
        </w:trPr>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0"/>
        </w:trPr>
        <w:tc>
          <w:tcPr>
            <w:tcW w:w="2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6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rPr>
              <w:t>Life</w:t>
            </w:r>
          </w:p>
        </w:tc>
        <w:tc>
          <w:tcPr>
            <w:tcW w:w="158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General</w:t>
            </w:r>
          </w:p>
        </w:tc>
        <w:tc>
          <w:tcPr>
            <w:tcW w:w="154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8"/>
              </w:rPr>
              <w:t>Health</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insurance</w:t>
            </w:r>
          </w:p>
        </w:tc>
        <w:tc>
          <w:tcPr>
            <w:tcW w:w="1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insurance</w:t>
            </w: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insurance</w:t>
            </w: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4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34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320" w:type="dxa"/>
            <w:vAlign w:val="bottom"/>
          </w:tcPr>
          <w:p>
            <w:pPr>
              <w:spacing w:after="0"/>
              <w:rPr>
                <w:sz w:val="11"/>
                <w:szCs w:val="11"/>
                <w:color w:val="auto"/>
              </w:rPr>
            </w:pPr>
          </w:p>
        </w:tc>
        <w:tc>
          <w:tcPr>
            <w:tcW w:w="122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Gross claims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646,026</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661,108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294,557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1,601,691</w:t>
            </w:r>
          </w:p>
        </w:tc>
        <w:tc>
          <w:tcPr>
            <w:tcW w:w="140" w:type="dxa"/>
            <w:vAlign w:val="bottom"/>
          </w:tcPr>
          <w:p>
            <w:pPr>
              <w:spacing w:after="0"/>
              <w:rPr>
                <w:sz w:val="12"/>
                <w:szCs w:val="12"/>
                <w:color w:val="auto"/>
              </w:rPr>
            </w:pPr>
          </w:p>
        </w:tc>
      </w:tr>
      <w:tr>
        <w:trPr>
          <w:trHeight w:val="153"/>
        </w:trPr>
        <w:tc>
          <w:tcPr>
            <w:tcW w:w="5340" w:type="dxa"/>
            <w:vAlign w:val="bottom"/>
            <w:gridSpan w:val="2"/>
          </w:tcPr>
          <w:p>
            <w:pPr>
              <w:ind w:left="200"/>
              <w:spacing w:after="0"/>
              <w:rPr>
                <w:sz w:val="20"/>
                <w:szCs w:val="20"/>
                <w:color w:val="auto"/>
              </w:rPr>
            </w:pPr>
            <w:r>
              <w:rPr>
                <w:rFonts w:ascii="Arial" w:cs="Arial" w:eastAsia="Arial" w:hAnsi="Arial"/>
                <w:sz w:val="12"/>
                <w:szCs w:val="12"/>
                <w:color w:val="auto"/>
              </w:rPr>
              <w:t>Ceded claims, Note 9(b)</w:t>
            </w:r>
          </w:p>
        </w:tc>
        <w:tc>
          <w:tcPr>
            <w:tcW w:w="1560" w:type="dxa"/>
            <w:vAlign w:val="bottom"/>
            <w:gridSpan w:val="2"/>
          </w:tcPr>
          <w:p>
            <w:pPr>
              <w:jc w:val="right"/>
              <w:ind w:right="300"/>
              <w:spacing w:after="0"/>
              <w:rPr>
                <w:sz w:val="20"/>
                <w:szCs w:val="20"/>
                <w:color w:val="auto"/>
              </w:rPr>
            </w:pPr>
            <w:r>
              <w:rPr>
                <w:rFonts w:ascii="Arial" w:cs="Arial" w:eastAsia="Arial" w:hAnsi="Arial"/>
                <w:sz w:val="12"/>
                <w:szCs w:val="12"/>
                <w:color w:val="auto"/>
              </w:rPr>
              <w:t>(79,845)</w:t>
            </w: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(391,263)</w:t>
            </w:r>
          </w:p>
        </w:tc>
        <w:tc>
          <w:tcPr>
            <w:tcW w:w="1540" w:type="dxa"/>
            <w:vAlign w:val="bottom"/>
            <w:gridSpan w:val="2"/>
          </w:tcPr>
          <w:p>
            <w:pPr>
              <w:jc w:val="right"/>
              <w:ind w:right="280"/>
              <w:spacing w:after="0"/>
              <w:rPr>
                <w:sz w:val="20"/>
                <w:szCs w:val="20"/>
                <w:color w:val="auto"/>
              </w:rPr>
            </w:pPr>
            <w:r>
              <w:rPr>
                <w:rFonts w:ascii="Arial" w:cs="Arial" w:eastAsia="Arial" w:hAnsi="Arial"/>
                <w:sz w:val="12"/>
                <w:szCs w:val="12"/>
                <w:color w:val="auto"/>
              </w:rPr>
              <w:t>(12,279)</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(483,387)</w:t>
            </w:r>
          </w:p>
        </w:tc>
        <w:tc>
          <w:tcPr>
            <w:tcW w:w="14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5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insurance claims</w:t>
            </w: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566,181</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269,845</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282,278</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1,118,304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430"/>
        </w:trPr>
        <w:tc>
          <w:tcPr>
            <w:tcW w:w="2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- 124 -</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8"/>
          </w:cols>
          <w:pgMar w:left="212" w:top="667" w:right="19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0" w:type="dxa"/>
            <w:vAlign w:val="bottom"/>
            <w:gridSpan w:val="3"/>
          </w:tcPr>
          <w:p>
            <w:pPr>
              <w:spacing w:after="0"/>
              <w:rPr>
                <w:sz w:val="20"/>
                <w:szCs w:val="20"/>
                <w:color w:val="auto"/>
              </w:rPr>
            </w:pPr>
            <w:r>
              <w:rPr>
                <w:rFonts w:ascii="Arial" w:cs="Arial" w:eastAsia="Arial" w:hAnsi="Arial"/>
                <w:sz w:val="12"/>
                <w:szCs w:val="12"/>
                <w:b w:val="1"/>
                <w:bCs w:val="1"/>
                <w:color w:val="auto"/>
              </w:rPr>
              <w:t>27  SALARIES AND EMPLOYEES BENEFITS</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This item consists of the following:</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7"/>
        </w:trPr>
        <w:tc>
          <w:tcPr>
            <w:tcW w:w="7200" w:type="dxa"/>
            <w:vAlign w:val="bottom"/>
            <w:gridSpan w:val="3"/>
          </w:tcPr>
          <w:p>
            <w:pPr>
              <w:ind w:left="6840"/>
              <w:spacing w:after="0"/>
              <w:rPr>
                <w:sz w:val="20"/>
                <w:szCs w:val="20"/>
                <w:color w:val="auto"/>
              </w:rPr>
            </w:pPr>
            <w:r>
              <w:rPr>
                <w:rFonts w:ascii="Arial" w:cs="Arial" w:eastAsia="Arial" w:hAnsi="Arial"/>
                <w:sz w:val="12"/>
                <w:szCs w:val="12"/>
                <w:b w:val="1"/>
                <w:bCs w:val="1"/>
                <w:color w:val="auto"/>
              </w:rPr>
              <w:t>2019</w:t>
            </w:r>
          </w:p>
        </w:tc>
        <w:tc>
          <w:tcPr>
            <w:tcW w:w="1780" w:type="dxa"/>
            <w:vAlign w:val="bottom"/>
            <w:gridSpan w:val="3"/>
          </w:tcPr>
          <w:p>
            <w:pPr>
              <w:ind w:left="14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8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Salaries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1,816,939</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6"/>
              </w:rPr>
              <w:t>1,738,913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1,662,327</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Vacations, medical assistance and others</w:t>
            </w:r>
          </w:p>
        </w:tc>
        <w:tc>
          <w:tcPr>
            <w:tcW w:w="480" w:type="dxa"/>
            <w:vAlign w:val="bottom"/>
          </w:tcPr>
          <w:p>
            <w:pPr>
              <w:jc w:val="right"/>
              <w:spacing w:after="0"/>
              <w:rPr>
                <w:sz w:val="20"/>
                <w:szCs w:val="20"/>
                <w:color w:val="auto"/>
              </w:rPr>
            </w:pPr>
            <w:r>
              <w:rPr>
                <w:rFonts w:ascii="Arial" w:cs="Arial" w:eastAsia="Arial" w:hAnsi="Arial"/>
                <w:sz w:val="12"/>
                <w:szCs w:val="12"/>
                <w:color w:val="auto"/>
              </w:rPr>
              <w:t>360,334</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336,609</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319,384</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Bonuses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264,171</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248,704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237,192</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Workers’ profit sharing</w:t>
            </w:r>
          </w:p>
        </w:tc>
        <w:tc>
          <w:tcPr>
            <w:tcW w:w="480" w:type="dxa"/>
            <w:vAlign w:val="bottom"/>
          </w:tcPr>
          <w:p>
            <w:pPr>
              <w:jc w:val="right"/>
              <w:spacing w:after="0"/>
              <w:rPr>
                <w:sz w:val="20"/>
                <w:szCs w:val="20"/>
                <w:color w:val="auto"/>
              </w:rPr>
            </w:pPr>
            <w:r>
              <w:rPr>
                <w:rFonts w:ascii="Arial" w:cs="Arial" w:eastAsia="Arial" w:hAnsi="Arial"/>
                <w:sz w:val="12"/>
                <w:szCs w:val="12"/>
                <w:color w:val="auto"/>
              </w:rPr>
              <w:t>252,850</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228,786</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220,967</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Social security</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200,935</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184,489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205,714</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Additional participation</w:t>
            </w:r>
          </w:p>
        </w:tc>
        <w:tc>
          <w:tcPr>
            <w:tcW w:w="480" w:type="dxa"/>
            <w:vAlign w:val="bottom"/>
          </w:tcPr>
          <w:p>
            <w:pPr>
              <w:jc w:val="right"/>
              <w:spacing w:after="0"/>
              <w:rPr>
                <w:sz w:val="20"/>
                <w:szCs w:val="20"/>
                <w:color w:val="auto"/>
              </w:rPr>
            </w:pPr>
            <w:r>
              <w:rPr>
                <w:rFonts w:ascii="Arial" w:cs="Arial" w:eastAsia="Arial" w:hAnsi="Arial"/>
                <w:sz w:val="12"/>
                <w:szCs w:val="12"/>
                <w:color w:val="auto"/>
              </w:rPr>
              <w:t>243,787</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233,146</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188,870</w:t>
            </w:r>
          </w:p>
        </w:tc>
        <w:tc>
          <w:tcPr>
            <w:tcW w:w="1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Severance indemnities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151,945</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142,363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132,396</w:t>
            </w:r>
          </w:p>
        </w:tc>
        <w:tc>
          <w:tcPr>
            <w:tcW w:w="140" w:type="dxa"/>
            <w:vAlign w:val="bottom"/>
          </w:tcPr>
          <w:p>
            <w:pPr>
              <w:spacing w:after="0"/>
              <w:rPr>
                <w:sz w:val="12"/>
                <w:szCs w:val="12"/>
                <w:color w:val="auto"/>
              </w:rPr>
            </w:pPr>
          </w:p>
        </w:tc>
      </w:tr>
      <w:tr>
        <w:trPr>
          <w:trHeight w:val="153"/>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Share-based payment plans</w:t>
            </w:r>
          </w:p>
        </w:tc>
        <w:tc>
          <w:tcPr>
            <w:tcW w:w="480" w:type="dxa"/>
            <w:vAlign w:val="bottom"/>
          </w:tcPr>
          <w:p>
            <w:pPr>
              <w:jc w:val="right"/>
              <w:spacing w:after="0"/>
              <w:rPr>
                <w:sz w:val="20"/>
                <w:szCs w:val="20"/>
                <w:color w:val="auto"/>
              </w:rPr>
            </w:pPr>
            <w:r>
              <w:rPr>
                <w:rFonts w:ascii="Arial" w:cs="Arial" w:eastAsia="Arial" w:hAnsi="Arial"/>
                <w:sz w:val="12"/>
                <w:szCs w:val="12"/>
                <w:color w:val="auto"/>
              </w:rPr>
              <w:t>120,062</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106,865</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104,170</w:t>
            </w:r>
          </w:p>
        </w:tc>
        <w:tc>
          <w:tcPr>
            <w:tcW w:w="140" w:type="dxa"/>
            <w:vAlign w:val="bottom"/>
          </w:tcPr>
          <w:p>
            <w:pPr>
              <w:spacing w:after="0"/>
              <w:rPr>
                <w:sz w:val="13"/>
                <w:szCs w:val="13"/>
                <w:color w:val="auto"/>
              </w:rPr>
            </w:pPr>
          </w:p>
        </w:tc>
      </w:tr>
      <w:tr>
        <w:trPr>
          <w:trHeight w:val="153"/>
        </w:trPr>
        <w:tc>
          <w:tcPr>
            <w:tcW w:w="200" w:type="dxa"/>
            <w:vAlign w:val="bottom"/>
          </w:tcPr>
          <w:p>
            <w:pPr>
              <w:spacing w:after="0"/>
              <w:rPr>
                <w:sz w:val="13"/>
                <w:szCs w:val="13"/>
                <w:color w:val="auto"/>
              </w:rPr>
            </w:pPr>
          </w:p>
        </w:tc>
        <w:tc>
          <w:tcPr>
            <w:tcW w:w="60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3,411,023</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3,219,875</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3,071,020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410"/>
        </w:trPr>
        <w:tc>
          <w:tcPr>
            <w:tcW w:w="6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- 125 -</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49" w:right="19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0" w:type="dxa"/>
            <w:vAlign w:val="bottom"/>
            <w:gridSpan w:val="3"/>
          </w:tcPr>
          <w:p>
            <w:pPr>
              <w:spacing w:after="0"/>
              <w:rPr>
                <w:sz w:val="20"/>
                <w:szCs w:val="20"/>
                <w:color w:val="auto"/>
              </w:rPr>
            </w:pPr>
            <w:r>
              <w:rPr>
                <w:rFonts w:ascii="Arial" w:cs="Arial" w:eastAsia="Arial" w:hAnsi="Arial"/>
                <w:sz w:val="12"/>
                <w:szCs w:val="12"/>
                <w:b w:val="1"/>
                <w:bCs w:val="1"/>
                <w:color w:val="auto"/>
              </w:rPr>
              <w:t>28  ADMINISTRATIVE EXPENSES</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7200" w:type="dxa"/>
            <w:vAlign w:val="bottom"/>
            <w:gridSpan w:val="3"/>
          </w:tcPr>
          <w:p>
            <w:pPr>
              <w:ind w:left="200"/>
              <w:spacing w:after="0"/>
              <w:rPr>
                <w:sz w:val="20"/>
                <w:szCs w:val="20"/>
                <w:color w:val="auto"/>
              </w:rPr>
            </w:pPr>
            <w:r>
              <w:rPr>
                <w:rFonts w:ascii="Arial" w:cs="Arial" w:eastAsia="Arial" w:hAnsi="Arial"/>
                <w:sz w:val="12"/>
                <w:szCs w:val="12"/>
                <w:color w:val="auto"/>
              </w:rPr>
              <w:t>This item consists of the following:</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7200" w:type="dxa"/>
            <w:vAlign w:val="bottom"/>
            <w:gridSpan w:val="3"/>
          </w:tcPr>
          <w:p>
            <w:pPr>
              <w:ind w:left="6840"/>
              <w:spacing w:after="0"/>
              <w:rPr>
                <w:sz w:val="20"/>
                <w:szCs w:val="20"/>
                <w:color w:val="auto"/>
              </w:rPr>
            </w:pPr>
            <w:r>
              <w:rPr>
                <w:rFonts w:ascii="Arial" w:cs="Arial" w:eastAsia="Arial" w:hAnsi="Arial"/>
                <w:sz w:val="12"/>
                <w:szCs w:val="12"/>
                <w:b w:val="1"/>
                <w:bCs w:val="1"/>
                <w:color w:val="auto"/>
              </w:rPr>
              <w:t>2019</w:t>
            </w:r>
          </w:p>
        </w:tc>
        <w:tc>
          <w:tcPr>
            <w:tcW w:w="1780" w:type="dxa"/>
            <w:vAlign w:val="bottom"/>
            <w:gridSpan w:val="3"/>
          </w:tcPr>
          <w:p>
            <w:pPr>
              <w:ind w:left="14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80" w:type="dxa"/>
            <w:vAlign w:val="bottom"/>
            <w:tcBorders>
              <w:top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w w:val="86"/>
              </w:rPr>
              <w:t>S/(000)</w:t>
            </w: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gridSpan w:val="2"/>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Repair and maintenance</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318,715</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301,893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271,081</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Publicity</w:t>
            </w:r>
          </w:p>
        </w:tc>
        <w:tc>
          <w:tcPr>
            <w:tcW w:w="480" w:type="dxa"/>
            <w:vAlign w:val="bottom"/>
          </w:tcPr>
          <w:p>
            <w:pPr>
              <w:jc w:val="right"/>
              <w:spacing w:after="0"/>
              <w:rPr>
                <w:sz w:val="20"/>
                <w:szCs w:val="20"/>
                <w:color w:val="auto"/>
              </w:rPr>
            </w:pPr>
            <w:r>
              <w:rPr>
                <w:rFonts w:ascii="Arial" w:cs="Arial" w:eastAsia="Arial" w:hAnsi="Arial"/>
                <w:sz w:val="12"/>
                <w:szCs w:val="12"/>
                <w:color w:val="auto"/>
              </w:rPr>
              <w:t>380,147</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336,203</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304,119</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Taxes and contributions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334,398</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285,551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259,523</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Rental (*)</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63,047</w:t>
            </w: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226,388</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230,257</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Consulting and professional fees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261,144</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223,239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206,224</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Transport and communications</w:t>
            </w:r>
          </w:p>
        </w:tc>
        <w:tc>
          <w:tcPr>
            <w:tcW w:w="480" w:type="dxa"/>
            <w:vAlign w:val="bottom"/>
          </w:tcPr>
          <w:p>
            <w:pPr>
              <w:jc w:val="right"/>
              <w:spacing w:after="0"/>
              <w:rPr>
                <w:sz w:val="20"/>
                <w:szCs w:val="20"/>
                <w:color w:val="auto"/>
              </w:rPr>
            </w:pPr>
            <w:r>
              <w:rPr>
                <w:rFonts w:ascii="Arial" w:cs="Arial" w:eastAsia="Arial" w:hAnsi="Arial"/>
                <w:sz w:val="12"/>
                <w:szCs w:val="12"/>
                <w:color w:val="auto"/>
              </w:rPr>
              <w:t>168,237</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176,623</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176,273</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Sundry supplies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74,038</w:t>
            </w:r>
          </w:p>
        </w:tc>
        <w:tc>
          <w:tcPr>
            <w:tcW w:w="9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54,742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49,935</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IBM services expenses</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118,009</w:t>
            </w:r>
          </w:p>
        </w:tc>
        <w:tc>
          <w:tcPr>
            <w:tcW w:w="9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140,909</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143,703</w:t>
            </w:r>
          </w:p>
        </w:tc>
        <w:tc>
          <w:tcPr>
            <w:tcW w:w="8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 by third-party and others (**)</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636,895</w:t>
            </w: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584,496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517,708</w:t>
            </w:r>
          </w:p>
        </w:tc>
        <w:tc>
          <w:tcPr>
            <w:tcW w:w="80" w:type="dxa"/>
            <w:vAlign w:val="bottom"/>
            <w:shd w:val="clear" w:color="auto" w:fill="CCEEFF"/>
          </w:tcPr>
          <w:p>
            <w:pPr>
              <w:spacing w:after="0"/>
              <w:rPr>
                <w:sz w:val="13"/>
                <w:szCs w:val="13"/>
                <w:color w:val="auto"/>
              </w:rPr>
            </w:pPr>
          </w:p>
        </w:tc>
      </w:tr>
      <w:tr>
        <w:trPr>
          <w:trHeight w:val="133"/>
        </w:trPr>
        <w:tc>
          <w:tcPr>
            <w:tcW w:w="6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Total</w:t>
            </w:r>
          </w:p>
        </w:tc>
        <w:tc>
          <w:tcPr>
            <w:tcW w:w="9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6"/>
              </w:rPr>
              <w:t>2,354,630</w:t>
            </w:r>
          </w:p>
        </w:tc>
        <w:tc>
          <w:tcPr>
            <w:tcW w:w="340" w:type="dxa"/>
            <w:vAlign w:val="bottom"/>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6"/>
              </w:rPr>
              <w:t>2,330,044</w:t>
            </w:r>
          </w:p>
        </w:tc>
        <w:tc>
          <w:tcPr>
            <w:tcW w:w="340" w:type="dxa"/>
            <w:vAlign w:val="bottom"/>
          </w:tcPr>
          <w:p>
            <w:pPr>
              <w:spacing w:after="0"/>
              <w:rPr>
                <w:sz w:val="11"/>
                <w:szCs w:val="11"/>
                <w:color w:val="auto"/>
              </w:rPr>
            </w:pP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2,158,823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135" w:lineRule="exact"/>
        <w:rPr>
          <w:sz w:val="20"/>
          <w:szCs w:val="20"/>
          <w:color w:val="auto"/>
        </w:rPr>
      </w:pPr>
    </w:p>
    <w:p>
      <w:pPr>
        <w:ind w:left="420" w:right="120" w:hanging="212"/>
        <w:spacing w:after="0" w:line="276" w:lineRule="auto"/>
        <w:tabs>
          <w:tab w:leader="none" w:pos="4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During the year 2019, the amount corresponds only to short-term leases and of low value, which are recognized in the consolidated statement of income according to the provisions of IFRS 16 “Leases” (During the year 2018, amounts corresponded to all leases recognized in accordance with IAS 17 “Leases”).</w:t>
      </w:r>
    </w:p>
    <w:p>
      <w:pPr>
        <w:spacing w:after="0" w:line="115" w:lineRule="exact"/>
        <w:rPr>
          <w:sz w:val="20"/>
          <w:szCs w:val="20"/>
          <w:color w:val="auto"/>
        </w:rPr>
      </w:pPr>
    </w:p>
    <w:p>
      <w:pPr>
        <w:ind w:left="420" w:hanging="212"/>
        <w:spacing w:after="0"/>
        <w:tabs>
          <w:tab w:leader="none" w:pos="420" w:val="left"/>
        </w:tabs>
        <w:numPr>
          <w:ilvl w:val="0"/>
          <w:numId w:val="148"/>
        </w:numPr>
        <w:rPr>
          <w:rFonts w:ascii="Arial" w:cs="Arial" w:eastAsia="Arial" w:hAnsi="Arial"/>
          <w:sz w:val="11"/>
          <w:szCs w:val="11"/>
          <w:color w:val="auto"/>
        </w:rPr>
      </w:pPr>
      <w:r>
        <w:rPr>
          <w:rFonts w:ascii="Arial" w:cs="Arial" w:eastAsia="Arial" w:hAnsi="Arial"/>
          <w:sz w:val="11"/>
          <w:szCs w:val="11"/>
          <w:color w:val="auto"/>
        </w:rPr>
        <w:t>The balance consists mainly of security and protection services, cleaning service, representation expenses, electricity and water utilities, insurance policiy expenses, subscription expenses and commission expenses.</w:t>
      </w:r>
    </w:p>
    <w:p>
      <w:pPr>
        <w:spacing w:after="0" w:line="305" w:lineRule="exact"/>
        <w:rPr>
          <w:rFonts w:ascii="Arial" w:cs="Arial" w:eastAsia="Arial" w:hAnsi="Arial"/>
          <w:sz w:val="11"/>
          <w:szCs w:val="11"/>
          <w:color w:val="auto"/>
        </w:rPr>
      </w:pPr>
    </w:p>
    <w:p>
      <w:pPr>
        <w:ind w:left="5640" w:hanging="62"/>
        <w:spacing w:after="0"/>
        <w:tabs>
          <w:tab w:leader="none" w:pos="564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20" w:top="649"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57"/>
        </w:trPr>
        <w:tc>
          <w:tcPr>
            <w:tcW w:w="7220" w:type="dxa"/>
            <w:vAlign w:val="bottom"/>
            <w:gridSpan w:val="3"/>
          </w:tcPr>
          <w:p>
            <w:pPr>
              <w:spacing w:after="0"/>
              <w:rPr>
                <w:sz w:val="20"/>
                <w:szCs w:val="20"/>
                <w:color w:val="auto"/>
              </w:rPr>
            </w:pPr>
            <w:r>
              <w:rPr>
                <w:rFonts w:ascii="Arial" w:cs="Arial" w:eastAsia="Arial" w:hAnsi="Arial"/>
                <w:sz w:val="12"/>
                <w:szCs w:val="12"/>
                <w:b w:val="1"/>
                <w:bCs w:val="1"/>
                <w:color w:val="auto"/>
              </w:rPr>
              <w:t>29  OTHER INCOME AND EXPENSES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7220" w:type="dxa"/>
            <w:vAlign w:val="bottom"/>
            <w:gridSpan w:val="3"/>
          </w:tcPr>
          <w:p>
            <w:pPr>
              <w:ind w:left="200"/>
              <w:spacing w:after="0"/>
              <w:rPr>
                <w:sz w:val="20"/>
                <w:szCs w:val="20"/>
                <w:color w:val="auto"/>
              </w:rPr>
            </w:pPr>
            <w:r>
              <w:rPr>
                <w:rFonts w:ascii="Arial" w:cs="Arial" w:eastAsia="Arial" w:hAnsi="Arial"/>
                <w:sz w:val="12"/>
                <w:szCs w:val="12"/>
                <w:color w:val="auto"/>
              </w:rPr>
              <w:t>This item consists of the following:</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7220" w:type="dxa"/>
            <w:vAlign w:val="bottom"/>
            <w:gridSpan w:val="3"/>
          </w:tcPr>
          <w:p>
            <w:pPr>
              <w:jc w:val="center"/>
              <w:ind w:left="6640"/>
              <w:spacing w:after="0"/>
              <w:rPr>
                <w:sz w:val="20"/>
                <w:szCs w:val="20"/>
                <w:color w:val="auto"/>
              </w:rPr>
            </w:pPr>
            <w:r>
              <w:rPr>
                <w:rFonts w:ascii="Arial" w:cs="Arial" w:eastAsia="Arial" w:hAnsi="Arial"/>
                <w:sz w:val="12"/>
                <w:szCs w:val="12"/>
                <w:b w:val="1"/>
                <w:bCs w:val="1"/>
                <w:color w:val="auto"/>
                <w:w w:val="89"/>
              </w:rPr>
              <w:t>2019</w:t>
            </w:r>
          </w:p>
        </w:tc>
        <w:tc>
          <w:tcPr>
            <w:tcW w:w="1780" w:type="dxa"/>
            <w:vAlign w:val="bottom"/>
            <w:gridSpan w:val="3"/>
          </w:tcPr>
          <w:p>
            <w:pPr>
              <w:jc w:val="center"/>
              <w:ind w:left="1200"/>
              <w:spacing w:after="0"/>
              <w:rPr>
                <w:sz w:val="20"/>
                <w:szCs w:val="20"/>
                <w:color w:val="auto"/>
              </w:rPr>
            </w:pPr>
            <w:r>
              <w:rPr>
                <w:rFonts w:ascii="Arial" w:cs="Arial" w:eastAsia="Arial" w:hAnsi="Arial"/>
                <w:sz w:val="12"/>
                <w:szCs w:val="12"/>
                <w:b w:val="1"/>
                <w:bCs w:val="1"/>
                <w:color w:val="auto"/>
                <w:w w:val="89"/>
              </w:rPr>
              <w:t>2018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0" w:type="dxa"/>
            <w:vAlign w:val="bottom"/>
            <w:tcBorders>
              <w:top w:val="single" w:sz="8" w:color="auto"/>
            </w:tcBorders>
          </w:tcPr>
          <w:p>
            <w:pPr>
              <w:jc w:val="center"/>
              <w:ind w:left="420"/>
              <w:spacing w:after="0" w:line="133" w:lineRule="exact"/>
              <w:rPr>
                <w:sz w:val="20"/>
                <w:szCs w:val="20"/>
                <w:color w:val="auto"/>
              </w:rPr>
            </w:pPr>
            <w:r>
              <w:rPr>
                <w:rFonts w:ascii="Arial" w:cs="Arial" w:eastAsia="Arial" w:hAnsi="Arial"/>
                <w:sz w:val="12"/>
                <w:szCs w:val="12"/>
                <w:b w:val="1"/>
                <w:bCs w:val="1"/>
                <w:color w:val="auto"/>
                <w:w w:val="91"/>
              </w:rPr>
              <w:t>S/(000)</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tcBorders>
          </w:tcPr>
          <w:p>
            <w:pPr>
              <w:jc w:val="center"/>
              <w:ind w:left="400"/>
              <w:spacing w:after="0" w:line="133" w:lineRule="exact"/>
              <w:rPr>
                <w:sz w:val="20"/>
                <w:szCs w:val="20"/>
                <w:color w:val="auto"/>
              </w:rPr>
            </w:pPr>
            <w:r>
              <w:rPr>
                <w:rFonts w:ascii="Arial" w:cs="Arial" w:eastAsia="Arial" w:hAnsi="Arial"/>
                <w:sz w:val="12"/>
                <w:szCs w:val="12"/>
                <w:b w:val="1"/>
                <w:bCs w:val="1"/>
                <w:color w:val="auto"/>
                <w:w w:val="91"/>
              </w:rPr>
              <w:t>S/(000)</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income</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Revenue from sale of loan portfolio</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75,800</w:t>
            </w: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26,616</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Rental income</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37,847</w:t>
            </w: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35,941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43,118</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Net income from the sale of investments properties</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23,629</w:t>
            </w: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12,541</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15,837</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from the sale of property, furniture and equipment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16,869</w:t>
            </w: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54,952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36,970</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Recoveries of other accounts receivable and other assets</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13,796</w:t>
            </w: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79</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14,824</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gain from sale of seized and recovered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2,494</w:t>
            </w:r>
          </w:p>
        </w:tc>
        <w:tc>
          <w:tcPr>
            <w:tcW w:w="80" w:type="dxa"/>
            <w:vAlign w:val="bottom"/>
            <w:shd w:val="clear" w:color="auto" w:fill="CCEEFF"/>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Others (*)</w:t>
            </w:r>
          </w:p>
        </w:tc>
        <w:tc>
          <w:tcPr>
            <w:tcW w:w="460" w:type="dxa"/>
            <w:vAlign w:val="bottom"/>
          </w:tcPr>
          <w:p>
            <w:pPr>
              <w:jc w:val="right"/>
              <w:spacing w:after="0"/>
              <w:rPr>
                <w:sz w:val="20"/>
                <w:szCs w:val="20"/>
                <w:color w:val="auto"/>
              </w:rPr>
            </w:pPr>
            <w:r>
              <w:rPr>
                <w:rFonts w:ascii="Arial" w:cs="Arial" w:eastAsia="Arial" w:hAnsi="Arial"/>
                <w:sz w:val="12"/>
                <w:szCs w:val="12"/>
                <w:color w:val="auto"/>
              </w:rPr>
              <w:t>176,288</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143,753</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135,954</w:t>
            </w:r>
          </w:p>
        </w:tc>
        <w:tc>
          <w:tcPr>
            <w:tcW w:w="80" w:type="dxa"/>
            <w:vAlign w:val="bottom"/>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other income</w:t>
            </w:r>
          </w:p>
        </w:tc>
        <w:tc>
          <w:tcPr>
            <w:tcW w:w="10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344,229</w:t>
            </w:r>
          </w:p>
        </w:tc>
        <w:tc>
          <w:tcPr>
            <w:tcW w:w="3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273,882</w:t>
            </w:r>
          </w:p>
        </w:tc>
        <w:tc>
          <w:tcPr>
            <w:tcW w:w="3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249,197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304"/>
        </w:trPr>
        <w:tc>
          <w:tcPr>
            <w:tcW w:w="7220" w:type="dxa"/>
            <w:vAlign w:val="bottom"/>
            <w:gridSpan w:val="3"/>
          </w:tcPr>
          <w:p>
            <w:pPr>
              <w:jc w:val="center"/>
              <w:ind w:left="6640"/>
              <w:spacing w:after="0"/>
              <w:rPr>
                <w:sz w:val="20"/>
                <w:szCs w:val="20"/>
                <w:color w:val="auto"/>
              </w:rPr>
            </w:pPr>
            <w:r>
              <w:rPr>
                <w:rFonts w:ascii="Arial" w:cs="Arial" w:eastAsia="Arial" w:hAnsi="Arial"/>
                <w:sz w:val="12"/>
                <w:szCs w:val="12"/>
                <w:b w:val="1"/>
                <w:bCs w:val="1"/>
                <w:color w:val="auto"/>
                <w:w w:val="89"/>
              </w:rPr>
              <w:t>2019</w:t>
            </w:r>
          </w:p>
        </w:tc>
        <w:tc>
          <w:tcPr>
            <w:tcW w:w="1780" w:type="dxa"/>
            <w:vAlign w:val="bottom"/>
            <w:gridSpan w:val="3"/>
          </w:tcPr>
          <w:p>
            <w:pPr>
              <w:jc w:val="center"/>
              <w:ind w:left="1200"/>
              <w:spacing w:after="0"/>
              <w:rPr>
                <w:sz w:val="20"/>
                <w:szCs w:val="20"/>
                <w:color w:val="auto"/>
              </w:rPr>
            </w:pPr>
            <w:r>
              <w:rPr>
                <w:rFonts w:ascii="Arial" w:cs="Arial" w:eastAsia="Arial" w:hAnsi="Arial"/>
                <w:sz w:val="12"/>
                <w:szCs w:val="12"/>
                <w:b w:val="1"/>
                <w:bCs w:val="1"/>
                <w:color w:val="auto"/>
                <w:w w:val="89"/>
              </w:rPr>
              <w:t>2018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0" w:type="dxa"/>
            <w:vAlign w:val="bottom"/>
            <w:tcBorders>
              <w:top w:val="single" w:sz="8" w:color="auto"/>
            </w:tcBorders>
          </w:tcPr>
          <w:p>
            <w:pPr>
              <w:jc w:val="center"/>
              <w:ind w:left="420"/>
              <w:spacing w:after="0" w:line="133" w:lineRule="exact"/>
              <w:rPr>
                <w:sz w:val="20"/>
                <w:szCs w:val="20"/>
                <w:color w:val="auto"/>
              </w:rPr>
            </w:pPr>
            <w:r>
              <w:rPr>
                <w:rFonts w:ascii="Arial" w:cs="Arial" w:eastAsia="Arial" w:hAnsi="Arial"/>
                <w:sz w:val="12"/>
                <w:szCs w:val="12"/>
                <w:b w:val="1"/>
                <w:bCs w:val="1"/>
                <w:color w:val="auto"/>
                <w:w w:val="91"/>
              </w:rPr>
              <w:t>S/(000)</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tcBorders>
          </w:tcPr>
          <w:p>
            <w:pPr>
              <w:jc w:val="center"/>
              <w:ind w:left="400"/>
              <w:spacing w:after="0" w:line="133" w:lineRule="exact"/>
              <w:rPr>
                <w:sz w:val="20"/>
                <w:szCs w:val="20"/>
                <w:color w:val="auto"/>
              </w:rPr>
            </w:pPr>
            <w:r>
              <w:rPr>
                <w:rFonts w:ascii="Arial" w:cs="Arial" w:eastAsia="Arial" w:hAnsi="Arial"/>
                <w:sz w:val="12"/>
                <w:szCs w:val="12"/>
                <w:b w:val="1"/>
                <w:bCs w:val="1"/>
                <w:color w:val="auto"/>
                <w:w w:val="91"/>
              </w:rPr>
              <w:t>S/(000)</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gridSpan w:val="2"/>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Losses due to operational risk</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29,878</w:t>
            </w: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46,528</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55,477</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Expenses on improvements in building for rent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30,721</w:t>
            </w: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36,551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42,083</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Provision for sundry risks, Note 13(f)</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27,272</w:t>
            </w: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42,236</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29,023</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Association in participation</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22,636</w:t>
            </w: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14,526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19,757</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Provision for other accounts receivable</w:t>
            </w:r>
          </w:p>
        </w:tc>
        <w:tc>
          <w:tcPr>
            <w:tcW w:w="460" w:type="dxa"/>
            <w:vAlign w:val="bottom"/>
          </w:tcPr>
          <w:p>
            <w:pPr>
              <w:jc w:val="right"/>
              <w:spacing w:after="0"/>
              <w:rPr>
                <w:sz w:val="20"/>
                <w:szCs w:val="20"/>
                <w:color w:val="auto"/>
              </w:rPr>
            </w:pPr>
            <w:r>
              <w:rPr>
                <w:rFonts w:ascii="Arial" w:cs="Arial" w:eastAsia="Arial" w:hAnsi="Arial"/>
                <w:sz w:val="12"/>
                <w:szCs w:val="12"/>
                <w:color w:val="auto"/>
              </w:rPr>
              <w:t>8,059</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7,174</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19,316</w:t>
            </w:r>
          </w:p>
        </w:tc>
        <w:tc>
          <w:tcPr>
            <w:tcW w:w="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 from sale adjudicated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3,411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020" w:type="dxa"/>
            <w:vAlign w:val="bottom"/>
            <w:gridSpan w:val="2"/>
          </w:tcPr>
          <w:p>
            <w:pPr>
              <w:spacing w:after="0"/>
              <w:rPr>
                <w:sz w:val="20"/>
                <w:szCs w:val="20"/>
                <w:color w:val="auto"/>
              </w:rPr>
            </w:pPr>
            <w:r>
              <w:rPr>
                <w:rFonts w:ascii="Arial" w:cs="Arial" w:eastAsia="Arial" w:hAnsi="Arial"/>
                <w:sz w:val="12"/>
                <w:szCs w:val="12"/>
                <w:color w:val="auto"/>
              </w:rPr>
              <w:t>Administrative and tax penalties</w:t>
            </w:r>
          </w:p>
        </w:tc>
        <w:tc>
          <w:tcPr>
            <w:tcW w:w="460" w:type="dxa"/>
            <w:vAlign w:val="bottom"/>
          </w:tcPr>
          <w:p>
            <w:pPr>
              <w:jc w:val="right"/>
              <w:spacing w:after="0"/>
              <w:rPr>
                <w:sz w:val="20"/>
                <w:szCs w:val="20"/>
                <w:color w:val="auto"/>
              </w:rPr>
            </w:pPr>
            <w:r>
              <w:rPr>
                <w:rFonts w:ascii="Arial" w:cs="Arial" w:eastAsia="Arial" w:hAnsi="Arial"/>
                <w:sz w:val="12"/>
                <w:szCs w:val="12"/>
                <w:color w:val="auto"/>
              </w:rPr>
              <w:t>2,659</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4,301</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8,387</w:t>
            </w:r>
          </w:p>
        </w:tc>
        <w:tc>
          <w:tcPr>
            <w:tcW w:w="8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137,627</w:t>
            </w: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75,453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64,271</w:t>
            </w:r>
          </w:p>
        </w:tc>
        <w:tc>
          <w:tcPr>
            <w:tcW w:w="80" w:type="dxa"/>
            <w:vAlign w:val="bottom"/>
            <w:shd w:val="clear" w:color="auto" w:fill="CCEEFF"/>
          </w:tcPr>
          <w:p>
            <w:pPr>
              <w:spacing w:after="0"/>
              <w:rPr>
                <w:sz w:val="13"/>
                <w:szCs w:val="13"/>
                <w:color w:val="auto"/>
              </w:rPr>
            </w:pPr>
          </w:p>
        </w:tc>
      </w:tr>
      <w:tr>
        <w:trPr>
          <w:trHeight w:val="133"/>
        </w:trPr>
        <w:tc>
          <w:tcPr>
            <w:tcW w:w="200" w:type="dxa"/>
            <w:vAlign w:val="bottom"/>
          </w:tcPr>
          <w:p>
            <w:pPr>
              <w:spacing w:after="0"/>
              <w:rPr>
                <w:sz w:val="11"/>
                <w:szCs w:val="11"/>
                <w:color w:val="auto"/>
              </w:rPr>
            </w:pPr>
          </w:p>
        </w:tc>
        <w:tc>
          <w:tcPr>
            <w:tcW w:w="6020" w:type="dxa"/>
            <w:vAlign w:val="bottom"/>
          </w:tcPr>
          <w:p>
            <w:pPr>
              <w:spacing w:after="0" w:line="133" w:lineRule="exact"/>
              <w:rPr>
                <w:sz w:val="20"/>
                <w:szCs w:val="20"/>
                <w:color w:val="auto"/>
              </w:rPr>
            </w:pPr>
            <w:r>
              <w:rPr>
                <w:rFonts w:ascii="Arial" w:cs="Arial" w:eastAsia="Arial" w:hAnsi="Arial"/>
                <w:sz w:val="12"/>
                <w:szCs w:val="12"/>
                <w:b w:val="1"/>
                <w:bCs w:val="1"/>
                <w:color w:val="auto"/>
              </w:rPr>
              <w:t>Total other expenses</w:t>
            </w:r>
          </w:p>
        </w:tc>
        <w:tc>
          <w:tcPr>
            <w:tcW w:w="10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268,469</w:t>
            </w:r>
          </w:p>
        </w:tc>
        <w:tc>
          <w:tcPr>
            <w:tcW w:w="340" w:type="dxa"/>
            <w:vAlign w:val="bottom"/>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230,180</w:t>
            </w:r>
          </w:p>
        </w:tc>
        <w:tc>
          <w:tcPr>
            <w:tcW w:w="340" w:type="dxa"/>
            <w:vAlign w:val="bottom"/>
          </w:tcPr>
          <w:p>
            <w:pPr>
              <w:spacing w:after="0"/>
              <w:rPr>
                <w:sz w:val="11"/>
                <w:szCs w:val="11"/>
                <w:color w:val="auto"/>
              </w:rPr>
            </w:pP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238,314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135" w:lineRule="exact"/>
        <w:rPr>
          <w:sz w:val="20"/>
          <w:szCs w:val="20"/>
          <w:color w:val="auto"/>
        </w:rPr>
      </w:pPr>
    </w:p>
    <w:p>
      <w:pPr>
        <w:ind w:left="420" w:right="260" w:hanging="212"/>
        <w:spacing w:after="0" w:line="276" w:lineRule="auto"/>
        <w:tabs>
          <w:tab w:leader="none" w:pos="4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balance mainly comprises liquidation for sale of Credicorp shares, penalty for breach of contract, commissions for recovery in civil and judicial lawsuits of Personal Credits and Credit Card products; also, collection of commission for relocation, vehicle taxes, municipal property taxes, fines and penalties to clients related to the Leasing product.</w:t>
      </w:r>
    </w:p>
    <w:p>
      <w:pPr>
        <w:spacing w:after="0" w:line="277" w:lineRule="exact"/>
        <w:rPr>
          <w:rFonts w:ascii="Arial" w:cs="Arial" w:eastAsia="Arial" w:hAnsi="Arial"/>
          <w:sz w:val="12"/>
          <w:szCs w:val="12"/>
          <w:color w:val="auto"/>
        </w:rPr>
      </w:pPr>
    </w:p>
    <w:p>
      <w:pPr>
        <w:ind w:left="5640" w:hanging="62"/>
        <w:spacing w:after="0"/>
        <w:tabs>
          <w:tab w:leader="none" w:pos="564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20" w:top="829"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57"/>
        </w:trPr>
        <w:tc>
          <w:tcPr>
            <w:tcW w:w="7080" w:type="dxa"/>
            <w:vAlign w:val="bottom"/>
            <w:gridSpan w:val="3"/>
          </w:tcPr>
          <w:p>
            <w:pPr>
              <w:jc w:val="right"/>
              <w:ind w:right="5600"/>
              <w:spacing w:after="0"/>
              <w:rPr>
                <w:sz w:val="20"/>
                <w:szCs w:val="20"/>
                <w:color w:val="auto"/>
              </w:rPr>
            </w:pPr>
            <w:r>
              <w:rPr>
                <w:rFonts w:ascii="Arial" w:cs="Arial" w:eastAsia="Arial" w:hAnsi="Arial"/>
                <w:sz w:val="12"/>
                <w:szCs w:val="12"/>
                <w:b w:val="1"/>
                <w:bCs w:val="1"/>
                <w:color w:val="auto"/>
                <w:w w:val="98"/>
              </w:rPr>
              <w:t>30  EARNING PER SHARE</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080" w:type="dxa"/>
            <w:vAlign w:val="bottom"/>
            <w:gridSpan w:val="3"/>
          </w:tcPr>
          <w:p>
            <w:pPr>
              <w:ind w:left="200"/>
              <w:spacing w:after="0"/>
              <w:rPr>
                <w:sz w:val="20"/>
                <w:szCs w:val="20"/>
                <w:color w:val="auto"/>
              </w:rPr>
            </w:pPr>
            <w:r>
              <w:rPr>
                <w:rFonts w:ascii="Arial" w:cs="Arial" w:eastAsia="Arial" w:hAnsi="Arial"/>
                <w:sz w:val="12"/>
                <w:szCs w:val="12"/>
                <w:color w:val="auto"/>
                <w:w w:val="97"/>
              </w:rPr>
              <w:t>The net earnings per ordinary share were determined based on the net income attributable to equity holders of the Group as follows: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2019</w:t>
            </w:r>
          </w:p>
        </w:tc>
        <w:tc>
          <w:tcPr>
            <w:tcW w:w="18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income attributable to equity holders of Credicorp (in thousands of Soles)</w:t>
            </w: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4,265,304</w:t>
            </w: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3,983,865</w:t>
            </w:r>
          </w:p>
        </w:tc>
        <w:tc>
          <w:tcPr>
            <w:tcW w:w="3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4,091,753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vMerge w:val="restart"/>
          </w:tcPr>
          <w:p>
            <w:pPr>
              <w:spacing w:after="0"/>
              <w:rPr>
                <w:sz w:val="11"/>
                <w:szCs w:val="11"/>
                <w:color w:val="auto"/>
              </w:rPr>
            </w:pPr>
          </w:p>
        </w:tc>
        <w:tc>
          <w:tcPr>
            <w:tcW w:w="6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Number of stock</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880" w:type="dxa"/>
            <w:vAlign w:val="bottom"/>
            <w:gridSpan w:val="2"/>
          </w:tcPr>
          <w:p>
            <w:pPr>
              <w:spacing w:after="0"/>
              <w:rPr>
                <w:sz w:val="20"/>
                <w:szCs w:val="20"/>
                <w:color w:val="auto"/>
              </w:rPr>
            </w:pPr>
            <w:r>
              <w:rPr>
                <w:rFonts w:ascii="Arial" w:cs="Arial" w:eastAsia="Arial" w:hAnsi="Arial"/>
                <w:sz w:val="12"/>
                <w:szCs w:val="12"/>
                <w:color w:val="auto"/>
              </w:rPr>
              <w:t>Ordinary stock, Note 18(a)</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94,382,317</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w w:val="93"/>
              </w:rPr>
              <w:t>94,382,317</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94,382,317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 opening balance of treasury stock</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1"/>
              </w:rPr>
              <w:t>(14,883,274)</w:t>
            </w:r>
          </w:p>
        </w:tc>
        <w:tc>
          <w:tcPr>
            <w:tcW w:w="8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8"/>
              </w:rPr>
              <w:t>(14,902,008)</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(14,915,537)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880" w:type="dxa"/>
            <w:vAlign w:val="bottom"/>
            <w:gridSpan w:val="2"/>
          </w:tcPr>
          <w:p>
            <w:pPr>
              <w:spacing w:after="0"/>
              <w:rPr>
                <w:sz w:val="20"/>
                <w:szCs w:val="20"/>
                <w:color w:val="auto"/>
              </w:rPr>
            </w:pPr>
            <w:r>
              <w:rPr>
                <w:rFonts w:ascii="Arial" w:cs="Arial" w:eastAsia="Arial" w:hAnsi="Arial"/>
                <w:sz w:val="12"/>
                <w:szCs w:val="12"/>
                <w:color w:val="auto"/>
              </w:rPr>
              <w:t>(Acquisition) sale of treasury stock, net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(9,738)</w:t>
            </w:r>
          </w:p>
        </w:tc>
        <w:tc>
          <w:tcPr>
            <w:tcW w:w="86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(3,015)</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3,088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Weighted average number of ordinary shares for basic earnings</w:t>
            </w:r>
          </w:p>
        </w:tc>
        <w:tc>
          <w:tcPr>
            <w:tcW w:w="8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79,489,305</w:t>
            </w: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79,477,294</w:t>
            </w:r>
          </w:p>
        </w:tc>
        <w:tc>
          <w:tcPr>
            <w:tcW w:w="3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79,469,868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880" w:type="dxa"/>
            <w:vAlign w:val="bottom"/>
            <w:gridSpan w:val="2"/>
          </w:tcPr>
          <w:p>
            <w:pPr>
              <w:spacing w:after="0"/>
              <w:rPr>
                <w:sz w:val="20"/>
                <w:szCs w:val="20"/>
                <w:color w:val="auto"/>
              </w:rPr>
            </w:pPr>
            <w:r>
              <w:rPr>
                <w:rFonts w:ascii="Arial" w:cs="Arial" w:eastAsia="Arial" w:hAnsi="Arial"/>
                <w:sz w:val="12"/>
                <w:szCs w:val="12"/>
                <w:color w:val="auto"/>
              </w:rPr>
              <w:t>Plus - dilution effect - stock awards</w:t>
            </w:r>
          </w:p>
        </w:tc>
        <w:tc>
          <w:tcPr>
            <w:tcW w:w="600" w:type="dxa"/>
            <w:vAlign w:val="bottom"/>
          </w:tcPr>
          <w:p>
            <w:pPr>
              <w:jc w:val="right"/>
              <w:spacing w:after="0"/>
              <w:rPr>
                <w:sz w:val="20"/>
                <w:szCs w:val="20"/>
                <w:color w:val="auto"/>
              </w:rPr>
            </w:pPr>
            <w:r>
              <w:rPr>
                <w:rFonts w:ascii="Arial" w:cs="Arial" w:eastAsia="Arial" w:hAnsi="Arial"/>
                <w:sz w:val="12"/>
                <w:szCs w:val="12"/>
                <w:color w:val="auto"/>
              </w:rPr>
              <w:t>194,213</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209,128</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220,296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6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Weighted average number of ordinary shares adjusted for the effect of dilution</w:t>
            </w:r>
          </w:p>
        </w:tc>
        <w:tc>
          <w:tcPr>
            <w:tcW w:w="8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79,683,518</w:t>
            </w: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79,686,422</w:t>
            </w:r>
          </w:p>
        </w:tc>
        <w:tc>
          <w:tcPr>
            <w:tcW w:w="3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79,690,164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earnings per share (in Soles)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53.66</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50.13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6880" w:type="dxa"/>
            <w:vAlign w:val="bottom"/>
            <w:gridSpan w:val="2"/>
          </w:tcPr>
          <w:p>
            <w:pPr>
              <w:spacing w:after="0"/>
              <w:rPr>
                <w:sz w:val="20"/>
                <w:szCs w:val="20"/>
                <w:color w:val="auto"/>
              </w:rPr>
            </w:pPr>
            <w:r>
              <w:rPr>
                <w:rFonts w:ascii="Arial" w:cs="Arial" w:eastAsia="Arial" w:hAnsi="Arial"/>
                <w:sz w:val="12"/>
                <w:szCs w:val="12"/>
                <w:color w:val="auto"/>
              </w:rPr>
              <w:t>Diluted earnings per share (in Soles)</w:t>
            </w:r>
          </w:p>
        </w:tc>
        <w:tc>
          <w:tcPr>
            <w:tcW w:w="600" w:type="dxa"/>
            <w:vAlign w:val="bottom"/>
          </w:tcPr>
          <w:p>
            <w:pPr>
              <w:jc w:val="right"/>
              <w:spacing w:after="0"/>
              <w:rPr>
                <w:sz w:val="20"/>
                <w:szCs w:val="20"/>
                <w:color w:val="auto"/>
              </w:rPr>
            </w:pPr>
            <w:r>
              <w:rPr>
                <w:rFonts w:ascii="Arial" w:cs="Arial" w:eastAsia="Arial" w:hAnsi="Arial"/>
                <w:sz w:val="12"/>
                <w:szCs w:val="12"/>
                <w:color w:val="auto"/>
              </w:rPr>
              <w:t>53.53</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49.99</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51.35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- 128 -</w:t>
            </w: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67" w:right="199" w:bottom="1440" w:gutter="0" w:footer="0" w:header="0"/>
        </w:sectPr>
      </w:pPr>
    </w:p>
    <w:bookmarkStart w:id="133" w:name="page134"/>
    <w:bookmarkEnd w:id="133"/>
    <w:p>
      <w:pPr>
        <w:ind w:left="208" w:hanging="208"/>
        <w:spacing w:after="0"/>
        <w:tabs>
          <w:tab w:leader="none" w:pos="208"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SEGMENTS</w:t>
      </w:r>
    </w:p>
    <w:p>
      <w:pPr>
        <w:spacing w:after="0" w:line="154" w:lineRule="exact"/>
        <w:rPr>
          <w:rFonts w:ascii="Arial" w:cs="Arial" w:eastAsia="Arial" w:hAnsi="Arial"/>
          <w:sz w:val="12"/>
          <w:szCs w:val="12"/>
          <w:b w:val="1"/>
          <w:bCs w:val="1"/>
          <w:color w:val="auto"/>
        </w:rPr>
      </w:pPr>
    </w:p>
    <w:p>
      <w:pPr>
        <w:ind w:left="208" w:right="12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In the 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14" w:lineRule="exact"/>
        <w:rPr>
          <w:rFonts w:ascii="Arial" w:cs="Arial" w:eastAsia="Arial" w:hAnsi="Arial"/>
          <w:sz w:val="12"/>
          <w:szCs w:val="12"/>
          <w:b w:val="1"/>
          <w:bCs w:val="1"/>
          <w:color w:val="auto"/>
        </w:rPr>
      </w:pPr>
    </w:p>
    <w:p>
      <w:pPr>
        <w:ind w:left="428" w:hanging="212"/>
        <w:spacing w:after="0"/>
        <w:tabs>
          <w:tab w:leader="none" w:pos="42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Universal Banking -</w:t>
      </w:r>
    </w:p>
    <w:p>
      <w:pPr>
        <w:spacing w:after="0" w:line="150" w:lineRule="exact"/>
        <w:rPr>
          <w:rFonts w:ascii="Arial" w:cs="Arial" w:eastAsia="Arial" w:hAnsi="Arial"/>
          <w:sz w:val="12"/>
          <w:szCs w:val="12"/>
          <w:color w:val="auto"/>
        </w:rPr>
      </w:pPr>
    </w:p>
    <w:p>
      <w:pPr>
        <w:ind w:left="428"/>
        <w:spacing w:after="0" w:line="263" w:lineRule="auto"/>
        <w:rPr>
          <w:rFonts w:ascii="Arial" w:cs="Arial" w:eastAsia="Arial" w:hAnsi="Arial"/>
          <w:sz w:val="12"/>
          <w:szCs w:val="12"/>
          <w:color w:val="auto"/>
        </w:rPr>
      </w:pPr>
      <w:r>
        <w:rPr>
          <w:rFonts w:ascii="Arial" w:cs="Arial" w:eastAsia="Arial" w:hAnsi="Arial"/>
          <w:sz w:val="12"/>
          <w:szCs w:val="12"/>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22" w:lineRule="exact"/>
        <w:rPr>
          <w:rFonts w:ascii="Arial" w:cs="Arial" w:eastAsia="Arial" w:hAnsi="Arial"/>
          <w:sz w:val="12"/>
          <w:szCs w:val="12"/>
          <w:color w:val="auto"/>
        </w:rPr>
      </w:pPr>
    </w:p>
    <w:p>
      <w:pPr>
        <w:ind w:left="428" w:hanging="212"/>
        <w:spacing w:after="0"/>
        <w:tabs>
          <w:tab w:leader="none" w:pos="42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Insurance and Pensions -</w:t>
      </w:r>
    </w:p>
    <w:p>
      <w:pPr>
        <w:spacing w:after="0" w:line="150" w:lineRule="exact"/>
        <w:rPr>
          <w:rFonts w:ascii="Arial" w:cs="Arial" w:eastAsia="Arial" w:hAnsi="Arial"/>
          <w:sz w:val="12"/>
          <w:szCs w:val="12"/>
          <w:color w:val="auto"/>
        </w:rPr>
      </w:pPr>
    </w:p>
    <w:p>
      <w:pPr>
        <w:ind w:left="648" w:right="360" w:hanging="216"/>
        <w:spacing w:after="0" w:line="276" w:lineRule="auto"/>
        <w:tabs>
          <w:tab w:leader="none" w:pos="6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Insurance: includes, mainly, the issue of insurance policies to cover losses in commercial property, transport, marine vessels, automobiles, life, health and pensions, operations carried out through Pacífico Compañía de Seguros y Reaseguros.</w:t>
      </w:r>
    </w:p>
    <w:p>
      <w:pPr>
        <w:spacing w:after="0" w:line="114" w:lineRule="exact"/>
        <w:rPr>
          <w:rFonts w:ascii="Arial" w:cs="Arial" w:eastAsia="Arial" w:hAnsi="Arial"/>
          <w:sz w:val="12"/>
          <w:szCs w:val="12"/>
          <w:color w:val="auto"/>
        </w:rPr>
      </w:pPr>
    </w:p>
    <w:p>
      <w:pPr>
        <w:ind w:left="648" w:hanging="216"/>
        <w:spacing w:after="0"/>
        <w:tabs>
          <w:tab w:leader="none" w:pos="6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Pensions: provides Management Service of private pension funds to the affiliates, operation carried out from Prima AFP.</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Microfinance -</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0"/>
          <w:szCs w:val="10"/>
          <w:color w:val="auto"/>
        </w:rPr>
        <w:t>Includes the management of loans, credits, deposits and current accounts of the small and microenterprises: carried out through Mibanco, Banco de la Microempresa S.A., Banco Compartir S.A. and Edyficar S.A.S. (Encumbra).</w:t>
      </w:r>
    </w:p>
    <w:p>
      <w:pPr>
        <w:spacing w:after="0" w:line="173" w:lineRule="exact"/>
        <w:rPr>
          <w:rFonts w:ascii="Arial" w:cs="Arial" w:eastAsia="Arial" w:hAnsi="Arial"/>
          <w:sz w:val="12"/>
          <w:szCs w:val="12"/>
          <w:color w:val="auto"/>
        </w:rPr>
      </w:pPr>
    </w:p>
    <w:p>
      <w:pPr>
        <w:ind w:left="428" w:hanging="212"/>
        <w:spacing w:after="0"/>
        <w:tabs>
          <w:tab w:leader="none" w:pos="42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Investment Banking and Wealth Management -</w:t>
      </w:r>
    </w:p>
    <w:p>
      <w:pPr>
        <w:spacing w:after="0" w:line="150" w:lineRule="exact"/>
        <w:rPr>
          <w:rFonts w:ascii="Arial" w:cs="Arial" w:eastAsia="Arial" w:hAnsi="Arial"/>
          <w:sz w:val="12"/>
          <w:szCs w:val="12"/>
          <w:color w:val="auto"/>
        </w:rPr>
      </w:pPr>
    </w:p>
    <w:p>
      <w:pPr>
        <w:ind w:left="428" w:right="100"/>
        <w:spacing w:after="0" w:line="323" w:lineRule="auto"/>
        <w:rPr>
          <w:rFonts w:ascii="Arial" w:cs="Arial" w:eastAsia="Arial" w:hAnsi="Arial"/>
          <w:sz w:val="12"/>
          <w:szCs w:val="12"/>
          <w:color w:val="auto"/>
        </w:rPr>
      </w:pPr>
      <w:r>
        <w:rPr>
          <w:rFonts w:ascii="Arial" w:cs="Arial" w:eastAsia="Arial" w:hAnsi="Arial"/>
          <w:sz w:val="11"/>
          <w:szCs w:val="11"/>
          <w:color w:val="auto"/>
        </w:rPr>
        <w:t>Brokerage service and investment management services offered to a broad and diverse clientele, which includes corporations, institutional investors, governments and foundations; also,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91" w:lineRule="exact"/>
        <w:rPr>
          <w:rFonts w:ascii="Arial" w:cs="Arial" w:eastAsia="Arial" w:hAnsi="Arial"/>
          <w:sz w:val="12"/>
          <w:szCs w:val="12"/>
          <w:color w:val="auto"/>
        </w:rPr>
      </w:pPr>
    </w:p>
    <w:p>
      <w:pPr>
        <w:ind w:left="428" w:right="3500"/>
        <w:spacing w:after="0" w:line="501" w:lineRule="auto"/>
        <w:rPr>
          <w:rFonts w:ascii="Arial" w:cs="Arial" w:eastAsia="Arial" w:hAnsi="Arial"/>
          <w:sz w:val="12"/>
          <w:szCs w:val="12"/>
          <w:color w:val="auto"/>
        </w:rPr>
      </w:pPr>
      <w:r>
        <w:rPr>
          <w:rFonts w:ascii="Arial" w:cs="Arial" w:eastAsia="Arial" w:hAnsi="Arial"/>
          <w:sz w:val="12"/>
          <w:szCs w:val="12"/>
          <w:color w:val="auto"/>
        </w:rPr>
        <w:t>All of these services are provided through Credicorp Capital Ltd. and subsidiaries; Atlantic Security Bank (ASB) and the Wealth Management team of BCP. Management of these business lines is designed to:</w:t>
      </w:r>
    </w:p>
    <w:p>
      <w:pPr>
        <w:ind w:left="648" w:hanging="216"/>
        <w:spacing w:after="0"/>
        <w:tabs>
          <w:tab w:leader="none" w:pos="6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Promote the joint action of our businesses in order to take advantage of the synergies which resulting from the diversification of our portfolio.</w:t>
      </w:r>
    </w:p>
    <w:p>
      <w:pPr>
        <w:spacing w:after="0" w:line="150" w:lineRule="exact"/>
        <w:rPr>
          <w:rFonts w:ascii="Arial" w:cs="Arial" w:eastAsia="Arial" w:hAnsi="Arial"/>
          <w:sz w:val="12"/>
          <w:szCs w:val="12"/>
          <w:color w:val="auto"/>
        </w:rPr>
      </w:pPr>
    </w:p>
    <w:p>
      <w:pPr>
        <w:ind w:left="648" w:right="220" w:hanging="216"/>
        <w:spacing w:after="0" w:line="276" w:lineRule="auto"/>
        <w:tabs>
          <w:tab w:leader="none" w:pos="6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14" w:lineRule="exact"/>
        <w:rPr>
          <w:rFonts w:ascii="Arial" w:cs="Arial" w:eastAsia="Arial" w:hAnsi="Arial"/>
          <w:sz w:val="12"/>
          <w:szCs w:val="12"/>
          <w:color w:val="auto"/>
        </w:rPr>
      </w:pPr>
    </w:p>
    <w:p>
      <w:pPr>
        <w:ind w:left="648" w:hanging="216"/>
        <w:spacing w:after="0"/>
        <w:tabs>
          <w:tab w:leader="none" w:pos="6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Improve the ongoing search to bring to adapt our business models, processes and procedures into line with best practices worldwide.</w:t>
      </w:r>
    </w:p>
    <w:p>
      <w:pPr>
        <w:spacing w:after="0" w:line="294" w:lineRule="exact"/>
        <w:rPr>
          <w:rFonts w:ascii="Arial" w:cs="Arial" w:eastAsia="Arial" w:hAnsi="Arial"/>
          <w:sz w:val="12"/>
          <w:szCs w:val="12"/>
          <w:color w:val="auto"/>
        </w:rPr>
      </w:pPr>
    </w:p>
    <w:p>
      <w:pPr>
        <w:ind w:left="5648" w:hanging="62"/>
        <w:spacing w:after="0"/>
        <w:tabs>
          <w:tab w:leader="none" w:pos="5648" w:val="left"/>
        </w:tabs>
        <w:numPr>
          <w:ilvl w:val="3"/>
          <w:numId w:val="150"/>
        </w:numPr>
        <w:rPr>
          <w:rFonts w:ascii="Arial" w:cs="Arial" w:eastAsia="Arial" w:hAnsi="Arial"/>
          <w:sz w:val="12"/>
          <w:szCs w:val="12"/>
          <w:color w:val="auto"/>
        </w:rPr>
      </w:pPr>
      <w:r>
        <w:rPr>
          <w:rFonts w:ascii="Arial" w:cs="Arial" w:eastAsia="Arial" w:hAnsi="Arial"/>
          <w:sz w:val="12"/>
          <w:szCs w:val="12"/>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667" w:right="25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12"/>
          <w:szCs w:val="12"/>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consolidated statement of income.</w:t>
      </w:r>
    </w:p>
    <w:p>
      <w:pPr>
        <w:spacing w:after="0" w:line="12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None of the income derives from transactions carried out with a single customer or counterparty which is equal to or greater than 10 per cent or more of the total income of the Group at December 31, 2019, 2018 and 2017.</w:t>
      </w: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292340" cy="571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80"/>
          </w:cols>
          <w:pgMar w:left="640" w:top="653" w:right="279" w:bottom="1440" w:gutter="0" w:footer="0" w:header="0"/>
        </w:sectPr>
      </w:pPr>
    </w:p>
    <w:bookmarkStart w:id="135" w:name="page136"/>
    <w:bookmarkEnd w:id="135"/>
    <w:p>
      <w:pPr>
        <w:spacing w:after="0"/>
        <w:tabs>
          <w:tab w:leader="none" w:pos="200" w:val="left"/>
        </w:tabs>
        <w:rPr>
          <w:sz w:val="20"/>
          <w:szCs w:val="20"/>
          <w:color w:val="auto"/>
        </w:rPr>
      </w:pPr>
      <w:r>
        <w:rPr>
          <w:rFonts w:ascii="Arial" w:cs="Arial" w:eastAsia="Arial" w:hAnsi="Arial"/>
          <w:sz w:val="12"/>
          <w:szCs w:val="12"/>
          <w:color w:val="auto"/>
        </w:rPr>
        <w:t>(i)</w:t>
      </w:r>
      <w:r>
        <w:rPr>
          <w:sz w:val="20"/>
          <w:szCs w:val="20"/>
          <w:color w:val="auto"/>
        </w:rPr>
        <w:tab/>
      </w:r>
      <w:r>
        <w:rPr>
          <w:rFonts w:ascii="Arial" w:cs="Arial" w:eastAsia="Arial" w:hAnsi="Arial"/>
          <w:sz w:val="10"/>
          <w:szCs w:val="10"/>
          <w:color w:val="auto"/>
        </w:rPr>
        <w:t>The following table presents information recorded in the results and for certain items of the assets corresponding to the Group’s reportable segments (in millions of soles) as of December 31, 2019, 2018 and 2017:</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Income (*)</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6"/>
              </w:rPr>
              <w:t>Net interest,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14"/>
              <w:spacing w:after="0"/>
              <w:rPr>
                <w:sz w:val="20"/>
                <w:szCs w:val="20"/>
                <w:color w:val="auto"/>
              </w:rPr>
            </w:pPr>
            <w:r>
              <w:rPr>
                <w:rFonts w:ascii="Arial" w:cs="Arial" w:eastAsia="Arial" w:hAnsi="Arial"/>
                <w:sz w:val="10"/>
                <w:szCs w:val="10"/>
                <w:b w:val="1"/>
                <w:bCs w:val="1"/>
                <w:color w:val="auto"/>
                <w:w w:val="87"/>
              </w:rPr>
              <w:t>Provision for</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5"/>
              </w:rPr>
              <w:t>Additions of</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2"/>
              </w:rPr>
              <w:t>similar</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Other</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1"/>
              </w:rPr>
              <w:t>credit losses</w:t>
            </w:r>
          </w:p>
        </w:tc>
        <w:tc>
          <w:tcPr>
            <w:tcW w:w="760" w:type="dxa"/>
            <w:vAlign w:val="bottom"/>
            <w:gridSpan w:val="2"/>
          </w:tcPr>
          <w:p>
            <w:pPr>
              <w:jc w:val="right"/>
              <w:ind w:right="178"/>
              <w:spacing w:after="0" w:line="99" w:lineRule="exact"/>
              <w:rPr>
                <w:sz w:val="20"/>
                <w:szCs w:val="20"/>
                <w:color w:val="auto"/>
              </w:rPr>
            </w:pPr>
            <w:r>
              <w:rPr>
                <w:rFonts w:ascii="Arial" w:cs="Arial" w:eastAsia="Arial" w:hAnsi="Arial"/>
                <w:sz w:val="10"/>
                <w:szCs w:val="10"/>
                <w:b w:val="1"/>
                <w:bCs w:val="1"/>
                <w:color w:val="auto"/>
                <w:w w:val="85"/>
              </w:rPr>
              <w:t>Depreciation</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fixed asset,</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94"/>
              </w:rPr>
              <w:t>From other</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income and</w:t>
            </w:r>
          </w:p>
        </w:tc>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rPr>
              <w:t>income,</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4"/>
              </w:rPr>
              <w:t>on loan</w:t>
            </w:r>
          </w:p>
        </w:tc>
        <w:tc>
          <w:tcPr>
            <w:tcW w:w="760" w:type="dxa"/>
            <w:vAlign w:val="bottom"/>
            <w:gridSpan w:val="2"/>
          </w:tcPr>
          <w:p>
            <w:pPr>
              <w:jc w:val="right"/>
              <w:ind w:right="358"/>
              <w:spacing w:after="0" w:line="99" w:lineRule="exact"/>
              <w:rPr>
                <w:sz w:val="20"/>
                <w:szCs w:val="20"/>
                <w:color w:val="auto"/>
              </w:rPr>
            </w:pPr>
            <w:r>
              <w:rPr>
                <w:rFonts w:ascii="Arial" w:cs="Arial" w:eastAsia="Arial" w:hAnsi="Arial"/>
                <w:sz w:val="10"/>
                <w:szCs w:val="10"/>
                <w:b w:val="1"/>
                <w:bCs w:val="1"/>
                <w:color w:val="auto"/>
              </w:rPr>
              <w:t>and</w:t>
            </w:r>
          </w:p>
        </w:tc>
        <w:tc>
          <w:tcPr>
            <w:tcW w:w="760" w:type="dxa"/>
            <w:vAlign w:val="bottom"/>
            <w:gridSpan w:val="2"/>
          </w:tcPr>
          <w:p>
            <w:pPr>
              <w:jc w:val="center"/>
              <w:ind w:right="178"/>
              <w:spacing w:after="0" w:line="99" w:lineRule="exact"/>
              <w:rPr>
                <w:sz w:val="20"/>
                <w:szCs w:val="20"/>
                <w:color w:val="auto"/>
              </w:rPr>
            </w:pPr>
            <w:r>
              <w:rPr>
                <w:rFonts w:ascii="Arial" w:cs="Arial" w:eastAsia="Arial" w:hAnsi="Arial"/>
                <w:sz w:val="10"/>
                <w:szCs w:val="10"/>
                <w:b w:val="1"/>
                <w:bCs w:val="1"/>
                <w:color w:val="auto"/>
                <w:w w:val="85"/>
              </w:rPr>
              <w:t>Income</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intangibles</w:t>
            </w: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1"/>
              </w:rPr>
              <w:t>Total</w:t>
            </w: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4"/>
        </w:trPr>
        <w:tc>
          <w:tcPr>
            <w:tcW w:w="2500" w:type="dxa"/>
            <w:vAlign w:val="bottom"/>
          </w:tcPr>
          <w:p>
            <w:pPr>
              <w:spacing w:after="0" w:line="114" w:lineRule="exact"/>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9"/>
                <w:szCs w:val="9"/>
                <w:color w:val="auto"/>
              </w:rPr>
            </w:pPr>
          </w:p>
        </w:tc>
        <w:tc>
          <w:tcPr>
            <w:tcW w:w="7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External</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84"/>
              </w:rPr>
              <w:t>segments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74"/>
              </w:rPr>
              <w:t>expenses</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9"/>
              </w:rPr>
              <w:t>net (***)</w:t>
            </w:r>
          </w:p>
        </w:tc>
        <w:tc>
          <w:tcPr>
            <w:tcW w:w="760" w:type="dxa"/>
            <w:vAlign w:val="bottom"/>
            <w:gridSpan w:val="2"/>
          </w:tcPr>
          <w:p>
            <w:pPr>
              <w:jc w:val="center"/>
              <w:ind w:right="214"/>
              <w:spacing w:after="0" w:line="114" w:lineRule="exact"/>
              <w:rPr>
                <w:sz w:val="20"/>
                <w:szCs w:val="20"/>
                <w:color w:val="auto"/>
              </w:rPr>
            </w:pPr>
            <w:r>
              <w:rPr>
                <w:rFonts w:ascii="Arial" w:cs="Arial" w:eastAsia="Arial" w:hAnsi="Arial"/>
                <w:sz w:val="10"/>
                <w:szCs w:val="10"/>
                <w:b w:val="1"/>
                <w:bCs w:val="1"/>
                <w:color w:val="auto"/>
                <w:w w:val="83"/>
              </w:rPr>
              <w:t>portfolio</w:t>
            </w:r>
          </w:p>
        </w:tc>
        <w:tc>
          <w:tcPr>
            <w:tcW w:w="760" w:type="dxa"/>
            <w:vAlign w:val="bottom"/>
            <w:gridSpan w:val="2"/>
          </w:tcPr>
          <w:p>
            <w:pPr>
              <w:jc w:val="right"/>
              <w:ind w:right="178"/>
              <w:spacing w:after="0" w:line="114" w:lineRule="exact"/>
              <w:rPr>
                <w:sz w:val="20"/>
                <w:szCs w:val="20"/>
                <w:color w:val="auto"/>
              </w:rPr>
            </w:pPr>
            <w:r>
              <w:rPr>
                <w:rFonts w:ascii="Arial" w:cs="Arial" w:eastAsia="Arial" w:hAnsi="Arial"/>
                <w:sz w:val="10"/>
                <w:szCs w:val="10"/>
                <w:b w:val="1"/>
                <w:bCs w:val="1"/>
                <w:color w:val="auto"/>
                <w:w w:val="87"/>
              </w:rPr>
              <w:t>amortization</w:t>
            </w:r>
          </w:p>
        </w:tc>
        <w:tc>
          <w:tcPr>
            <w:tcW w:w="760" w:type="dxa"/>
            <w:vAlign w:val="bottom"/>
            <w:gridSpan w:val="2"/>
          </w:tcPr>
          <w:p>
            <w:pPr>
              <w:jc w:val="center"/>
              <w:ind w:right="178"/>
              <w:spacing w:after="0" w:line="114" w:lineRule="exact"/>
              <w:rPr>
                <w:sz w:val="20"/>
                <w:szCs w:val="20"/>
                <w:color w:val="auto"/>
              </w:rPr>
            </w:pPr>
            <w:r>
              <w:rPr>
                <w:rFonts w:ascii="Arial" w:cs="Arial" w:eastAsia="Arial" w:hAnsi="Arial"/>
                <w:sz w:val="10"/>
                <w:szCs w:val="10"/>
                <w:b w:val="1"/>
                <w:bCs w:val="1"/>
                <w:color w:val="auto"/>
                <w:w w:val="96"/>
              </w:rPr>
              <w:t>tax</w:t>
            </w: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Net profit</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and goodwill</w:t>
            </w:r>
          </w:p>
        </w:tc>
        <w:tc>
          <w:tcPr>
            <w:tcW w:w="7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6"/>
              </w:rPr>
              <w:t>assets</w:t>
            </w:r>
          </w:p>
        </w:tc>
        <w:tc>
          <w:tcPr>
            <w:tcW w:w="6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liabilities</w:t>
            </w:r>
          </w:p>
        </w:tc>
        <w:tc>
          <w:tcPr>
            <w:tcW w:w="0" w:type="dxa"/>
            <w:vAlign w:val="bottom"/>
          </w:tcPr>
          <w:p>
            <w:pPr>
              <w:spacing w:after="0"/>
              <w:rPr>
                <w:sz w:val="1"/>
                <w:szCs w:val="1"/>
                <w:color w:val="auto"/>
              </w:rPr>
            </w:pPr>
          </w:p>
        </w:tc>
      </w:tr>
      <w:tr>
        <w:trPr>
          <w:trHeight w:val="88"/>
        </w:trPr>
        <w:tc>
          <w:tcPr>
            <w:tcW w:w="25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Universal Banking</w:t>
            </w: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Banco de Crédito del Perú</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11,750</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345</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6,244</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3,632</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(1,558)</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(421)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(1,160)</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3,239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349</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139,832</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123,057</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Banco de Crédito de Bolivia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736</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329</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117</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(61)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(19)</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(43)</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79</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16</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10,481</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9,744</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Insurance and Pension funds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Pacífico Seguros y subsidiarias</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3,249</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23</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493</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348</w:t>
            </w:r>
          </w:p>
        </w:tc>
        <w:tc>
          <w:tcPr>
            <w:tcW w:w="76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(58)</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(6)</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381</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45</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13,785</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10,964</w:t>
            </w: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Prima AFP</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457</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w:t>
            </w:r>
          </w:p>
        </w:tc>
        <w:tc>
          <w:tcPr>
            <w:tcW w:w="22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457</w:t>
            </w:r>
          </w:p>
        </w:tc>
        <w:tc>
          <w:tcPr>
            <w:tcW w:w="76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(20)</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(85)</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197</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909</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211</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Microfinance</w:t>
            </w: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Mibanco</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2,408</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126</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1,901</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62</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(472)</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(87)</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(168)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401</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60</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13,576</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11,489</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Banco Compartir S.A.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1,046</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888</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Edyficar S.A.S.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50</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43</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(6)</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141</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80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Investment Banking and Wealth Management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968</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69</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885</w:t>
            </w:r>
          </w:p>
        </w:tc>
        <w:tc>
          <w:tcPr>
            <w:tcW w:w="76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(22)</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(16)</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228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236</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9,423</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7,950</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Other segments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63</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100</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443</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561</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(3)</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(143)</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(177)</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87</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2,998</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992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Eliminations</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(443)</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(669)</w:t>
            </w:r>
          </w:p>
        </w:tc>
        <w:tc>
          <w:tcPr>
            <w:tcW w:w="760" w:type="dxa"/>
            <w:vAlign w:val="bottom"/>
            <w:gridSpan w:val="2"/>
            <w:shd w:val="clear" w:color="auto" w:fill="CCEEFF"/>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(4,314)</w:t>
            </w:r>
          </w:p>
        </w:tc>
        <w:tc>
          <w:tcPr>
            <w:tcW w:w="6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(4,245)</w:t>
            </w:r>
          </w:p>
        </w:tc>
        <w:tc>
          <w:tcPr>
            <w:tcW w:w="0" w:type="dxa"/>
            <w:vAlign w:val="bottom"/>
          </w:tcPr>
          <w:p>
            <w:pPr>
              <w:spacing w:after="0"/>
              <w:rPr>
                <w:sz w:val="1"/>
                <w:szCs w:val="1"/>
                <w:color w:val="auto"/>
              </w:rPr>
            </w:pPr>
          </w:p>
        </w:tc>
      </w:tr>
      <w:tr>
        <w:trPr>
          <w:trHeight w:val="115"/>
        </w:trPr>
        <w:tc>
          <w:tcPr>
            <w:tcW w:w="2600" w:type="dxa"/>
            <w:vAlign w:val="bottom"/>
            <w:gridSpan w:val="2"/>
          </w:tcPr>
          <w:p>
            <w:pPr>
              <w:spacing w:after="0" w:line="107" w:lineRule="exact"/>
              <w:rPr>
                <w:sz w:val="20"/>
                <w:szCs w:val="20"/>
                <w:color w:val="auto"/>
              </w:rPr>
            </w:pPr>
            <w:r>
              <w:rPr>
                <w:rFonts w:ascii="Arial" w:cs="Arial" w:eastAsia="Arial" w:hAnsi="Arial"/>
                <w:sz w:val="10"/>
                <w:szCs w:val="10"/>
                <w:b w:val="1"/>
                <w:bCs w:val="1"/>
                <w:color w:val="auto"/>
              </w:rPr>
              <w:t>Total consolidated</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19,699</w:t>
            </w:r>
          </w:p>
        </w:tc>
        <w:tc>
          <w:tcPr>
            <w:tcW w:w="2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607</w:t>
            </w:r>
          </w:p>
        </w:tc>
        <w:tc>
          <w:tcPr>
            <w:tcW w:w="2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9,091</w:t>
            </w:r>
          </w:p>
        </w:tc>
        <w:tc>
          <w:tcPr>
            <w:tcW w:w="2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5,397</w:t>
            </w:r>
          </w:p>
        </w:tc>
        <w:tc>
          <w:tcPr>
            <w:tcW w:w="2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(2,100</w:t>
            </w: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6728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(632</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(1,623</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4,352</w:t>
            </w:r>
          </w:p>
        </w:tc>
        <w:tc>
          <w:tcPr>
            <w:tcW w:w="2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803</w:t>
            </w:r>
          </w:p>
        </w:tc>
        <w:tc>
          <w:tcPr>
            <w:tcW w:w="2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187,877</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161,130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Income (*)</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6"/>
              </w:rPr>
              <w:t>Net interest,</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vMerge w:val="restart"/>
          </w:tcPr>
          <w:p>
            <w:pPr>
              <w:jc w:val="center"/>
              <w:ind w:right="214"/>
              <w:spacing w:after="0"/>
              <w:rPr>
                <w:sz w:val="20"/>
                <w:szCs w:val="20"/>
                <w:color w:val="auto"/>
              </w:rPr>
            </w:pPr>
            <w:r>
              <w:rPr>
                <w:rFonts w:ascii="Arial" w:cs="Arial" w:eastAsia="Arial" w:hAnsi="Arial"/>
                <w:sz w:val="10"/>
                <w:szCs w:val="10"/>
                <w:b w:val="1"/>
                <w:bCs w:val="1"/>
                <w:color w:val="auto"/>
                <w:w w:val="87"/>
              </w:rPr>
              <w:t>Provision for</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5"/>
              </w:rPr>
              <w:t>Additions of</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similar</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Other</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1"/>
              </w:rPr>
              <w:t>credit losses</w:t>
            </w:r>
          </w:p>
        </w:tc>
        <w:tc>
          <w:tcPr>
            <w:tcW w:w="760" w:type="dxa"/>
            <w:vAlign w:val="bottom"/>
            <w:gridSpan w:val="2"/>
          </w:tcPr>
          <w:p>
            <w:pPr>
              <w:jc w:val="right"/>
              <w:ind w:right="178"/>
              <w:spacing w:after="0" w:line="99" w:lineRule="exact"/>
              <w:rPr>
                <w:sz w:val="20"/>
                <w:szCs w:val="20"/>
                <w:color w:val="auto"/>
              </w:rPr>
            </w:pPr>
            <w:r>
              <w:rPr>
                <w:rFonts w:ascii="Arial" w:cs="Arial" w:eastAsia="Arial" w:hAnsi="Arial"/>
                <w:sz w:val="10"/>
                <w:szCs w:val="10"/>
                <w:b w:val="1"/>
                <w:bCs w:val="1"/>
                <w:color w:val="auto"/>
                <w:w w:val="85"/>
              </w:rPr>
              <w:t>Depreciation</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fixed asset,</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90"/>
              </w:rPr>
              <w:t>From other</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income and</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income,</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4"/>
              </w:rPr>
              <w:t>on loan</w:t>
            </w:r>
          </w:p>
        </w:tc>
        <w:tc>
          <w:tcPr>
            <w:tcW w:w="760" w:type="dxa"/>
            <w:vAlign w:val="bottom"/>
            <w:gridSpan w:val="2"/>
          </w:tcPr>
          <w:p>
            <w:pPr>
              <w:jc w:val="right"/>
              <w:ind w:right="358"/>
              <w:spacing w:after="0" w:line="99" w:lineRule="exact"/>
              <w:rPr>
                <w:sz w:val="20"/>
                <w:szCs w:val="20"/>
                <w:color w:val="auto"/>
              </w:rPr>
            </w:pPr>
            <w:r>
              <w:rPr>
                <w:rFonts w:ascii="Arial" w:cs="Arial" w:eastAsia="Arial" w:hAnsi="Arial"/>
                <w:sz w:val="10"/>
                <w:szCs w:val="10"/>
                <w:b w:val="1"/>
                <w:bCs w:val="1"/>
                <w:color w:val="auto"/>
              </w:rPr>
              <w:t>and</w:t>
            </w:r>
          </w:p>
        </w:tc>
        <w:tc>
          <w:tcPr>
            <w:tcW w:w="760" w:type="dxa"/>
            <w:vAlign w:val="bottom"/>
            <w:gridSpan w:val="2"/>
          </w:tcPr>
          <w:p>
            <w:pPr>
              <w:jc w:val="center"/>
              <w:ind w:right="178"/>
              <w:spacing w:after="0" w:line="99" w:lineRule="exact"/>
              <w:rPr>
                <w:sz w:val="20"/>
                <w:szCs w:val="20"/>
                <w:color w:val="auto"/>
              </w:rPr>
            </w:pPr>
            <w:r>
              <w:rPr>
                <w:rFonts w:ascii="Arial" w:cs="Arial" w:eastAsia="Arial" w:hAnsi="Arial"/>
                <w:sz w:val="10"/>
                <w:szCs w:val="10"/>
                <w:b w:val="1"/>
                <w:bCs w:val="1"/>
                <w:color w:val="auto"/>
                <w:w w:val="85"/>
              </w:rPr>
              <w:t>Income</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intangibles</w:t>
            </w: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1"/>
              </w:rPr>
              <w:t>Total</w:t>
            </w: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4"/>
        </w:trPr>
        <w:tc>
          <w:tcPr>
            <w:tcW w:w="2500" w:type="dxa"/>
            <w:vAlign w:val="bottom"/>
          </w:tcPr>
          <w:p>
            <w:pPr>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7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External</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84"/>
              </w:rPr>
              <w:t>segments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74"/>
              </w:rPr>
              <w:t>expenses</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9"/>
              </w:rPr>
              <w:t>net (***)</w:t>
            </w:r>
          </w:p>
        </w:tc>
        <w:tc>
          <w:tcPr>
            <w:tcW w:w="760" w:type="dxa"/>
            <w:vAlign w:val="bottom"/>
            <w:gridSpan w:val="2"/>
          </w:tcPr>
          <w:p>
            <w:pPr>
              <w:jc w:val="center"/>
              <w:ind w:right="214"/>
              <w:spacing w:after="0" w:line="114" w:lineRule="exact"/>
              <w:rPr>
                <w:sz w:val="20"/>
                <w:szCs w:val="20"/>
                <w:color w:val="auto"/>
              </w:rPr>
            </w:pPr>
            <w:r>
              <w:rPr>
                <w:rFonts w:ascii="Arial" w:cs="Arial" w:eastAsia="Arial" w:hAnsi="Arial"/>
                <w:sz w:val="10"/>
                <w:szCs w:val="10"/>
                <w:b w:val="1"/>
                <w:bCs w:val="1"/>
                <w:color w:val="auto"/>
                <w:w w:val="83"/>
              </w:rPr>
              <w:t>portfolio</w:t>
            </w:r>
          </w:p>
        </w:tc>
        <w:tc>
          <w:tcPr>
            <w:tcW w:w="760" w:type="dxa"/>
            <w:vAlign w:val="bottom"/>
            <w:gridSpan w:val="2"/>
          </w:tcPr>
          <w:p>
            <w:pPr>
              <w:jc w:val="right"/>
              <w:ind w:right="178"/>
              <w:spacing w:after="0" w:line="114" w:lineRule="exact"/>
              <w:rPr>
                <w:sz w:val="20"/>
                <w:szCs w:val="20"/>
                <w:color w:val="auto"/>
              </w:rPr>
            </w:pPr>
            <w:r>
              <w:rPr>
                <w:rFonts w:ascii="Arial" w:cs="Arial" w:eastAsia="Arial" w:hAnsi="Arial"/>
                <w:sz w:val="10"/>
                <w:szCs w:val="10"/>
                <w:b w:val="1"/>
                <w:bCs w:val="1"/>
                <w:color w:val="auto"/>
                <w:w w:val="87"/>
              </w:rPr>
              <w:t>amortization</w:t>
            </w:r>
          </w:p>
        </w:tc>
        <w:tc>
          <w:tcPr>
            <w:tcW w:w="760" w:type="dxa"/>
            <w:vAlign w:val="bottom"/>
            <w:gridSpan w:val="2"/>
          </w:tcPr>
          <w:p>
            <w:pPr>
              <w:jc w:val="center"/>
              <w:ind w:right="178"/>
              <w:spacing w:after="0" w:line="114" w:lineRule="exact"/>
              <w:rPr>
                <w:sz w:val="20"/>
                <w:szCs w:val="20"/>
                <w:color w:val="auto"/>
              </w:rPr>
            </w:pPr>
            <w:r>
              <w:rPr>
                <w:rFonts w:ascii="Arial" w:cs="Arial" w:eastAsia="Arial" w:hAnsi="Arial"/>
                <w:sz w:val="10"/>
                <w:szCs w:val="10"/>
                <w:b w:val="1"/>
                <w:bCs w:val="1"/>
                <w:color w:val="auto"/>
                <w:w w:val="96"/>
              </w:rPr>
              <w:t>tax</w:t>
            </w: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Net profit</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and goodwill</w:t>
            </w:r>
          </w:p>
        </w:tc>
        <w:tc>
          <w:tcPr>
            <w:tcW w:w="7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6"/>
              </w:rPr>
              <w:t>assets</w:t>
            </w:r>
          </w:p>
        </w:tc>
        <w:tc>
          <w:tcPr>
            <w:tcW w:w="6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liabilities</w:t>
            </w:r>
          </w:p>
        </w:tc>
        <w:tc>
          <w:tcPr>
            <w:tcW w:w="0" w:type="dxa"/>
            <w:vAlign w:val="bottom"/>
          </w:tcPr>
          <w:p>
            <w:pPr>
              <w:spacing w:after="0"/>
              <w:rPr>
                <w:sz w:val="1"/>
                <w:szCs w:val="1"/>
                <w:color w:val="auto"/>
              </w:rPr>
            </w:pPr>
          </w:p>
        </w:tc>
      </w:tr>
      <w:tr>
        <w:trPr>
          <w:trHeight w:val="88"/>
        </w:trPr>
        <w:tc>
          <w:tcPr>
            <w:tcW w:w="25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Universal Banking</w:t>
            </w: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Banco de Crédito del Perú</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10,757</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381</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5,616</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3,275</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(1,265)</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(277)</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(1,137)</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2,927</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397</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132,880</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117,803</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Banco de Crédito de Bolivia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686</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309</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124</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(55)</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(12)</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(45)</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45</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9,957</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9,266</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Insurance and Pension funds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Pacífico Seguros y subsidiarias</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2,730</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21</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446</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669</w:t>
            </w:r>
          </w:p>
        </w:tc>
        <w:tc>
          <w:tcPr>
            <w:tcW w:w="76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(51)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353</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85</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12,224</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9,591</w:t>
            </w: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Prima AFP</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371</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371</w:t>
            </w:r>
          </w:p>
        </w:tc>
        <w:tc>
          <w:tcPr>
            <w:tcW w:w="76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(18)</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(58)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140</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875</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241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Microfinance</w:t>
            </w: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Mibanco</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2,468</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88</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1,956</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156</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(491)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(49)</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(193)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462</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50</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13,220</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11,322</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Edyficar S.A.S.</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44</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40</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(4)</w:t>
            </w:r>
          </w:p>
        </w:tc>
        <w:tc>
          <w:tcPr>
            <w:tcW w:w="76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119</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Investment Banking and Wealth Management</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886</w:t>
            </w:r>
          </w:p>
        </w:tc>
        <w:tc>
          <w:tcPr>
            <w:tcW w:w="220" w:type="dxa"/>
            <w:vAlign w:val="bottom"/>
          </w:tcPr>
          <w:p>
            <w:pPr>
              <w:spacing w:after="0"/>
              <w:rPr>
                <w:sz w:val="8"/>
                <w:szCs w:val="8"/>
                <w:color w:val="auto"/>
              </w:rPr>
            </w:pP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(14)</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98</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634</w:t>
            </w:r>
          </w:p>
        </w:tc>
        <w:tc>
          <w:tcPr>
            <w:tcW w:w="76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146</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9,665</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8,190</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Other segments</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83</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97</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106</w:t>
            </w:r>
          </w:p>
        </w:tc>
        <w:tc>
          <w:tcPr>
            <w:tcW w:w="76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(51)</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2,862</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950</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00" w:type="dxa"/>
            <w:vAlign w:val="bottom"/>
            <w:gridSpan w:val="2"/>
          </w:tcPr>
          <w:p>
            <w:pPr>
              <w:spacing w:after="0" w:line="108" w:lineRule="exact"/>
              <w:rPr>
                <w:sz w:val="20"/>
                <w:szCs w:val="20"/>
                <w:color w:val="auto"/>
              </w:rPr>
            </w:pPr>
            <w:r>
              <w:rPr>
                <w:rFonts w:ascii="Arial" w:cs="Arial" w:eastAsia="Arial" w:hAnsi="Arial"/>
                <w:sz w:val="10"/>
                <w:szCs w:val="10"/>
                <w:color w:val="auto"/>
              </w:rPr>
              <w:t>Eliminations</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(454)</w:t>
            </w:r>
          </w:p>
        </w:tc>
        <w:tc>
          <w:tcPr>
            <w:tcW w:w="76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(4,539)</w:t>
            </w:r>
          </w:p>
        </w:tc>
        <w:tc>
          <w:tcPr>
            <w:tcW w:w="6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(4,428)</w:t>
            </w:r>
          </w:p>
        </w:tc>
        <w:tc>
          <w:tcPr>
            <w:tcW w:w="0" w:type="dxa"/>
            <w:vAlign w:val="bottom"/>
          </w:tcPr>
          <w:p>
            <w:pPr>
              <w:spacing w:after="0"/>
              <w:rPr>
                <w:sz w:val="1"/>
                <w:szCs w:val="1"/>
                <w:color w:val="auto"/>
              </w:rPr>
            </w:pPr>
          </w:p>
        </w:tc>
      </w:tr>
      <w:tr>
        <w:trPr>
          <w:trHeight w:val="115"/>
        </w:trPr>
        <w:tc>
          <w:tcPr>
            <w:tcW w:w="2600" w:type="dxa"/>
            <w:vAlign w:val="bottom"/>
            <w:tcBorders>
              <w:top w:val="single" w:sz="8" w:color="CCEEFF"/>
              <w:bottom w:val="single" w:sz="8" w:color="CCEEFF"/>
            </w:tcBorders>
            <w:gridSpan w:val="2"/>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 consolidated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18,025</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579</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8,489</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4,882</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(1,815</w:t>
            </w:r>
          </w:p>
        </w:tc>
        <w:tc>
          <w:tcPr>
            <w:tcW w:w="200" w:type="dxa"/>
            <w:vAlign w:val="bottom"/>
            <w:tcBorders>
              <w:top w:val="single" w:sz="8" w:color="CCEEFF"/>
              <w:bottom w:val="single" w:sz="8" w:color="CCEEFF"/>
            </w:tcBorders>
            <w:shd w:val="clear" w:color="auto" w:fill="CCEEFF"/>
          </w:tcPr>
          <w:p>
            <w:pPr>
              <w:jc w:val="right"/>
              <w:ind w:right="174"/>
              <w:spacing w:after="0"/>
              <w:rPr>
                <w:sz w:val="20"/>
                <w:szCs w:val="20"/>
                <w:color w:val="auto"/>
              </w:rPr>
            </w:pPr>
            <w:r>
              <w:rPr>
                <w:rFonts w:ascii="Arial" w:cs="Arial" w:eastAsia="Arial" w:hAnsi="Arial"/>
                <w:sz w:val="1"/>
                <w:szCs w:val="1"/>
                <w:color w:val="auto"/>
                <w:w w:val="429496728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(1,521</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4,071</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601</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177,263</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152,997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20" w:hanging="296"/>
        <w:spacing w:after="0"/>
        <w:tabs>
          <w:tab w:leader="none" w:pos="5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Corresponds to total interest and similar income, other income (includes income and expenses on commissions) and net earned premiums from insurance activities.</w:t>
      </w:r>
    </w:p>
    <w:p>
      <w:pPr>
        <w:spacing w:after="0" w:line="15"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Corresponds to income derived from transactions with other segments, which were eliminated in the consolidated statement of income.</w:t>
      </w:r>
    </w:p>
    <w:p>
      <w:pPr>
        <w:spacing w:after="0" w:line="6" w:lineRule="exact"/>
        <w:rPr>
          <w:sz w:val="20"/>
          <w:szCs w:val="20"/>
          <w:color w:val="auto"/>
        </w:rPr>
      </w:pPr>
    </w:p>
    <w:p>
      <w:pPr>
        <w:ind w:left="520" w:right="100" w:hanging="296"/>
        <w:spacing w:after="0" w:line="261" w:lineRule="auto"/>
        <w:tabs>
          <w:tab w:leader="none" w:pos="5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Corresponds to income for commissions received and other income (include income and expenses for commissions) and the profits arising from the collection of premiums less claims for loss coverage from insurance activities.</w:t>
      </w:r>
    </w:p>
    <w:p>
      <w:pPr>
        <w:spacing w:after="0" w:line="267" w:lineRule="exact"/>
        <w:rPr>
          <w:rFonts w:ascii="Arial" w:cs="Arial" w:eastAsia="Arial" w:hAnsi="Arial"/>
          <w:sz w:val="12"/>
          <w:szCs w:val="12"/>
          <w:color w:val="auto"/>
        </w:rPr>
      </w:pPr>
    </w:p>
    <w:p>
      <w:pPr>
        <w:ind w:left="5440" w:hanging="62"/>
        <w:spacing w:after="0"/>
        <w:tabs>
          <w:tab w:leader="none" w:pos="5440" w:val="left"/>
        </w:tabs>
        <w:numPr>
          <w:ilvl w:val="1"/>
          <w:numId w:val="152"/>
        </w:numPr>
        <w:rPr>
          <w:rFonts w:ascii="Arial" w:cs="Arial" w:eastAsia="Arial" w:hAnsi="Arial"/>
          <w:sz w:val="12"/>
          <w:szCs w:val="12"/>
          <w:color w:val="auto"/>
        </w:rPr>
      </w:pPr>
      <w:r>
        <w:rPr>
          <w:rFonts w:ascii="Arial" w:cs="Arial" w:eastAsia="Arial" w:hAnsi="Arial"/>
          <w:sz w:val="12"/>
          <w:szCs w:val="12"/>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20"/>
          </w:cols>
          <w:pgMar w:left="420" w:top="653" w:right="459" w:bottom="1440" w:gutter="0" w:footer="0" w:header="0"/>
        </w:sectPr>
      </w:pPr>
    </w:p>
    <w:bookmarkStart w:id="136" w:name="page137"/>
    <w:bookmarkEnd w:id="136"/>
    <w:tbl>
      <w:tblPr>
        <w:tblLayout w:type="fixed"/>
        <w:tblInd w:w="212" w:type="dxa"/>
        <w:tblCellMar>
          <w:top w:w="0" w:type="dxa"/>
          <w:left w:w="0" w:type="dxa"/>
          <w:bottom w:w="0" w:type="dxa"/>
          <w:right w:w="0" w:type="dxa"/>
        </w:tblCellMar>
      </w:tblPr>
      <w:tr>
        <w:trPr>
          <w:trHeight w:val="123"/>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Income (*)</w:t>
            </w:r>
          </w:p>
        </w:tc>
        <w:tc>
          <w:tcPr>
            <w:tcW w:w="7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Net interest,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14"/>
              <w:spacing w:after="0"/>
              <w:rPr>
                <w:sz w:val="20"/>
                <w:szCs w:val="20"/>
                <w:color w:val="auto"/>
              </w:rPr>
            </w:pPr>
            <w:r>
              <w:rPr>
                <w:rFonts w:ascii="Arial" w:cs="Arial" w:eastAsia="Arial" w:hAnsi="Arial"/>
                <w:sz w:val="10"/>
                <w:szCs w:val="10"/>
                <w:b w:val="1"/>
                <w:bCs w:val="1"/>
                <w:color w:val="auto"/>
                <w:w w:val="87"/>
              </w:rPr>
              <w:t>Provision for</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5"/>
              </w:rPr>
              <w:t>Additions of</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similar</w:t>
            </w:r>
          </w:p>
        </w:tc>
        <w:tc>
          <w:tcPr>
            <w:tcW w:w="76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rPr>
              <w:t>Other</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1"/>
              </w:rPr>
              <w:t>credit losses</w:t>
            </w:r>
          </w:p>
        </w:tc>
        <w:tc>
          <w:tcPr>
            <w:tcW w:w="760" w:type="dxa"/>
            <w:vAlign w:val="bottom"/>
            <w:gridSpan w:val="2"/>
          </w:tcPr>
          <w:p>
            <w:pPr>
              <w:jc w:val="right"/>
              <w:ind w:right="178"/>
              <w:spacing w:after="0" w:line="99" w:lineRule="exact"/>
              <w:rPr>
                <w:sz w:val="20"/>
                <w:szCs w:val="20"/>
                <w:color w:val="auto"/>
              </w:rPr>
            </w:pPr>
            <w:r>
              <w:rPr>
                <w:rFonts w:ascii="Arial" w:cs="Arial" w:eastAsia="Arial" w:hAnsi="Arial"/>
                <w:sz w:val="10"/>
                <w:szCs w:val="10"/>
                <w:b w:val="1"/>
                <w:bCs w:val="1"/>
                <w:color w:val="auto"/>
                <w:w w:val="85"/>
              </w:rPr>
              <w:t>Depreciation</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0"/>
              </w:rPr>
              <w:t>fixed asset,</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94"/>
              </w:rPr>
              <w:t>From other</w:t>
            </w:r>
          </w:p>
        </w:tc>
        <w:tc>
          <w:tcPr>
            <w:tcW w:w="76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income and</w:t>
            </w:r>
          </w:p>
        </w:tc>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rPr>
              <w:t>income,</w:t>
            </w:r>
          </w:p>
        </w:tc>
        <w:tc>
          <w:tcPr>
            <w:tcW w:w="760" w:type="dxa"/>
            <w:vAlign w:val="bottom"/>
            <w:gridSpan w:val="2"/>
          </w:tcPr>
          <w:p>
            <w:pPr>
              <w:jc w:val="center"/>
              <w:ind w:right="214"/>
              <w:spacing w:after="0" w:line="99" w:lineRule="exact"/>
              <w:rPr>
                <w:sz w:val="20"/>
                <w:szCs w:val="20"/>
                <w:color w:val="auto"/>
              </w:rPr>
            </w:pPr>
            <w:r>
              <w:rPr>
                <w:rFonts w:ascii="Arial" w:cs="Arial" w:eastAsia="Arial" w:hAnsi="Arial"/>
                <w:sz w:val="10"/>
                <w:szCs w:val="10"/>
                <w:b w:val="1"/>
                <w:bCs w:val="1"/>
                <w:color w:val="auto"/>
                <w:w w:val="84"/>
              </w:rPr>
              <w:t>on loan</w:t>
            </w:r>
          </w:p>
        </w:tc>
        <w:tc>
          <w:tcPr>
            <w:tcW w:w="760" w:type="dxa"/>
            <w:vAlign w:val="bottom"/>
            <w:gridSpan w:val="2"/>
          </w:tcPr>
          <w:p>
            <w:pPr>
              <w:jc w:val="right"/>
              <w:ind w:right="358"/>
              <w:spacing w:after="0" w:line="99" w:lineRule="exact"/>
              <w:rPr>
                <w:sz w:val="20"/>
                <w:szCs w:val="20"/>
                <w:color w:val="auto"/>
              </w:rPr>
            </w:pPr>
            <w:r>
              <w:rPr>
                <w:rFonts w:ascii="Arial" w:cs="Arial" w:eastAsia="Arial" w:hAnsi="Arial"/>
                <w:sz w:val="10"/>
                <w:szCs w:val="10"/>
                <w:b w:val="1"/>
                <w:bCs w:val="1"/>
                <w:color w:val="auto"/>
              </w:rPr>
              <w:t>and</w:t>
            </w:r>
          </w:p>
        </w:tc>
        <w:tc>
          <w:tcPr>
            <w:tcW w:w="760" w:type="dxa"/>
            <w:vAlign w:val="bottom"/>
            <w:gridSpan w:val="2"/>
          </w:tcPr>
          <w:p>
            <w:pPr>
              <w:jc w:val="right"/>
              <w:ind w:right="298"/>
              <w:spacing w:after="0" w:line="99" w:lineRule="exact"/>
              <w:rPr>
                <w:sz w:val="20"/>
                <w:szCs w:val="20"/>
                <w:color w:val="auto"/>
              </w:rPr>
            </w:pPr>
            <w:r>
              <w:rPr>
                <w:rFonts w:ascii="Arial" w:cs="Arial" w:eastAsia="Arial" w:hAnsi="Arial"/>
                <w:sz w:val="10"/>
                <w:szCs w:val="10"/>
                <w:b w:val="1"/>
                <w:bCs w:val="1"/>
                <w:color w:val="auto"/>
              </w:rPr>
              <w:t>Income</w:t>
            </w:r>
          </w:p>
        </w:tc>
        <w:tc>
          <w:tcPr>
            <w:tcW w:w="760" w:type="dxa"/>
            <w:vAlign w:val="bottom"/>
            <w:gridSpan w:val="2"/>
          </w:tcPr>
          <w:p>
            <w:pPr>
              <w:jc w:val="right"/>
              <w:ind w:right="420"/>
              <w:spacing w:after="0" w:line="99" w:lineRule="exact"/>
              <w:rPr>
                <w:sz w:val="20"/>
                <w:szCs w:val="20"/>
                <w:color w:val="auto"/>
              </w:rPr>
            </w:pPr>
            <w:r>
              <w:rPr>
                <w:rFonts w:ascii="Arial" w:cs="Arial" w:eastAsia="Arial" w:hAnsi="Arial"/>
                <w:sz w:val="10"/>
                <w:szCs w:val="10"/>
                <w:b w:val="1"/>
                <w:bCs w:val="1"/>
                <w:color w:val="auto"/>
              </w:rPr>
              <w:t>Net</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intangibles</w:t>
            </w:r>
          </w:p>
        </w:tc>
        <w:tc>
          <w:tcPr>
            <w:tcW w:w="72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rPr>
              <w:t>Total</w:t>
            </w:r>
          </w:p>
        </w:tc>
        <w:tc>
          <w:tcPr>
            <w:tcW w:w="62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2500" w:type="dxa"/>
            <w:vAlign w:val="bottom"/>
          </w:tcPr>
          <w:p>
            <w:pPr>
              <w:spacing w:after="0" w:line="114" w:lineRule="exact"/>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9"/>
                <w:szCs w:val="9"/>
                <w:color w:val="auto"/>
              </w:rPr>
            </w:pPr>
          </w:p>
        </w:tc>
        <w:tc>
          <w:tcPr>
            <w:tcW w:w="7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External</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84"/>
              </w:rPr>
              <w:t>segments (**)</w:t>
            </w:r>
          </w:p>
        </w:tc>
        <w:tc>
          <w:tcPr>
            <w:tcW w:w="7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expenses</w:t>
            </w:r>
          </w:p>
        </w:tc>
        <w:tc>
          <w:tcPr>
            <w:tcW w:w="76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net (***)</w:t>
            </w:r>
          </w:p>
        </w:tc>
        <w:tc>
          <w:tcPr>
            <w:tcW w:w="760" w:type="dxa"/>
            <w:vAlign w:val="bottom"/>
            <w:gridSpan w:val="2"/>
          </w:tcPr>
          <w:p>
            <w:pPr>
              <w:jc w:val="center"/>
              <w:ind w:right="214"/>
              <w:spacing w:after="0" w:line="114" w:lineRule="exact"/>
              <w:rPr>
                <w:sz w:val="20"/>
                <w:szCs w:val="20"/>
                <w:color w:val="auto"/>
              </w:rPr>
            </w:pPr>
            <w:r>
              <w:rPr>
                <w:rFonts w:ascii="Arial" w:cs="Arial" w:eastAsia="Arial" w:hAnsi="Arial"/>
                <w:sz w:val="10"/>
                <w:szCs w:val="10"/>
                <w:b w:val="1"/>
                <w:bCs w:val="1"/>
                <w:color w:val="auto"/>
                <w:w w:val="83"/>
              </w:rPr>
              <w:t>portfolio</w:t>
            </w:r>
          </w:p>
        </w:tc>
        <w:tc>
          <w:tcPr>
            <w:tcW w:w="760" w:type="dxa"/>
            <w:vAlign w:val="bottom"/>
            <w:gridSpan w:val="2"/>
          </w:tcPr>
          <w:p>
            <w:pPr>
              <w:jc w:val="right"/>
              <w:ind w:right="178"/>
              <w:spacing w:after="0" w:line="114" w:lineRule="exact"/>
              <w:rPr>
                <w:sz w:val="20"/>
                <w:szCs w:val="20"/>
                <w:color w:val="auto"/>
              </w:rPr>
            </w:pPr>
            <w:r>
              <w:rPr>
                <w:rFonts w:ascii="Arial" w:cs="Arial" w:eastAsia="Arial" w:hAnsi="Arial"/>
                <w:sz w:val="10"/>
                <w:szCs w:val="10"/>
                <w:b w:val="1"/>
                <w:bCs w:val="1"/>
                <w:color w:val="auto"/>
                <w:w w:val="87"/>
              </w:rPr>
              <w:t>amortization</w:t>
            </w:r>
          </w:p>
        </w:tc>
        <w:tc>
          <w:tcPr>
            <w:tcW w:w="760" w:type="dxa"/>
            <w:vAlign w:val="bottom"/>
            <w:gridSpan w:val="2"/>
          </w:tcPr>
          <w:p>
            <w:pPr>
              <w:jc w:val="right"/>
              <w:ind w:right="378"/>
              <w:spacing w:after="0" w:line="114" w:lineRule="exact"/>
              <w:rPr>
                <w:sz w:val="20"/>
                <w:szCs w:val="20"/>
                <w:color w:val="auto"/>
              </w:rPr>
            </w:pPr>
            <w:r>
              <w:rPr>
                <w:rFonts w:ascii="Arial" w:cs="Arial" w:eastAsia="Arial" w:hAnsi="Arial"/>
                <w:sz w:val="10"/>
                <w:szCs w:val="10"/>
                <w:b w:val="1"/>
                <w:bCs w:val="1"/>
                <w:color w:val="auto"/>
              </w:rPr>
              <w:t>tax</w:t>
            </w:r>
          </w:p>
        </w:tc>
        <w:tc>
          <w:tcPr>
            <w:tcW w:w="76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rPr>
              <w:t>profit</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and goodwill</w:t>
            </w:r>
          </w:p>
        </w:tc>
        <w:tc>
          <w:tcPr>
            <w:tcW w:w="720" w:type="dxa"/>
            <w:vAlign w:val="bottom"/>
            <w:gridSpan w:val="2"/>
          </w:tcPr>
          <w:p>
            <w:pPr>
              <w:jc w:val="right"/>
              <w:ind w:right="340"/>
              <w:spacing w:after="0" w:line="114" w:lineRule="exact"/>
              <w:rPr>
                <w:sz w:val="20"/>
                <w:szCs w:val="20"/>
                <w:color w:val="auto"/>
              </w:rPr>
            </w:pPr>
            <w:r>
              <w:rPr>
                <w:rFonts w:ascii="Arial" w:cs="Arial" w:eastAsia="Arial" w:hAnsi="Arial"/>
                <w:sz w:val="10"/>
                <w:szCs w:val="10"/>
                <w:b w:val="1"/>
                <w:bCs w:val="1"/>
                <w:color w:val="auto"/>
              </w:rPr>
              <w:t>assets</w:t>
            </w:r>
          </w:p>
        </w:tc>
        <w:tc>
          <w:tcPr>
            <w:tcW w:w="62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98"/>
              </w:rPr>
              <w:t>liabilities</w:t>
            </w:r>
          </w:p>
        </w:tc>
        <w:tc>
          <w:tcPr>
            <w:tcW w:w="0" w:type="dxa"/>
            <w:vAlign w:val="bottom"/>
          </w:tcPr>
          <w:p>
            <w:pPr>
              <w:spacing w:after="0"/>
              <w:rPr>
                <w:sz w:val="1"/>
                <w:szCs w:val="1"/>
                <w:color w:val="auto"/>
              </w:rPr>
            </w:pPr>
          </w:p>
        </w:tc>
      </w:tr>
      <w:tr>
        <w:trPr>
          <w:trHeight w:val="88"/>
        </w:trPr>
        <w:tc>
          <w:tcPr>
            <w:tcW w:w="25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Universal Banking</w:t>
            </w: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Banco de Crédito del Perú</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10,095</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371</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5,300</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2,927</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(1,515)</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(261)</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(996)</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2,638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286</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128,259</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114,543</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Banco de Crédito de Bolivia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616</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315</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119</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(79)</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75</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9,118</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8,482</w:t>
            </w: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Insurance and Pension funds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Pacífico Seguros y subsidiarias</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2,662</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120</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423</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972</w:t>
            </w:r>
          </w:p>
        </w:tc>
        <w:tc>
          <w:tcPr>
            <w:tcW w:w="76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(49)</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(28)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326</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56</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11,409</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8,560</w:t>
            </w: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Prima AFP</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388</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387</w:t>
            </w:r>
          </w:p>
        </w:tc>
        <w:tc>
          <w:tcPr>
            <w:tcW w:w="76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(23)</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(66)</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140</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10</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883</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264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Microfinance</w:t>
            </w: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Mibanco</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2,337</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77</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1,829</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98</w:t>
            </w:r>
          </w:p>
        </w:tc>
        <w:tc>
          <w:tcPr>
            <w:tcW w:w="76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(457)</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(49)</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(146)</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399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44</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12,363</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10,666</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Edyficar S.A.S.</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30</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27</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(5)</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92</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gridSpan w:val="2"/>
          </w:tcPr>
          <w:p>
            <w:pPr>
              <w:spacing w:after="0" w:line="99" w:lineRule="exact"/>
              <w:rPr>
                <w:sz w:val="20"/>
                <w:szCs w:val="20"/>
                <w:color w:val="auto"/>
              </w:rPr>
            </w:pPr>
            <w:r>
              <w:rPr>
                <w:rFonts w:ascii="Arial" w:cs="Arial" w:eastAsia="Arial" w:hAnsi="Arial"/>
                <w:sz w:val="10"/>
                <w:szCs w:val="10"/>
                <w:color w:val="auto"/>
              </w:rPr>
              <w:t>Investment Banking and Wealth Management</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906</w:t>
            </w:r>
          </w:p>
        </w:tc>
        <w:tc>
          <w:tcPr>
            <w:tcW w:w="220" w:type="dxa"/>
            <w:vAlign w:val="bottom"/>
          </w:tcPr>
          <w:p>
            <w:pPr>
              <w:spacing w:after="0"/>
              <w:rPr>
                <w:sz w:val="8"/>
                <w:szCs w:val="8"/>
                <w:color w:val="auto"/>
              </w:rPr>
            </w:pP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(5)</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135</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658</w:t>
            </w:r>
          </w:p>
        </w:tc>
        <w:tc>
          <w:tcPr>
            <w:tcW w:w="76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(25)</w:t>
            </w:r>
          </w:p>
        </w:tc>
        <w:tc>
          <w:tcPr>
            <w:tcW w:w="76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(33)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252</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7</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10,389</w:t>
            </w:r>
          </w:p>
        </w:tc>
        <w:tc>
          <w:tcPr>
            <w:tcW w:w="6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8,730</w:t>
            </w:r>
          </w:p>
        </w:tc>
        <w:tc>
          <w:tcPr>
            <w:tcW w:w="0" w:type="dxa"/>
            <w:vAlign w:val="bottom"/>
          </w:tcPr>
          <w:p>
            <w:pPr>
              <w:spacing w:after="0"/>
              <w:rPr>
                <w:sz w:val="1"/>
                <w:szCs w:val="1"/>
                <w:color w:val="auto"/>
              </w:rPr>
            </w:pPr>
          </w:p>
        </w:tc>
      </w:tr>
      <w:tr>
        <w:trPr>
          <w:trHeight w:val="99"/>
        </w:trPr>
        <w:tc>
          <w:tcPr>
            <w:tcW w:w="26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Other segments</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565</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77</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42</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535</w:t>
            </w:r>
          </w:p>
        </w:tc>
        <w:tc>
          <w:tcPr>
            <w:tcW w:w="76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(1)</w:t>
            </w:r>
          </w:p>
        </w:tc>
        <w:tc>
          <w:tcPr>
            <w:tcW w:w="76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(84)</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353</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2,781</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1,668</w:t>
            </w:r>
          </w:p>
        </w:tc>
        <w:tc>
          <w:tcPr>
            <w:tcW w:w="0" w:type="dxa"/>
            <w:vAlign w:val="bottom"/>
          </w:tcPr>
          <w:p>
            <w:pPr>
              <w:spacing w:after="0"/>
              <w:rPr>
                <w:sz w:val="1"/>
                <w:szCs w:val="1"/>
                <w:color w:val="auto"/>
              </w:rPr>
            </w:pPr>
          </w:p>
        </w:tc>
      </w:tr>
      <w:tr>
        <w:trPr>
          <w:trHeight w:val="108"/>
        </w:trPr>
        <w:tc>
          <w:tcPr>
            <w:tcW w:w="2600" w:type="dxa"/>
            <w:vAlign w:val="bottom"/>
            <w:gridSpan w:val="2"/>
          </w:tcPr>
          <w:p>
            <w:pPr>
              <w:spacing w:after="0" w:line="108" w:lineRule="exact"/>
              <w:rPr>
                <w:sz w:val="20"/>
                <w:szCs w:val="20"/>
                <w:color w:val="auto"/>
              </w:rPr>
            </w:pPr>
            <w:r>
              <w:rPr>
                <w:rFonts w:ascii="Arial" w:cs="Arial" w:eastAsia="Arial" w:hAnsi="Arial"/>
                <w:sz w:val="10"/>
                <w:szCs w:val="10"/>
                <w:color w:val="auto"/>
              </w:rPr>
              <w:t>Eliminations</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(516)</w:t>
            </w:r>
          </w:p>
        </w:tc>
        <w:tc>
          <w:tcPr>
            <w:tcW w:w="76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(4,822)</w:t>
            </w:r>
          </w:p>
        </w:tc>
        <w:tc>
          <w:tcPr>
            <w:tcW w:w="6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(4,731)</w:t>
            </w:r>
          </w:p>
        </w:tc>
        <w:tc>
          <w:tcPr>
            <w:tcW w:w="0" w:type="dxa"/>
            <w:vAlign w:val="bottom"/>
          </w:tcPr>
          <w:p>
            <w:pPr>
              <w:spacing w:after="0"/>
              <w:rPr>
                <w:sz w:val="1"/>
                <w:szCs w:val="1"/>
                <w:color w:val="auto"/>
              </w:rPr>
            </w:pPr>
          </w:p>
        </w:tc>
      </w:tr>
      <w:tr>
        <w:trPr>
          <w:trHeight w:val="115"/>
        </w:trPr>
        <w:tc>
          <w:tcPr>
            <w:tcW w:w="2600" w:type="dxa"/>
            <w:vAlign w:val="bottom"/>
            <w:tcBorders>
              <w:top w:val="single" w:sz="8" w:color="CCEEFF"/>
              <w:bottom w:val="single" w:sz="8" w:color="CCEEFF"/>
            </w:tcBorders>
            <w:gridSpan w:val="2"/>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 consolidated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17,599</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645</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8,071</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5,181</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(2,057</w:t>
            </w:r>
          </w:p>
        </w:tc>
        <w:tc>
          <w:tcPr>
            <w:tcW w:w="200" w:type="dxa"/>
            <w:vAlign w:val="bottom"/>
            <w:tcBorders>
              <w:top w:val="single" w:sz="8" w:color="CCEEFF"/>
              <w:bottom w:val="single" w:sz="8" w:color="CCEEFF"/>
            </w:tcBorders>
            <w:shd w:val="clear" w:color="auto" w:fill="CCEEFF"/>
          </w:tcPr>
          <w:p>
            <w:pPr>
              <w:jc w:val="right"/>
              <w:ind w:right="174"/>
              <w:spacing w:after="0"/>
              <w:rPr>
                <w:sz w:val="20"/>
                <w:szCs w:val="20"/>
                <w:color w:val="auto"/>
              </w:rPr>
            </w:pPr>
            <w:r>
              <w:rPr>
                <w:rFonts w:ascii="Arial" w:cs="Arial" w:eastAsia="Arial" w:hAnsi="Arial"/>
                <w:sz w:val="1"/>
                <w:szCs w:val="1"/>
                <w:color w:val="auto"/>
                <w:w w:val="429496728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(1,393</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4,182</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170,472</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148,219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12" w:hanging="296"/>
        <w:spacing w:after="0"/>
        <w:tabs>
          <w:tab w:leader="none" w:pos="512" w:val="left"/>
        </w:tabs>
        <w:numPr>
          <w:ilvl w:val="0"/>
          <w:numId w:val="153"/>
        </w:numPr>
        <w:rPr>
          <w:rFonts w:ascii="Arial" w:cs="Arial" w:eastAsia="Arial" w:hAnsi="Arial"/>
          <w:sz w:val="12"/>
          <w:szCs w:val="12"/>
          <w:color w:val="auto"/>
        </w:rPr>
      </w:pPr>
      <w:r>
        <w:rPr>
          <w:rFonts w:ascii="Arial" w:cs="Arial" w:eastAsia="Arial" w:hAnsi="Arial"/>
          <w:sz w:val="12"/>
          <w:szCs w:val="12"/>
          <w:color w:val="auto"/>
        </w:rPr>
        <w:t>Corresponds to total interest and similar income, other income (includes income and expenses on commissions) and net earned premiums from insurance activities.</w:t>
      </w:r>
    </w:p>
    <w:p>
      <w:pPr>
        <w:spacing w:after="0" w:line="15" w:lineRule="exact"/>
        <w:rPr>
          <w:sz w:val="20"/>
          <w:szCs w:val="20"/>
          <w:color w:val="auto"/>
        </w:rPr>
      </w:pPr>
    </w:p>
    <w:p>
      <w:pPr>
        <w:ind w:left="212" w:right="4140" w:firstLine="4"/>
        <w:spacing w:after="0" w:line="306" w:lineRule="auto"/>
        <w:tabs>
          <w:tab w:leader="none" w:pos="509" w:val="left"/>
        </w:tabs>
        <w:numPr>
          <w:ilvl w:val="1"/>
          <w:numId w:val="154"/>
        </w:numPr>
        <w:rPr>
          <w:rFonts w:ascii="Arial" w:cs="Arial" w:eastAsia="Arial" w:hAnsi="Arial"/>
          <w:sz w:val="11"/>
          <w:szCs w:val="11"/>
          <w:color w:val="auto"/>
        </w:rPr>
      </w:pPr>
      <w:r>
        <w:rPr>
          <w:rFonts w:ascii="Arial" w:cs="Arial" w:eastAsia="Arial" w:hAnsi="Arial"/>
          <w:sz w:val="11"/>
          <w:szCs w:val="11"/>
          <w:color w:val="auto"/>
        </w:rPr>
        <w:t>Corresponds to income derived from transactions with other segments, which were eliminated in the consolidated statement of income. (***) Corresponds to other income (include income and expenses for commissions) and insurance underwriting result.</w:t>
      </w:r>
    </w:p>
    <w:p>
      <w:pPr>
        <w:spacing w:after="0" w:line="100" w:lineRule="exact"/>
        <w:rPr>
          <w:rFonts w:ascii="Arial" w:cs="Arial" w:eastAsia="Arial" w:hAnsi="Arial"/>
          <w:sz w:val="11"/>
          <w:szCs w:val="11"/>
          <w:color w:val="auto"/>
        </w:rPr>
      </w:pPr>
    </w:p>
    <w:p>
      <w:pPr>
        <w:ind w:left="212" w:hanging="212"/>
        <w:spacing w:after="0" w:line="276" w:lineRule="auto"/>
        <w:tabs>
          <w:tab w:leader="none" w:pos="212"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following table presents (in millions of soles) the distribution of the total revenue, operating revenue and non-current assets of the Group; all assigned based on the location of the clients and assets, respectively, at December 31, 2019, 2018 and 2017:</w:t>
      </w:r>
    </w:p>
    <w:p>
      <w:pPr>
        <w:spacing w:after="0" w:line="117" w:lineRule="exact"/>
        <w:rPr>
          <w:sz w:val="20"/>
          <w:szCs w:val="20"/>
          <w:color w:val="auto"/>
        </w:rPr>
      </w:pPr>
    </w:p>
    <w:tbl>
      <w:tblPr>
        <w:tblLayout w:type="fixed"/>
        <w:tblInd w:w="212"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2019</w:t>
            </w: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Total non</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Total non</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Total non</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76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rPr>
              <w:t>Total</w:t>
            </w:r>
          </w:p>
        </w:tc>
        <w:tc>
          <w:tcPr>
            <w:tcW w:w="76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97"/>
              </w:rPr>
              <w:t>Operating</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current</w:t>
            </w: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3"/>
              </w:rPr>
              <w:t>Total</w:t>
            </w:r>
          </w:p>
        </w:tc>
        <w:tc>
          <w:tcPr>
            <w:tcW w:w="76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rPr>
              <w:t>Total</w:t>
            </w:r>
          </w:p>
        </w:tc>
        <w:tc>
          <w:tcPr>
            <w:tcW w:w="76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97"/>
              </w:rPr>
              <w:t>Operating</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current</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1"/>
              </w:rPr>
              <w:t>Total</w:t>
            </w:r>
          </w:p>
        </w:tc>
        <w:tc>
          <w:tcPr>
            <w:tcW w:w="7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Total</w:t>
            </w:r>
          </w:p>
        </w:tc>
        <w:tc>
          <w:tcPr>
            <w:tcW w:w="7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97"/>
              </w:rPr>
              <w:t>Operating</w:t>
            </w:r>
          </w:p>
        </w:tc>
        <w:tc>
          <w:tcPr>
            <w:tcW w:w="7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2"/>
              </w:rPr>
              <w:t>current</w:t>
            </w:r>
          </w:p>
        </w:tc>
        <w:tc>
          <w:tcPr>
            <w:tcW w:w="6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4"/>
        </w:trPr>
        <w:tc>
          <w:tcPr>
            <w:tcW w:w="18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95"/>
              </w:rPr>
              <w:t>income (*)</w:t>
            </w:r>
          </w:p>
        </w:tc>
        <w:tc>
          <w:tcPr>
            <w:tcW w:w="7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w w:val="91"/>
              </w:rPr>
              <w:t>income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7"/>
              </w:rPr>
              <w:t>assets (***)</w:t>
            </w:r>
          </w:p>
        </w:tc>
        <w:tc>
          <w:tcPr>
            <w:tcW w:w="7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3"/>
              </w:rPr>
              <w:t>liabilities</w:t>
            </w:r>
          </w:p>
        </w:tc>
        <w:tc>
          <w:tcPr>
            <w:tcW w:w="7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w w:val="99"/>
              </w:rPr>
              <w:t>income (*)</w:t>
            </w:r>
          </w:p>
        </w:tc>
        <w:tc>
          <w:tcPr>
            <w:tcW w:w="7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95"/>
              </w:rPr>
              <w:t>income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7"/>
              </w:rPr>
              <w:t>assets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8"/>
              </w:rPr>
              <w:t>liabilities</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income (*)</w:t>
            </w:r>
          </w:p>
        </w:tc>
        <w:tc>
          <w:tcPr>
            <w:tcW w:w="7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91"/>
              </w:rPr>
              <w:t>income (**)</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assets (***)</w:t>
            </w:r>
          </w:p>
        </w:tc>
        <w:tc>
          <w:tcPr>
            <w:tcW w:w="6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8"/>
              </w:rPr>
              <w:t>liabilities</w:t>
            </w:r>
          </w:p>
        </w:tc>
        <w:tc>
          <w:tcPr>
            <w:tcW w:w="0" w:type="dxa"/>
            <w:vAlign w:val="bottom"/>
          </w:tcPr>
          <w:p>
            <w:pPr>
              <w:spacing w:after="0"/>
              <w:rPr>
                <w:sz w:val="1"/>
                <w:szCs w:val="1"/>
                <w:color w:val="auto"/>
              </w:rPr>
            </w:pPr>
          </w:p>
        </w:tc>
      </w:tr>
      <w:tr>
        <w:trPr>
          <w:trHeight w:val="88"/>
        </w:trPr>
        <w:tc>
          <w:tcPr>
            <w:tcW w:w="18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Peru</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18,015</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9,106</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3,943</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142,178</w:t>
            </w: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16,502</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8,476</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3,145</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135,422</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13,105</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7,997</w:t>
            </w: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2,976</w:t>
            </w:r>
          </w:p>
        </w:tc>
        <w:tc>
          <w:tcPr>
            <w:tcW w:w="2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130,953</w:t>
            </w: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line="99" w:lineRule="exact"/>
              <w:rPr>
                <w:sz w:val="20"/>
                <w:szCs w:val="20"/>
                <w:color w:val="auto"/>
              </w:rPr>
            </w:pPr>
            <w:r>
              <w:rPr>
                <w:rFonts w:ascii="Arial" w:cs="Arial" w:eastAsia="Arial" w:hAnsi="Arial"/>
                <w:sz w:val="10"/>
                <w:szCs w:val="10"/>
                <w:color w:val="auto"/>
              </w:rPr>
              <w:t>Bermuda</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10</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117</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266</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169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2,708</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37</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121</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933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Panama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line="99" w:lineRule="exact"/>
              <w:rPr>
                <w:sz w:val="20"/>
                <w:szCs w:val="20"/>
                <w:color w:val="auto"/>
              </w:rPr>
            </w:pPr>
            <w:r>
              <w:rPr>
                <w:rFonts w:ascii="Arial" w:cs="Arial" w:eastAsia="Arial" w:hAnsi="Arial"/>
                <w:sz w:val="10"/>
                <w:szCs w:val="10"/>
                <w:color w:val="auto"/>
              </w:rPr>
              <w:t>Cayman Islands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354</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88</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20</w:t>
            </w:r>
          </w:p>
        </w:tc>
        <w:tc>
          <w:tcPr>
            <w:tcW w:w="220" w:type="dxa"/>
            <w:vAlign w:val="bottom"/>
          </w:tcPr>
          <w:p>
            <w:pPr>
              <w:spacing w:after="0"/>
              <w:rPr>
                <w:sz w:val="8"/>
                <w:szCs w:val="8"/>
                <w:color w:val="auto"/>
              </w:rPr>
            </w:pP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5,008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285</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134</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5,465</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512</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183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w:t>
            </w: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5,250</w:t>
            </w:r>
          </w:p>
        </w:tc>
        <w:tc>
          <w:tcPr>
            <w:tcW w:w="0" w:type="dxa"/>
            <w:vAlign w:val="bottom"/>
          </w:tcPr>
          <w:p>
            <w:pPr>
              <w:spacing w:after="0"/>
              <w:rPr>
                <w:sz w:val="1"/>
                <w:szCs w:val="1"/>
                <w:color w:val="auto"/>
              </w:rPr>
            </w:pPr>
          </w:p>
        </w:tc>
      </w:tr>
      <w:tr>
        <w:trPr>
          <w:trHeight w:val="99"/>
        </w:trPr>
        <w:tc>
          <w:tcPr>
            <w:tcW w:w="18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Bolivia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809</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368</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93</w:t>
            </w:r>
          </w:p>
        </w:tc>
        <w:tc>
          <w:tcPr>
            <w:tcW w:w="2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9,815</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750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344</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9,317</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813</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338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102</w:t>
            </w: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8,490</w:t>
            </w:r>
          </w:p>
        </w:tc>
        <w:tc>
          <w:tcPr>
            <w:tcW w:w="0" w:type="dxa"/>
            <w:vAlign w:val="bottom"/>
          </w:tcPr>
          <w:p>
            <w:pPr>
              <w:spacing w:after="0"/>
              <w:rPr>
                <w:sz w:val="1"/>
                <w:szCs w:val="1"/>
                <w:color w:val="auto"/>
              </w:rPr>
            </w:pPr>
          </w:p>
        </w:tc>
      </w:tr>
      <w:tr>
        <w:trPr>
          <w:trHeight w:val="99"/>
        </w:trPr>
        <w:tc>
          <w:tcPr>
            <w:tcW w:w="1840" w:type="dxa"/>
            <w:vAlign w:val="bottom"/>
          </w:tcPr>
          <w:p>
            <w:pPr>
              <w:spacing w:after="0" w:line="99" w:lineRule="exact"/>
              <w:rPr>
                <w:sz w:val="20"/>
                <w:szCs w:val="20"/>
                <w:color w:val="auto"/>
              </w:rPr>
            </w:pPr>
            <w:r>
              <w:rPr>
                <w:rFonts w:ascii="Arial" w:cs="Arial" w:eastAsia="Arial" w:hAnsi="Arial"/>
                <w:sz w:val="10"/>
                <w:szCs w:val="10"/>
                <w:color w:val="auto"/>
              </w:rPr>
              <w:t>Colombia</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356</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21</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435</w:t>
            </w:r>
          </w:p>
        </w:tc>
        <w:tc>
          <w:tcPr>
            <w:tcW w:w="220" w:type="dxa"/>
            <w:vAlign w:val="bottom"/>
          </w:tcPr>
          <w:p>
            <w:pPr>
              <w:spacing w:after="0"/>
              <w:rPr>
                <w:sz w:val="8"/>
                <w:szCs w:val="8"/>
                <w:color w:val="auto"/>
              </w:rPr>
            </w:pP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2,769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314</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138</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1,823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286</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10</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145</w:t>
            </w: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99"/>
        </w:trPr>
        <w:tc>
          <w:tcPr>
            <w:tcW w:w="18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United States of America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w:t>
            </w:r>
          </w:p>
        </w:tc>
        <w:tc>
          <w:tcPr>
            <w:tcW w:w="2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Arial" w:cs="Arial" w:eastAsia="Arial" w:hAnsi="Arial"/>
                <w:sz w:val="10"/>
                <w:szCs w:val="10"/>
                <w:color w:val="auto"/>
              </w:rPr>
              <w:t>Chile</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142</w:t>
            </w:r>
          </w:p>
        </w:tc>
        <w:tc>
          <w:tcPr>
            <w:tcW w:w="22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209</w:t>
            </w:r>
          </w:p>
        </w:tc>
        <w:tc>
          <w:tcPr>
            <w:tcW w:w="22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1,088</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153</w:t>
            </w: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84</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799</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167</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139</w:t>
            </w: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1,018</w:t>
            </w: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 consolidado</w:t>
            </w: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vMerge w:val="continue"/>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19,699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9,590</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4,820</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161,130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18,025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8,960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3,536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152,997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17,599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8,560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3,488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148,219</w:t>
            </w: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12" w:hanging="296"/>
        <w:spacing w:after="0"/>
        <w:tabs>
          <w:tab w:leader="none" w:pos="512" w:val="left"/>
        </w:tabs>
        <w:numPr>
          <w:ilvl w:val="0"/>
          <w:numId w:val="155"/>
        </w:numPr>
        <w:rPr>
          <w:rFonts w:ascii="Arial" w:cs="Arial" w:eastAsia="Arial" w:hAnsi="Arial"/>
          <w:sz w:val="12"/>
          <w:szCs w:val="12"/>
          <w:color w:val="auto"/>
        </w:rPr>
      </w:pPr>
      <w:r>
        <w:rPr>
          <w:rFonts w:ascii="Arial" w:cs="Arial" w:eastAsia="Arial" w:hAnsi="Arial"/>
          <w:sz w:val="12"/>
          <w:szCs w:val="12"/>
          <w:color w:val="auto"/>
        </w:rPr>
        <w:t>Including total interest and similar income, other income and net premiums earned from insurance activities.</w:t>
      </w:r>
    </w:p>
    <w:p>
      <w:pPr>
        <w:spacing w:after="0" w:line="15" w:lineRule="exact"/>
        <w:rPr>
          <w:sz w:val="20"/>
          <w:szCs w:val="20"/>
          <w:color w:val="auto"/>
        </w:rPr>
      </w:pPr>
    </w:p>
    <w:p>
      <w:pPr>
        <w:ind w:left="212" w:right="4040" w:firstLine="4"/>
        <w:spacing w:after="0" w:line="361" w:lineRule="auto"/>
        <w:tabs>
          <w:tab w:leader="none" w:pos="509" w:val="left"/>
        </w:tabs>
        <w:numPr>
          <w:ilvl w:val="0"/>
          <w:numId w:val="156"/>
        </w:numPr>
        <w:rPr>
          <w:rFonts w:ascii="Arial" w:cs="Arial" w:eastAsia="Arial" w:hAnsi="Arial"/>
          <w:sz w:val="10"/>
          <w:szCs w:val="10"/>
          <w:color w:val="auto"/>
        </w:rPr>
      </w:pPr>
      <w:r>
        <w:rPr>
          <w:rFonts w:ascii="Arial" w:cs="Arial" w:eastAsia="Arial" w:hAnsi="Arial"/>
          <w:sz w:val="10"/>
          <w:szCs w:val="10"/>
          <w:color w:val="auto"/>
        </w:rPr>
        <w:t>Operating income includes the income from interest and similar expenses from banking activities and insurance underwriting result. (***) Non-current assets consist of property, furniture and equipment (fixed assets), intangible assets and goodwill and right-for-use assets, net.</w:t>
      </w:r>
    </w:p>
    <w:p>
      <w:pPr>
        <w:spacing w:after="0" w:line="239" w:lineRule="exact"/>
        <w:rPr>
          <w:rFonts w:ascii="Arial" w:cs="Arial" w:eastAsia="Arial" w:hAnsi="Arial"/>
          <w:sz w:val="10"/>
          <w:szCs w:val="10"/>
          <w:color w:val="auto"/>
        </w:rPr>
      </w:pPr>
    </w:p>
    <w:p>
      <w:pPr>
        <w:ind w:left="5432" w:hanging="62"/>
        <w:spacing w:after="0"/>
        <w:tabs>
          <w:tab w:leader="none" w:pos="5432" w:val="left"/>
        </w:tabs>
        <w:numPr>
          <w:ilvl w:val="1"/>
          <w:numId w:val="156"/>
        </w:numPr>
        <w:rPr>
          <w:rFonts w:ascii="Arial" w:cs="Arial" w:eastAsia="Arial" w:hAnsi="Arial"/>
          <w:sz w:val="12"/>
          <w:szCs w:val="12"/>
          <w:color w:val="auto"/>
        </w:rPr>
      </w:pPr>
      <w:r>
        <w:rPr>
          <w:rFonts w:ascii="Arial" w:cs="Arial" w:eastAsia="Arial" w:hAnsi="Arial"/>
          <w:sz w:val="12"/>
          <w:szCs w:val="12"/>
          <w:color w:val="auto"/>
        </w:rPr>
        <w:t>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52"/>
          </w:cols>
          <w:pgMar w:left="428" w:top="647" w:right="319" w:bottom="1440" w:gutter="0" w:footer="0" w:header="0"/>
        </w:sectPr>
      </w:pPr>
    </w:p>
    <w:bookmarkStart w:id="137" w:name="page138"/>
    <w:bookmarkEnd w:id="137"/>
    <w:p>
      <w:pPr>
        <w:ind w:left="428" w:hanging="428"/>
        <w:spacing w:after="0"/>
        <w:tabs>
          <w:tab w:leader="none" w:pos="428"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WITH RELATED PARTIES</w:t>
      </w:r>
    </w:p>
    <w:p>
      <w:pPr>
        <w:spacing w:after="0" w:line="154" w:lineRule="exact"/>
        <w:rPr>
          <w:rFonts w:ascii="Arial" w:cs="Arial" w:eastAsia="Arial" w:hAnsi="Arial"/>
          <w:sz w:val="12"/>
          <w:szCs w:val="12"/>
          <w:b w:val="1"/>
          <w:bCs w:val="1"/>
          <w:color w:val="auto"/>
        </w:rPr>
      </w:pPr>
    </w:p>
    <w:p>
      <w:pPr>
        <w:ind w:left="648" w:right="40" w:hanging="216"/>
        <w:spacing w:after="0" w:line="276" w:lineRule="auto"/>
        <w:tabs>
          <w:tab w:leader="none" w:pos="648" w:val="left"/>
        </w:tabs>
        <w:numPr>
          <w:ilvl w:val="1"/>
          <w:numId w:val="157"/>
        </w:numPr>
        <w:rPr>
          <w:rFonts w:ascii="Arial" w:cs="Arial" w:eastAsia="Arial" w:hAnsi="Arial"/>
          <w:sz w:val="12"/>
          <w:szCs w:val="12"/>
          <w:color w:val="auto"/>
        </w:rPr>
      </w:pPr>
      <w:r>
        <w:rPr>
          <w:rFonts w:ascii="Arial" w:cs="Arial" w:eastAsia="Arial" w:hAnsi="Arial"/>
          <w:sz w:val="12"/>
          <w:szCs w:val="12"/>
          <w:color w:val="auto"/>
        </w:rPr>
        <w:t>The Group’s consolidated financial statements at December 31, 2019 and 2018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14" w:lineRule="exact"/>
        <w:rPr>
          <w:rFonts w:ascii="Arial" w:cs="Arial" w:eastAsia="Arial" w:hAnsi="Arial"/>
          <w:sz w:val="12"/>
          <w:szCs w:val="12"/>
          <w:color w:val="auto"/>
        </w:rPr>
      </w:pPr>
    </w:p>
    <w:p>
      <w:pPr>
        <w:ind w:left="648" w:hanging="216"/>
        <w:spacing w:after="0"/>
        <w:tabs>
          <w:tab w:leader="none" w:pos="648" w:val="left"/>
        </w:tabs>
        <w:numPr>
          <w:ilvl w:val="1"/>
          <w:numId w:val="157"/>
        </w:numPr>
        <w:rPr>
          <w:rFonts w:ascii="Arial" w:cs="Arial" w:eastAsia="Arial" w:hAnsi="Arial"/>
          <w:sz w:val="12"/>
          <w:szCs w:val="12"/>
          <w:color w:val="auto"/>
        </w:rPr>
      </w:pPr>
      <w:r>
        <w:rPr>
          <w:rFonts w:ascii="Arial" w:cs="Arial" w:eastAsia="Arial" w:hAnsi="Arial"/>
          <w:sz w:val="12"/>
          <w:szCs w:val="12"/>
          <w:color w:val="auto"/>
        </w:rPr>
        <w:t>The following table presents the main transactions with related parties as of December 31, 2019 and 2018:</w:t>
      </w:r>
    </w:p>
    <w:p>
      <w:pPr>
        <w:spacing w:after="0" w:line="155" w:lineRule="exact"/>
        <w:rPr>
          <w:sz w:val="20"/>
          <w:szCs w:val="20"/>
          <w:color w:val="auto"/>
        </w:rPr>
      </w:pPr>
    </w:p>
    <w:tbl>
      <w:tblPr>
        <w:tblLayout w:type="fixed"/>
        <w:tblInd w:w="648" w:type="dxa"/>
        <w:tblCellMar>
          <w:top w:w="0" w:type="dxa"/>
          <w:left w:w="0" w:type="dxa"/>
          <w:bottom w:w="0" w:type="dxa"/>
          <w:right w:w="0" w:type="dxa"/>
        </w:tblCellMar>
      </w:tblPr>
      <w:tr>
        <w:trPr>
          <w:trHeight w:val="157"/>
        </w:trPr>
        <w:tc>
          <w:tcPr>
            <w:tcW w:w="7840" w:type="dxa"/>
            <w:vAlign w:val="bottom"/>
          </w:tcPr>
          <w:p>
            <w:pPr>
              <w:spacing w:after="0"/>
              <w:rPr>
                <w:sz w:val="13"/>
                <w:szCs w:val="13"/>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r>
      <w:tr>
        <w:trPr>
          <w:trHeight w:val="133"/>
        </w:trPr>
        <w:tc>
          <w:tcPr>
            <w:tcW w:w="784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financial position -</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840" w:type="dxa"/>
            <w:vAlign w:val="bottom"/>
          </w:tcPr>
          <w:p>
            <w:pPr>
              <w:spacing w:after="0"/>
              <w:rPr>
                <w:sz w:val="20"/>
                <w:szCs w:val="20"/>
                <w:color w:val="auto"/>
              </w:rPr>
            </w:pPr>
            <w:r>
              <w:rPr>
                <w:rFonts w:ascii="Arial" w:cs="Arial" w:eastAsia="Arial" w:hAnsi="Arial"/>
                <w:sz w:val="12"/>
                <w:szCs w:val="12"/>
                <w:color w:val="auto"/>
              </w:rPr>
              <w:t>Direct loans</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1,657,206</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2,594,712</w:t>
            </w: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935,286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775,397</w:t>
            </w:r>
          </w:p>
        </w:tc>
      </w:tr>
      <w:tr>
        <w:trPr>
          <w:trHeight w:val="144"/>
        </w:trPr>
        <w:tc>
          <w:tcPr>
            <w:tcW w:w="7840" w:type="dxa"/>
            <w:vAlign w:val="bottom"/>
          </w:tcPr>
          <w:p>
            <w:pPr>
              <w:spacing w:after="0"/>
              <w:rPr>
                <w:sz w:val="20"/>
                <w:szCs w:val="20"/>
                <w:color w:val="auto"/>
              </w:rPr>
            </w:pPr>
            <w:r>
              <w:rPr>
                <w:rFonts w:ascii="Arial" w:cs="Arial" w:eastAsia="Arial" w:hAnsi="Arial"/>
                <w:sz w:val="12"/>
                <w:szCs w:val="12"/>
                <w:color w:val="auto"/>
              </w:rPr>
              <w:t>Deposits</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(477,975)</w:t>
            </w:r>
          </w:p>
        </w:tc>
        <w:tc>
          <w:tcPr>
            <w:tcW w:w="1240" w:type="dxa"/>
            <w:vAlign w:val="bottom"/>
            <w:gridSpan w:val="2"/>
          </w:tcPr>
          <w:p>
            <w:pPr>
              <w:jc w:val="right"/>
              <w:ind w:right="60"/>
              <w:spacing w:after="0"/>
              <w:rPr>
                <w:sz w:val="20"/>
                <w:szCs w:val="20"/>
                <w:color w:val="auto"/>
              </w:rPr>
            </w:pPr>
            <w:r>
              <w:rPr>
                <w:rFonts w:ascii="Arial" w:cs="Arial" w:eastAsia="Arial" w:hAnsi="Arial"/>
                <w:sz w:val="12"/>
                <w:szCs w:val="12"/>
                <w:color w:val="auto"/>
              </w:rPr>
              <w:t>(425,938)</w:t>
            </w: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Derivatives at fair value</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890</w:t>
            </w:r>
          </w:p>
        </w:tc>
      </w:tr>
      <w:tr>
        <w:trPr>
          <w:trHeight w:val="144"/>
        </w:trPr>
        <w:tc>
          <w:tcPr>
            <w:tcW w:w="7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income</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840" w:type="dxa"/>
            <w:vAlign w:val="bottom"/>
          </w:tcPr>
          <w:p>
            <w:pPr>
              <w:spacing w:after="0"/>
              <w:rPr>
                <w:sz w:val="20"/>
                <w:szCs w:val="20"/>
                <w:color w:val="auto"/>
              </w:rPr>
            </w:pPr>
            <w:r>
              <w:rPr>
                <w:rFonts w:ascii="Arial" w:cs="Arial" w:eastAsia="Arial" w:hAnsi="Arial"/>
                <w:sz w:val="12"/>
                <w:szCs w:val="12"/>
                <w:color w:val="auto"/>
              </w:rPr>
              <w:t>Interest income related to loans</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2,361</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2,404</w:t>
            </w: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expenses related to deposits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(965)</w:t>
            </w:r>
          </w:p>
        </w:tc>
      </w:tr>
      <w:tr>
        <w:trPr>
          <w:trHeight w:val="144"/>
        </w:trPr>
        <w:tc>
          <w:tcPr>
            <w:tcW w:w="7840" w:type="dxa"/>
            <w:vAlign w:val="bottom"/>
          </w:tcPr>
          <w:p>
            <w:pPr>
              <w:spacing w:after="0"/>
              <w:rPr>
                <w:sz w:val="20"/>
                <w:szCs w:val="20"/>
                <w:color w:val="auto"/>
              </w:rPr>
            </w:pPr>
            <w:r>
              <w:rPr>
                <w:rFonts w:ascii="Arial" w:cs="Arial" w:eastAsia="Arial" w:hAnsi="Arial"/>
                <w:sz w:val="12"/>
                <w:szCs w:val="12"/>
                <w:color w:val="auto"/>
              </w:rPr>
              <w:t>Other income</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705</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688</w:t>
            </w:r>
          </w:p>
        </w:tc>
      </w:tr>
      <w:tr>
        <w:trPr>
          <w:trHeight w:val="144"/>
        </w:trPr>
        <w:tc>
          <w:tcPr>
            <w:tcW w:w="78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840" w:type="dxa"/>
            <w:vAlign w:val="bottom"/>
          </w:tcPr>
          <w:p>
            <w:pPr>
              <w:spacing w:after="0"/>
              <w:rPr>
                <w:sz w:val="20"/>
                <w:szCs w:val="20"/>
                <w:color w:val="auto"/>
              </w:rPr>
            </w:pPr>
            <w:r>
              <w:rPr>
                <w:rFonts w:ascii="Arial" w:cs="Arial" w:eastAsia="Arial" w:hAnsi="Arial"/>
                <w:sz w:val="12"/>
                <w:szCs w:val="12"/>
                <w:b w:val="1"/>
                <w:bCs w:val="1"/>
                <w:color w:val="auto"/>
              </w:rPr>
              <w:t>Off-balance sheet</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Indirect loans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373,865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325,427</w:t>
            </w:r>
          </w:p>
        </w:tc>
      </w:tr>
    </w:tbl>
    <w:p>
      <w:pPr>
        <w:spacing w:after="0" w:line="135" w:lineRule="exact"/>
        <w:rPr>
          <w:sz w:val="20"/>
          <w:szCs w:val="20"/>
          <w:color w:val="auto"/>
        </w:rPr>
      </w:pPr>
    </w:p>
    <w:p>
      <w:pPr>
        <w:ind w:left="648" w:hanging="216"/>
        <w:spacing w:after="0" w:line="298" w:lineRule="auto"/>
        <w:tabs>
          <w:tab w:leader="none" w:pos="648" w:val="left"/>
        </w:tabs>
        <w:numPr>
          <w:ilvl w:val="0"/>
          <w:numId w:val="158"/>
        </w:numPr>
        <w:rPr>
          <w:rFonts w:ascii="Arial" w:cs="Arial" w:eastAsia="Arial" w:hAnsi="Arial"/>
          <w:sz w:val="11"/>
          <w:szCs w:val="11"/>
          <w:color w:val="auto"/>
        </w:rPr>
      </w:pPr>
      <w:r>
        <w:rPr>
          <w:rFonts w:ascii="Arial" w:cs="Arial" w:eastAsia="Arial" w:hAnsi="Arial"/>
          <w:sz w:val="11"/>
          <w:szCs w:val="11"/>
          <w:color w:val="auto"/>
        </w:rPr>
        <w:t>All transactions with related parties are made in accordance with normal market conditions available to other customers. At December 31, 2019, direct loans to related companies are secured by collateral, had maturities between January 2020 and December 2029, at an annual average interest rate of 6.21 percent (at December 31, 2018 maturities where between January 2019 and December 2028, and the annual average interest rate was 6.46 percent). Also, at December 31, 2019 and 2018, the Group maintains an allowance for loan losses for related parties amounting to S/12.6 million and S/13.7 million, respectively.</w:t>
      </w:r>
    </w:p>
    <w:p>
      <w:pPr>
        <w:spacing w:after="0" w:line="105" w:lineRule="exact"/>
        <w:rPr>
          <w:rFonts w:ascii="Arial" w:cs="Arial" w:eastAsia="Arial" w:hAnsi="Arial"/>
          <w:sz w:val="11"/>
          <w:szCs w:val="11"/>
          <w:color w:val="auto"/>
        </w:rPr>
      </w:pPr>
    </w:p>
    <w:p>
      <w:pPr>
        <w:ind w:left="648" w:hanging="216"/>
        <w:spacing w:after="0" w:line="298" w:lineRule="auto"/>
        <w:tabs>
          <w:tab w:leader="none" w:pos="648" w:val="left"/>
        </w:tabs>
        <w:numPr>
          <w:ilvl w:val="0"/>
          <w:numId w:val="158"/>
        </w:numPr>
        <w:rPr>
          <w:rFonts w:ascii="Arial" w:cs="Arial" w:eastAsia="Arial" w:hAnsi="Arial"/>
          <w:sz w:val="11"/>
          <w:szCs w:val="11"/>
          <w:color w:val="auto"/>
        </w:rPr>
      </w:pPr>
      <w:r>
        <w:rPr>
          <w:rFonts w:ascii="Arial" w:cs="Arial" w:eastAsia="Arial" w:hAnsi="Arial"/>
          <w:sz w:val="11"/>
          <w:szCs w:val="11"/>
          <w:color w:val="auto"/>
        </w:rPr>
        <w:t>At December 31, 2019 and 2018,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2019 and 2018, direct loans to employees, directors, key management and family members amounted to S/1,003.2 million and S/1,031.7 million, respectively; they are repaid monthly and earn interest at market rates.</w:t>
      </w:r>
    </w:p>
    <w:p>
      <w:pPr>
        <w:spacing w:after="0" w:line="249" w:lineRule="exact"/>
        <w:rPr>
          <w:rFonts w:ascii="Arial" w:cs="Arial" w:eastAsia="Arial" w:hAnsi="Arial"/>
          <w:sz w:val="11"/>
          <w:szCs w:val="11"/>
          <w:color w:val="auto"/>
        </w:rPr>
      </w:pPr>
    </w:p>
    <w:p>
      <w:pPr>
        <w:ind w:left="5648" w:hanging="62"/>
        <w:spacing w:after="0"/>
        <w:tabs>
          <w:tab w:leader="none" w:pos="5648" w:val="left"/>
        </w:tabs>
        <w:numPr>
          <w:ilvl w:val="1"/>
          <w:numId w:val="158"/>
        </w:numPr>
        <w:rPr>
          <w:rFonts w:ascii="Arial" w:cs="Arial" w:eastAsia="Arial" w:hAnsi="Arial"/>
          <w:sz w:val="12"/>
          <w:szCs w:val="12"/>
          <w:color w:val="auto"/>
        </w:rPr>
      </w:pPr>
      <w:r>
        <w:rPr>
          <w:rFonts w:ascii="Arial" w:cs="Arial" w:eastAsia="Arial" w:hAnsi="Arial"/>
          <w:sz w:val="12"/>
          <w:szCs w:val="12"/>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8"/>
          </w:cols>
          <w:pgMar w:left="212" w:top="667" w:right="299" w:bottom="1440" w:gutter="0" w:footer="0" w:header="0"/>
        </w:sectPr>
      </w:pPr>
    </w:p>
    <w:bookmarkStart w:id="138" w:name="page139"/>
    <w:bookmarkEnd w:id="138"/>
    <w:p>
      <w:pPr>
        <w:ind w:left="640" w:hanging="216"/>
        <w:spacing w:after="0"/>
        <w:tabs>
          <w:tab w:leader="none" w:pos="64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Group’s key executives’ compensation (including the related income taxes assumed by the Group) as of December 31, 2019 and 2018 was as follows:</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57"/>
        </w:trPr>
        <w:tc>
          <w:tcPr>
            <w:tcW w:w="72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3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tcBorders>
              <w:top w:val="single" w:sz="8" w:color="auto"/>
            </w:tcBorders>
          </w:tcPr>
          <w:p>
            <w:pPr>
              <w:jc w:val="center"/>
              <w:ind w:left="300"/>
              <w:spacing w:after="0" w:line="133" w:lineRule="exact"/>
              <w:rPr>
                <w:sz w:val="20"/>
                <w:szCs w:val="20"/>
                <w:color w:val="auto"/>
              </w:rPr>
            </w:pPr>
            <w:r>
              <w:rPr>
                <w:rFonts w:ascii="Arial" w:cs="Arial" w:eastAsia="Arial" w:hAnsi="Arial"/>
                <w:sz w:val="12"/>
                <w:szCs w:val="12"/>
                <w:b w:val="1"/>
                <w:bCs w:val="1"/>
                <w:color w:val="auto"/>
                <w:w w:val="91"/>
              </w:rPr>
              <w:t>S/(000)</w:t>
            </w: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Director’s compensation</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6,766</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5,318</w:t>
            </w:r>
          </w:p>
        </w:tc>
        <w:tc>
          <w:tcPr>
            <w:tcW w:w="0" w:type="dxa"/>
            <w:vAlign w:val="bottom"/>
          </w:tcPr>
          <w:p>
            <w:pPr>
              <w:spacing w:after="0"/>
              <w:rPr>
                <w:sz w:val="1"/>
                <w:szCs w:val="1"/>
                <w:color w:val="auto"/>
              </w:rPr>
            </w:pPr>
          </w:p>
        </w:tc>
      </w:tr>
      <w:tr>
        <w:trPr>
          <w:trHeight w:val="144"/>
        </w:trPr>
        <w:tc>
          <w:tcPr>
            <w:tcW w:w="7280" w:type="dxa"/>
            <w:vAlign w:val="bottom"/>
            <w:gridSpan w:val="2"/>
          </w:tcPr>
          <w:p>
            <w:pPr>
              <w:spacing w:after="0"/>
              <w:rPr>
                <w:sz w:val="20"/>
                <w:szCs w:val="20"/>
                <w:color w:val="auto"/>
              </w:rPr>
            </w:pPr>
            <w:r>
              <w:rPr>
                <w:rFonts w:ascii="Arial" w:cs="Arial" w:eastAsia="Arial" w:hAnsi="Arial"/>
                <w:sz w:val="12"/>
                <w:szCs w:val="12"/>
                <w:color w:val="auto"/>
              </w:rPr>
              <w:t>Senior Management Compensation: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Remuneration</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32,218</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34,118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27,133</w:t>
            </w:r>
          </w:p>
        </w:tc>
        <w:tc>
          <w:tcPr>
            <w:tcW w:w="0" w:type="dxa"/>
            <w:vAlign w:val="bottom"/>
          </w:tcPr>
          <w:p>
            <w:pPr>
              <w:spacing w:after="0"/>
              <w:rPr>
                <w:sz w:val="1"/>
                <w:szCs w:val="1"/>
                <w:color w:val="auto"/>
              </w:rPr>
            </w:pPr>
          </w:p>
        </w:tc>
      </w:tr>
      <w:tr>
        <w:trPr>
          <w:trHeight w:val="153"/>
        </w:trPr>
        <w:tc>
          <w:tcPr>
            <w:tcW w:w="6480" w:type="dxa"/>
            <w:vAlign w:val="bottom"/>
          </w:tcPr>
          <w:p>
            <w:pPr>
              <w:ind w:left="100"/>
              <w:spacing w:after="0"/>
              <w:rPr>
                <w:sz w:val="20"/>
                <w:szCs w:val="20"/>
                <w:color w:val="auto"/>
              </w:rPr>
            </w:pPr>
            <w:r>
              <w:rPr>
                <w:rFonts w:ascii="Arial" w:cs="Arial" w:eastAsia="Arial" w:hAnsi="Arial"/>
                <w:sz w:val="12"/>
                <w:szCs w:val="12"/>
                <w:color w:val="auto"/>
              </w:rPr>
              <w:t>Stock awards vested</w:t>
            </w:r>
          </w:p>
        </w:tc>
        <w:tc>
          <w:tcPr>
            <w:tcW w:w="8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27,157</w:t>
            </w:r>
          </w:p>
        </w:tc>
        <w:tc>
          <w:tcPr>
            <w:tcW w:w="7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w w:val="92"/>
              </w:rPr>
              <w:t>27,313</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26,572</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66,141</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67,096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59,023</w:t>
            </w:r>
          </w:p>
        </w:tc>
        <w:tc>
          <w:tcPr>
            <w:tcW w:w="0" w:type="dxa"/>
            <w:vAlign w:val="bottom"/>
          </w:tcPr>
          <w:p>
            <w:pPr>
              <w:spacing w:after="0"/>
              <w:rPr>
                <w:sz w:val="1"/>
                <w:szCs w:val="1"/>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At December 31, 2019 and 2018 the Group holds interests in various funds managed by certain of the Group’s subsidiaries. The details of the funds are presented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86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780" w:type="dxa"/>
            <w:vAlign w:val="bottom"/>
            <w:tcBorders>
              <w:top w:val="single" w:sz="8" w:color="auto"/>
            </w:tcBorders>
          </w:tcPr>
          <w:p>
            <w:pPr>
              <w:jc w:val="center"/>
              <w:ind w:left="320"/>
              <w:spacing w:after="0" w:line="133" w:lineRule="exact"/>
              <w:rPr>
                <w:sz w:val="20"/>
                <w:szCs w:val="20"/>
                <w:color w:val="auto"/>
              </w:rPr>
            </w:pPr>
            <w:r>
              <w:rPr>
                <w:rFonts w:ascii="Arial" w:cs="Arial" w:eastAsia="Arial" w:hAnsi="Arial"/>
                <w:sz w:val="12"/>
                <w:szCs w:val="12"/>
                <w:b w:val="1"/>
                <w:bCs w:val="1"/>
                <w:color w:val="auto"/>
                <w:w w:val="91"/>
              </w:rPr>
              <w:t>S/(000)</w:t>
            </w: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At fair value through profit or loss:</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tcPr>
          <w:p>
            <w:pPr>
              <w:spacing w:after="0"/>
              <w:rPr>
                <w:sz w:val="20"/>
                <w:szCs w:val="20"/>
                <w:color w:val="auto"/>
              </w:rPr>
            </w:pPr>
            <w:r>
              <w:rPr>
                <w:rFonts w:ascii="Arial" w:cs="Arial" w:eastAsia="Arial" w:hAnsi="Arial"/>
                <w:sz w:val="12"/>
                <w:szCs w:val="12"/>
                <w:color w:val="auto"/>
              </w:rPr>
              <w:t>Mutual funds, investment funds and hedge funds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Bolivianos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2"/>
              </w:rPr>
              <w:t>126,722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104,596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tcPr>
          <w:p>
            <w:pPr>
              <w:ind w:left="100"/>
              <w:spacing w:after="0"/>
              <w:rPr>
                <w:sz w:val="20"/>
                <w:szCs w:val="20"/>
                <w:color w:val="auto"/>
              </w:rPr>
            </w:pPr>
            <w:r>
              <w:rPr>
                <w:rFonts w:ascii="Arial" w:cs="Arial" w:eastAsia="Arial" w:hAnsi="Arial"/>
                <w:sz w:val="12"/>
                <w:szCs w:val="12"/>
                <w:color w:val="auto"/>
              </w:rPr>
              <w:t>Soles</w:t>
            </w: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59,934</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18,394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U.S. Dollars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38,149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76,887</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620" w:type="dxa"/>
            <w:vAlign w:val="bottom"/>
            <w:gridSpan w:val="2"/>
          </w:tcPr>
          <w:p>
            <w:pPr>
              <w:ind w:left="100"/>
              <w:spacing w:after="0"/>
              <w:rPr>
                <w:sz w:val="20"/>
                <w:szCs w:val="20"/>
                <w:color w:val="auto"/>
              </w:rPr>
            </w:pPr>
            <w:r>
              <w:rPr>
                <w:rFonts w:ascii="Arial" w:cs="Arial" w:eastAsia="Arial" w:hAnsi="Arial"/>
                <w:sz w:val="12"/>
                <w:szCs w:val="12"/>
                <w:color w:val="auto"/>
              </w:rPr>
              <w:t>Colombian pesos</w:t>
            </w: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17,475</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5,201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Chilean pesos</w:t>
            </w:r>
          </w:p>
        </w:tc>
        <w:tc>
          <w:tcPr>
            <w:tcW w:w="7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6,938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84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 w:type="dxa"/>
            <w:vAlign w:val="bottom"/>
          </w:tcPr>
          <w:p>
            <w:pPr>
              <w:spacing w:after="0"/>
              <w:rPr>
                <w:sz w:val="13"/>
                <w:szCs w:val="13"/>
                <w:color w:val="auto"/>
              </w:rPr>
            </w:pPr>
          </w:p>
        </w:tc>
        <w:tc>
          <w:tcPr>
            <w:tcW w:w="78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82"/>
              </w:rPr>
              <w:t>249,045</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212,016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tcPr>
          <w:p>
            <w:pPr>
              <w:spacing w:after="0"/>
              <w:rPr>
                <w:sz w:val="16"/>
                <w:szCs w:val="16"/>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Restricted mutual funds, Note 6(a)(ii)</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2"/>
              </w:rPr>
              <w:t>460,086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407,350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640" w:type="dxa"/>
            <w:vAlign w:val="bottom"/>
            <w:tcBorders>
              <w:bottom w:val="single" w:sz="8" w:color="auto"/>
            </w:tcBorders>
          </w:tcPr>
          <w:p>
            <w:pPr>
              <w:spacing w:after="0"/>
              <w:rPr>
                <w:sz w:val="24"/>
                <w:szCs w:val="24"/>
                <w:color w:val="auto"/>
              </w:rPr>
            </w:pPr>
          </w:p>
        </w:tc>
        <w:tc>
          <w:tcPr>
            <w:tcW w:w="7840" w:type="dxa"/>
            <w:vAlign w:val="bottom"/>
            <w:tcBorders>
              <w:top w:val="single" w:sz="8" w:color="CCEEFF"/>
              <w:bottom w:val="single" w:sz="8" w:color="auto"/>
            </w:tcBorders>
          </w:tcPr>
          <w:p>
            <w:pPr>
              <w:ind w:left="4940"/>
              <w:spacing w:after="0"/>
              <w:rPr>
                <w:sz w:val="20"/>
                <w:szCs w:val="20"/>
                <w:color w:val="auto"/>
              </w:rPr>
            </w:pPr>
            <w:r>
              <w:rPr>
                <w:rFonts w:ascii="Arial" w:cs="Arial" w:eastAsia="Arial" w:hAnsi="Arial"/>
                <w:sz w:val="12"/>
                <w:szCs w:val="12"/>
                <w:color w:val="auto"/>
              </w:rPr>
              <w:t>- 134 -</w:t>
            </w:r>
          </w:p>
        </w:tc>
        <w:tc>
          <w:tcPr>
            <w:tcW w:w="7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39" w:name="page140"/>
    <w:bookmarkEnd w:id="139"/>
    <w:p>
      <w:pPr>
        <w:spacing w:after="0"/>
        <w:tabs>
          <w:tab w:leader="none" w:pos="40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b w:val="1"/>
          <w:bCs w:val="1"/>
          <w:color w:val="auto"/>
        </w:rPr>
        <w:t>FINANCIAL INSTRUMENTS CLASSIFICATION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table below shows the carrying amounts of the financial assets and liabilities captions in the consolidated statement of financial position, by categories as defined under IFRS 9 as of December 31,2019 and IAS 39 as 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December 31, 2018:</w:t>
      </w: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101"/>
        </w:trPr>
        <w:tc>
          <w:tcPr>
            <w:tcW w:w="2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8"/>
                <w:szCs w:val="8"/>
                <w:b w:val="1"/>
                <w:bCs w:val="1"/>
                <w:color w:val="auto"/>
              </w:rPr>
              <w:t>At December 31, 2019</w:t>
            </w: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4"/>
          </w:tcPr>
          <w:p>
            <w:pPr>
              <w:ind w:left="280"/>
              <w:spacing w:after="0"/>
              <w:rPr>
                <w:sz w:val="20"/>
                <w:szCs w:val="20"/>
                <w:color w:val="auto"/>
              </w:rPr>
            </w:pPr>
            <w:r>
              <w:rPr>
                <w:rFonts w:ascii="Arial" w:cs="Arial" w:eastAsia="Arial" w:hAnsi="Arial"/>
                <w:sz w:val="8"/>
                <w:szCs w:val="8"/>
                <w:b w:val="1"/>
                <w:bCs w:val="1"/>
                <w:color w:val="auto"/>
              </w:rPr>
              <w:t>At December 31, 2018</w:t>
            </w: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340" w:type="dxa"/>
            <w:vAlign w:val="bottom"/>
            <w:gridSpan w:val="4"/>
          </w:tcPr>
          <w:p>
            <w:pPr>
              <w:jc w:val="center"/>
              <w:ind w:right="220"/>
              <w:spacing w:after="0" w:line="69" w:lineRule="exact"/>
              <w:rPr>
                <w:sz w:val="20"/>
                <w:szCs w:val="20"/>
                <w:color w:val="auto"/>
              </w:rPr>
            </w:pPr>
            <w:r>
              <w:rPr>
                <w:rFonts w:ascii="Arial" w:cs="Arial" w:eastAsia="Arial" w:hAnsi="Arial"/>
                <w:sz w:val="7"/>
                <w:szCs w:val="7"/>
                <w:b w:val="1"/>
                <w:bCs w:val="1"/>
                <w:color w:val="auto"/>
              </w:rPr>
              <w:t>Financial assets and</w:t>
            </w:r>
          </w:p>
        </w:tc>
        <w:tc>
          <w:tcPr>
            <w:tcW w:w="1380" w:type="dxa"/>
            <w:vAlign w:val="bottom"/>
            <w:gridSpan w:val="4"/>
          </w:tcPr>
          <w:p>
            <w:pPr>
              <w:jc w:val="right"/>
              <w:ind w:right="300"/>
              <w:spacing w:after="0" w:line="69" w:lineRule="exact"/>
              <w:rPr>
                <w:sz w:val="20"/>
                <w:szCs w:val="20"/>
                <w:color w:val="auto"/>
              </w:rPr>
            </w:pPr>
            <w:r>
              <w:rPr>
                <w:rFonts w:ascii="Arial" w:cs="Arial" w:eastAsia="Arial" w:hAnsi="Arial"/>
                <w:sz w:val="7"/>
                <w:szCs w:val="7"/>
                <w:b w:val="1"/>
                <w:bCs w:val="1"/>
                <w:color w:val="auto"/>
              </w:rPr>
              <w:t>Financial assets at fair value</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4"/>
          </w:tcPr>
          <w:p>
            <w:pPr>
              <w:jc w:val="center"/>
              <w:ind w:right="180"/>
              <w:spacing w:after="0" w:line="69" w:lineRule="exact"/>
              <w:rPr>
                <w:sz w:val="20"/>
                <w:szCs w:val="20"/>
                <w:color w:val="auto"/>
              </w:rPr>
            </w:pPr>
            <w:r>
              <w:rPr>
                <w:rFonts w:ascii="Arial" w:cs="Arial" w:eastAsia="Arial" w:hAnsi="Arial"/>
                <w:sz w:val="7"/>
                <w:szCs w:val="7"/>
                <w:b w:val="1"/>
                <w:bCs w:val="1"/>
                <w:color w:val="auto"/>
              </w:rPr>
              <w:t>Financial assets and</w:t>
            </w:r>
          </w:p>
        </w:tc>
        <w:tc>
          <w:tcPr>
            <w:tcW w:w="1380" w:type="dxa"/>
            <w:vAlign w:val="bottom"/>
            <w:gridSpan w:val="4"/>
          </w:tcPr>
          <w:p>
            <w:pPr>
              <w:jc w:val="center"/>
              <w:ind w:right="200"/>
              <w:spacing w:after="0" w:line="69" w:lineRule="exact"/>
              <w:rPr>
                <w:sz w:val="20"/>
                <w:szCs w:val="20"/>
                <w:color w:val="auto"/>
              </w:rPr>
            </w:pPr>
            <w:r>
              <w:rPr>
                <w:rFonts w:ascii="Arial" w:cs="Arial" w:eastAsia="Arial" w:hAnsi="Arial"/>
                <w:sz w:val="7"/>
                <w:szCs w:val="7"/>
                <w:b w:val="1"/>
                <w:bCs w:val="1"/>
                <w:color w:val="auto"/>
              </w:rPr>
              <w:t>Financial assets at fair value</w:t>
            </w: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1340" w:type="dxa"/>
            <w:vAlign w:val="bottom"/>
            <w:gridSpan w:val="4"/>
          </w:tcPr>
          <w:p>
            <w:pPr>
              <w:jc w:val="center"/>
              <w:ind w:right="200"/>
              <w:spacing w:after="0" w:line="90" w:lineRule="exact"/>
              <w:rPr>
                <w:sz w:val="20"/>
                <w:szCs w:val="20"/>
                <w:color w:val="auto"/>
              </w:rPr>
            </w:pPr>
            <w:r>
              <w:rPr>
                <w:rFonts w:ascii="Arial" w:cs="Arial" w:eastAsia="Arial" w:hAnsi="Arial"/>
                <w:sz w:val="8"/>
                <w:szCs w:val="8"/>
                <w:b w:val="1"/>
                <w:bCs w:val="1"/>
                <w:color w:val="auto"/>
                <w:w w:val="99"/>
              </w:rPr>
              <w:t>liabilities at fair</w:t>
            </w:r>
          </w:p>
        </w:tc>
        <w:tc>
          <w:tcPr>
            <w:tcW w:w="1380" w:type="dxa"/>
            <w:vAlign w:val="bottom"/>
            <w:gridSpan w:val="4"/>
          </w:tcPr>
          <w:p>
            <w:pPr>
              <w:jc w:val="right"/>
              <w:ind w:right="280"/>
              <w:spacing w:after="0" w:line="90" w:lineRule="exact"/>
              <w:rPr>
                <w:sz w:val="20"/>
                <w:szCs w:val="20"/>
                <w:color w:val="auto"/>
              </w:rPr>
            </w:pPr>
            <w:r>
              <w:rPr>
                <w:rFonts w:ascii="Arial" w:cs="Arial" w:eastAsia="Arial" w:hAnsi="Arial"/>
                <w:sz w:val="8"/>
                <w:szCs w:val="8"/>
                <w:b w:val="1"/>
                <w:bCs w:val="1"/>
                <w:color w:val="auto"/>
                <w:w w:val="95"/>
              </w:rPr>
              <w:t>through other comprehensive</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4"/>
          </w:tcPr>
          <w:p>
            <w:pPr>
              <w:jc w:val="center"/>
              <w:ind w:right="180"/>
              <w:spacing w:after="0" w:line="90" w:lineRule="exact"/>
              <w:rPr>
                <w:sz w:val="20"/>
                <w:szCs w:val="20"/>
                <w:color w:val="auto"/>
              </w:rPr>
            </w:pPr>
            <w:r>
              <w:rPr>
                <w:rFonts w:ascii="Arial" w:cs="Arial" w:eastAsia="Arial" w:hAnsi="Arial"/>
                <w:sz w:val="8"/>
                <w:szCs w:val="8"/>
                <w:b w:val="1"/>
                <w:bCs w:val="1"/>
                <w:color w:val="auto"/>
                <w:w w:val="96"/>
              </w:rPr>
              <w:t>liabilities at fair</w:t>
            </w:r>
          </w:p>
        </w:tc>
        <w:tc>
          <w:tcPr>
            <w:tcW w:w="1380" w:type="dxa"/>
            <w:vAlign w:val="bottom"/>
            <w:gridSpan w:val="4"/>
          </w:tcPr>
          <w:p>
            <w:pPr>
              <w:ind w:left="60"/>
              <w:spacing w:after="0" w:line="90" w:lineRule="exact"/>
              <w:rPr>
                <w:sz w:val="20"/>
                <w:szCs w:val="20"/>
                <w:color w:val="auto"/>
              </w:rPr>
            </w:pPr>
            <w:r>
              <w:rPr>
                <w:rFonts w:ascii="Arial" w:cs="Arial" w:eastAsia="Arial" w:hAnsi="Arial"/>
                <w:sz w:val="8"/>
                <w:szCs w:val="8"/>
                <w:b w:val="1"/>
                <w:bCs w:val="1"/>
                <w:color w:val="auto"/>
              </w:rPr>
              <w:t>through other comprehensive</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80" w:type="dxa"/>
            <w:vAlign w:val="bottom"/>
          </w:tcPr>
          <w:p>
            <w:pPr>
              <w:spacing w:after="0"/>
              <w:rPr>
                <w:sz w:val="8"/>
                <w:szCs w:val="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4"/>
              </w:rPr>
              <w:t>value through profit or loss</w:t>
            </w:r>
          </w:p>
        </w:tc>
        <w:tc>
          <w:tcPr>
            <w:tcW w:w="1380" w:type="dxa"/>
            <w:vAlign w:val="bottom"/>
            <w:gridSpan w:val="4"/>
          </w:tcPr>
          <w:p>
            <w:pPr>
              <w:jc w:val="right"/>
              <w:ind w:right="660"/>
              <w:spacing w:after="0"/>
              <w:rPr>
                <w:sz w:val="20"/>
                <w:szCs w:val="20"/>
                <w:color w:val="auto"/>
              </w:rPr>
            </w:pPr>
            <w:r>
              <w:rPr>
                <w:rFonts w:ascii="Arial" w:cs="Arial" w:eastAsia="Arial" w:hAnsi="Arial"/>
                <w:sz w:val="8"/>
                <w:szCs w:val="8"/>
                <w:b w:val="1"/>
                <w:bCs w:val="1"/>
                <w:color w:val="auto"/>
              </w:rPr>
              <w:t>income</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7"/>
              </w:rPr>
              <w:t>Financial</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4"/>
              </w:rPr>
              <w:t>value through profit or loss</w:t>
            </w:r>
          </w:p>
        </w:tc>
        <w:tc>
          <w:tcPr>
            <w:tcW w:w="138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2"/>
              </w:rPr>
              <w:t>income</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7"/>
              </w:rPr>
              <w:t>Financial</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6"/>
              </w:rPr>
              <w:t>assets and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300"/>
              <w:spacing w:after="0" w:line="90" w:lineRule="exact"/>
              <w:rPr>
                <w:sz w:val="20"/>
                <w:szCs w:val="20"/>
                <w:color w:val="auto"/>
              </w:rPr>
            </w:pPr>
            <w:r>
              <w:rPr>
                <w:rFonts w:ascii="Arial" w:cs="Arial" w:eastAsia="Arial" w:hAnsi="Arial"/>
                <w:sz w:val="8"/>
                <w:szCs w:val="8"/>
                <w:b w:val="1"/>
                <w:bCs w:val="1"/>
                <w:color w:val="auto"/>
              </w:rPr>
              <w:t>assets and</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94"/>
              </w:rPr>
              <w:t>Investments</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4"/>
              </w:rPr>
              <w:t>Investments</w:t>
            </w: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liabilities</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4"/>
              </w:rPr>
              <w:t>Investments</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89"/>
              </w:rPr>
              <w:t>Investments</w:t>
            </w:r>
          </w:p>
        </w:tc>
        <w:tc>
          <w:tcPr>
            <w:tcW w:w="76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liabilities</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4"/>
              </w:rPr>
              <w:t>Investments</w:t>
            </w:r>
          </w:p>
        </w:tc>
        <w:tc>
          <w:tcPr>
            <w:tcW w:w="70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92"/>
              </w:rPr>
              <w:t>designated at</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2"/>
              </w:rPr>
              <w:t>designated at</w:t>
            </w:r>
          </w:p>
        </w:tc>
        <w:tc>
          <w:tcPr>
            <w:tcW w:w="74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93"/>
              </w:rPr>
              <w:t>measured at</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94"/>
              </w:rPr>
              <w:t>Investments</w:t>
            </w:r>
          </w:p>
        </w:tc>
        <w:tc>
          <w:tcPr>
            <w:tcW w:w="6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2"/>
              </w:rPr>
              <w:t>designated at</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89"/>
              </w:rPr>
              <w:t>designated at</w:t>
            </w:r>
          </w:p>
        </w:tc>
        <w:tc>
          <w:tcPr>
            <w:tcW w:w="76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measured at</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80" w:type="dxa"/>
            <w:vAlign w:val="bottom"/>
          </w:tcPr>
          <w:p>
            <w:pPr>
              <w:spacing w:after="0"/>
              <w:rPr>
                <w:sz w:val="8"/>
                <w:szCs w:val="8"/>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and hedges</w:t>
            </w: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5"/>
              </w:rPr>
              <w:t>inception</w:t>
            </w: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4"/>
              </w:rPr>
              <w:t>Investments</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inception</w:t>
            </w:r>
          </w:p>
        </w:tc>
        <w:tc>
          <w:tcPr>
            <w:tcW w:w="7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2"/>
              </w:rPr>
              <w:t>amortized cost</w:t>
            </w:r>
          </w:p>
        </w:tc>
        <w:tc>
          <w:tcPr>
            <w:tcW w:w="720" w:type="dxa"/>
            <w:vAlign w:val="bottom"/>
            <w:gridSpan w:val="2"/>
          </w:tcPr>
          <w:p>
            <w:pPr>
              <w:ind w:left="180"/>
              <w:spacing w:after="0"/>
              <w:rPr>
                <w:sz w:val="20"/>
                <w:szCs w:val="20"/>
                <w:color w:val="auto"/>
              </w:rPr>
            </w:pPr>
            <w:r>
              <w:rPr>
                <w:rFonts w:ascii="Arial" w:cs="Arial" w:eastAsia="Arial" w:hAnsi="Arial"/>
                <w:sz w:val="8"/>
                <w:szCs w:val="8"/>
                <w:b w:val="1"/>
                <w:bCs w:val="1"/>
                <w:color w:val="auto"/>
              </w:rPr>
              <w:t>Total</w:t>
            </w:r>
          </w:p>
        </w:tc>
        <w:tc>
          <w:tcPr>
            <w:tcW w:w="6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and hedges</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inception</w:t>
            </w: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4"/>
              </w:rPr>
              <w:t>Investments</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5"/>
              </w:rPr>
              <w:t>inception</w:t>
            </w:r>
          </w:p>
        </w:tc>
        <w:tc>
          <w:tcPr>
            <w:tcW w:w="7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5"/>
              </w:rPr>
              <w:t>amortized cost</w:t>
            </w:r>
          </w:p>
        </w:tc>
        <w:tc>
          <w:tcPr>
            <w:tcW w:w="66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79"/>
        </w:trPr>
        <w:tc>
          <w:tcPr>
            <w:tcW w:w="2480" w:type="dxa"/>
            <w:vAlign w:val="bottom"/>
          </w:tcPr>
          <w:p>
            <w:pPr>
              <w:spacing w:after="0"/>
              <w:rPr>
                <w:sz w:val="6"/>
                <w:szCs w:val="6"/>
                <w:color w:val="auto"/>
              </w:rPr>
            </w:pPr>
          </w:p>
        </w:tc>
        <w:tc>
          <w:tcPr>
            <w:tcW w:w="4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80" w:type="dxa"/>
            <w:vAlign w:val="bottom"/>
          </w:tcPr>
          <w:p>
            <w:pPr>
              <w:spacing w:after="0"/>
              <w:rPr>
                <w:sz w:val="6"/>
                <w:szCs w:val="6"/>
                <w:color w:val="auto"/>
              </w:rPr>
            </w:pPr>
          </w:p>
        </w:tc>
        <w:tc>
          <w:tcPr>
            <w:tcW w:w="5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4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4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180" w:type="dxa"/>
            <w:vAlign w:val="bottom"/>
          </w:tcPr>
          <w:p>
            <w:pPr>
              <w:spacing w:after="0"/>
              <w:rPr>
                <w:sz w:val="6"/>
                <w:szCs w:val="6"/>
                <w:color w:val="auto"/>
              </w:rPr>
            </w:pPr>
          </w:p>
        </w:tc>
        <w:tc>
          <w:tcPr>
            <w:tcW w:w="540" w:type="dxa"/>
            <w:vAlign w:val="bottom"/>
            <w:tcBorders>
              <w:top w:val="single" w:sz="8" w:color="auto"/>
            </w:tcBorders>
          </w:tcPr>
          <w:p>
            <w:pPr>
              <w:jc w:val="right"/>
              <w:ind w:right="98"/>
              <w:spacing w:after="0" w:line="79" w:lineRule="exact"/>
              <w:rPr>
                <w:sz w:val="20"/>
                <w:szCs w:val="20"/>
                <w:color w:val="auto"/>
              </w:rPr>
            </w:pPr>
            <w:r>
              <w:rPr>
                <w:rFonts w:ascii="Arial" w:cs="Arial" w:eastAsia="Arial" w:hAnsi="Arial"/>
                <w:sz w:val="8"/>
                <w:szCs w:val="8"/>
                <w:b w:val="1"/>
                <w:bCs w:val="1"/>
                <w:color w:val="auto"/>
              </w:rPr>
              <w:t>S/(000)</w:t>
            </w:r>
          </w:p>
        </w:tc>
        <w:tc>
          <w:tcPr>
            <w:tcW w:w="180" w:type="dxa"/>
            <w:vAlign w:val="bottom"/>
          </w:tcPr>
          <w:p>
            <w:pPr>
              <w:spacing w:after="0"/>
              <w:rPr>
                <w:sz w:val="6"/>
                <w:szCs w:val="6"/>
                <w:color w:val="auto"/>
              </w:rPr>
            </w:pPr>
          </w:p>
        </w:tc>
        <w:tc>
          <w:tcPr>
            <w:tcW w:w="4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4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4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8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40" w:type="dxa"/>
            <w:vAlign w:val="bottom"/>
            <w:tcBorders>
              <w:top w:val="single" w:sz="8" w:color="auto"/>
            </w:tcBorders>
          </w:tcPr>
          <w:p>
            <w:pPr>
              <w:jc w:val="right"/>
              <w:ind w:right="98"/>
              <w:spacing w:after="0" w:line="79" w:lineRule="exact"/>
              <w:rPr>
                <w:sz w:val="20"/>
                <w:szCs w:val="20"/>
                <w:color w:val="auto"/>
              </w:rPr>
            </w:pPr>
            <w:r>
              <w:rPr>
                <w:rFonts w:ascii="Arial" w:cs="Arial" w:eastAsia="Arial" w:hAnsi="Arial"/>
                <w:sz w:val="8"/>
                <w:szCs w:val="8"/>
                <w:b w:val="1"/>
                <w:bCs w:val="1"/>
                <w:color w:val="auto"/>
              </w:rPr>
              <w:t>S/(000)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Assets</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Cash and due from banks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25,986,762</w:t>
            </w: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25,986,762</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22,168,516</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22,168,516</w:t>
            </w:r>
          </w:p>
        </w:tc>
        <w:tc>
          <w:tcPr>
            <w:tcW w:w="0" w:type="dxa"/>
            <w:vAlign w:val="bottom"/>
          </w:tcPr>
          <w:p>
            <w:pPr>
              <w:spacing w:after="0"/>
              <w:rPr>
                <w:sz w:val="1"/>
                <w:szCs w:val="1"/>
                <w:color w:val="auto"/>
              </w:rPr>
            </w:pPr>
          </w:p>
        </w:tc>
      </w:tr>
      <w:tr>
        <w:trPr>
          <w:trHeight w:val="81"/>
        </w:trPr>
        <w:tc>
          <w:tcPr>
            <w:tcW w:w="2480" w:type="dxa"/>
            <w:vAlign w:val="bottom"/>
          </w:tcPr>
          <w:p>
            <w:pPr>
              <w:spacing w:after="0" w:line="81" w:lineRule="exact"/>
              <w:rPr>
                <w:sz w:val="20"/>
                <w:szCs w:val="20"/>
                <w:color w:val="auto"/>
              </w:rPr>
            </w:pPr>
            <w:r>
              <w:rPr>
                <w:rFonts w:ascii="Arial" w:cs="Arial" w:eastAsia="Arial" w:hAnsi="Arial"/>
                <w:sz w:val="8"/>
                <w:szCs w:val="8"/>
                <w:color w:val="auto"/>
              </w:rPr>
              <w:t>Guarantee funds, reverse repurchase agreements and securities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rPr>
                <w:sz w:val="20"/>
                <w:szCs w:val="20"/>
                <w:color w:val="auto"/>
              </w:rPr>
            </w:pPr>
            <w:r>
              <w:rPr>
                <w:rFonts w:ascii="Arial" w:cs="Arial" w:eastAsia="Arial" w:hAnsi="Arial"/>
                <w:sz w:val="8"/>
                <w:szCs w:val="8"/>
                <w:color w:val="auto"/>
              </w:rPr>
              <w:t>borrowings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4,288,524</w:t>
            </w:r>
          </w:p>
        </w:tc>
        <w:tc>
          <w:tcPr>
            <w:tcW w:w="180" w:type="dxa"/>
            <w:vAlign w:val="bottom"/>
          </w:tcPr>
          <w:p>
            <w:pPr>
              <w:spacing w:after="0"/>
              <w:rPr>
                <w:sz w:val="8"/>
                <w:szCs w:val="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4,288,524</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4,082,942</w:t>
            </w:r>
          </w:p>
        </w:tc>
        <w:tc>
          <w:tcPr>
            <w:tcW w:w="2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4,082,942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At fair value through profit or loss</w:t>
            </w:r>
          </w:p>
        </w:tc>
        <w:tc>
          <w:tcPr>
            <w:tcW w:w="4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3,850,762</w:t>
            </w:r>
          </w:p>
        </w:tc>
        <w:tc>
          <w:tcPr>
            <w:tcW w:w="18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3,850,762</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3,512,445</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3,512,445</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line="81" w:lineRule="exact"/>
              <w:rPr>
                <w:sz w:val="20"/>
                <w:szCs w:val="20"/>
                <w:color w:val="auto"/>
              </w:rPr>
            </w:pPr>
            <w:r>
              <w:rPr>
                <w:rFonts w:ascii="Arial" w:cs="Arial" w:eastAsia="Arial" w:hAnsi="Arial"/>
                <w:sz w:val="8"/>
                <w:szCs w:val="8"/>
                <w:color w:val="auto"/>
              </w:rPr>
              <w:t>Investments at fair value through other comprehensive income, Note</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rPr>
                <w:sz w:val="20"/>
                <w:szCs w:val="20"/>
                <w:color w:val="auto"/>
              </w:rPr>
            </w:pPr>
            <w:r>
              <w:rPr>
                <w:rFonts w:ascii="Arial" w:cs="Arial" w:eastAsia="Arial" w:hAnsi="Arial"/>
                <w:sz w:val="8"/>
                <w:szCs w:val="8"/>
                <w:color w:val="auto"/>
              </w:rPr>
              <w:t>6(b)</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25,623,934</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578,789</w:t>
            </w:r>
          </w:p>
        </w:tc>
        <w:tc>
          <w:tcPr>
            <w:tcW w:w="7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26,202,723</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24,546,365</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649,470</w:t>
            </w: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8"/>
                <w:szCs w:val="8"/>
                <w:color w:val="auto"/>
              </w:rPr>
              <w:t>25,195,835</w:t>
            </w: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Amortized cost investments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3,477,046</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3,477,046</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4,154,838</w:t>
            </w: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4,154,838</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Loans, net</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110,485,717</w:t>
            </w: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110,485,717</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105,806,998</w:t>
            </w:r>
          </w:p>
        </w:tc>
        <w:tc>
          <w:tcPr>
            <w:tcW w:w="2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105,806,998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Financial assets designated at fair value through profit or loss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620,544</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620,544</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521,186</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521,186</w:t>
            </w: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Premiums and other policies receivable</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838,731</w:t>
            </w:r>
          </w:p>
        </w:tc>
        <w:tc>
          <w:tcPr>
            <w:tcW w:w="180" w:type="dxa"/>
            <w:vAlign w:val="bottom"/>
          </w:tcPr>
          <w:p>
            <w:pPr>
              <w:spacing w:after="0"/>
              <w:rPr>
                <w:sz w:val="7"/>
                <w:szCs w:val="7"/>
                <w:color w:val="auto"/>
              </w:rPr>
            </w:pP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838,731</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887,273</w:t>
            </w:r>
          </w:p>
        </w:tc>
        <w:tc>
          <w:tcPr>
            <w:tcW w:w="66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887,273</w:t>
            </w: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Accounts receivable from reinsurers and coinsurers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791,704</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791,704</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842,043</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842,043</w:t>
            </w: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Due from customers on acceptances</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535,222</w:t>
            </w:r>
          </w:p>
        </w:tc>
        <w:tc>
          <w:tcPr>
            <w:tcW w:w="180" w:type="dxa"/>
            <w:vAlign w:val="bottom"/>
          </w:tcPr>
          <w:p>
            <w:pPr>
              <w:spacing w:after="0"/>
              <w:rPr>
                <w:sz w:val="7"/>
                <w:szCs w:val="7"/>
                <w:color w:val="auto"/>
              </w:rPr>
            </w:pP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535,222</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967,968</w:t>
            </w:r>
          </w:p>
        </w:tc>
        <w:tc>
          <w:tcPr>
            <w:tcW w:w="66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967,968</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rPr>
                <w:sz w:val="20"/>
                <w:szCs w:val="20"/>
                <w:color w:val="auto"/>
              </w:rPr>
            </w:pPr>
            <w:r>
              <w:rPr>
                <w:rFonts w:ascii="Arial" w:cs="Arial" w:eastAsia="Arial" w:hAnsi="Arial"/>
                <w:sz w:val="8"/>
                <w:szCs w:val="8"/>
                <w:color w:val="auto"/>
              </w:rPr>
              <w:t>Other assets, Note 13(a)</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1,092,107</w:t>
            </w: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1,700,861</w:t>
            </w:r>
          </w:p>
        </w:tc>
        <w:tc>
          <w:tcPr>
            <w:tcW w:w="1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2,792,968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766,317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2,306,460</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3,072,777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4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4,942,869</w:t>
            </w:r>
          </w:p>
        </w:tc>
        <w:tc>
          <w:tcPr>
            <w:tcW w:w="1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620,544</w:t>
            </w:r>
          </w:p>
        </w:tc>
        <w:tc>
          <w:tcPr>
            <w:tcW w:w="200" w:type="dxa"/>
            <w:vAlign w:val="bottom"/>
          </w:tcPr>
          <w:p>
            <w:pPr>
              <w:spacing w:after="0"/>
              <w:rPr>
                <w:sz w:val="9"/>
                <w:szCs w:val="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25,623,934</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578,789</w:t>
            </w:r>
          </w:p>
        </w:tc>
        <w:tc>
          <w:tcPr>
            <w:tcW w:w="560" w:type="dxa"/>
            <w:vAlign w:val="bottom"/>
          </w:tcPr>
          <w:p>
            <w:pPr>
              <w:jc w:val="right"/>
              <w:spacing w:after="0"/>
              <w:rPr>
                <w:sz w:val="20"/>
                <w:szCs w:val="20"/>
                <w:color w:val="auto"/>
              </w:rPr>
            </w:pPr>
            <w:r>
              <w:rPr>
                <w:rFonts w:ascii="Arial" w:cs="Arial" w:eastAsia="Arial" w:hAnsi="Arial"/>
                <w:sz w:val="8"/>
                <w:szCs w:val="8"/>
                <w:color w:val="auto"/>
              </w:rPr>
              <w:t>148,104,567</w:t>
            </w:r>
          </w:p>
        </w:tc>
        <w:tc>
          <w:tcPr>
            <w:tcW w:w="180" w:type="dxa"/>
            <w:vAlign w:val="bottom"/>
          </w:tcPr>
          <w:p>
            <w:pPr>
              <w:spacing w:after="0"/>
              <w:rPr>
                <w:sz w:val="9"/>
                <w:szCs w:val="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179,870,703</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4,278,762</w:t>
            </w:r>
          </w:p>
        </w:tc>
        <w:tc>
          <w:tcPr>
            <w:tcW w:w="480" w:type="dxa"/>
            <w:vAlign w:val="bottom"/>
          </w:tcPr>
          <w:p>
            <w:pPr>
              <w:jc w:val="right"/>
              <w:spacing w:after="0"/>
              <w:rPr>
                <w:sz w:val="20"/>
                <w:szCs w:val="20"/>
                <w:color w:val="auto"/>
              </w:rPr>
            </w:pPr>
            <w:r>
              <w:rPr>
                <w:rFonts w:ascii="Arial" w:cs="Arial" w:eastAsia="Arial" w:hAnsi="Arial"/>
                <w:sz w:val="8"/>
                <w:szCs w:val="8"/>
                <w:color w:val="auto"/>
              </w:rPr>
              <w:t>521,186</w:t>
            </w:r>
          </w:p>
        </w:tc>
        <w:tc>
          <w:tcPr>
            <w:tcW w:w="200" w:type="dxa"/>
            <w:vAlign w:val="bottom"/>
          </w:tcPr>
          <w:p>
            <w:pPr>
              <w:spacing w:after="0"/>
              <w:rPr>
                <w:sz w:val="9"/>
                <w:szCs w:val="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24,546,365</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649,470</w:t>
            </w:r>
          </w:p>
        </w:tc>
        <w:tc>
          <w:tcPr>
            <w:tcW w:w="560" w:type="dxa"/>
            <w:vAlign w:val="bottom"/>
          </w:tcPr>
          <w:p>
            <w:pPr>
              <w:jc w:val="right"/>
              <w:spacing w:after="0"/>
              <w:rPr>
                <w:sz w:val="20"/>
                <w:szCs w:val="20"/>
                <w:color w:val="auto"/>
              </w:rPr>
            </w:pPr>
            <w:r>
              <w:rPr>
                <w:rFonts w:ascii="Arial" w:cs="Arial" w:eastAsia="Arial" w:hAnsi="Arial"/>
                <w:sz w:val="8"/>
                <w:szCs w:val="8"/>
                <w:color w:val="auto"/>
              </w:rPr>
              <w:t>141,217,038</w:t>
            </w:r>
          </w:p>
        </w:tc>
        <w:tc>
          <w:tcPr>
            <w:tcW w:w="2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171,212,821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b w:val="1"/>
                <w:bCs w:val="1"/>
                <w:color w:val="auto"/>
              </w:rPr>
              <w:t>Liabilities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Deposits and obligations</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112,005,385</w:t>
            </w: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112,005,385</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104,551,310</w:t>
            </w:r>
          </w:p>
        </w:tc>
        <w:tc>
          <w:tcPr>
            <w:tcW w:w="2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104,551,310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Payables from repurchase agreements and securities lending</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7,678,016</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7,678,016</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9,415,357</w:t>
            </w: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9,415,357</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Due to banks and correspondents</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8,841,732</w:t>
            </w:r>
          </w:p>
        </w:tc>
        <w:tc>
          <w:tcPr>
            <w:tcW w:w="180" w:type="dxa"/>
            <w:vAlign w:val="bottom"/>
          </w:tcPr>
          <w:p>
            <w:pPr>
              <w:spacing w:after="0"/>
              <w:rPr>
                <w:sz w:val="7"/>
                <w:szCs w:val="7"/>
                <w:color w:val="auto"/>
              </w:rPr>
            </w:pP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8,841,732</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8,448,140</w:t>
            </w:r>
          </w:p>
        </w:tc>
        <w:tc>
          <w:tcPr>
            <w:tcW w:w="2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color w:val="auto"/>
              </w:rPr>
              <w:t>8,448,140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Bankers’ acceptances outstanding</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535,222</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535,222</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967,968</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967,968</w:t>
            </w: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Accounts payable to reinsurers and coinsurers</w:t>
            </w:r>
          </w:p>
        </w:tc>
        <w:tc>
          <w:tcPr>
            <w:tcW w:w="6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216,734</w:t>
            </w:r>
          </w:p>
        </w:tc>
        <w:tc>
          <w:tcPr>
            <w:tcW w:w="180" w:type="dxa"/>
            <w:vAlign w:val="bottom"/>
          </w:tcPr>
          <w:p>
            <w:pPr>
              <w:spacing w:after="0"/>
              <w:rPr>
                <w:sz w:val="7"/>
                <w:szCs w:val="7"/>
                <w:color w:val="auto"/>
              </w:rPr>
            </w:pP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216,734</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291,693</w:t>
            </w:r>
          </w:p>
        </w:tc>
        <w:tc>
          <w:tcPr>
            <w:tcW w:w="66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291,693</w:t>
            </w: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Lease liabilities</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847,504</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847,504</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480" w:type="dxa"/>
            <w:vAlign w:val="bottom"/>
          </w:tcPr>
          <w:p>
            <w:pPr>
              <w:spacing w:after="0" w:line="90" w:lineRule="exact"/>
              <w:rPr>
                <w:sz w:val="20"/>
                <w:szCs w:val="20"/>
                <w:color w:val="auto"/>
              </w:rPr>
            </w:pPr>
            <w:r>
              <w:rPr>
                <w:rFonts w:ascii="Arial" w:cs="Arial" w:eastAsia="Arial" w:hAnsi="Arial"/>
                <w:sz w:val="8"/>
                <w:szCs w:val="8"/>
                <w:color w:val="auto"/>
              </w:rPr>
              <w:t>Financial liabilities at fair value through profit or loss</w:t>
            </w: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rPr>
              <w:t>493,700</w:t>
            </w:r>
          </w:p>
        </w:tc>
        <w:tc>
          <w:tcPr>
            <w:tcW w:w="180" w:type="dxa"/>
            <w:vAlign w:val="bottom"/>
          </w:tcPr>
          <w:p>
            <w:pPr>
              <w:spacing w:after="0"/>
              <w:rPr>
                <w:sz w:val="7"/>
                <w:szCs w:val="7"/>
                <w:color w:val="auto"/>
              </w:rPr>
            </w:pPr>
          </w:p>
        </w:tc>
        <w:tc>
          <w:tcPr>
            <w:tcW w:w="70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493,700</w:t>
            </w:r>
          </w:p>
        </w:tc>
        <w:tc>
          <w:tcPr>
            <w:tcW w:w="6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362,310</w:t>
            </w:r>
          </w:p>
        </w:tc>
        <w:tc>
          <w:tcPr>
            <w:tcW w:w="6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362,310</w:t>
            </w:r>
          </w:p>
        </w:tc>
        <w:tc>
          <w:tcPr>
            <w:tcW w:w="0" w:type="dxa"/>
            <w:vAlign w:val="bottom"/>
          </w:tcPr>
          <w:p>
            <w:pPr>
              <w:spacing w:after="0"/>
              <w:rPr>
                <w:sz w:val="1"/>
                <w:szCs w:val="1"/>
                <w:color w:val="auto"/>
              </w:rPr>
            </w:pPr>
          </w:p>
        </w:tc>
      </w:tr>
      <w:tr>
        <w:trPr>
          <w:trHeight w:val="90"/>
        </w:trPr>
        <w:tc>
          <w:tcPr>
            <w:tcW w:w="248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Bonds and notes issued</w:t>
            </w:r>
          </w:p>
        </w:tc>
        <w:tc>
          <w:tcPr>
            <w:tcW w:w="6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14,946,363</w:t>
            </w:r>
          </w:p>
        </w:tc>
        <w:tc>
          <w:tcPr>
            <w:tcW w:w="72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14,946,363</w:t>
            </w:r>
          </w:p>
        </w:tc>
        <w:tc>
          <w:tcPr>
            <w:tcW w:w="6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15,457,540</w:t>
            </w:r>
          </w:p>
        </w:tc>
        <w:tc>
          <w:tcPr>
            <w:tcW w:w="6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15,457,540</w:t>
            </w:r>
          </w:p>
        </w:tc>
        <w:tc>
          <w:tcPr>
            <w:tcW w:w="0" w:type="dxa"/>
            <w:vAlign w:val="bottom"/>
          </w:tcPr>
          <w:p>
            <w:pPr>
              <w:spacing w:after="0"/>
              <w:rPr>
                <w:sz w:val="1"/>
                <w:szCs w:val="1"/>
                <w:color w:val="auto"/>
              </w:rPr>
            </w:pPr>
          </w:p>
        </w:tc>
      </w:tr>
      <w:tr>
        <w:trPr>
          <w:trHeight w:val="99"/>
        </w:trPr>
        <w:tc>
          <w:tcPr>
            <w:tcW w:w="2480" w:type="dxa"/>
            <w:vAlign w:val="bottom"/>
          </w:tcPr>
          <w:p>
            <w:pPr>
              <w:spacing w:after="0"/>
              <w:rPr>
                <w:sz w:val="20"/>
                <w:szCs w:val="20"/>
                <w:color w:val="auto"/>
              </w:rPr>
            </w:pPr>
            <w:r>
              <w:rPr>
                <w:rFonts w:ascii="Arial" w:cs="Arial" w:eastAsia="Arial" w:hAnsi="Arial"/>
                <w:sz w:val="8"/>
                <w:szCs w:val="8"/>
                <w:color w:val="auto"/>
              </w:rPr>
              <w:t>Other liabilities, Note 13(a)</w:t>
            </w:r>
          </w:p>
        </w:tc>
        <w:tc>
          <w:tcPr>
            <w:tcW w:w="460" w:type="dxa"/>
            <w:vAlign w:val="bottom"/>
          </w:tcPr>
          <w:p>
            <w:pPr>
              <w:jc w:val="right"/>
              <w:spacing w:after="0"/>
              <w:rPr>
                <w:sz w:val="20"/>
                <w:szCs w:val="20"/>
                <w:color w:val="auto"/>
              </w:rPr>
            </w:pPr>
            <w:r>
              <w:rPr>
                <w:rFonts w:ascii="Arial" w:cs="Arial" w:eastAsia="Arial" w:hAnsi="Arial"/>
                <w:sz w:val="8"/>
                <w:szCs w:val="8"/>
                <w:color w:val="auto"/>
              </w:rPr>
              <w:t>1,040,282</w:t>
            </w:r>
          </w:p>
        </w:tc>
        <w:tc>
          <w:tcPr>
            <w:tcW w:w="1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3,206,544</w:t>
            </w:r>
          </w:p>
        </w:tc>
        <w:tc>
          <w:tcPr>
            <w:tcW w:w="180" w:type="dxa"/>
            <w:vAlign w:val="bottom"/>
          </w:tcPr>
          <w:p>
            <w:pPr>
              <w:spacing w:after="0"/>
              <w:rPr>
                <w:sz w:val="8"/>
                <w:szCs w:val="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4,246,826</w:t>
            </w:r>
          </w:p>
        </w:tc>
        <w:tc>
          <w:tcPr>
            <w:tcW w:w="660" w:type="dxa"/>
            <w:vAlign w:val="bottom"/>
            <w:gridSpan w:val="2"/>
          </w:tcPr>
          <w:p>
            <w:pPr>
              <w:jc w:val="right"/>
              <w:ind w:right="200"/>
              <w:spacing w:after="0"/>
              <w:rPr>
                <w:sz w:val="20"/>
                <w:szCs w:val="20"/>
                <w:color w:val="auto"/>
              </w:rPr>
            </w:pPr>
            <w:r>
              <w:rPr>
                <w:rFonts w:ascii="Arial" w:cs="Arial" w:eastAsia="Arial" w:hAnsi="Arial"/>
                <w:sz w:val="8"/>
                <w:szCs w:val="8"/>
                <w:color w:val="auto"/>
              </w:rPr>
              <w:t>715,804</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2,978,514</w:t>
            </w:r>
          </w:p>
        </w:tc>
        <w:tc>
          <w:tcPr>
            <w:tcW w:w="2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3,694,318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4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1,533,982</w:t>
            </w: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148,277,500</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149,811,482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1,078,114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142,110,522</w:t>
            </w: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143,188,636</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- 135 -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20"/>
          </w:cols>
          <w:pgMar w:left="220" w:top="649" w:right="459" w:bottom="1440" w:gutter="0" w:footer="0" w:header="0"/>
        </w:sectPr>
      </w:pPr>
    </w:p>
    <w:bookmarkStart w:id="140" w:name="page141"/>
    <w:bookmarkEnd w:id="140"/>
    <w:p>
      <w:pPr>
        <w:ind w:left="428" w:hanging="428"/>
        <w:spacing w:after="0"/>
        <w:tabs>
          <w:tab w:leader="none" w:pos="428"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rFonts w:ascii="Arial" w:cs="Arial" w:eastAsia="Arial" w:hAnsi="Arial"/>
          <w:sz w:val="12"/>
          <w:szCs w:val="12"/>
          <w:b w:val="1"/>
          <w:bCs w:val="1"/>
          <w:color w:val="auto"/>
        </w:rPr>
      </w:pPr>
    </w:p>
    <w:p>
      <w:pPr>
        <w:ind w:left="428" w:right="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Group’s activities involve principally the use of financial instruments, including derivatives. It also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14" w:lineRule="exact"/>
        <w:rPr>
          <w:rFonts w:ascii="Arial" w:cs="Arial" w:eastAsia="Arial" w:hAnsi="Arial"/>
          <w:sz w:val="12"/>
          <w:szCs w:val="12"/>
          <w:b w:val="1"/>
          <w:bCs w:val="1"/>
          <w:color w:val="auto"/>
        </w:rPr>
      </w:pPr>
    </w:p>
    <w:p>
      <w:pPr>
        <w:ind w:left="428" w:right="28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Group also trades in financial instruments where it takes positions in traded and over-the-counter instruments, derivatives included, to take advantage of short term market movements on securities, bonds, currencies and interest rates.</w:t>
      </w:r>
    </w:p>
    <w:p>
      <w:pPr>
        <w:spacing w:after="0" w:line="114" w:lineRule="exact"/>
        <w:rPr>
          <w:rFonts w:ascii="Arial" w:cs="Arial" w:eastAsia="Arial" w:hAnsi="Arial"/>
          <w:sz w:val="12"/>
          <w:szCs w:val="12"/>
          <w:b w:val="1"/>
          <w:bCs w:val="1"/>
          <w:color w:val="auto"/>
        </w:rPr>
      </w:pPr>
    </w:p>
    <w:p>
      <w:pPr>
        <w:ind w:left="428" w:right="340"/>
        <w:spacing w:after="0" w:line="323" w:lineRule="auto"/>
        <w:rPr>
          <w:rFonts w:ascii="Arial" w:cs="Arial" w:eastAsia="Arial" w:hAnsi="Arial"/>
          <w:sz w:val="12"/>
          <w:szCs w:val="12"/>
          <w:b w:val="1"/>
          <w:bCs w:val="1"/>
          <w:color w:val="auto"/>
        </w:rPr>
      </w:pPr>
      <w:r>
        <w:rPr>
          <w:rFonts w:ascii="Arial" w:cs="Arial" w:eastAsia="Arial" w:hAnsi="Arial"/>
          <w:sz w:val="11"/>
          <w:szCs w:val="11"/>
          <w:color w:val="auto"/>
        </w:rPr>
        <w:t>Given the Group’s activities, it has a framework for risk appetite, a corner stone of the management. The risk management processes involve continuous identification, measurement, treatment and monitoring. The Group is exposed, principally, to operating risk, credit risk, liquidity risk, market risk, strategic risk and insurance technical risk. Finally, it reports on a consolidated basis the risks to which the Group is exposed.</w:t>
      </w:r>
    </w:p>
    <w:p>
      <w:pPr>
        <w:spacing w:after="0" w:line="92" w:lineRule="exact"/>
        <w:rPr>
          <w:sz w:val="20"/>
          <w:szCs w:val="20"/>
          <w:color w:val="auto"/>
        </w:rPr>
      </w:pPr>
    </w:p>
    <w:p>
      <w:pPr>
        <w:ind w:left="648" w:hanging="216"/>
        <w:spacing w:after="0"/>
        <w:tabs>
          <w:tab w:leader="none" w:pos="64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Risk management structure -</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15" w:lineRule="exact"/>
        <w:rPr>
          <w:sz w:val="20"/>
          <w:szCs w:val="20"/>
          <w:color w:val="auto"/>
        </w:rPr>
      </w:pPr>
    </w:p>
    <w:p>
      <w:pPr>
        <w:ind w:left="648" w:right="9300" w:hanging="216"/>
        <w:spacing w:after="0" w:line="546" w:lineRule="auto"/>
        <w:tabs>
          <w:tab w:leader="none" w:pos="648" w:val="left"/>
        </w:tabs>
        <w:numPr>
          <w:ilvl w:val="0"/>
          <w:numId w:val="163"/>
        </w:numPr>
        <w:rPr>
          <w:rFonts w:ascii="Arial" w:cs="Arial" w:eastAsia="Arial" w:hAnsi="Arial"/>
          <w:sz w:val="11"/>
          <w:szCs w:val="11"/>
          <w:color w:val="auto"/>
        </w:rPr>
      </w:pPr>
      <w:r>
        <w:rPr>
          <w:rFonts w:ascii="Arial" w:cs="Arial" w:eastAsia="Arial" w:hAnsi="Arial"/>
          <w:sz w:val="11"/>
          <w:szCs w:val="11"/>
          <w:color w:val="auto"/>
        </w:rPr>
        <w:t>Group’s Board of Directors - Credicorp Board of Directors -</w:t>
      </w:r>
    </w:p>
    <w:p>
      <w:pPr>
        <w:jc w:val="both"/>
        <w:ind w:left="648"/>
        <w:spacing w:after="0" w:line="263" w:lineRule="auto"/>
        <w:rPr>
          <w:rFonts w:ascii="Arial" w:cs="Arial" w:eastAsia="Arial" w:hAnsi="Arial"/>
          <w:sz w:val="11"/>
          <w:szCs w:val="11"/>
          <w:color w:val="auto"/>
        </w:rPr>
      </w:pPr>
      <w:r>
        <w:rPr>
          <w:rFonts w:ascii="Arial" w:cs="Arial" w:eastAsia="Arial" w:hAnsi="Arial"/>
          <w:sz w:val="12"/>
          <w:szCs w:val="12"/>
          <w:color w:val="auto"/>
        </w:rPr>
        <w:t>This Board of Directors is responsible for the overall risk management approach and for the approval of the levels of risk appetite that the Group is prepared to assume. Furthermore, it approves the guidelines and policies for Integral Risk Management. On the other hand, the Board establishes an organizational culture which emphasizes the importance of risk management, oversees the internal control system and ensures the adequate performance of the compliance function.</w:t>
      </w:r>
    </w:p>
    <w:p>
      <w:pPr>
        <w:spacing w:after="0" w:line="122" w:lineRule="exact"/>
        <w:rPr>
          <w:rFonts w:ascii="Arial" w:cs="Arial" w:eastAsia="Arial" w:hAnsi="Arial"/>
          <w:sz w:val="11"/>
          <w:szCs w:val="11"/>
          <w:color w:val="auto"/>
        </w:rPr>
      </w:pPr>
    </w:p>
    <w:p>
      <w:pPr>
        <w:ind w:left="648"/>
        <w:spacing w:after="0"/>
        <w:rPr>
          <w:rFonts w:ascii="Arial" w:cs="Arial" w:eastAsia="Arial" w:hAnsi="Arial"/>
          <w:sz w:val="11"/>
          <w:szCs w:val="11"/>
          <w:color w:val="auto"/>
        </w:rPr>
      </w:pPr>
      <w:r>
        <w:rPr>
          <w:rFonts w:ascii="Arial" w:cs="Arial" w:eastAsia="Arial" w:hAnsi="Arial"/>
          <w:sz w:val="12"/>
          <w:szCs w:val="12"/>
          <w:color w:val="auto"/>
        </w:rPr>
        <w:t>Group Company Boards -</w:t>
      </w:r>
    </w:p>
    <w:p>
      <w:pPr>
        <w:spacing w:after="0" w:line="150" w:lineRule="exact"/>
        <w:rPr>
          <w:rFonts w:ascii="Arial" w:cs="Arial" w:eastAsia="Arial" w:hAnsi="Arial"/>
          <w:sz w:val="11"/>
          <w:szCs w:val="11"/>
          <w:color w:val="auto"/>
        </w:rPr>
      </w:pPr>
    </w:p>
    <w:p>
      <w:pPr>
        <w:ind w:left="648" w:right="180"/>
        <w:spacing w:after="0" w:line="276" w:lineRule="auto"/>
        <w:rPr>
          <w:rFonts w:ascii="Arial" w:cs="Arial" w:eastAsia="Arial" w:hAnsi="Arial"/>
          <w:sz w:val="11"/>
          <w:szCs w:val="11"/>
          <w:color w:val="auto"/>
        </w:rPr>
      </w:pPr>
      <w:r>
        <w:rPr>
          <w:rFonts w:ascii="Arial" w:cs="Arial" w:eastAsia="Arial" w:hAnsi="Arial"/>
          <w:sz w:val="12"/>
          <w:szCs w:val="12"/>
          <w:color w:val="auto"/>
        </w:rPr>
        <w:t>The Board of each of the Group companies is responsible for aligning the risk management established by the Board of Credicorp with the context of each one of them. For that, it establishes a framework for risk appetite, policies and guidelines.</w:t>
      </w:r>
    </w:p>
    <w:p>
      <w:pPr>
        <w:spacing w:after="0" w:line="114" w:lineRule="exact"/>
        <w:rPr>
          <w:rFonts w:ascii="Arial" w:cs="Arial" w:eastAsia="Arial" w:hAnsi="Arial"/>
          <w:sz w:val="11"/>
          <w:szCs w:val="11"/>
          <w:color w:val="auto"/>
        </w:rPr>
      </w:pPr>
    </w:p>
    <w:p>
      <w:pPr>
        <w:ind w:left="648" w:hanging="216"/>
        <w:spacing w:after="0"/>
        <w:tabs>
          <w:tab w:leader="none" w:pos="64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Credicorp Risk Committee -</w:t>
      </w:r>
    </w:p>
    <w:p>
      <w:pPr>
        <w:spacing w:after="0" w:line="150" w:lineRule="exact"/>
        <w:rPr>
          <w:rFonts w:ascii="Arial" w:cs="Arial" w:eastAsia="Arial" w:hAnsi="Arial"/>
          <w:sz w:val="12"/>
          <w:szCs w:val="12"/>
          <w:color w:val="auto"/>
        </w:rPr>
      </w:pPr>
    </w:p>
    <w:p>
      <w:pPr>
        <w:ind w:left="648" w:right="20"/>
        <w:spacing w:after="0" w:line="276" w:lineRule="auto"/>
        <w:rPr>
          <w:rFonts w:ascii="Arial" w:cs="Arial" w:eastAsia="Arial" w:hAnsi="Arial"/>
          <w:sz w:val="12"/>
          <w:szCs w:val="12"/>
          <w:color w:val="auto"/>
        </w:rPr>
      </w:pPr>
      <w:r>
        <w:rPr>
          <w:rFonts w:ascii="Arial" w:cs="Arial" w:eastAsia="Arial" w:hAnsi="Arial"/>
          <w:sz w:val="12"/>
          <w:szCs w:val="12"/>
          <w:color w:val="auto"/>
        </w:rPr>
        <w:t>Represents the Board of Credicorp in risk management decision-making. This Committee defines the strategies used for the adequate management of the different types of risks and the supervision of risk appetite. In addition to it, they establishing principles, policies and general limits.</w:t>
      </w:r>
    </w:p>
    <w:p>
      <w:pPr>
        <w:spacing w:after="0" w:line="114" w:lineRule="exact"/>
        <w:rPr>
          <w:rFonts w:ascii="Arial" w:cs="Arial" w:eastAsia="Arial" w:hAnsi="Arial"/>
          <w:sz w:val="12"/>
          <w:szCs w:val="12"/>
          <w:color w:val="auto"/>
        </w:rPr>
      </w:pPr>
    </w:p>
    <w:p>
      <w:pPr>
        <w:ind w:left="648" w:right="60"/>
        <w:spacing w:after="0" w:line="276" w:lineRule="auto"/>
        <w:rPr>
          <w:rFonts w:ascii="Arial" w:cs="Arial" w:eastAsia="Arial" w:hAnsi="Arial"/>
          <w:sz w:val="12"/>
          <w:szCs w:val="12"/>
          <w:color w:val="auto"/>
        </w:rPr>
      </w:pPr>
      <w:r>
        <w:rPr>
          <w:rFonts w:ascii="Arial" w:cs="Arial" w:eastAsia="Arial" w:hAnsi="Arial"/>
          <w:sz w:val="12"/>
          <w:szCs w:val="12"/>
          <w:color w:val="auto"/>
        </w:rPr>
        <w:t>The Risk Committee is presided by a Board member of Credicorp, it also consists of a second member of the Board of Credicorp, a Board member of BCP, the General Manager of BCP, the Central Manager of Planning and Finance of BCP, the Central Risk Manager of BCP and the Manager of the Risk Management Division of BCP.</w:t>
      </w:r>
    </w:p>
    <w:p>
      <w:pPr>
        <w:spacing w:after="0" w:line="114" w:lineRule="exact"/>
        <w:rPr>
          <w:rFonts w:ascii="Arial" w:cs="Arial" w:eastAsia="Arial" w:hAnsi="Arial"/>
          <w:sz w:val="12"/>
          <w:szCs w:val="12"/>
          <w:color w:val="auto"/>
        </w:rPr>
      </w:pPr>
    </w:p>
    <w:p>
      <w:pPr>
        <w:ind w:left="648"/>
        <w:spacing w:after="0"/>
        <w:rPr>
          <w:rFonts w:ascii="Arial" w:cs="Arial" w:eastAsia="Arial" w:hAnsi="Arial"/>
          <w:sz w:val="12"/>
          <w:szCs w:val="12"/>
          <w:color w:val="auto"/>
        </w:rPr>
      </w:pPr>
      <w:r>
        <w:rPr>
          <w:rFonts w:ascii="Arial" w:cs="Arial" w:eastAsia="Arial" w:hAnsi="Arial"/>
          <w:sz w:val="11"/>
          <w:szCs w:val="11"/>
          <w:color w:val="auto"/>
        </w:rPr>
        <w:t>In addition to effectively managing all the risks, the Credicorp Risk Committee is supported by the following committees which report periodically on all relevant changes or issues relating to the risks being managed:</w:t>
      </w:r>
    </w:p>
    <w:p>
      <w:pPr>
        <w:spacing w:after="0" w:line="305" w:lineRule="exact"/>
        <w:rPr>
          <w:rFonts w:ascii="Arial" w:cs="Arial" w:eastAsia="Arial" w:hAnsi="Arial"/>
          <w:sz w:val="12"/>
          <w:szCs w:val="12"/>
          <w:color w:val="auto"/>
        </w:rPr>
      </w:pPr>
    </w:p>
    <w:p>
      <w:pPr>
        <w:ind w:left="5648" w:hanging="62"/>
        <w:spacing w:after="0"/>
        <w:tabs>
          <w:tab w:leader="none" w:pos="5648" w:val="left"/>
        </w:tabs>
        <w:numPr>
          <w:ilvl w:val="1"/>
          <w:numId w:val="163"/>
        </w:numPr>
        <w:rPr>
          <w:rFonts w:ascii="Arial" w:cs="Arial" w:eastAsia="Arial" w:hAnsi="Arial"/>
          <w:sz w:val="12"/>
          <w:szCs w:val="12"/>
          <w:color w:val="auto"/>
        </w:rPr>
      </w:pPr>
      <w:r>
        <w:rPr>
          <w:rFonts w:ascii="Arial" w:cs="Arial" w:eastAsia="Arial" w:hAnsi="Arial"/>
          <w:sz w:val="12"/>
          <w:szCs w:val="12"/>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667" w:right="259" w:bottom="1440" w:gutter="0" w:footer="0" w:header="0"/>
        </w:sectPr>
      </w:pPr>
    </w:p>
    <w:bookmarkStart w:id="141" w:name="page142"/>
    <w:bookmarkEnd w:id="141"/>
    <w:p>
      <w:pPr>
        <w:ind w:left="216"/>
        <w:spacing w:after="0"/>
        <w:rPr>
          <w:sz w:val="20"/>
          <w:szCs w:val="20"/>
          <w:color w:val="auto"/>
        </w:rPr>
      </w:pPr>
      <w:r>
        <w:rPr>
          <w:rFonts w:ascii="Arial" w:cs="Arial" w:eastAsia="Arial" w:hAnsi="Arial"/>
          <w:sz w:val="12"/>
          <w:szCs w:val="12"/>
          <w:color w:val="auto"/>
        </w:rPr>
        <w:t>Credit Risk Committees (retail and non retail) -</w:t>
      </w:r>
    </w:p>
    <w:p>
      <w:pPr>
        <w:spacing w:after="0" w:line="150" w:lineRule="exact"/>
        <w:rPr>
          <w:sz w:val="20"/>
          <w:szCs w:val="20"/>
          <w:color w:val="auto"/>
        </w:rPr>
      </w:pPr>
    </w:p>
    <w:p>
      <w:pPr>
        <w:ind w:left="216"/>
        <w:spacing w:after="0" w:line="263" w:lineRule="auto"/>
        <w:rPr>
          <w:sz w:val="20"/>
          <w:szCs w:val="20"/>
          <w:color w:val="auto"/>
        </w:rPr>
      </w:pPr>
      <w:r>
        <w:rPr>
          <w:rFonts w:ascii="Arial" w:cs="Arial" w:eastAsia="Arial" w:hAnsi="Arial"/>
          <w:sz w:val="12"/>
          <w:szCs w:val="12"/>
          <w:color w:val="auto"/>
        </w:rPr>
        <w:t>The Credit Risk Committees are responsible for reviewing the tolerance level of the credit risk appetite, the limits of exposure and the actions for the implementation of corrective measures, in case there are deviations.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Risk Committee.</w:t>
      </w:r>
    </w:p>
    <w:p>
      <w:pPr>
        <w:spacing w:after="0" w:line="123" w:lineRule="exact"/>
        <w:rPr>
          <w:sz w:val="20"/>
          <w:szCs w:val="20"/>
          <w:color w:val="auto"/>
        </w:rPr>
      </w:pPr>
    </w:p>
    <w:p>
      <w:pPr>
        <w:ind w:left="216"/>
        <w:spacing w:after="0"/>
        <w:rPr>
          <w:sz w:val="20"/>
          <w:szCs w:val="20"/>
          <w:color w:val="auto"/>
        </w:rPr>
      </w:pPr>
      <w:r>
        <w:rPr>
          <w:rFonts w:ascii="Arial" w:cs="Arial" w:eastAsia="Arial" w:hAnsi="Arial"/>
          <w:sz w:val="12"/>
          <w:szCs w:val="12"/>
          <w:color w:val="auto"/>
        </w:rPr>
        <w:t>Treasury and ALM (Asset Liability Management) Risk Committee -</w:t>
      </w:r>
    </w:p>
    <w:p>
      <w:pPr>
        <w:spacing w:after="0" w:line="150" w:lineRule="exact"/>
        <w:rPr>
          <w:sz w:val="20"/>
          <w:szCs w:val="20"/>
          <w:color w:val="auto"/>
        </w:rPr>
      </w:pPr>
    </w:p>
    <w:p>
      <w:pPr>
        <w:ind w:left="216" w:right="20"/>
        <w:spacing w:after="0" w:line="259" w:lineRule="auto"/>
        <w:rPr>
          <w:sz w:val="20"/>
          <w:szCs w:val="20"/>
          <w:color w:val="auto"/>
        </w:rPr>
      </w:pPr>
      <w:r>
        <w:rPr>
          <w:rFonts w:ascii="Arial" w:cs="Arial" w:eastAsia="Arial" w:hAnsi="Arial"/>
          <w:sz w:val="12"/>
          <w:szCs w:val="12"/>
          <w:color w:val="auto"/>
        </w:rPr>
        <w:t>The Treasury Risk Committee and ALM Credicorp are responsible for analyzing and proposing the corporate objectives, guidelines and policies for Treasury Risk Management and ALM of all the companies of the Group. As well as, monitoring the indicators and limits of Credicorp market risk appetite and each of the companies of the Group. Further, they are responsible of be aware of the actions for the implementation of the corrective measures if there are deviations from appetite levels and risk tolerance assumed by the companies of Group. Furthermore, they are responsible for proposing the approval of any changes in the functions described above and for reporting any finding to the Risk Committee.</w:t>
      </w:r>
    </w:p>
    <w:p>
      <w:pPr>
        <w:spacing w:after="0" w:line="125" w:lineRule="exact"/>
        <w:rPr>
          <w:sz w:val="20"/>
          <w:szCs w:val="20"/>
          <w:color w:val="auto"/>
        </w:rPr>
      </w:pPr>
    </w:p>
    <w:p>
      <w:pPr>
        <w:ind w:left="216"/>
        <w:spacing w:after="0"/>
        <w:rPr>
          <w:sz w:val="20"/>
          <w:szCs w:val="20"/>
          <w:color w:val="auto"/>
        </w:rPr>
      </w:pPr>
      <w:r>
        <w:rPr>
          <w:rFonts w:ascii="Arial" w:cs="Arial" w:eastAsia="Arial" w:hAnsi="Arial"/>
          <w:sz w:val="12"/>
          <w:szCs w:val="12"/>
          <w:color w:val="auto"/>
        </w:rPr>
        <w:t>Credicorp Model Risk Committee -</w:t>
      </w:r>
    </w:p>
    <w:p>
      <w:pPr>
        <w:spacing w:after="0" w:line="150" w:lineRule="exact"/>
        <w:rPr>
          <w:sz w:val="20"/>
          <w:szCs w:val="20"/>
          <w:color w:val="auto"/>
        </w:rPr>
      </w:pPr>
    </w:p>
    <w:p>
      <w:pPr>
        <w:jc w:val="both"/>
        <w:ind w:left="216" w:right="80"/>
        <w:spacing w:after="0" w:line="298" w:lineRule="auto"/>
        <w:rPr>
          <w:sz w:val="20"/>
          <w:szCs w:val="20"/>
          <w:color w:val="auto"/>
        </w:rPr>
      </w:pPr>
      <w:r>
        <w:rPr>
          <w:rFonts w:ascii="Arial" w:cs="Arial" w:eastAsia="Arial" w:hAnsi="Arial"/>
          <w:sz w:val="11"/>
          <w:szCs w:val="11"/>
          <w:color w:val="auto"/>
        </w:rPr>
        <w:t>The Credicorp Model Risk Committee is responsible for analyzing and proposing the actions corrections in case there are deviations with respect to the degrees of exposure assumed in the Appetite for Model Risk. Likewise, it proposes the creation and/or modification of the government for model risk management, monitoring compliance with the same. The Model Risk Committee monitors the Group's data and analytical strategy and the health status of the model portfolio. They are also responsible to inform the Committee of Credicorp Risks on exposures, related to model risk, which involve variations in the risk profile.</w:t>
      </w:r>
    </w:p>
    <w:p>
      <w:pPr>
        <w:spacing w:after="0" w:line="105" w:lineRule="exact"/>
        <w:rPr>
          <w:sz w:val="20"/>
          <w:szCs w:val="20"/>
          <w:color w:val="auto"/>
        </w:rPr>
      </w:pPr>
    </w:p>
    <w:p>
      <w:pPr>
        <w:ind w:left="216"/>
        <w:spacing w:after="0"/>
        <w:rPr>
          <w:sz w:val="20"/>
          <w:szCs w:val="20"/>
          <w:color w:val="auto"/>
        </w:rPr>
      </w:pPr>
      <w:r>
        <w:rPr>
          <w:rFonts w:ascii="Arial" w:cs="Arial" w:eastAsia="Arial" w:hAnsi="Arial"/>
          <w:sz w:val="12"/>
          <w:szCs w:val="12"/>
          <w:color w:val="auto"/>
        </w:rPr>
        <w:t>Operational Risk Methodology Committee -</w:t>
      </w:r>
    </w:p>
    <w:p>
      <w:pPr>
        <w:spacing w:after="0" w:line="150" w:lineRule="exact"/>
        <w:rPr>
          <w:sz w:val="20"/>
          <w:szCs w:val="20"/>
          <w:color w:val="auto"/>
        </w:rPr>
      </w:pPr>
    </w:p>
    <w:p>
      <w:pPr>
        <w:ind w:left="216" w:right="580"/>
        <w:spacing w:after="0" w:line="276" w:lineRule="auto"/>
        <w:rPr>
          <w:sz w:val="20"/>
          <w:szCs w:val="20"/>
          <w:color w:val="auto"/>
        </w:rPr>
      </w:pPr>
      <w:r>
        <w:rPr>
          <w:rFonts w:ascii="Arial" w:cs="Arial" w:eastAsia="Arial" w:hAnsi="Arial"/>
          <w:sz w:val="12"/>
          <w:szCs w:val="12"/>
          <w:color w:val="auto"/>
        </w:rPr>
        <w:t>The Credicorp Methodological Committee of Operational Risk has as main responsibilities to review the main indicators of Operational Risk of the companies of the Credicorp Group, as well as the progress of the methodologies deployed for Operational Risk and Business Continuity. Likewise, share best practices regarding the main challenges faced by Credicorp Group companies.</w:t>
      </w:r>
    </w:p>
    <w:p>
      <w:pPr>
        <w:spacing w:after="0" w:line="115" w:lineRule="exact"/>
        <w:rPr>
          <w:sz w:val="20"/>
          <w:szCs w:val="20"/>
          <w:color w:val="auto"/>
        </w:rPr>
      </w:pPr>
    </w:p>
    <w:p>
      <w:pPr>
        <w:ind w:left="216" w:hanging="216"/>
        <w:spacing w:after="0"/>
        <w:tabs>
          <w:tab w:leader="none" w:pos="216" w:val="left"/>
        </w:tabs>
        <w:numPr>
          <w:ilvl w:val="0"/>
          <w:numId w:val="164"/>
        </w:numPr>
        <w:rPr>
          <w:rFonts w:ascii="Arial" w:cs="Arial" w:eastAsia="Arial" w:hAnsi="Arial"/>
          <w:sz w:val="12"/>
          <w:szCs w:val="12"/>
          <w:color w:val="auto"/>
        </w:rPr>
      </w:pPr>
      <w:r>
        <w:rPr>
          <w:rFonts w:ascii="Arial" w:cs="Arial" w:eastAsia="Arial" w:hAnsi="Arial"/>
          <w:sz w:val="12"/>
          <w:szCs w:val="12"/>
          <w:color w:val="auto"/>
        </w:rPr>
        <w:t>Central Risk Management -</w:t>
      </w:r>
    </w:p>
    <w:p>
      <w:pPr>
        <w:spacing w:after="0" w:line="150" w:lineRule="exact"/>
        <w:rPr>
          <w:rFonts w:ascii="Arial" w:cs="Arial" w:eastAsia="Arial" w:hAnsi="Arial"/>
          <w:sz w:val="12"/>
          <w:szCs w:val="12"/>
          <w:color w:val="auto"/>
        </w:rPr>
      </w:pPr>
    </w:p>
    <w:p>
      <w:pPr>
        <w:ind w:left="216" w:right="160"/>
        <w:spacing w:after="0" w:line="298" w:lineRule="auto"/>
        <w:rPr>
          <w:rFonts w:ascii="Arial" w:cs="Arial" w:eastAsia="Arial" w:hAnsi="Arial"/>
          <w:sz w:val="12"/>
          <w:szCs w:val="12"/>
          <w:color w:val="auto"/>
        </w:rPr>
      </w:pPr>
      <w:r>
        <w:rPr>
          <w:rFonts w:ascii="Arial" w:cs="Arial" w:eastAsia="Arial" w:hAnsi="Arial"/>
          <w:sz w:val="11"/>
          <w:szCs w:val="11"/>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Credicorp Board of Directors. Likewise, it also broadcasts the importance of adequate risk management, specifying in each of the units, their role in the timely identification and definition of actions corresponding.</w:t>
      </w:r>
    </w:p>
    <w:p>
      <w:pPr>
        <w:spacing w:after="0" w:line="105" w:lineRule="exact"/>
        <w:rPr>
          <w:rFonts w:ascii="Arial" w:cs="Arial" w:eastAsia="Arial" w:hAnsi="Arial"/>
          <w:sz w:val="12"/>
          <w:szCs w:val="12"/>
          <w:color w:val="auto"/>
        </w:rPr>
      </w:pPr>
    </w:p>
    <w:p>
      <w:pPr>
        <w:ind w:left="216" w:right="7660"/>
        <w:spacing w:after="0" w:line="501" w:lineRule="auto"/>
        <w:rPr>
          <w:rFonts w:ascii="Arial" w:cs="Arial" w:eastAsia="Arial" w:hAnsi="Arial"/>
          <w:sz w:val="12"/>
          <w:szCs w:val="12"/>
          <w:color w:val="auto"/>
        </w:rPr>
      </w:pPr>
      <w:r>
        <w:rPr>
          <w:rFonts w:ascii="Arial" w:cs="Arial" w:eastAsia="Arial" w:hAnsi="Arial"/>
          <w:sz w:val="12"/>
          <w:szCs w:val="12"/>
          <w:color w:val="auto"/>
        </w:rPr>
        <w:t>The Central Risk Management is divided into the following units: Credit Division -</w:t>
      </w:r>
    </w:p>
    <w:p>
      <w:pPr>
        <w:ind w:left="216" w:right="240"/>
        <w:spacing w:after="0" w:line="323" w:lineRule="auto"/>
        <w:rPr>
          <w:rFonts w:ascii="Arial" w:cs="Arial" w:eastAsia="Arial" w:hAnsi="Arial"/>
          <w:sz w:val="12"/>
          <w:szCs w:val="12"/>
          <w:color w:val="auto"/>
        </w:rPr>
      </w:pPr>
      <w:r>
        <w:rPr>
          <w:rFonts w:ascii="Arial" w:cs="Arial" w:eastAsia="Arial" w:hAnsi="Arial"/>
          <w:sz w:val="11"/>
          <w:szCs w:val="11"/>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Credicorp Board, respecting the laws and regulations in force.</w:t>
      </w:r>
    </w:p>
    <w:p>
      <w:pPr>
        <w:spacing w:after="0" w:line="235" w:lineRule="exact"/>
        <w:rPr>
          <w:rFonts w:ascii="Arial" w:cs="Arial" w:eastAsia="Arial" w:hAnsi="Arial"/>
          <w:sz w:val="12"/>
          <w:szCs w:val="12"/>
          <w:color w:val="auto"/>
        </w:rPr>
      </w:pPr>
    </w:p>
    <w:p>
      <w:pPr>
        <w:ind w:left="5216" w:hanging="62"/>
        <w:spacing w:after="0"/>
        <w:tabs>
          <w:tab w:leader="none" w:pos="5216" w:val="left"/>
        </w:tabs>
        <w:numPr>
          <w:ilvl w:val="1"/>
          <w:numId w:val="164"/>
        </w:numPr>
        <w:rPr>
          <w:rFonts w:ascii="Arial" w:cs="Arial" w:eastAsia="Arial" w:hAnsi="Arial"/>
          <w:sz w:val="12"/>
          <w:szCs w:val="12"/>
          <w:color w:val="auto"/>
        </w:rPr>
      </w:pPr>
      <w:r>
        <w:rPr>
          <w:rFonts w:ascii="Arial" w:cs="Arial" w:eastAsia="Arial" w:hAnsi="Arial"/>
          <w:sz w:val="12"/>
          <w:szCs w:val="12"/>
          <w:color w:val="auto"/>
        </w:rPr>
        <w:t>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36"/>
          </w:cols>
          <w:pgMar w:left="644" w:top="653" w:right="219" w:bottom="1440" w:gutter="0" w:footer="0" w:header="0"/>
        </w:sectPr>
      </w:pPr>
    </w:p>
    <w:bookmarkStart w:id="142" w:name="page143"/>
    <w:bookmarkEnd w:id="142"/>
    <w:p>
      <w:pPr>
        <w:ind w:left="216"/>
        <w:spacing w:after="0"/>
        <w:rPr>
          <w:sz w:val="20"/>
          <w:szCs w:val="20"/>
          <w:color w:val="auto"/>
        </w:rPr>
      </w:pPr>
      <w:r>
        <w:rPr>
          <w:rFonts w:ascii="Arial" w:cs="Arial" w:eastAsia="Arial" w:hAnsi="Arial"/>
          <w:sz w:val="12"/>
          <w:szCs w:val="12"/>
          <w:color w:val="auto"/>
        </w:rPr>
        <w:t>Risk Management Division -</w:t>
      </w:r>
    </w:p>
    <w:p>
      <w:pPr>
        <w:spacing w:after="0" w:line="150" w:lineRule="exact"/>
        <w:rPr>
          <w:sz w:val="20"/>
          <w:szCs w:val="20"/>
          <w:color w:val="auto"/>
        </w:rPr>
      </w:pPr>
    </w:p>
    <w:p>
      <w:pPr>
        <w:ind w:left="216" w:right="100"/>
        <w:spacing w:after="0" w:line="263" w:lineRule="auto"/>
        <w:rPr>
          <w:sz w:val="20"/>
          <w:szCs w:val="20"/>
          <w:color w:val="auto"/>
        </w:rPr>
      </w:pPr>
      <w:r>
        <w:rPr>
          <w:rFonts w:ascii="Arial" w:cs="Arial" w:eastAsia="Arial" w:hAnsi="Arial"/>
          <w:sz w:val="12"/>
          <w:szCs w:val="12"/>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regarding: global exposure and by type of risk, as well as the specific exposure of each Group company.</w:t>
      </w:r>
    </w:p>
    <w:p>
      <w:pPr>
        <w:spacing w:after="0" w:line="123" w:lineRule="exact"/>
        <w:rPr>
          <w:sz w:val="20"/>
          <w:szCs w:val="20"/>
          <w:color w:val="auto"/>
        </w:rPr>
      </w:pPr>
    </w:p>
    <w:p>
      <w:pPr>
        <w:ind w:left="216"/>
        <w:spacing w:after="0"/>
        <w:rPr>
          <w:sz w:val="20"/>
          <w:szCs w:val="20"/>
          <w:color w:val="auto"/>
        </w:rPr>
      </w:pPr>
      <w:r>
        <w:rPr>
          <w:rFonts w:ascii="Arial" w:cs="Arial" w:eastAsia="Arial" w:hAnsi="Arial"/>
          <w:sz w:val="12"/>
          <w:szCs w:val="12"/>
          <w:color w:val="auto"/>
        </w:rPr>
        <w:t>Retail Banking Risk Division -</w:t>
      </w:r>
    </w:p>
    <w:p>
      <w:pPr>
        <w:spacing w:after="0" w:line="150" w:lineRule="exact"/>
        <w:rPr>
          <w:sz w:val="20"/>
          <w:szCs w:val="20"/>
          <w:color w:val="auto"/>
        </w:rPr>
      </w:pPr>
    </w:p>
    <w:p>
      <w:pPr>
        <w:ind w:left="216"/>
        <w:spacing w:after="0"/>
        <w:rPr>
          <w:sz w:val="20"/>
          <w:szCs w:val="20"/>
          <w:color w:val="auto"/>
        </w:rPr>
      </w:pPr>
      <w:r>
        <w:rPr>
          <w:rFonts w:ascii="Arial" w:cs="Arial" w:eastAsia="Arial" w:hAnsi="Arial"/>
          <w:sz w:val="12"/>
          <w:szCs w:val="12"/>
          <w:color w:val="auto"/>
        </w:rPr>
        <w:t>This division is responsible for ensuring the quality of retail portfolio and the development of credit policies that are consistent with the overall guidelines and risk policies set by the Board of Credicorp.</w:t>
      </w:r>
    </w:p>
    <w:p>
      <w:pPr>
        <w:spacing w:after="0" w:line="150" w:lineRule="exact"/>
        <w:rPr>
          <w:sz w:val="20"/>
          <w:szCs w:val="20"/>
          <w:color w:val="auto"/>
        </w:rPr>
      </w:pPr>
    </w:p>
    <w:p>
      <w:pPr>
        <w:ind w:left="216"/>
        <w:spacing w:after="0"/>
        <w:rPr>
          <w:sz w:val="20"/>
          <w:szCs w:val="20"/>
          <w:color w:val="auto"/>
        </w:rPr>
      </w:pPr>
      <w:r>
        <w:rPr>
          <w:rFonts w:ascii="Arial" w:cs="Arial" w:eastAsia="Arial" w:hAnsi="Arial"/>
          <w:sz w:val="12"/>
          <w:szCs w:val="12"/>
          <w:color w:val="auto"/>
        </w:rPr>
        <w:t>Cybersecurity Management -</w:t>
      </w:r>
    </w:p>
    <w:p>
      <w:pPr>
        <w:spacing w:after="0" w:line="150" w:lineRule="exact"/>
        <w:rPr>
          <w:sz w:val="20"/>
          <w:szCs w:val="20"/>
          <w:color w:val="auto"/>
        </w:rPr>
      </w:pPr>
    </w:p>
    <w:p>
      <w:pPr>
        <w:ind w:left="216" w:right="20"/>
        <w:spacing w:after="0" w:line="263" w:lineRule="auto"/>
        <w:rPr>
          <w:sz w:val="20"/>
          <w:szCs w:val="20"/>
          <w:color w:val="auto"/>
        </w:rPr>
      </w:pPr>
      <w:r>
        <w:rPr>
          <w:rFonts w:ascii="Arial" w:cs="Arial" w:eastAsia="Arial" w:hAnsi="Arial"/>
          <w:sz w:val="12"/>
          <w:szCs w:val="12"/>
          <w:color w:val="auto"/>
        </w:rPr>
        <w:t>The Cybersecurity Management area establishes polices and regulatory framework for information security and cybersecurity risk management. It is also responsible for designing and implementing the strategies used to create and monitor controls that enable the permanent evaluation of regulatory framework effectiveness. In addition, the area supervises the performance of the functions of the responsible units, monitoring the processes used for the identification, assessment, recording and treatment of information security and cybersecurity risks.</w:t>
      </w:r>
    </w:p>
    <w:p>
      <w:pPr>
        <w:spacing w:after="0" w:line="123" w:lineRule="exact"/>
        <w:rPr>
          <w:sz w:val="20"/>
          <w:szCs w:val="20"/>
          <w:color w:val="auto"/>
        </w:rPr>
      </w:pPr>
    </w:p>
    <w:p>
      <w:pPr>
        <w:ind w:left="216"/>
        <w:spacing w:after="0"/>
        <w:rPr>
          <w:sz w:val="20"/>
          <w:szCs w:val="20"/>
          <w:color w:val="auto"/>
        </w:rPr>
      </w:pPr>
      <w:r>
        <w:rPr>
          <w:rFonts w:ascii="Arial" w:cs="Arial" w:eastAsia="Arial" w:hAnsi="Arial"/>
          <w:sz w:val="12"/>
          <w:szCs w:val="12"/>
          <w:color w:val="auto"/>
        </w:rPr>
        <w:t>Corporate Security and Cybernetic Crime Managament -</w:t>
      </w:r>
    </w:p>
    <w:p>
      <w:pPr>
        <w:spacing w:after="0" w:line="150" w:lineRule="exact"/>
        <w:rPr>
          <w:sz w:val="20"/>
          <w:szCs w:val="20"/>
          <w:color w:val="auto"/>
        </w:rPr>
      </w:pPr>
    </w:p>
    <w:p>
      <w:pPr>
        <w:ind w:left="216" w:right="80"/>
        <w:spacing w:after="0" w:line="276" w:lineRule="auto"/>
        <w:rPr>
          <w:sz w:val="20"/>
          <w:szCs w:val="20"/>
          <w:color w:val="auto"/>
        </w:rPr>
      </w:pPr>
      <w:r>
        <w:rPr>
          <w:rFonts w:ascii="Arial" w:cs="Arial" w:eastAsia="Arial" w:hAnsi="Arial"/>
          <w:sz w:val="12"/>
          <w:szCs w:val="12"/>
          <w:color w:val="auto"/>
        </w:rPr>
        <w:t>The Corporate Security and Cybernetic Crime Managament is responsible for implementing policies, procedures and actions that safeguard the security of employees, customers and assets of the organization, and protect the Group against incidents of fraud, security and reputational risk. In addition, it fosters a culture of prevention, which minimizes risks in fraud and security.</w:t>
      </w:r>
    </w:p>
    <w:p>
      <w:pPr>
        <w:spacing w:after="0" w:line="115" w:lineRule="exact"/>
        <w:rPr>
          <w:sz w:val="20"/>
          <w:szCs w:val="20"/>
          <w:color w:val="auto"/>
        </w:rPr>
      </w:pPr>
    </w:p>
    <w:p>
      <w:pPr>
        <w:ind w:left="216"/>
        <w:spacing w:after="0"/>
        <w:rPr>
          <w:sz w:val="20"/>
          <w:szCs w:val="20"/>
          <w:color w:val="auto"/>
        </w:rPr>
      </w:pPr>
      <w:r>
        <w:rPr>
          <w:rFonts w:ascii="Arial" w:cs="Arial" w:eastAsia="Arial" w:hAnsi="Arial"/>
          <w:sz w:val="12"/>
          <w:szCs w:val="12"/>
          <w:color w:val="auto"/>
        </w:rPr>
        <w:t>Non-financial Risks Division</w:t>
      </w:r>
    </w:p>
    <w:p>
      <w:pPr>
        <w:spacing w:after="0" w:line="150" w:lineRule="exact"/>
        <w:rPr>
          <w:sz w:val="20"/>
          <w:szCs w:val="20"/>
          <w:color w:val="auto"/>
        </w:rPr>
      </w:pPr>
    </w:p>
    <w:p>
      <w:pPr>
        <w:ind w:left="216"/>
        <w:spacing w:after="0" w:line="298" w:lineRule="auto"/>
        <w:rPr>
          <w:sz w:val="20"/>
          <w:szCs w:val="20"/>
          <w:color w:val="auto"/>
        </w:rPr>
      </w:pPr>
      <w:r>
        <w:rPr>
          <w:rFonts w:ascii="Arial" w:cs="Arial" w:eastAsia="Arial" w:hAnsi="Arial"/>
          <w:sz w:val="11"/>
          <w:szCs w:val="11"/>
          <w:color w:val="auto"/>
        </w:rPr>
        <w:t>The Non-financial Risks Division is responsible for defining a non-financial risks strategy aligned with the objectives and risk appetite set by the Board of Credicorp. This strategy seeks to strengthen the management process, generate synergies, optimize resources and achieve better results among the units responsible for managing non-financial risks in the Group. Additionally, in order to achieve the objectives defined in the non-financial risks strategy, the Division is responsible for promoting risk culture, developing talent, defining indicators and generating and following-up strategic projects and initiatives.</w:t>
      </w:r>
    </w:p>
    <w:p>
      <w:pPr>
        <w:spacing w:after="0" w:line="105" w:lineRule="exact"/>
        <w:rPr>
          <w:sz w:val="20"/>
          <w:szCs w:val="20"/>
          <w:color w:val="auto"/>
        </w:rPr>
      </w:pPr>
    </w:p>
    <w:p>
      <w:pPr>
        <w:ind w:left="216"/>
        <w:spacing w:after="0"/>
        <w:rPr>
          <w:sz w:val="20"/>
          <w:szCs w:val="20"/>
          <w:color w:val="auto"/>
        </w:rPr>
      </w:pPr>
      <w:r>
        <w:rPr>
          <w:rFonts w:ascii="Arial" w:cs="Arial" w:eastAsia="Arial" w:hAnsi="Arial"/>
          <w:sz w:val="12"/>
          <w:szCs w:val="12"/>
          <w:color w:val="auto"/>
        </w:rPr>
        <w:t>The Non-financial Risks Division was created on February 2020 and is composed by the following areas: Cybersecurity Management Area, Corporate Security and Operational Risk Management Area.</w:t>
      </w:r>
    </w:p>
    <w:p>
      <w:pPr>
        <w:spacing w:after="0" w:line="150" w:lineRule="exact"/>
        <w:rPr>
          <w:sz w:val="20"/>
          <w:szCs w:val="20"/>
          <w:color w:val="auto"/>
        </w:rPr>
      </w:pPr>
    </w:p>
    <w:p>
      <w:pPr>
        <w:ind w:left="216"/>
        <w:spacing w:after="0"/>
        <w:rPr>
          <w:sz w:val="20"/>
          <w:szCs w:val="20"/>
          <w:color w:val="auto"/>
        </w:rPr>
      </w:pPr>
      <w:r>
        <w:rPr>
          <w:rFonts w:ascii="Arial" w:cs="Arial" w:eastAsia="Arial" w:hAnsi="Arial"/>
          <w:sz w:val="12"/>
          <w:szCs w:val="12"/>
          <w:color w:val="auto"/>
        </w:rPr>
        <w:t>It is important to remark that Cybersecurity Management Area and Corporate Security were in force at December 31, 2019.</w:t>
      </w:r>
    </w:p>
    <w:p>
      <w:pPr>
        <w:spacing w:after="0" w:line="150" w:lineRule="exact"/>
        <w:rPr>
          <w:sz w:val="20"/>
          <w:szCs w:val="20"/>
          <w:color w:val="auto"/>
        </w:rPr>
      </w:pPr>
    </w:p>
    <w:p>
      <w:pPr>
        <w:ind w:left="216" w:hanging="216"/>
        <w:spacing w:after="0"/>
        <w:tabs>
          <w:tab w:leader="none" w:pos="216"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Internal Audit Division and Compliance Division -</w:t>
      </w:r>
    </w:p>
    <w:p>
      <w:pPr>
        <w:spacing w:after="0" w:line="150" w:lineRule="exact"/>
        <w:rPr>
          <w:rFonts w:ascii="Arial" w:cs="Arial" w:eastAsia="Arial" w:hAnsi="Arial"/>
          <w:sz w:val="12"/>
          <w:szCs w:val="12"/>
          <w:color w:val="auto"/>
        </w:rPr>
      </w:pPr>
    </w:p>
    <w:p>
      <w:pPr>
        <w:ind w:left="216" w:right="80"/>
        <w:spacing w:after="0" w:line="276" w:lineRule="auto"/>
        <w:rPr>
          <w:rFonts w:ascii="Arial" w:cs="Arial" w:eastAsia="Arial" w:hAnsi="Arial"/>
          <w:sz w:val="12"/>
          <w:szCs w:val="12"/>
          <w:color w:val="auto"/>
        </w:rPr>
      </w:pPr>
      <w:r>
        <w:rPr>
          <w:rFonts w:ascii="Arial" w:cs="Arial" w:eastAsia="Arial" w:hAnsi="Arial"/>
          <w:sz w:val="12"/>
          <w:szCs w:val="12"/>
          <w:color w:val="auto"/>
        </w:rPr>
        <w:t>The Audit Division is in charge of monitoring on an ongoing basis the effectiveness and efficiency of the risk management function in the Group, verifying compliance with regulations, policies, objectives and guidelines set by the Board of Directors. On the other hand, it evaluates sufficiency and integration level of Group’s information and database systems.</w:t>
      </w:r>
    </w:p>
    <w:p>
      <w:pPr>
        <w:spacing w:after="0" w:line="259" w:lineRule="exact"/>
        <w:rPr>
          <w:rFonts w:ascii="Arial" w:cs="Arial" w:eastAsia="Arial" w:hAnsi="Arial"/>
          <w:sz w:val="12"/>
          <w:szCs w:val="12"/>
          <w:color w:val="auto"/>
        </w:rPr>
      </w:pPr>
    </w:p>
    <w:p>
      <w:pPr>
        <w:ind w:left="5216" w:hanging="62"/>
        <w:spacing w:after="0"/>
        <w:tabs>
          <w:tab w:leader="none" w:pos="5216" w:val="left"/>
        </w:tabs>
        <w:numPr>
          <w:ilvl w:val="1"/>
          <w:numId w:val="165"/>
        </w:numPr>
        <w:rPr>
          <w:rFonts w:ascii="Arial" w:cs="Arial" w:eastAsia="Arial" w:hAnsi="Arial"/>
          <w:sz w:val="12"/>
          <w:szCs w:val="12"/>
          <w:color w:val="auto"/>
        </w:rPr>
      </w:pPr>
      <w:r>
        <w:rPr>
          <w:rFonts w:ascii="Arial" w:cs="Arial" w:eastAsia="Arial" w:hAnsi="Arial"/>
          <w:sz w:val="12"/>
          <w:szCs w:val="12"/>
          <w:color w:val="auto"/>
        </w:rPr>
        <w:t>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9525</wp:posOffset>
            </wp:positionV>
            <wp:extent cx="7292340" cy="571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16"/>
          </w:cols>
          <w:pgMar w:left="644" w:top="653" w:right="239" w:bottom="1440" w:gutter="0" w:footer="0" w:header="0"/>
        </w:sectPr>
      </w:pPr>
    </w:p>
    <w:bookmarkStart w:id="143" w:name="page144"/>
    <w:bookmarkEnd w:id="143"/>
    <w:p>
      <w:pPr>
        <w:ind w:left="648"/>
        <w:spacing w:after="0"/>
        <w:rPr>
          <w:sz w:val="20"/>
          <w:szCs w:val="20"/>
          <w:color w:val="auto"/>
        </w:rPr>
      </w:pPr>
      <w:r>
        <w:rPr>
          <w:rFonts w:ascii="Arial" w:cs="Arial" w:eastAsia="Arial" w:hAnsi="Arial"/>
          <w:sz w:val="12"/>
          <w:szCs w:val="12"/>
          <w:color w:val="auto"/>
        </w:rPr>
        <w:t>Finally, it ensures that independence is maintained between the functions of the risk management and business units, for each of the Group’s companies.</w:t>
      </w:r>
    </w:p>
    <w:p>
      <w:pPr>
        <w:spacing w:after="0" w:line="150" w:lineRule="exact"/>
        <w:rPr>
          <w:sz w:val="20"/>
          <w:szCs w:val="20"/>
          <w:color w:val="auto"/>
        </w:rPr>
      </w:pPr>
    </w:p>
    <w:p>
      <w:pPr>
        <w:ind w:left="648" w:right="120"/>
        <w:spacing w:after="0" w:line="276" w:lineRule="auto"/>
        <w:rPr>
          <w:sz w:val="20"/>
          <w:szCs w:val="20"/>
          <w:color w:val="auto"/>
        </w:rPr>
      </w:pPr>
      <w:r>
        <w:rPr>
          <w:rFonts w:ascii="Arial" w:cs="Arial" w:eastAsia="Arial" w:hAnsi="Arial"/>
          <w:sz w:val="12"/>
          <w:szCs w:val="12"/>
          <w:color w:val="auto"/>
        </w:rPr>
        <w:t>The Compliance and Corporate Ethics Division reports to the Board of Directors and is responsible for ensure that Credicorp Group companies specifically comply with regulations that specified them and the guidelines established in the Code of Ethics.</w:t>
      </w:r>
    </w:p>
    <w:p>
      <w:pPr>
        <w:spacing w:after="0" w:line="115" w:lineRule="exact"/>
        <w:rPr>
          <w:sz w:val="20"/>
          <w:szCs w:val="20"/>
          <w:color w:val="auto"/>
        </w:rPr>
      </w:pPr>
    </w:p>
    <w:p>
      <w:pPr>
        <w:ind w:left="208" w:hanging="208"/>
        <w:spacing w:after="0"/>
        <w:tabs>
          <w:tab w:leader="none" w:pos="208" w:val="left"/>
        </w:tabs>
        <w:numPr>
          <w:ilvl w:val="0"/>
          <w:numId w:val="166"/>
        </w:numPr>
        <w:rPr>
          <w:rFonts w:ascii="Arial" w:cs="Arial" w:eastAsia="Arial" w:hAnsi="Arial"/>
          <w:sz w:val="12"/>
          <w:szCs w:val="12"/>
          <w:color w:val="auto"/>
        </w:rPr>
      </w:pPr>
      <w:r>
        <w:rPr>
          <w:rFonts w:ascii="Arial" w:cs="Arial" w:eastAsia="Arial" w:hAnsi="Arial"/>
          <w:sz w:val="12"/>
          <w:szCs w:val="12"/>
          <w:color w:val="auto"/>
        </w:rPr>
        <w:t>Risk measurement and reporting systems -</w:t>
      </w:r>
    </w:p>
    <w:p>
      <w:pPr>
        <w:spacing w:after="0" w:line="150" w:lineRule="exact"/>
        <w:rPr>
          <w:rFonts w:ascii="Arial" w:cs="Arial" w:eastAsia="Arial" w:hAnsi="Arial"/>
          <w:sz w:val="12"/>
          <w:szCs w:val="12"/>
          <w:color w:val="auto"/>
        </w:rPr>
      </w:pPr>
    </w:p>
    <w:p>
      <w:pPr>
        <w:ind w:left="208" w:right="140"/>
        <w:spacing w:after="0" w:line="323" w:lineRule="auto"/>
        <w:rPr>
          <w:rFonts w:ascii="Arial" w:cs="Arial" w:eastAsia="Arial" w:hAnsi="Arial"/>
          <w:sz w:val="12"/>
          <w:szCs w:val="12"/>
          <w:color w:val="auto"/>
        </w:rPr>
      </w:pPr>
      <w:r>
        <w:rPr>
          <w:rFonts w:ascii="Arial" w:cs="Arial" w:eastAsia="Arial" w:hAnsi="Arial"/>
          <w:sz w:val="11"/>
          <w:szCs w:val="11"/>
          <w:color w:val="auto"/>
        </w:rPr>
        <w:t>The risk is measured according to models and methodologies developed for the management of each type of risk. Credicorp has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91" w:lineRule="exact"/>
        <w:rPr>
          <w:rFonts w:ascii="Arial" w:cs="Arial" w:eastAsia="Arial" w:hAnsi="Arial"/>
          <w:sz w:val="12"/>
          <w:szCs w:val="12"/>
          <w:color w:val="auto"/>
        </w:rPr>
      </w:pPr>
    </w:p>
    <w:p>
      <w:pPr>
        <w:ind w:left="208" w:hanging="208"/>
        <w:spacing w:after="0"/>
        <w:tabs>
          <w:tab w:leader="none" w:pos="208" w:val="left"/>
        </w:tabs>
        <w:numPr>
          <w:ilvl w:val="0"/>
          <w:numId w:val="166"/>
        </w:numPr>
        <w:rPr>
          <w:rFonts w:ascii="Arial" w:cs="Arial" w:eastAsia="Arial" w:hAnsi="Arial"/>
          <w:sz w:val="12"/>
          <w:szCs w:val="12"/>
          <w:color w:val="auto"/>
        </w:rPr>
      </w:pPr>
      <w:r>
        <w:rPr>
          <w:rFonts w:ascii="Arial" w:cs="Arial" w:eastAsia="Arial" w:hAnsi="Arial"/>
          <w:sz w:val="12"/>
          <w:szCs w:val="12"/>
          <w:color w:val="auto"/>
        </w:rPr>
        <w:t>Risk mitigation -</w:t>
      </w:r>
    </w:p>
    <w:p>
      <w:pPr>
        <w:spacing w:after="0" w:line="150" w:lineRule="exact"/>
        <w:rPr>
          <w:rFonts w:ascii="Arial" w:cs="Arial" w:eastAsia="Arial" w:hAnsi="Arial"/>
          <w:sz w:val="12"/>
          <w:szCs w:val="12"/>
          <w:color w:val="auto"/>
        </w:rPr>
      </w:pPr>
    </w:p>
    <w:p>
      <w:pPr>
        <w:ind w:left="208" w:right="40"/>
        <w:spacing w:after="0" w:line="276" w:lineRule="auto"/>
        <w:rPr>
          <w:rFonts w:ascii="Arial" w:cs="Arial" w:eastAsia="Arial" w:hAnsi="Arial"/>
          <w:sz w:val="12"/>
          <w:szCs w:val="12"/>
          <w:color w:val="auto"/>
        </w:rPr>
      </w:pPr>
      <w:r>
        <w:rPr>
          <w:rFonts w:ascii="Arial" w:cs="Arial" w:eastAsia="Arial" w:hAnsi="Arial"/>
          <w:sz w:val="12"/>
          <w:szCs w:val="12"/>
          <w:color w:val="auto"/>
        </w:rPr>
        <w:t>Depending on the type of risk, the Group uses mitigating instruments to reduce its exposure, such as guarantees, derivatives, controls and insurance, among others. Furthermore, it has policies linked to risk appetite and established procedures for each type of risk.</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The Group actively uses guarantees to reduce its credit risks.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66"/>
        </w:numPr>
        <w:rPr>
          <w:rFonts w:ascii="Arial" w:cs="Arial" w:eastAsia="Arial" w:hAnsi="Arial"/>
          <w:sz w:val="12"/>
          <w:szCs w:val="12"/>
          <w:color w:val="auto"/>
        </w:rPr>
      </w:pPr>
      <w:r>
        <w:rPr>
          <w:rFonts w:ascii="Arial" w:cs="Arial" w:eastAsia="Arial" w:hAnsi="Arial"/>
          <w:sz w:val="12"/>
          <w:szCs w:val="12"/>
          <w:color w:val="auto"/>
        </w:rPr>
        <w:t>Risk appetite -</w:t>
      </w:r>
    </w:p>
    <w:p>
      <w:pPr>
        <w:spacing w:after="0" w:line="150" w:lineRule="exact"/>
        <w:rPr>
          <w:rFonts w:ascii="Arial" w:cs="Arial" w:eastAsia="Arial" w:hAnsi="Arial"/>
          <w:sz w:val="12"/>
          <w:szCs w:val="12"/>
          <w:color w:val="auto"/>
        </w:rPr>
      </w:pPr>
    </w:p>
    <w:p>
      <w:pPr>
        <w:ind w:left="208" w:right="300"/>
        <w:spacing w:after="0" w:line="276" w:lineRule="auto"/>
        <w:rPr>
          <w:rFonts w:ascii="Arial" w:cs="Arial" w:eastAsia="Arial" w:hAnsi="Arial"/>
          <w:sz w:val="12"/>
          <w:szCs w:val="12"/>
          <w:color w:val="auto"/>
        </w:rPr>
      </w:pPr>
      <w:r>
        <w:rPr>
          <w:rFonts w:ascii="Arial" w:cs="Arial" w:eastAsia="Arial" w:hAnsi="Arial"/>
          <w:sz w:val="12"/>
          <w:szCs w:val="12"/>
          <w:color w:val="auto"/>
        </w:rPr>
        <w:t>Based on corporate risk management, Group's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Core metrics are intended to preserve the organization’s strategic pillars, defined as solvency, liquidity, profit and growth, income stability and balance sheet structure.</w:t>
      </w:r>
    </w:p>
    <w:p>
      <w:pPr>
        <w:spacing w:after="0" w:line="150"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114"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Risk appetite is instrumented through the following elements: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Risk appetite statement: Establishes explicit general principles and the qualitative declarations which complement the risk strategy.</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Metrics scorecards: These are used to define the levels of risk exposure in the different strategic pillars.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166"/>
        </w:numPr>
        <w:rPr>
          <w:rFonts w:ascii="Arial" w:cs="Arial" w:eastAsia="Arial" w:hAnsi="Arial"/>
          <w:sz w:val="11"/>
          <w:szCs w:val="11"/>
          <w:color w:val="auto"/>
        </w:rPr>
      </w:pPr>
      <w:r>
        <w:rPr>
          <w:rFonts w:ascii="Arial" w:cs="Arial" w:eastAsia="Arial" w:hAnsi="Arial"/>
          <w:sz w:val="11"/>
          <w:szCs w:val="11"/>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61" w:lineRule="exact"/>
        <w:rPr>
          <w:rFonts w:ascii="Arial" w:cs="Arial" w:eastAsia="Arial" w:hAnsi="Arial"/>
          <w:sz w:val="11"/>
          <w:szCs w:val="11"/>
          <w:color w:val="auto"/>
        </w:rPr>
      </w:pPr>
    </w:p>
    <w:p>
      <w:pPr>
        <w:ind w:left="428" w:hanging="212"/>
        <w:spacing w:after="0"/>
        <w:tabs>
          <w:tab w:leader="none" w:pos="42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Government scheme: Seeks to guarantee compliance of the framework through different roles and responsibilities assigned to the units involved.</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appetite is integrated into the processes of strategic and capital guidelines, as well as in the definition of the annual budget, facilitating the strategic decision making of the organization.</w:t>
      </w:r>
    </w:p>
    <w:p>
      <w:pPr>
        <w:spacing w:after="0" w:line="294" w:lineRule="exact"/>
        <w:rPr>
          <w:sz w:val="20"/>
          <w:szCs w:val="20"/>
          <w:color w:val="auto"/>
        </w:rPr>
      </w:pPr>
    </w:p>
    <w:p>
      <w:pPr>
        <w:jc w:val="center"/>
        <w:ind w:right="-227"/>
        <w:spacing w:after="0"/>
        <w:rPr>
          <w:sz w:val="20"/>
          <w:szCs w:val="20"/>
          <w:color w:val="auto"/>
        </w:rPr>
      </w:pPr>
      <w:r>
        <w:rPr>
          <w:rFonts w:ascii="Arial" w:cs="Arial" w:eastAsia="Arial" w:hAnsi="Arial"/>
          <w:sz w:val="12"/>
          <w:szCs w:val="12"/>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8"/>
          </w:cols>
          <w:pgMar w:left="212" w:top="653" w:right="419" w:bottom="1440" w:gutter="0" w:footer="0" w:header="0"/>
        </w:sectPr>
      </w:pPr>
    </w:p>
    <w:bookmarkStart w:id="144" w:name="page145"/>
    <w:bookmarkEnd w:id="144"/>
    <w:p>
      <w:pPr>
        <w:ind w:left="208" w:hanging="208"/>
        <w:spacing w:after="0"/>
        <w:tabs>
          <w:tab w:leader="none" w:pos="208" w:val="left"/>
        </w:tabs>
        <w:numPr>
          <w:ilvl w:val="0"/>
          <w:numId w:val="167"/>
        </w:numPr>
        <w:rPr>
          <w:rFonts w:ascii="Arial" w:cs="Arial" w:eastAsia="Arial" w:hAnsi="Arial"/>
          <w:sz w:val="12"/>
          <w:szCs w:val="12"/>
          <w:color w:val="auto"/>
        </w:rPr>
      </w:pPr>
      <w:r>
        <w:rPr>
          <w:rFonts w:ascii="Arial" w:cs="Arial" w:eastAsia="Arial" w:hAnsi="Arial"/>
          <w:sz w:val="12"/>
          <w:szCs w:val="12"/>
          <w:color w:val="auto"/>
        </w:rPr>
        <w:t>Risk concentration -</w:t>
      </w:r>
    </w:p>
    <w:p>
      <w:pPr>
        <w:spacing w:after="0" w:line="150" w:lineRule="exact"/>
        <w:rPr>
          <w:sz w:val="20"/>
          <w:szCs w:val="20"/>
          <w:color w:val="auto"/>
        </w:rPr>
      </w:pPr>
    </w:p>
    <w:p>
      <w:pPr>
        <w:ind w:left="208"/>
        <w:spacing w:after="0" w:line="276" w:lineRule="auto"/>
        <w:rPr>
          <w:sz w:val="20"/>
          <w:szCs w:val="20"/>
          <w:color w:val="auto"/>
        </w:rPr>
      </w:pPr>
      <w:r>
        <w:rPr>
          <w:rFonts w:ascii="Arial" w:cs="Arial" w:eastAsia="Arial" w:hAnsi="Arial"/>
          <w:sz w:val="12"/>
          <w:szCs w:val="12"/>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In order to avoid excessive concentrations of risk, the policies and procedures include specific guidelines to guarantee a diversified portfolio.</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34.1 Credit risk -</w:t>
      </w:r>
    </w:p>
    <w:p>
      <w:pPr>
        <w:spacing w:after="0" w:line="154" w:lineRule="exact"/>
        <w:rPr>
          <w:sz w:val="20"/>
          <w:szCs w:val="20"/>
          <w:color w:val="auto"/>
        </w:rPr>
      </w:pPr>
    </w:p>
    <w:p>
      <w:pPr>
        <w:ind w:left="508" w:hanging="220"/>
        <w:spacing w:after="0"/>
        <w:tabs>
          <w:tab w:leader="none" w:pos="508"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The Group takes on exposure to credit risk, which is the probability of suffering losses caused by debtors or counterparties failing to comply with payment obligations in on or off the balance sheet exposures.</w:t>
      </w:r>
    </w:p>
    <w:p>
      <w:pPr>
        <w:spacing w:after="0" w:line="150" w:lineRule="exact"/>
        <w:rPr>
          <w:rFonts w:ascii="Arial" w:cs="Arial" w:eastAsia="Arial" w:hAnsi="Arial"/>
          <w:sz w:val="12"/>
          <w:szCs w:val="12"/>
          <w:color w:val="auto"/>
        </w:rPr>
      </w:pPr>
    </w:p>
    <w:p>
      <w:pPr>
        <w:ind w:left="508" w:right="120"/>
        <w:spacing w:after="0" w:line="298" w:lineRule="auto"/>
        <w:rPr>
          <w:rFonts w:ascii="Arial" w:cs="Arial" w:eastAsia="Arial" w:hAnsi="Arial"/>
          <w:sz w:val="12"/>
          <w:szCs w:val="12"/>
          <w:color w:val="auto"/>
        </w:rPr>
      </w:pPr>
      <w:r>
        <w:rPr>
          <w:rFonts w:ascii="Arial" w:cs="Arial" w:eastAsia="Arial" w:hAnsi="Arial"/>
          <w:sz w:val="11"/>
          <w:szCs w:val="11"/>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showing positive fair values. Finally, all exposure to credit risk (direct or indirect) is mitigated by the control processes and policies.</w:t>
      </w:r>
    </w:p>
    <w:p>
      <w:pPr>
        <w:spacing w:after="0" w:line="105" w:lineRule="exact"/>
        <w:rPr>
          <w:rFonts w:ascii="Arial" w:cs="Arial" w:eastAsia="Arial" w:hAnsi="Arial"/>
          <w:sz w:val="12"/>
          <w:szCs w:val="12"/>
          <w:color w:val="auto"/>
        </w:rPr>
      </w:pPr>
    </w:p>
    <w:p>
      <w:pPr>
        <w:ind w:left="508"/>
        <w:spacing w:after="0"/>
        <w:rPr>
          <w:rFonts w:ascii="Arial" w:cs="Arial" w:eastAsia="Arial" w:hAnsi="Arial"/>
          <w:sz w:val="12"/>
          <w:szCs w:val="12"/>
          <w:color w:val="auto"/>
        </w:rPr>
      </w:pPr>
      <w:r>
        <w:rPr>
          <w:rFonts w:ascii="Arial" w:cs="Arial" w:eastAsia="Arial" w:hAnsi="Arial"/>
          <w:sz w:val="12"/>
          <w:szCs w:val="12"/>
          <w:color w:val="auto"/>
        </w:rPr>
        <w:t>As part of the management of this type of risk, Credicorp assigns impairment provisions for its loan portfolio at the date of the statement of financial position.</w:t>
      </w:r>
    </w:p>
    <w:p>
      <w:pPr>
        <w:spacing w:after="0" w:line="150" w:lineRule="exact"/>
        <w:rPr>
          <w:rFonts w:ascii="Arial" w:cs="Arial" w:eastAsia="Arial" w:hAnsi="Arial"/>
          <w:sz w:val="12"/>
          <w:szCs w:val="12"/>
          <w:color w:val="auto"/>
        </w:rPr>
      </w:pPr>
    </w:p>
    <w:p>
      <w:pPr>
        <w:ind w:left="508" w:right="440"/>
        <w:spacing w:after="0" w:line="276" w:lineRule="auto"/>
        <w:rPr>
          <w:rFonts w:ascii="Arial" w:cs="Arial" w:eastAsia="Arial" w:hAnsi="Arial"/>
          <w:sz w:val="12"/>
          <w:szCs w:val="12"/>
          <w:color w:val="auto"/>
        </w:rPr>
      </w:pPr>
      <w:r>
        <w:rPr>
          <w:rFonts w:ascii="Arial" w:cs="Arial" w:eastAsia="Arial" w:hAnsi="Arial"/>
          <w:sz w:val="12"/>
          <w:szCs w:val="12"/>
          <w:color w:val="auto"/>
        </w:rPr>
        <w:t>The Group defines the levels of credit risk assumed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14" w:lineRule="exact"/>
        <w:rPr>
          <w:rFonts w:ascii="Arial" w:cs="Arial" w:eastAsia="Arial" w:hAnsi="Arial"/>
          <w:sz w:val="12"/>
          <w:szCs w:val="12"/>
          <w:color w:val="auto"/>
        </w:rPr>
      </w:pPr>
    </w:p>
    <w:p>
      <w:pPr>
        <w:ind w:left="508" w:right="360"/>
        <w:spacing w:after="0" w:line="276" w:lineRule="auto"/>
        <w:rPr>
          <w:rFonts w:ascii="Arial" w:cs="Arial" w:eastAsia="Arial" w:hAnsi="Arial"/>
          <w:sz w:val="12"/>
          <w:szCs w:val="12"/>
          <w:color w:val="auto"/>
        </w:rPr>
      </w:pPr>
      <w:r>
        <w:rPr>
          <w:rFonts w:ascii="Arial" w:cs="Arial" w:eastAsia="Arial" w:hAnsi="Arial"/>
          <w:sz w:val="12"/>
          <w:szCs w:val="12"/>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14" w:lineRule="exact"/>
        <w:rPr>
          <w:rFonts w:ascii="Arial" w:cs="Arial" w:eastAsia="Arial" w:hAnsi="Arial"/>
          <w:sz w:val="12"/>
          <w:szCs w:val="12"/>
          <w:color w:val="auto"/>
        </w:rPr>
      </w:pPr>
    </w:p>
    <w:p>
      <w:pPr>
        <w:ind w:left="788" w:hanging="284"/>
        <w:spacing w:after="0"/>
        <w:tabs>
          <w:tab w:leader="none" w:pos="788" w:val="left"/>
        </w:tabs>
        <w:numPr>
          <w:ilvl w:val="1"/>
          <w:numId w:val="168"/>
        </w:numPr>
        <w:rPr>
          <w:rFonts w:ascii="Arial" w:cs="Arial" w:eastAsia="Arial" w:hAnsi="Arial"/>
          <w:sz w:val="12"/>
          <w:szCs w:val="12"/>
          <w:color w:val="auto"/>
        </w:rPr>
      </w:pPr>
      <w:r>
        <w:rPr>
          <w:rFonts w:ascii="Arial" w:cs="Arial" w:eastAsia="Arial" w:hAnsi="Arial"/>
          <w:sz w:val="12"/>
          <w:szCs w:val="12"/>
          <w:color w:val="auto"/>
        </w:rPr>
        <w:t>Collateral -</w:t>
      </w:r>
    </w:p>
    <w:p>
      <w:pPr>
        <w:spacing w:after="0" w:line="150" w:lineRule="exact"/>
        <w:rPr>
          <w:rFonts w:ascii="Arial" w:cs="Arial" w:eastAsia="Arial" w:hAnsi="Arial"/>
          <w:sz w:val="12"/>
          <w:szCs w:val="12"/>
          <w:color w:val="auto"/>
        </w:rPr>
      </w:pPr>
    </w:p>
    <w:p>
      <w:pPr>
        <w:ind w:left="788" w:right="240"/>
        <w:spacing w:after="0" w:line="276" w:lineRule="auto"/>
        <w:rPr>
          <w:rFonts w:ascii="Arial" w:cs="Arial" w:eastAsia="Arial" w:hAnsi="Arial"/>
          <w:sz w:val="12"/>
          <w:szCs w:val="12"/>
          <w:color w:val="auto"/>
        </w:rPr>
      </w:pPr>
      <w:r>
        <w:rPr>
          <w:rFonts w:ascii="Arial" w:cs="Arial" w:eastAsia="Arial" w:hAnsi="Arial"/>
          <w:sz w:val="12"/>
          <w:szCs w:val="12"/>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14" w:lineRule="exact"/>
        <w:rPr>
          <w:rFonts w:ascii="Arial" w:cs="Arial" w:eastAsia="Arial" w:hAnsi="Arial"/>
          <w:sz w:val="12"/>
          <w:szCs w:val="12"/>
          <w:color w:val="auto"/>
        </w:rPr>
      </w:pPr>
    </w:p>
    <w:p>
      <w:pPr>
        <w:ind w:left="1008" w:right="60" w:hanging="215"/>
        <w:spacing w:after="0" w:line="276" w:lineRule="auto"/>
        <w:tabs>
          <w:tab w:leader="none" w:pos="1008" w:val="left"/>
        </w:tabs>
        <w:numPr>
          <w:ilvl w:val="2"/>
          <w:numId w:val="168"/>
        </w:numPr>
        <w:rPr>
          <w:rFonts w:ascii="Arial" w:cs="Arial" w:eastAsia="Arial" w:hAnsi="Arial"/>
          <w:sz w:val="12"/>
          <w:szCs w:val="12"/>
          <w:color w:val="auto"/>
        </w:rPr>
      </w:pPr>
      <w:r>
        <w:rPr>
          <w:rFonts w:ascii="Arial" w:cs="Arial" w:eastAsia="Arial" w:hAnsi="Arial"/>
          <w:sz w:val="12"/>
          <w:szCs w:val="12"/>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14" w:lineRule="exact"/>
        <w:rPr>
          <w:rFonts w:ascii="Arial" w:cs="Arial" w:eastAsia="Arial" w:hAnsi="Arial"/>
          <w:sz w:val="12"/>
          <w:szCs w:val="12"/>
          <w:color w:val="auto"/>
        </w:rPr>
      </w:pPr>
    </w:p>
    <w:p>
      <w:pPr>
        <w:ind w:left="1008" w:right="200" w:hanging="215"/>
        <w:spacing w:after="0" w:line="276" w:lineRule="auto"/>
        <w:tabs>
          <w:tab w:leader="none" w:pos="1008" w:val="left"/>
        </w:tabs>
        <w:numPr>
          <w:ilvl w:val="2"/>
          <w:numId w:val="168"/>
        </w:numPr>
        <w:rPr>
          <w:rFonts w:ascii="Arial" w:cs="Arial" w:eastAsia="Arial" w:hAnsi="Arial"/>
          <w:sz w:val="12"/>
          <w:szCs w:val="12"/>
          <w:color w:val="auto"/>
        </w:rPr>
      </w:pPr>
      <w:r>
        <w:rPr>
          <w:rFonts w:ascii="Arial" w:cs="Arial" w:eastAsia="Arial" w:hAnsi="Arial"/>
          <w:sz w:val="12"/>
          <w:szCs w:val="12"/>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14" w:lineRule="exact"/>
        <w:rPr>
          <w:rFonts w:ascii="Arial" w:cs="Arial" w:eastAsia="Arial" w:hAnsi="Arial"/>
          <w:sz w:val="12"/>
          <w:szCs w:val="12"/>
          <w:color w:val="auto"/>
        </w:rPr>
      </w:pPr>
    </w:p>
    <w:p>
      <w:pPr>
        <w:ind w:left="1008" w:hanging="215"/>
        <w:spacing w:after="0"/>
        <w:tabs>
          <w:tab w:leader="none" w:pos="1008" w:val="left"/>
        </w:tabs>
        <w:numPr>
          <w:ilvl w:val="2"/>
          <w:numId w:val="168"/>
        </w:numPr>
        <w:rPr>
          <w:rFonts w:ascii="Arial" w:cs="Arial" w:eastAsia="Arial" w:hAnsi="Arial"/>
          <w:sz w:val="12"/>
          <w:szCs w:val="12"/>
          <w:color w:val="auto"/>
        </w:rPr>
      </w:pPr>
      <w:r>
        <w:rPr>
          <w:rFonts w:ascii="Arial" w:cs="Arial" w:eastAsia="Arial" w:hAnsi="Arial"/>
          <w:sz w:val="12"/>
          <w:szCs w:val="12"/>
          <w:color w:val="auto"/>
        </w:rPr>
        <w:t>For repurchase agreements and securities lending, collateral consists of fixed income instruments and cash.</w:t>
      </w:r>
    </w:p>
    <w:p>
      <w:pPr>
        <w:spacing w:after="0" w:line="294" w:lineRule="exact"/>
        <w:rPr>
          <w:rFonts w:ascii="Arial" w:cs="Arial" w:eastAsia="Arial" w:hAnsi="Arial"/>
          <w:sz w:val="12"/>
          <w:szCs w:val="12"/>
          <w:color w:val="auto"/>
        </w:rPr>
      </w:pPr>
    </w:p>
    <w:p>
      <w:pPr>
        <w:ind w:left="5648" w:hanging="62"/>
        <w:spacing w:after="0"/>
        <w:tabs>
          <w:tab w:leader="none" w:pos="5648" w:val="left"/>
        </w:tabs>
        <w:numPr>
          <w:ilvl w:val="3"/>
          <w:numId w:val="168"/>
        </w:numPr>
        <w:rPr>
          <w:rFonts w:ascii="Arial" w:cs="Arial" w:eastAsia="Arial" w:hAnsi="Arial"/>
          <w:sz w:val="12"/>
          <w:szCs w:val="12"/>
          <w:color w:val="auto"/>
        </w:rPr>
      </w:pPr>
      <w:r>
        <w:rPr>
          <w:rFonts w:ascii="Arial" w:cs="Arial" w:eastAsia="Arial" w:hAnsi="Arial"/>
          <w:sz w:val="12"/>
          <w:szCs w:val="12"/>
          <w:color w:val="auto"/>
        </w:rPr>
        <w:t>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53" w:right="219" w:bottom="1440" w:gutter="0" w:footer="0" w:header="0"/>
        </w:sectPr>
      </w:pPr>
    </w:p>
    <w:bookmarkStart w:id="145" w:name="page146"/>
    <w:bookmarkEnd w:id="145"/>
    <w:p>
      <w:pPr>
        <w:ind w:left="500" w:right="240"/>
        <w:spacing w:after="0" w:line="276" w:lineRule="auto"/>
        <w:rPr>
          <w:sz w:val="20"/>
          <w:szCs w:val="20"/>
          <w:color w:val="auto"/>
        </w:rPr>
      </w:pPr>
      <w:r>
        <w:rPr>
          <w:rFonts w:ascii="Arial" w:cs="Arial" w:eastAsia="Arial" w:hAnsi="Arial"/>
          <w:sz w:val="12"/>
          <w:szCs w:val="12"/>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15" w:lineRule="exact"/>
        <w:rPr>
          <w:sz w:val="20"/>
          <w:szCs w:val="20"/>
          <w:color w:val="auto"/>
        </w:rPr>
      </w:pPr>
    </w:p>
    <w:p>
      <w:pPr>
        <w:jc w:val="both"/>
        <w:ind w:left="480"/>
        <w:spacing w:after="0" w:line="263" w:lineRule="auto"/>
        <w:rPr>
          <w:sz w:val="20"/>
          <w:szCs w:val="20"/>
          <w:color w:val="auto"/>
        </w:rPr>
      </w:pPr>
      <w:r>
        <w:rPr>
          <w:rFonts w:ascii="Arial" w:cs="Arial" w:eastAsia="Arial" w:hAnsi="Arial"/>
          <w:sz w:val="12"/>
          <w:szCs w:val="12"/>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goods are sold in seniority order. The proceeds of the sale are used to reduce or amortize the outstanding credit. In general, the Group does not use recovered assets for its operational purposes.</w:t>
      </w:r>
    </w:p>
    <w:p>
      <w:pPr>
        <w:spacing w:after="0" w:line="123" w:lineRule="exact"/>
        <w:rPr>
          <w:sz w:val="20"/>
          <w:szCs w:val="20"/>
          <w:color w:val="auto"/>
        </w:rPr>
      </w:pPr>
    </w:p>
    <w:p>
      <w:pPr>
        <w:ind w:left="500" w:hanging="284"/>
        <w:spacing w:after="0"/>
        <w:tabs>
          <w:tab w:leader="none" w:pos="500" w:val="left"/>
        </w:tabs>
        <w:numPr>
          <w:ilvl w:val="1"/>
          <w:numId w:val="169"/>
        </w:numPr>
        <w:rPr>
          <w:rFonts w:ascii="Arial" w:cs="Arial" w:eastAsia="Arial" w:hAnsi="Arial"/>
          <w:sz w:val="12"/>
          <w:szCs w:val="12"/>
          <w:color w:val="auto"/>
        </w:rPr>
      </w:pPr>
      <w:r>
        <w:rPr>
          <w:rFonts w:ascii="Arial" w:cs="Arial" w:eastAsia="Arial" w:hAnsi="Arial"/>
          <w:sz w:val="12"/>
          <w:szCs w:val="12"/>
          <w:color w:val="auto"/>
        </w:rPr>
        <w:t>Derivatives -</w:t>
      </w:r>
    </w:p>
    <w:p>
      <w:pPr>
        <w:spacing w:after="0" w:line="150" w:lineRule="exact"/>
        <w:rPr>
          <w:rFonts w:ascii="Arial" w:cs="Arial" w:eastAsia="Arial" w:hAnsi="Arial"/>
          <w:sz w:val="12"/>
          <w:szCs w:val="12"/>
          <w:color w:val="auto"/>
        </w:rPr>
      </w:pPr>
    </w:p>
    <w:p>
      <w:pPr>
        <w:ind w:left="500"/>
        <w:spacing w:after="0" w:line="263" w:lineRule="auto"/>
        <w:rPr>
          <w:rFonts w:ascii="Arial" w:cs="Arial" w:eastAsia="Arial" w:hAnsi="Arial"/>
          <w:sz w:val="12"/>
          <w:szCs w:val="12"/>
          <w:color w:val="auto"/>
        </w:rPr>
      </w:pPr>
      <w:r>
        <w:rPr>
          <w:rFonts w:ascii="Arial" w:cs="Arial" w:eastAsia="Arial" w:hAnsi="Arial"/>
          <w:sz w:val="12"/>
          <w:szCs w:val="12"/>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Collateral or other security is not usually obtained for this type of risk exposure.</w:t>
      </w:r>
    </w:p>
    <w:p>
      <w:pPr>
        <w:spacing w:after="0" w:line="122" w:lineRule="exact"/>
        <w:rPr>
          <w:rFonts w:ascii="Arial" w:cs="Arial" w:eastAsia="Arial" w:hAnsi="Arial"/>
          <w:sz w:val="12"/>
          <w:szCs w:val="12"/>
          <w:color w:val="auto"/>
        </w:rPr>
      </w:pPr>
    </w:p>
    <w:p>
      <w:pPr>
        <w:ind w:left="500" w:hanging="284"/>
        <w:spacing w:after="0"/>
        <w:tabs>
          <w:tab w:leader="none" w:pos="500" w:val="left"/>
        </w:tabs>
        <w:numPr>
          <w:ilvl w:val="1"/>
          <w:numId w:val="169"/>
        </w:numPr>
        <w:rPr>
          <w:rFonts w:ascii="Arial" w:cs="Arial" w:eastAsia="Arial" w:hAnsi="Arial"/>
          <w:sz w:val="12"/>
          <w:szCs w:val="12"/>
          <w:color w:val="auto"/>
        </w:rPr>
      </w:pPr>
      <w:r>
        <w:rPr>
          <w:rFonts w:ascii="Arial" w:cs="Arial" w:eastAsia="Arial" w:hAnsi="Arial"/>
          <w:sz w:val="12"/>
          <w:szCs w:val="12"/>
          <w:color w:val="auto"/>
        </w:rPr>
        <w:t>Credit-related commitments -</w:t>
      </w:r>
    </w:p>
    <w:p>
      <w:pPr>
        <w:spacing w:after="0" w:line="150" w:lineRule="exact"/>
        <w:rPr>
          <w:rFonts w:ascii="Arial" w:cs="Arial" w:eastAsia="Arial" w:hAnsi="Arial"/>
          <w:sz w:val="12"/>
          <w:szCs w:val="12"/>
          <w:color w:val="auto"/>
        </w:rPr>
      </w:pPr>
    </w:p>
    <w:p>
      <w:pPr>
        <w:ind w:left="480" w:right="200"/>
        <w:spacing w:after="0" w:line="298" w:lineRule="auto"/>
        <w:rPr>
          <w:rFonts w:ascii="Arial" w:cs="Arial" w:eastAsia="Arial" w:hAnsi="Arial"/>
          <w:sz w:val="12"/>
          <w:szCs w:val="12"/>
          <w:color w:val="auto"/>
        </w:rPr>
      </w:pPr>
      <w:r>
        <w:rPr>
          <w:rFonts w:ascii="Arial" w:cs="Arial" w:eastAsia="Arial" w:hAnsi="Arial"/>
          <w:sz w:val="11"/>
          <w:szCs w:val="11"/>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05" w:lineRule="exact"/>
        <w:rPr>
          <w:rFonts w:ascii="Arial" w:cs="Arial" w:eastAsia="Arial" w:hAnsi="Arial"/>
          <w:sz w:val="12"/>
          <w:szCs w:val="12"/>
          <w:color w:val="auto"/>
        </w:rPr>
      </w:pPr>
    </w:p>
    <w:p>
      <w:pPr>
        <w:ind w:left="220" w:right="260" w:hanging="220"/>
        <w:spacing w:after="0" w:line="276" w:lineRule="auto"/>
        <w:tabs>
          <w:tab w:leader="none" w:pos="2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maximum exposure to credit risk at December 31, 2019 and 2018, before the effect of mitigation through any collateral, is the carrying amount of each class of financial assets indicated in Notes 34.7(a), 34.7(b) and the contingent credits detailed in Note 21(a).</w:t>
      </w:r>
    </w:p>
    <w:p>
      <w:pPr>
        <w:spacing w:after="0" w:line="1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Management is confident of its ability to continue controlling and maintaining minimal credit risk exposure within the Group, considering both its loan and securities portfolio.</w:t>
      </w:r>
    </w:p>
    <w:p>
      <w:pPr>
        <w:spacing w:after="0" w:line="150" w:lineRule="exact"/>
        <w:rPr>
          <w:rFonts w:ascii="Arial" w:cs="Arial" w:eastAsia="Arial" w:hAnsi="Arial"/>
          <w:sz w:val="12"/>
          <w:szCs w:val="12"/>
          <w:color w:val="auto"/>
        </w:rPr>
      </w:pPr>
    </w:p>
    <w:p>
      <w:pPr>
        <w:ind w:left="220" w:hanging="220"/>
        <w:spacing w:after="0"/>
        <w:tabs>
          <w:tab w:leader="none" w:pos="2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Credit risk management for loans -</w:t>
      </w:r>
    </w:p>
    <w:p>
      <w:pPr>
        <w:spacing w:after="0" w:line="150" w:lineRule="exact"/>
        <w:rPr>
          <w:rFonts w:ascii="Arial" w:cs="Arial" w:eastAsia="Arial" w:hAnsi="Arial"/>
          <w:sz w:val="12"/>
          <w:szCs w:val="12"/>
          <w:color w:val="auto"/>
        </w:rPr>
      </w:pPr>
    </w:p>
    <w:p>
      <w:pPr>
        <w:ind w:left="220" w:right="100"/>
        <w:spacing w:after="0" w:line="323" w:lineRule="auto"/>
        <w:rPr>
          <w:rFonts w:ascii="Arial" w:cs="Arial" w:eastAsia="Arial" w:hAnsi="Arial"/>
          <w:sz w:val="12"/>
          <w:szCs w:val="12"/>
          <w:color w:val="auto"/>
        </w:rPr>
      </w:pPr>
      <w:r>
        <w:rPr>
          <w:rFonts w:ascii="Arial" w:cs="Arial" w:eastAsia="Arial" w:hAnsi="Arial"/>
          <w:sz w:val="11"/>
          <w:szCs w:val="11"/>
          <w:color w:val="auto"/>
        </w:rPr>
        <w:t>The management of credit risk is mainly based on rating and scoring of the internal models of each company of the Group. In Credicorp, a quantitative and qualitative analysis is made of each client, with regard to his financial position, his credit behavior in the System and the market in which it operates; which is carried out continuously, so as to assemble the risk profile of each operation and client with a credit position in the Group.</w:t>
      </w:r>
    </w:p>
    <w:p>
      <w:pPr>
        <w:spacing w:after="0" w:line="91" w:lineRule="exact"/>
        <w:rPr>
          <w:rFonts w:ascii="Arial" w:cs="Arial" w:eastAsia="Arial" w:hAnsi="Arial"/>
          <w:sz w:val="12"/>
          <w:szCs w:val="12"/>
          <w:color w:val="auto"/>
        </w:rPr>
      </w:pPr>
    </w:p>
    <w:p>
      <w:pPr>
        <w:ind w:left="220" w:right="980"/>
        <w:spacing w:after="0" w:line="501" w:lineRule="auto"/>
        <w:rPr>
          <w:rFonts w:ascii="Arial" w:cs="Arial" w:eastAsia="Arial" w:hAnsi="Arial"/>
          <w:sz w:val="12"/>
          <w:szCs w:val="12"/>
          <w:color w:val="auto"/>
        </w:rPr>
      </w:pPr>
      <w:r>
        <w:rPr>
          <w:rFonts w:ascii="Arial" w:cs="Arial" w:eastAsia="Arial" w:hAnsi="Arial"/>
          <w:sz w:val="12"/>
          <w:szCs w:val="12"/>
          <w:color w:val="auto"/>
        </w:rPr>
        <w:t>In the Group, a loan is internally classified as past due, depending on three aspects: the number of days in arrears based on the contractually agreed due date, the subsidiary and the type of credit. In that sense: - Banco de Crédito del Perú, Mibanco, Solución Empresa Administradora Hipotecaria S.A. Edyficar S.A.S. and Bancompartir consider a loan past due:</w:t>
      </w:r>
    </w:p>
    <w:p>
      <w:pPr>
        <w:ind w:left="640" w:hanging="207"/>
        <w:spacing w:after="0"/>
        <w:tabs>
          <w:tab w:leader="none" w:pos="640" w:val="left"/>
        </w:tabs>
        <w:numPr>
          <w:ilvl w:val="2"/>
          <w:numId w:val="170"/>
        </w:numPr>
        <w:rPr>
          <w:rFonts w:ascii="Arial" w:cs="Arial" w:eastAsia="Arial" w:hAnsi="Arial"/>
          <w:sz w:val="12"/>
          <w:szCs w:val="12"/>
          <w:color w:val="auto"/>
        </w:rPr>
      </w:pPr>
      <w:r>
        <w:rPr>
          <w:rFonts w:ascii="Arial" w:cs="Arial" w:eastAsia="Arial" w:hAnsi="Arial"/>
          <w:sz w:val="12"/>
          <w:szCs w:val="12"/>
          <w:color w:val="auto"/>
        </w:rPr>
        <w:t>For corporate enterprises, large and medium companies after 15 days in arrears.</w:t>
      </w:r>
    </w:p>
    <w:p>
      <w:pPr>
        <w:spacing w:after="0" w:line="14" w:lineRule="exact"/>
        <w:rPr>
          <w:rFonts w:ascii="Arial" w:cs="Arial" w:eastAsia="Arial" w:hAnsi="Arial"/>
          <w:sz w:val="12"/>
          <w:szCs w:val="12"/>
          <w:color w:val="auto"/>
        </w:rPr>
      </w:pPr>
    </w:p>
    <w:p>
      <w:pPr>
        <w:ind w:left="640" w:hanging="207"/>
        <w:spacing w:after="0"/>
        <w:tabs>
          <w:tab w:leader="none" w:pos="640" w:val="left"/>
        </w:tabs>
        <w:numPr>
          <w:ilvl w:val="2"/>
          <w:numId w:val="170"/>
        </w:numPr>
        <w:rPr>
          <w:rFonts w:ascii="Arial" w:cs="Arial" w:eastAsia="Arial" w:hAnsi="Arial"/>
          <w:sz w:val="12"/>
          <w:szCs w:val="12"/>
          <w:color w:val="auto"/>
        </w:rPr>
      </w:pPr>
      <w:r>
        <w:rPr>
          <w:rFonts w:ascii="Arial" w:cs="Arial" w:eastAsia="Arial" w:hAnsi="Arial"/>
          <w:sz w:val="12"/>
          <w:szCs w:val="12"/>
          <w:color w:val="auto"/>
        </w:rPr>
        <w:t>For small and micro-business after 30 days past due.</w:t>
      </w:r>
    </w:p>
    <w:p>
      <w:pPr>
        <w:spacing w:after="0" w:line="303" w:lineRule="exact"/>
        <w:rPr>
          <w:rFonts w:ascii="Arial" w:cs="Arial" w:eastAsia="Arial" w:hAnsi="Arial"/>
          <w:sz w:val="12"/>
          <w:szCs w:val="12"/>
          <w:color w:val="auto"/>
        </w:rPr>
      </w:pPr>
    </w:p>
    <w:p>
      <w:pPr>
        <w:ind w:left="5360" w:hanging="62"/>
        <w:spacing w:after="0"/>
        <w:tabs>
          <w:tab w:leader="none" w:pos="5360" w:val="left"/>
        </w:tabs>
        <w:numPr>
          <w:ilvl w:val="3"/>
          <w:numId w:val="170"/>
        </w:numPr>
        <w:rPr>
          <w:rFonts w:ascii="Arial" w:cs="Arial" w:eastAsia="Arial" w:hAnsi="Arial"/>
          <w:sz w:val="12"/>
          <w:szCs w:val="12"/>
          <w:color w:val="auto"/>
        </w:rPr>
      </w:pPr>
      <w:r>
        <w:rPr>
          <w:rFonts w:ascii="Arial" w:cs="Arial" w:eastAsia="Arial" w:hAnsi="Arial"/>
          <w:sz w:val="12"/>
          <w:szCs w:val="12"/>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9525</wp:posOffset>
            </wp:positionV>
            <wp:extent cx="7292340" cy="571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60"/>
          </w:cols>
          <w:pgMar w:left="500" w:top="653" w:right="239" w:bottom="1440" w:gutter="0" w:footer="0" w:header="0"/>
        </w:sectPr>
      </w:pPr>
    </w:p>
    <w:bookmarkStart w:id="146" w:name="page147"/>
    <w:bookmarkEnd w:id="146"/>
    <w:p>
      <w:pPr>
        <w:ind w:left="424" w:hanging="207"/>
        <w:spacing w:after="0"/>
        <w:tabs>
          <w:tab w:leader="none" w:pos="424" w:val="left"/>
        </w:tabs>
        <w:numPr>
          <w:ilvl w:val="1"/>
          <w:numId w:val="171"/>
        </w:numPr>
        <w:rPr>
          <w:rFonts w:ascii="Arial" w:cs="Arial" w:eastAsia="Arial" w:hAnsi="Arial"/>
          <w:sz w:val="12"/>
          <w:szCs w:val="12"/>
          <w:color w:val="auto"/>
        </w:rPr>
      </w:pPr>
      <w:r>
        <w:rPr>
          <w:rFonts w:ascii="Arial" w:cs="Arial" w:eastAsia="Arial" w:hAnsi="Arial"/>
          <w:sz w:val="12"/>
          <w:szCs w:val="12"/>
          <w:color w:val="auto"/>
        </w:rPr>
        <w:t>For overdrafts, after 30 days past due.</w:t>
      </w:r>
    </w:p>
    <w:p>
      <w:pPr>
        <w:spacing w:after="0" w:line="14" w:lineRule="exact"/>
        <w:rPr>
          <w:rFonts w:ascii="Arial" w:cs="Arial" w:eastAsia="Arial" w:hAnsi="Arial"/>
          <w:sz w:val="12"/>
          <w:szCs w:val="12"/>
          <w:color w:val="auto"/>
        </w:rPr>
      </w:pPr>
    </w:p>
    <w:p>
      <w:pPr>
        <w:ind w:left="424" w:hanging="207"/>
        <w:spacing w:after="0"/>
        <w:tabs>
          <w:tab w:leader="none" w:pos="424" w:val="left"/>
        </w:tabs>
        <w:numPr>
          <w:ilvl w:val="1"/>
          <w:numId w:val="171"/>
        </w:numPr>
        <w:rPr>
          <w:rFonts w:ascii="Arial" w:cs="Arial" w:eastAsia="Arial" w:hAnsi="Arial"/>
          <w:sz w:val="11"/>
          <w:szCs w:val="11"/>
          <w:color w:val="auto"/>
        </w:rPr>
      </w:pPr>
      <w:r>
        <w:rPr>
          <w:rFonts w:ascii="Arial" w:cs="Arial" w:eastAsia="Arial" w:hAnsi="Arial"/>
          <w:sz w:val="11"/>
          <w:szCs w:val="11"/>
          <w:color w:val="auto"/>
        </w:rPr>
        <w:t>For consumer, mortgage and lease operation products, quotas are considered past due internally when they are between 30 and 90 days in arrears; after 90 days, the pending loan balance is considered past due.</w:t>
      </w:r>
    </w:p>
    <w:p>
      <w:pPr>
        <w:spacing w:after="0" w:line="152" w:lineRule="exact"/>
        <w:rPr>
          <w:rFonts w:ascii="Arial" w:cs="Arial" w:eastAsia="Arial" w:hAnsi="Arial"/>
          <w:sz w:val="11"/>
          <w:szCs w:val="11"/>
          <w:color w:val="auto"/>
        </w:rPr>
      </w:pPr>
    </w:p>
    <w:p>
      <w:pPr>
        <w:ind w:left="184" w:hanging="184"/>
        <w:spacing w:after="0"/>
        <w:tabs>
          <w:tab w:leader="none" w:pos="184"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Atlantic Security Bank considers a credit past due when its payment schedule of capital and/or interest exceed 90 days in arrears.</w:t>
      </w:r>
    </w:p>
    <w:p>
      <w:pPr>
        <w:spacing w:after="0" w:line="150" w:lineRule="exact"/>
        <w:rPr>
          <w:rFonts w:ascii="Arial" w:cs="Arial" w:eastAsia="Arial" w:hAnsi="Arial"/>
          <w:sz w:val="12"/>
          <w:szCs w:val="12"/>
          <w:color w:val="auto"/>
        </w:rPr>
      </w:pPr>
    </w:p>
    <w:p>
      <w:pPr>
        <w:ind w:left="184" w:hanging="184"/>
        <w:spacing w:after="0"/>
        <w:tabs>
          <w:tab w:leader="none" w:pos="184" w:val="left"/>
        </w:tabs>
        <w:numPr>
          <w:ilvl w:val="0"/>
          <w:numId w:val="171"/>
        </w:numPr>
        <w:rPr>
          <w:rFonts w:ascii="Arial" w:cs="Arial" w:eastAsia="Arial" w:hAnsi="Arial"/>
          <w:sz w:val="12"/>
          <w:szCs w:val="12"/>
          <w:color w:val="auto"/>
        </w:rPr>
      </w:pPr>
      <w:r>
        <w:rPr>
          <w:rFonts w:ascii="Arial" w:cs="Arial" w:eastAsia="Arial" w:hAnsi="Arial"/>
          <w:sz w:val="12"/>
          <w:szCs w:val="12"/>
          <w:color w:val="auto"/>
        </w:rPr>
        <w:t>Banco de Crédito de Bolivia considers a credit as an internal past due with effect from day 30 in arrears.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2"/>
          <w:szCs w:val="12"/>
          <w:color w:val="auto"/>
        </w:rPr>
        <w:t>Estimate of the expected loss -</w:t>
      </w:r>
    </w:p>
    <w:p>
      <w:pPr>
        <w:spacing w:after="0" w:line="150" w:lineRule="exact"/>
        <w:rPr>
          <w:sz w:val="20"/>
          <w:szCs w:val="20"/>
          <w:color w:val="auto"/>
        </w:rPr>
      </w:pPr>
    </w:p>
    <w:p>
      <w:pPr>
        <w:ind w:left="4"/>
        <w:spacing w:after="0" w:line="276" w:lineRule="auto"/>
        <w:rPr>
          <w:sz w:val="20"/>
          <w:szCs w:val="20"/>
          <w:color w:val="auto"/>
        </w:rPr>
      </w:pPr>
      <w:r>
        <w:rPr>
          <w:rFonts w:ascii="Arial" w:cs="Arial" w:eastAsia="Arial" w:hAnsi="Arial"/>
          <w:sz w:val="12"/>
          <w:szCs w:val="12"/>
          <w:color w:val="auto"/>
        </w:rPr>
        <w:t>The measurement of the credit loss is based on the product of the following parameters: (i) probability of default (PD) (ii) loss given default (LGD), and (iii) Exposure at default (EAD); discounted at the reporting period, using the effective interest rate. The definition of the parameters is presented below:</w:t>
      </w:r>
    </w:p>
    <w:p>
      <w:pPr>
        <w:spacing w:after="0" w:line="115" w:lineRule="exact"/>
        <w:rPr>
          <w:sz w:val="20"/>
          <w:szCs w:val="20"/>
          <w:color w:val="auto"/>
        </w:rPr>
      </w:pPr>
    </w:p>
    <w:p>
      <w:pPr>
        <w:ind w:left="284" w:right="160" w:hanging="277"/>
        <w:spacing w:after="0" w:line="276" w:lineRule="auto"/>
        <w:tabs>
          <w:tab w:leader="none" w:pos="252" w:val="left"/>
        </w:tabs>
        <w:numPr>
          <w:ilvl w:val="0"/>
          <w:numId w:val="172"/>
        </w:numPr>
        <w:rPr>
          <w:rFonts w:ascii="Arial" w:cs="Arial" w:eastAsia="Arial" w:hAnsi="Arial"/>
          <w:sz w:val="12"/>
          <w:szCs w:val="12"/>
          <w:color w:val="auto"/>
        </w:rPr>
      </w:pPr>
      <w:r>
        <w:rPr>
          <w:rFonts w:ascii="Arial" w:cs="Arial" w:eastAsia="Arial" w:hAnsi="Arial"/>
          <w:sz w:val="12"/>
          <w:szCs w:val="12"/>
          <w:color w:val="auto"/>
        </w:rPr>
        <w:t>Probability of Default (PD): this is a measurement of credit rating given internally to a customer, designed to estimate their probability of default within a specific horizon. The process of obtaining the PD is carried out through scoring and rating tools.</w:t>
      </w:r>
    </w:p>
    <w:p>
      <w:pPr>
        <w:spacing w:after="0" w:line="115" w:lineRule="exact"/>
        <w:rPr>
          <w:sz w:val="20"/>
          <w:szCs w:val="20"/>
          <w:color w:val="auto"/>
        </w:rPr>
      </w:pPr>
    </w:p>
    <w:p>
      <w:pPr>
        <w:ind w:left="264"/>
        <w:spacing w:after="0"/>
        <w:rPr>
          <w:sz w:val="20"/>
          <w:szCs w:val="20"/>
          <w:color w:val="auto"/>
        </w:rPr>
      </w:pPr>
      <w:r>
        <w:rPr>
          <w:rFonts w:ascii="Arial" w:cs="Arial" w:eastAsia="Arial" w:hAnsi="Arial"/>
          <w:sz w:val="12"/>
          <w:szCs w:val="12"/>
          <w:color w:val="auto"/>
        </w:rPr>
        <w:t>The Group considers that a financial instrument is in default if it meets the following conditions depending on the type of asset:</w:t>
      </w:r>
    </w:p>
    <w:p>
      <w:pPr>
        <w:spacing w:after="0" w:line="150" w:lineRule="exact"/>
        <w:rPr>
          <w:sz w:val="20"/>
          <w:szCs w:val="20"/>
          <w:color w:val="auto"/>
        </w:rPr>
      </w:pPr>
    </w:p>
    <w:p>
      <w:pPr>
        <w:ind w:left="424" w:right="20" w:hanging="135"/>
        <w:spacing w:after="0" w:line="276" w:lineRule="auto"/>
        <w:tabs>
          <w:tab w:leader="none" w:pos="424" w:val="left"/>
        </w:tabs>
        <w:numPr>
          <w:ilvl w:val="2"/>
          <w:numId w:val="173"/>
        </w:numPr>
        <w:rPr>
          <w:rFonts w:ascii="Arial" w:cs="Arial" w:eastAsia="Arial" w:hAnsi="Arial"/>
          <w:sz w:val="12"/>
          <w:szCs w:val="12"/>
          <w:color w:val="auto"/>
        </w:rPr>
      </w:pPr>
      <w:r>
        <w:rPr>
          <w:rFonts w:ascii="Arial" w:cs="Arial" w:eastAsia="Arial" w:hAnsi="Arial"/>
          <w:sz w:val="12"/>
          <w:szCs w:val="12"/>
          <w:color w:val="auto"/>
        </w:rPr>
        <w:t>Consumer Products, Credit Card and SME: If the costumer, at some point, presents arrears equal to or greater than 60 days and/or has operations that are refinanced, restructured, in pre-judicial, judicial proceedings or written off.</w:t>
      </w:r>
    </w:p>
    <w:p>
      <w:pPr>
        <w:spacing w:after="0" w:line="114" w:lineRule="exact"/>
        <w:rPr>
          <w:rFonts w:ascii="Arial" w:cs="Arial" w:eastAsia="Arial" w:hAnsi="Arial"/>
          <w:sz w:val="12"/>
          <w:szCs w:val="12"/>
          <w:color w:val="auto"/>
        </w:rPr>
      </w:pPr>
    </w:p>
    <w:p>
      <w:pPr>
        <w:ind w:left="424" w:hanging="135"/>
        <w:spacing w:after="0"/>
        <w:tabs>
          <w:tab w:leader="none" w:pos="424" w:val="left"/>
        </w:tabs>
        <w:numPr>
          <w:ilvl w:val="2"/>
          <w:numId w:val="173"/>
        </w:numPr>
        <w:rPr>
          <w:rFonts w:ascii="Arial" w:cs="Arial" w:eastAsia="Arial" w:hAnsi="Arial"/>
          <w:sz w:val="11"/>
          <w:szCs w:val="11"/>
          <w:color w:val="auto"/>
        </w:rPr>
      </w:pPr>
      <w:r>
        <w:rPr>
          <w:rFonts w:ascii="Arial" w:cs="Arial" w:eastAsia="Arial" w:hAnsi="Arial"/>
          <w:sz w:val="11"/>
          <w:szCs w:val="11"/>
          <w:color w:val="auto"/>
        </w:rPr>
        <w:t>Mortgage Product: If the customer, at some point, presents arrears equal to or greater 120 days and/or has operations that are refinanced, restructured, in pre-judicial, judicial proceedings or written off.</w:t>
      </w:r>
    </w:p>
    <w:p>
      <w:pPr>
        <w:spacing w:after="0" w:line="161" w:lineRule="exact"/>
        <w:rPr>
          <w:rFonts w:ascii="Arial" w:cs="Arial" w:eastAsia="Arial" w:hAnsi="Arial"/>
          <w:sz w:val="11"/>
          <w:szCs w:val="11"/>
          <w:color w:val="auto"/>
        </w:rPr>
      </w:pPr>
    </w:p>
    <w:p>
      <w:pPr>
        <w:ind w:left="424" w:right="100" w:hanging="135"/>
        <w:spacing w:after="0" w:line="276" w:lineRule="auto"/>
        <w:tabs>
          <w:tab w:leader="none" w:pos="424" w:val="left"/>
        </w:tabs>
        <w:numPr>
          <w:ilvl w:val="2"/>
          <w:numId w:val="173"/>
        </w:numPr>
        <w:rPr>
          <w:rFonts w:ascii="Arial" w:cs="Arial" w:eastAsia="Arial" w:hAnsi="Arial"/>
          <w:sz w:val="12"/>
          <w:szCs w:val="12"/>
          <w:color w:val="auto"/>
        </w:rPr>
      </w:pPr>
      <w:r>
        <w:rPr>
          <w:rFonts w:ascii="Arial" w:cs="Arial" w:eastAsia="Arial" w:hAnsi="Arial"/>
          <w:sz w:val="12"/>
          <w:szCs w:val="12"/>
          <w:color w:val="auto"/>
        </w:rPr>
        <w:t>Commercial Banking: Those customers that are in the Special Accounts portfolio or have risk classification as deficient, doubtful or lost, or have refinanced, judicial or written off operations. Also, a customer can be considered as Default in case of signs of significant qualitative impairment so as to consider it in said stage.</w:t>
      </w:r>
    </w:p>
    <w:p>
      <w:pPr>
        <w:spacing w:after="0" w:line="114" w:lineRule="exact"/>
        <w:rPr>
          <w:rFonts w:ascii="Arial" w:cs="Arial" w:eastAsia="Arial" w:hAnsi="Arial"/>
          <w:sz w:val="12"/>
          <w:szCs w:val="12"/>
          <w:color w:val="auto"/>
        </w:rPr>
      </w:pPr>
    </w:p>
    <w:p>
      <w:pPr>
        <w:ind w:left="424" w:hanging="135"/>
        <w:spacing w:after="0" w:line="276" w:lineRule="auto"/>
        <w:tabs>
          <w:tab w:leader="none" w:pos="424" w:val="left"/>
        </w:tabs>
        <w:numPr>
          <w:ilvl w:val="2"/>
          <w:numId w:val="173"/>
        </w:numPr>
        <w:rPr>
          <w:rFonts w:ascii="Arial" w:cs="Arial" w:eastAsia="Arial" w:hAnsi="Arial"/>
          <w:sz w:val="12"/>
          <w:szCs w:val="12"/>
          <w:color w:val="auto"/>
        </w:rPr>
      </w:pPr>
      <w:r>
        <w:rPr>
          <w:rFonts w:ascii="Arial" w:cs="Arial" w:eastAsia="Arial" w:hAnsi="Arial"/>
          <w:sz w:val="12"/>
          <w:szCs w:val="12"/>
          <w:color w:val="auto"/>
        </w:rPr>
        <w:t>Investments: If the instrument has a Default rating according to external rating agencies such as Fitch, Standard &amp; Poors or Moody's or with an indicator of arrears equal to or greater than 90 days. Also, a customer can be considered as Default in case of signs of significant qualitative impairment.</w:t>
      </w:r>
    </w:p>
    <w:p>
      <w:pPr>
        <w:spacing w:after="0" w:line="114" w:lineRule="exact"/>
        <w:rPr>
          <w:rFonts w:ascii="Arial" w:cs="Arial" w:eastAsia="Arial" w:hAnsi="Arial"/>
          <w:sz w:val="12"/>
          <w:szCs w:val="12"/>
          <w:color w:val="auto"/>
        </w:rPr>
      </w:pPr>
    </w:p>
    <w:p>
      <w:pPr>
        <w:ind w:left="224" w:right="140" w:hanging="224"/>
        <w:spacing w:after="0" w:line="276" w:lineRule="auto"/>
        <w:tabs>
          <w:tab w:leader="none" w:pos="227" w:val="left"/>
        </w:tabs>
        <w:numPr>
          <w:ilvl w:val="0"/>
          <w:numId w:val="173"/>
        </w:numPr>
        <w:rPr>
          <w:rFonts w:ascii="Arial" w:cs="Arial" w:eastAsia="Arial" w:hAnsi="Arial"/>
          <w:sz w:val="12"/>
          <w:szCs w:val="12"/>
          <w:color w:val="auto"/>
        </w:rPr>
      </w:pPr>
      <w:r>
        <w:rPr>
          <w:rFonts w:ascii="Arial" w:cs="Arial" w:eastAsia="Arial" w:hAnsi="Arial"/>
          <w:sz w:val="12"/>
          <w:szCs w:val="12"/>
          <w:color w:val="auto"/>
        </w:rPr>
        <w:t>Loss Given Default (LGD): Is a measurement which estimates the severity of the loss which would be incurred at the time of the default. It has two approaches in the estimate of the severity of the loss, depending on the stage of the customer:</w:t>
      </w:r>
    </w:p>
    <w:p>
      <w:pPr>
        <w:spacing w:after="0" w:line="114" w:lineRule="exact"/>
        <w:rPr>
          <w:rFonts w:ascii="Arial" w:cs="Arial" w:eastAsia="Arial" w:hAnsi="Arial"/>
          <w:sz w:val="12"/>
          <w:szCs w:val="12"/>
          <w:color w:val="auto"/>
        </w:rPr>
      </w:pPr>
    </w:p>
    <w:p>
      <w:pPr>
        <w:ind w:left="424" w:right="200" w:hanging="162"/>
        <w:spacing w:after="0" w:line="276" w:lineRule="auto"/>
        <w:tabs>
          <w:tab w:leader="none" w:pos="424" w:val="left"/>
        </w:tabs>
        <w:numPr>
          <w:ilvl w:val="1"/>
          <w:numId w:val="173"/>
        </w:numPr>
        <w:rPr>
          <w:rFonts w:ascii="Arial" w:cs="Arial" w:eastAsia="Arial" w:hAnsi="Arial"/>
          <w:sz w:val="12"/>
          <w:szCs w:val="12"/>
          <w:color w:val="auto"/>
        </w:rPr>
      </w:pPr>
      <w:r>
        <w:rPr>
          <w:rFonts w:ascii="Arial" w:cs="Arial" w:eastAsia="Arial" w:hAnsi="Arial"/>
          <w:sz w:val="12"/>
          <w:szCs w:val="12"/>
          <w:color w:val="auto"/>
        </w:rPr>
        <w:t>LGD Workout: The LGD workout is the real loss of the customers who have arrived at the stage of default. The recoveries and costs of each one of the operations are used in order to calculate it (Includes open and closed recovery processes).</w:t>
      </w:r>
    </w:p>
    <w:p>
      <w:pPr>
        <w:spacing w:after="0" w:line="114" w:lineRule="exact"/>
        <w:rPr>
          <w:rFonts w:ascii="Arial" w:cs="Arial" w:eastAsia="Arial" w:hAnsi="Arial"/>
          <w:sz w:val="12"/>
          <w:szCs w:val="12"/>
          <w:color w:val="auto"/>
        </w:rPr>
      </w:pPr>
    </w:p>
    <w:p>
      <w:pPr>
        <w:ind w:left="424" w:right="80" w:hanging="162"/>
        <w:spacing w:after="0" w:line="276" w:lineRule="auto"/>
        <w:tabs>
          <w:tab w:leader="none" w:pos="424" w:val="left"/>
        </w:tabs>
        <w:numPr>
          <w:ilvl w:val="1"/>
          <w:numId w:val="173"/>
        </w:numPr>
        <w:rPr>
          <w:rFonts w:ascii="Arial" w:cs="Arial" w:eastAsia="Arial" w:hAnsi="Arial"/>
          <w:sz w:val="12"/>
          <w:szCs w:val="12"/>
          <w:color w:val="auto"/>
        </w:rPr>
      </w:pPr>
      <w:r>
        <w:rPr>
          <w:rFonts w:ascii="Arial" w:cs="Arial" w:eastAsia="Arial" w:hAnsi="Arial"/>
          <w:sz w:val="12"/>
          <w:szCs w:val="12"/>
          <w:color w:val="auto"/>
        </w:rPr>
        <w:t>LGD ELBE (Expected Loss Best Estimate): The LGD ELBE is the loss of the contracts in a default situation, based on the time in arrears of the operation (The longer the operation is in default, the greater will be the loss level).</w:t>
      </w:r>
    </w:p>
    <w:p>
      <w:pPr>
        <w:spacing w:after="0" w:line="259" w:lineRule="exact"/>
        <w:rPr>
          <w:rFonts w:ascii="Arial" w:cs="Arial" w:eastAsia="Arial" w:hAnsi="Arial"/>
          <w:sz w:val="12"/>
          <w:szCs w:val="12"/>
          <w:color w:val="auto"/>
        </w:rPr>
      </w:pPr>
    </w:p>
    <w:p>
      <w:pPr>
        <w:ind w:left="5144" w:hanging="62"/>
        <w:spacing w:after="0"/>
        <w:tabs>
          <w:tab w:leader="none" w:pos="5144" w:val="left"/>
        </w:tabs>
        <w:numPr>
          <w:ilvl w:val="3"/>
          <w:numId w:val="173"/>
        </w:numPr>
        <w:rPr>
          <w:rFonts w:ascii="Arial" w:cs="Arial" w:eastAsia="Arial" w:hAnsi="Arial"/>
          <w:sz w:val="12"/>
          <w:szCs w:val="12"/>
          <w:color w:val="auto"/>
        </w:rPr>
      </w:pPr>
      <w:r>
        <w:rPr>
          <w:rFonts w:ascii="Arial" w:cs="Arial" w:eastAsia="Arial" w:hAnsi="Arial"/>
          <w:sz w:val="12"/>
          <w:szCs w:val="12"/>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9525</wp:posOffset>
            </wp:positionV>
            <wp:extent cx="7292340" cy="571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64"/>
          </w:cols>
          <w:pgMar w:left="716" w:top="671" w:right="319" w:bottom="1440" w:gutter="0" w:footer="0" w:header="0"/>
        </w:sectPr>
      </w:pPr>
    </w:p>
    <w:bookmarkStart w:id="147" w:name="page148"/>
    <w:bookmarkEnd w:id="147"/>
    <w:p>
      <w:pPr>
        <w:ind w:left="224" w:right="340" w:hanging="224"/>
        <w:spacing w:after="0" w:line="276" w:lineRule="auto"/>
        <w:tabs>
          <w:tab w:leader="none" w:pos="227" w:val="left"/>
        </w:tabs>
        <w:numPr>
          <w:ilvl w:val="0"/>
          <w:numId w:val="174"/>
        </w:numPr>
        <w:rPr>
          <w:rFonts w:ascii="Arial" w:cs="Arial" w:eastAsia="Arial" w:hAnsi="Arial"/>
          <w:sz w:val="12"/>
          <w:szCs w:val="12"/>
          <w:color w:val="auto"/>
        </w:rPr>
      </w:pPr>
      <w:r>
        <w:rPr>
          <w:rFonts w:ascii="Arial" w:cs="Arial" w:eastAsia="Arial" w:hAnsi="Arial"/>
          <w:sz w:val="12"/>
          <w:szCs w:val="12"/>
          <w:color w:val="auto"/>
        </w:rPr>
        <w:t>Exposure at Default (EAD): Is a measurement which estimates the exposure at the time of the customer goes into default, taking into account changes in future exposure, for example, in the case of prepayments and/or greater utilization of unused lines.</w:t>
      </w:r>
    </w:p>
    <w:p>
      <w:pPr>
        <w:spacing w:after="0" w:line="115" w:lineRule="exact"/>
        <w:rPr>
          <w:sz w:val="20"/>
          <w:szCs w:val="20"/>
          <w:color w:val="auto"/>
        </w:rPr>
      </w:pPr>
    </w:p>
    <w:p>
      <w:pPr>
        <w:ind w:left="4" w:right="120"/>
        <w:spacing w:after="0" w:line="276" w:lineRule="auto"/>
        <w:rPr>
          <w:sz w:val="20"/>
          <w:szCs w:val="20"/>
          <w:color w:val="auto"/>
        </w:rPr>
      </w:pPr>
      <w:r>
        <w:rPr>
          <w:rFonts w:ascii="Arial" w:cs="Arial" w:eastAsia="Arial" w:hAnsi="Arial"/>
          <w:sz w:val="12"/>
          <w:szCs w:val="12"/>
          <w:color w:val="auto"/>
        </w:rPr>
        <w:t>Accordingly, the estimated of the parameters take into consideration information regarding the actual conditions, as well as the projections of future macroeconomic events and conditions in three scenarios (base, optimistic and pessimistic) which are analyzed in order to obtain the expected loss.</w:t>
      </w:r>
    </w:p>
    <w:p>
      <w:pPr>
        <w:spacing w:after="0" w:line="115" w:lineRule="exact"/>
        <w:rPr>
          <w:sz w:val="20"/>
          <w:szCs w:val="20"/>
          <w:color w:val="auto"/>
        </w:rPr>
      </w:pPr>
    </w:p>
    <w:p>
      <w:pPr>
        <w:ind w:left="4" w:right="60"/>
        <w:spacing w:after="0" w:line="276" w:lineRule="auto"/>
        <w:rPr>
          <w:sz w:val="20"/>
          <w:szCs w:val="20"/>
          <w:color w:val="auto"/>
        </w:rPr>
      </w:pPr>
      <w:r>
        <w:rPr>
          <w:rFonts w:ascii="Arial" w:cs="Arial" w:eastAsia="Arial" w:hAnsi="Arial"/>
          <w:sz w:val="12"/>
          <w:szCs w:val="12"/>
          <w:color w:val="auto"/>
        </w:rPr>
        <w:t>The fundamental difference between the credit loss of an account considered as Stage 1 and Stage 2 is the PD horizon. Specifically, the estimates of Stage 1 use a maximum PD of 12 months, while those in Stage 2 will use a PD measured for the entire life of the instrument. The estimates of Stage 3 will be carried out on the basis of a best estimate LGD.</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2"/>
          <w:szCs w:val="12"/>
          <w:color w:val="auto"/>
        </w:rPr>
        <w:t>In those cases, in which the portfolio is immaterial and does not have credit score models, the option was to extrapolate the loss ratio of portfolios with comparable characteristics.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2"/>
          <w:szCs w:val="12"/>
          <w:color w:val="auto"/>
        </w:rPr>
        <w:t>Prospective information:</w:t>
      </w:r>
    </w:p>
    <w:p>
      <w:pPr>
        <w:spacing w:after="0" w:line="150" w:lineRule="exact"/>
        <w:rPr>
          <w:sz w:val="20"/>
          <w:szCs w:val="20"/>
          <w:color w:val="auto"/>
        </w:rPr>
      </w:pPr>
    </w:p>
    <w:p>
      <w:pPr>
        <w:ind w:left="4" w:right="60"/>
        <w:spacing w:after="0" w:line="276" w:lineRule="auto"/>
        <w:rPr>
          <w:sz w:val="20"/>
          <w:szCs w:val="20"/>
          <w:color w:val="auto"/>
        </w:rPr>
      </w:pPr>
      <w:r>
        <w:rPr>
          <w:rFonts w:ascii="Arial" w:cs="Arial" w:eastAsia="Arial" w:hAnsi="Arial"/>
          <w:sz w:val="12"/>
          <w:szCs w:val="12"/>
          <w:color w:val="auto"/>
        </w:rPr>
        <w:t>The measurement of expected credit losses for each stage and the evaluation of significant increases in credit risk consider information on previous events and current conditions, as well as reasonable projections based on future events and economic conditions.</w:t>
      </w:r>
    </w:p>
    <w:p>
      <w:pPr>
        <w:spacing w:after="0" w:line="115" w:lineRule="exact"/>
        <w:rPr>
          <w:sz w:val="20"/>
          <w:szCs w:val="20"/>
          <w:color w:val="auto"/>
        </w:rPr>
      </w:pPr>
    </w:p>
    <w:p>
      <w:pPr>
        <w:ind w:left="4" w:right="120"/>
        <w:spacing w:after="0" w:line="263" w:lineRule="auto"/>
        <w:rPr>
          <w:sz w:val="20"/>
          <w:szCs w:val="20"/>
          <w:color w:val="auto"/>
        </w:rPr>
      </w:pPr>
      <w:r>
        <w:rPr>
          <w:rFonts w:ascii="Arial" w:cs="Arial" w:eastAsia="Arial" w:hAnsi="Arial"/>
          <w:sz w:val="12"/>
          <w:szCs w:val="12"/>
          <w:color w:val="auto"/>
        </w:rPr>
        <w:t>For the estimation of the risk parameters (PD, LGD, EAD), used in the calculation of the provision in stages 1 and 2, the significance of the macroeconomic variables (or their variations) that have the greatest influence on each portfolio was tested. Each macroeconomic scenario used in calculating the expected loss considers projections of relevant macroeconomic variables, such as the gross domestic product (GDP), employment, terms of trade, inflation, among others, for a period of 3 years and a long-term projection.</w:t>
      </w:r>
    </w:p>
    <w:p>
      <w:pPr>
        <w:spacing w:after="0" w:line="123" w:lineRule="exact"/>
        <w:rPr>
          <w:sz w:val="20"/>
          <w:szCs w:val="20"/>
          <w:color w:val="auto"/>
        </w:rPr>
      </w:pPr>
    </w:p>
    <w:p>
      <w:pPr>
        <w:ind w:left="4"/>
        <w:spacing w:after="0" w:line="263" w:lineRule="auto"/>
        <w:rPr>
          <w:sz w:val="20"/>
          <w:szCs w:val="20"/>
          <w:color w:val="auto"/>
        </w:rPr>
      </w:pPr>
      <w:r>
        <w:rPr>
          <w:rFonts w:ascii="Arial" w:cs="Arial" w:eastAsia="Arial" w:hAnsi="Arial"/>
          <w:sz w:val="12"/>
          <w:szCs w:val="12"/>
          <w:color w:val="auto"/>
        </w:rPr>
        <w:t>The estimate of the expected loss for stages 1, 2 and 3 is a weighted estimate that considers three future macroeconomic scenarios. The base, optimistic and pessimistic scenarios, as well as the probability of occurrence of each scenario, are macroeconomic projections provided by the Economic Studies Management. It should be noted that the scenario design is adjusted quarterly. All the scenarios considered apply to portfolios subject to expected credit losses with the same probabilities.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Changes from one stage to another</w:t>
      </w:r>
    </w:p>
    <w:p>
      <w:pPr>
        <w:spacing w:after="0" w:line="150" w:lineRule="exact"/>
        <w:rPr>
          <w:sz w:val="20"/>
          <w:szCs w:val="20"/>
          <w:color w:val="auto"/>
        </w:rPr>
      </w:pPr>
    </w:p>
    <w:p>
      <w:pPr>
        <w:ind w:left="4" w:right="80"/>
        <w:spacing w:after="0" w:line="276" w:lineRule="auto"/>
        <w:rPr>
          <w:sz w:val="20"/>
          <w:szCs w:val="20"/>
          <w:color w:val="auto"/>
        </w:rPr>
      </w:pPr>
      <w:r>
        <w:rPr>
          <w:rFonts w:ascii="Arial" w:cs="Arial" w:eastAsia="Arial" w:hAnsi="Arial"/>
          <w:sz w:val="12"/>
          <w:szCs w:val="12"/>
          <w:color w:val="auto"/>
        </w:rPr>
        <w:t>The classification of an instrument as stage 1 or stage 2 depends on the concept of "significant increase in credit risk" at the reporting date compared to the origin. This classification is updated monthly. As the IFRS 9 states, this classification depends on the following criteria:</w:t>
      </w:r>
    </w:p>
    <w:p>
      <w:pPr>
        <w:spacing w:after="0" w:line="115" w:lineRule="exact"/>
        <w:rPr>
          <w:sz w:val="20"/>
          <w:szCs w:val="20"/>
          <w:color w:val="auto"/>
        </w:rPr>
      </w:pPr>
    </w:p>
    <w:p>
      <w:pPr>
        <w:ind w:left="164" w:hanging="164"/>
        <w:spacing w:after="0"/>
        <w:tabs>
          <w:tab w:leader="none" w:pos="164"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An account is classified in stage 2 if it has more than 30 days of delay.</w:t>
      </w:r>
    </w:p>
    <w:p>
      <w:pPr>
        <w:spacing w:after="0" w:line="14" w:lineRule="exact"/>
        <w:rPr>
          <w:rFonts w:ascii="Arial" w:cs="Arial" w:eastAsia="Arial" w:hAnsi="Arial"/>
          <w:sz w:val="12"/>
          <w:szCs w:val="12"/>
          <w:color w:val="auto"/>
        </w:rPr>
      </w:pPr>
    </w:p>
    <w:p>
      <w:pPr>
        <w:ind w:left="164" w:hanging="164"/>
        <w:spacing w:after="0"/>
        <w:tabs>
          <w:tab w:leader="none" w:pos="164" w:val="left"/>
        </w:tabs>
        <w:numPr>
          <w:ilvl w:val="0"/>
          <w:numId w:val="175"/>
        </w:numPr>
        <w:rPr>
          <w:rFonts w:ascii="Arial" w:cs="Arial" w:eastAsia="Arial" w:hAnsi="Arial"/>
          <w:sz w:val="10"/>
          <w:szCs w:val="10"/>
          <w:color w:val="auto"/>
        </w:rPr>
      </w:pPr>
      <w:r>
        <w:rPr>
          <w:rFonts w:ascii="Arial" w:cs="Arial" w:eastAsia="Arial" w:hAnsi="Arial"/>
          <w:sz w:val="10"/>
          <w:szCs w:val="10"/>
          <w:color w:val="auto"/>
        </w:rPr>
        <w:t>Additionally, significant risk thresholds were established based on absolute and relative thresholds that depend on the level of risk in which the instrument originated. The thresholds differ for each of the portfolios considered.</w:t>
      </w:r>
    </w:p>
    <w:p>
      <w:pPr>
        <w:spacing w:after="0" w:line="29" w:lineRule="exact"/>
        <w:rPr>
          <w:rFonts w:ascii="Arial" w:cs="Arial" w:eastAsia="Arial" w:hAnsi="Arial"/>
          <w:sz w:val="10"/>
          <w:szCs w:val="10"/>
          <w:color w:val="auto"/>
        </w:rPr>
      </w:pPr>
    </w:p>
    <w:p>
      <w:pPr>
        <w:ind w:left="164" w:hanging="164"/>
        <w:spacing w:after="0"/>
        <w:tabs>
          <w:tab w:leader="none" w:pos="164"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Additional qualitative reviews are carried out based on the segmentation of risks used in the management of Retail Banking and an individual review in Wholesale Banking.</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2"/>
          <w:szCs w:val="12"/>
          <w:color w:val="auto"/>
        </w:rPr>
        <w:t>Additionally, all those accounts classified as default at the reporting date according to the management definition used by the Group are considered as stage 3.</w:t>
      </w:r>
    </w:p>
    <w:p>
      <w:pPr>
        <w:spacing w:after="0" w:line="294" w:lineRule="exact"/>
        <w:rPr>
          <w:sz w:val="20"/>
          <w:szCs w:val="20"/>
          <w:color w:val="auto"/>
        </w:rPr>
      </w:pPr>
    </w:p>
    <w:p>
      <w:pPr>
        <w:jc w:val="center"/>
        <w:ind w:right="496"/>
        <w:spacing w:after="0"/>
        <w:rPr>
          <w:sz w:val="20"/>
          <w:szCs w:val="20"/>
          <w:color w:val="auto"/>
        </w:rPr>
      </w:pPr>
      <w:r>
        <w:rPr>
          <w:rFonts w:ascii="Arial" w:cs="Arial" w:eastAsia="Arial" w:hAnsi="Arial"/>
          <w:sz w:val="12"/>
          <w:szCs w:val="12"/>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9525</wp:posOffset>
            </wp:positionV>
            <wp:extent cx="7292340" cy="571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84"/>
          </w:cols>
          <w:pgMar w:left="716" w:top="653" w:right="19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12"/>
          <w:szCs w:val="12"/>
          <w:color w:val="auto"/>
        </w:rPr>
        <w:t>Evaluations of a significant increase in risk from initial recognition and credit deterioration are carried out independently on each reporting date. Assets can be moved in both directions from one phase to another; in this sense, a financial asset that migrated to stage 2 will return to stage 1, if its credit risk did not increase significantly from its initial recognition until a subsequent reporting period. Likewise, an asset that is in stage 3 will return to stage 2 if the credit is no longer considered to be impaired.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Expected life</w:t>
      </w:r>
    </w:p>
    <w:p>
      <w:pPr>
        <w:spacing w:after="0" w:line="150" w:lineRule="exact"/>
        <w:rPr>
          <w:sz w:val="20"/>
          <w:szCs w:val="20"/>
          <w:color w:val="auto"/>
        </w:rPr>
      </w:pPr>
    </w:p>
    <w:p>
      <w:pPr>
        <w:ind w:right="280"/>
        <w:spacing w:after="0" w:line="323" w:lineRule="auto"/>
        <w:rPr>
          <w:sz w:val="20"/>
          <w:szCs w:val="20"/>
          <w:color w:val="auto"/>
        </w:rPr>
      </w:pPr>
      <w:r>
        <w:rPr>
          <w:rFonts w:ascii="Arial" w:cs="Arial" w:eastAsia="Arial" w:hAnsi="Arial"/>
          <w:sz w:val="11"/>
          <w:szCs w:val="11"/>
          <w:color w:val="auto"/>
        </w:rPr>
        <w:t>For the instruments in stage 2 or 3, the reserves for losses will cover the expected credit losses during the expected time of the remaining useful life of the instrument. For most instruments, the expected life is limited to the remaining contractual life, adjusted by expected anticipated payments. In the case of revolving products, a statistical analysis was carried out in order to determine what would be the expected life period.</w:t>
      </w:r>
    </w:p>
    <w:p>
      <w:pPr>
        <w:spacing w:after="0" w:line="236"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9525</wp:posOffset>
            </wp:positionV>
            <wp:extent cx="7292340" cy="571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940"/>
          </w:cols>
          <w:pgMar w:left="720" w:top="653" w:right="239" w:bottom="1440" w:gutter="0" w:footer="0" w:header="0"/>
        </w:sectPr>
      </w:pPr>
    </w:p>
    <w:bookmarkStart w:id="149" w:name="page150"/>
    <w:bookmarkEnd w:id="149"/>
    <w:p>
      <w:pPr>
        <w:ind w:left="200"/>
        <w:spacing w:after="0"/>
        <w:rPr>
          <w:sz w:val="20"/>
          <w:szCs w:val="20"/>
          <w:color w:val="auto"/>
        </w:rPr>
      </w:pPr>
      <w:r>
        <w:rPr>
          <w:rFonts w:ascii="Arial" w:cs="Arial" w:eastAsia="Arial" w:hAnsi="Arial"/>
          <w:sz w:val="12"/>
          <w:szCs w:val="12"/>
          <w:color w:val="auto"/>
        </w:rPr>
        <w:t>The following is a summary of the direct credits classified into three important groups and their respective allowance for each of the types of loans:</w:t>
      </w:r>
    </w:p>
    <w:p>
      <w:pPr>
        <w:spacing w:after="0" w:line="150" w:lineRule="exact"/>
        <w:rPr>
          <w:sz w:val="20"/>
          <w:szCs w:val="20"/>
          <w:color w:val="auto"/>
        </w:rPr>
      </w:pPr>
    </w:p>
    <w:p>
      <w:pPr>
        <w:ind w:left="680" w:hanging="436"/>
        <w:spacing w:after="0"/>
        <w:tabs>
          <w:tab w:leader="none" w:pos="6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Loans neither past due nor impaired, which comprise those direct loans which currently do not have characteristics of delinquency and which are not in default.</w:t>
      </w:r>
    </w:p>
    <w:p>
      <w:pPr>
        <w:spacing w:after="0" w:line="14" w:lineRule="exact"/>
        <w:rPr>
          <w:rFonts w:ascii="Arial" w:cs="Arial" w:eastAsia="Arial" w:hAnsi="Arial"/>
          <w:sz w:val="12"/>
          <w:szCs w:val="12"/>
          <w:color w:val="auto"/>
        </w:rPr>
      </w:pPr>
    </w:p>
    <w:p>
      <w:pPr>
        <w:ind w:left="680" w:hanging="436"/>
        <w:spacing w:after="0"/>
        <w:tabs>
          <w:tab w:leader="none" w:pos="68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Past due but unimpaired loans, which comprise all of the loans of customers who are not in default, but have failed to make a payment at its contractual maturity, according to the provisions of the rules of IFRS 7.</w:t>
      </w:r>
    </w:p>
    <w:p>
      <w:pPr>
        <w:spacing w:after="0" w:line="17" w:lineRule="exact"/>
        <w:rPr>
          <w:rFonts w:ascii="Arial" w:cs="Arial" w:eastAsia="Arial" w:hAnsi="Arial"/>
          <w:sz w:val="11"/>
          <w:szCs w:val="11"/>
          <w:color w:val="auto"/>
        </w:rPr>
      </w:pPr>
    </w:p>
    <w:p>
      <w:pPr>
        <w:ind w:left="660" w:hanging="416"/>
        <w:spacing w:after="0"/>
        <w:tabs>
          <w:tab w:leader="none" w:pos="6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Impaired loans, those considered to be in stage 3 or default, as detailed in Note 34.1(c).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Commercial loans</w:t>
            </w:r>
          </w:p>
        </w:tc>
        <w:tc>
          <w:tcPr>
            <w:tcW w:w="10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Stage 1</w:t>
            </w:r>
          </w:p>
        </w:tc>
        <w:tc>
          <w:tcPr>
            <w:tcW w:w="10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Stage 2</w:t>
            </w:r>
          </w:p>
        </w:tc>
        <w:tc>
          <w:tcPr>
            <w:tcW w:w="10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Stage 3</w:t>
            </w:r>
          </w:p>
        </w:tc>
        <w:tc>
          <w:tcPr>
            <w:tcW w:w="880" w:type="dxa"/>
            <w:vAlign w:val="bottom"/>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860" w:type="dxa"/>
            <w:vAlign w:val="bottom"/>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Neither past due nor 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56,270,934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2,948,066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59,219,000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60,036,034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Past due but not impaired</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815,751</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250,311</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1,066,062</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1,252,619</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2,812,011</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2,812,011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2,321,335</w:t>
            </w:r>
          </w:p>
        </w:tc>
        <w:tc>
          <w:tcPr>
            <w:tcW w:w="100" w:type="dxa"/>
            <w:vAlign w:val="bottom"/>
            <w:shd w:val="clear" w:color="auto" w:fill="CCEEFF"/>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Gross</w:t>
            </w: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57,086,685</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3,198,377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2,812,011</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63,097,073</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63,609,988</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Less: Allowance for loan losses</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416,692</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161,190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982,950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1,560,832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1,458,187</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net</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56,669,993</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3,037,187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1,829,061</w:t>
            </w:r>
          </w:p>
        </w:tc>
        <w:tc>
          <w:tcPr>
            <w:tcW w:w="2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61,536,241</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62,151,801</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Residential mortgage loans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2</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Stage 3</w:t>
            </w:r>
          </w:p>
        </w:tc>
        <w:tc>
          <w:tcPr>
            <w:tcW w:w="200" w:type="dxa"/>
            <w:vAlign w:val="bottom"/>
          </w:tcPr>
          <w:p>
            <w:pPr>
              <w:spacing w:after="0"/>
              <w:rPr>
                <w:sz w:val="24"/>
                <w:szCs w:val="24"/>
                <w:color w:val="auto"/>
              </w:rPr>
            </w:pPr>
          </w:p>
        </w:tc>
        <w:tc>
          <w:tcPr>
            <w:tcW w:w="880" w:type="dxa"/>
            <w:vAlign w:val="bottom"/>
            <w:tcBorders>
              <w:top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86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Neither past due nor 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17,477,899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507,910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17,985,809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15,926,555</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Past due but not impaired</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424,741</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270,792</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695,533</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885,104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994,479</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994,479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959,033</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Gross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17,902,640</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778,702</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994,479</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19,675,821</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17,770,692</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Less: Allowance for loan losses</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43,217</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25,710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472,718</w:t>
            </w:r>
          </w:p>
        </w:tc>
        <w:tc>
          <w:tcPr>
            <w:tcW w:w="2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541,645</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524,169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net</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17,859,423</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752,992</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521,761</w:t>
            </w:r>
          </w:p>
        </w:tc>
        <w:tc>
          <w:tcPr>
            <w:tcW w:w="2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19,134,176</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17,246,523</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Microbusiness loans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2</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Stage 3</w:t>
            </w:r>
          </w:p>
        </w:tc>
        <w:tc>
          <w:tcPr>
            <w:tcW w:w="200" w:type="dxa"/>
            <w:vAlign w:val="bottom"/>
          </w:tcPr>
          <w:p>
            <w:pPr>
              <w:spacing w:after="0"/>
              <w:rPr>
                <w:sz w:val="24"/>
                <w:szCs w:val="24"/>
                <w:color w:val="auto"/>
              </w:rPr>
            </w:pPr>
          </w:p>
        </w:tc>
        <w:tc>
          <w:tcPr>
            <w:tcW w:w="880" w:type="dxa"/>
            <w:vAlign w:val="bottom"/>
            <w:tcBorders>
              <w:top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86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Neither past due nor 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13,363,213</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1,535,064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14,898,277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13,472,302</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Past due but not impaired</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301,879</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299,700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601,579</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526,627</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1,253,969</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1,253,969</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1,254,526</w:t>
            </w:r>
          </w:p>
        </w:tc>
        <w:tc>
          <w:tcPr>
            <w:tcW w:w="100" w:type="dxa"/>
            <w:vAlign w:val="bottom"/>
            <w:shd w:val="clear" w:color="auto" w:fill="CCEEFF"/>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Gross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13,665,092</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1,834,764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1,253,969</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16,753,825</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15,253,455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Less: Allowance for loan losses</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515,662</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249,457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931,587</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1,696,706</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1,582,187</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net</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13,149,430</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1,585,307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322,382</w:t>
            </w:r>
          </w:p>
        </w:tc>
        <w:tc>
          <w:tcPr>
            <w:tcW w:w="2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15,057,119</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13,671,268</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Consumer loans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Stage 2</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Stage 3</w:t>
            </w:r>
          </w:p>
        </w:tc>
        <w:tc>
          <w:tcPr>
            <w:tcW w:w="200" w:type="dxa"/>
            <w:vAlign w:val="bottom"/>
          </w:tcPr>
          <w:p>
            <w:pPr>
              <w:spacing w:after="0"/>
              <w:rPr>
                <w:sz w:val="24"/>
                <w:szCs w:val="24"/>
                <w:color w:val="auto"/>
              </w:rPr>
            </w:pPr>
          </w:p>
        </w:tc>
        <w:tc>
          <w:tcPr>
            <w:tcW w:w="880" w:type="dxa"/>
            <w:vAlign w:val="bottom"/>
            <w:tcBorders>
              <w:top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24"/>
                <w:szCs w:val="24"/>
                <w:color w:val="auto"/>
              </w:rPr>
            </w:pPr>
          </w:p>
        </w:tc>
        <w:tc>
          <w:tcPr>
            <w:tcW w:w="86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0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center"/>
              <w:ind w:left="60"/>
              <w:spacing w:after="0" w:line="133" w:lineRule="exact"/>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center"/>
              <w:ind w:left="40"/>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Neither past due nor 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12,108,752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1,932,209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14,040,961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12,169,306</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Past due but not impaired</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203,147</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278,295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481,442</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454,622</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758,836</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758,836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702,561</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Gross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12,311,899</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2,210,504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758,836</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15,281,239</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13,326,489</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Less: Allowance for loan losses</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263,788</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431,433</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629,558</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1,324,779</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1,387,849</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net</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12,048,111</w:t>
            </w:r>
          </w:p>
        </w:tc>
        <w:tc>
          <w:tcPr>
            <w:tcW w:w="1080" w:type="dxa"/>
            <w:vAlign w:val="bottom"/>
            <w:gridSpan w:val="3"/>
          </w:tcPr>
          <w:p>
            <w:pPr>
              <w:jc w:val="right"/>
              <w:ind w:right="200"/>
              <w:spacing w:after="0"/>
              <w:rPr>
                <w:sz w:val="20"/>
                <w:szCs w:val="20"/>
                <w:color w:val="auto"/>
              </w:rPr>
            </w:pPr>
            <w:r>
              <w:rPr>
                <w:rFonts w:ascii="Arial" w:cs="Arial" w:eastAsia="Arial" w:hAnsi="Arial"/>
                <w:sz w:val="12"/>
                <w:szCs w:val="12"/>
                <w:color w:val="auto"/>
              </w:rPr>
              <w:t>1,779,071</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129,278</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13,956,460</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11,938,640</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- 145 -</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50" w:name="page151"/>
    <w:bookmarkEnd w:id="150"/>
    <w:p>
      <w:pPr>
        <w:ind w:left="420"/>
        <w:spacing w:after="0"/>
        <w:rPr>
          <w:sz w:val="20"/>
          <w:szCs w:val="20"/>
          <w:color w:val="auto"/>
        </w:rPr>
      </w:pPr>
      <w:r>
        <w:rPr>
          <w:rFonts w:ascii="Arial" w:cs="Arial" w:eastAsia="Arial" w:hAnsi="Arial"/>
          <w:sz w:val="12"/>
          <w:szCs w:val="12"/>
          <w:color w:val="auto"/>
        </w:rPr>
        <w:t>In accordance with IFRS 7, the entire loan balance is considered past due when debtors have failed to make a payment when contractually due.</w:t>
      </w:r>
    </w:p>
    <w:p>
      <w:pPr>
        <w:spacing w:after="0" w:line="150" w:lineRule="exact"/>
        <w:rPr>
          <w:sz w:val="20"/>
          <w:szCs w:val="20"/>
          <w:color w:val="auto"/>
        </w:rPr>
      </w:pPr>
    </w:p>
    <w:p>
      <w:pPr>
        <w:ind w:left="420" w:right="80"/>
        <w:spacing w:after="0" w:line="276" w:lineRule="auto"/>
        <w:rPr>
          <w:sz w:val="20"/>
          <w:szCs w:val="20"/>
          <w:color w:val="auto"/>
        </w:rPr>
      </w:pPr>
      <w:r>
        <w:rPr>
          <w:rFonts w:ascii="Arial" w:cs="Arial" w:eastAsia="Arial" w:hAnsi="Arial"/>
          <w:sz w:val="12"/>
          <w:szCs w:val="12"/>
          <w:color w:val="auto"/>
        </w:rPr>
        <w:t>At December 31, 2019, the renegotiated credits amount to approximately S/ 1,186.3 million, of which S/ 118.6 million are classified as not past due nor impaired, S/ 160.3 million as past due but not impaired and S/ 907.4 million as impaired but not past due (S/ 1,281.5 million, S/ 339.6 million, S/ 270.3 million and S/ 671.5 million, respectively, at December 31, 2018).</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01"/>
        </w:trPr>
        <w:tc>
          <w:tcPr>
            <w:tcW w:w="3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8"/>
                <w:szCs w:val="8"/>
                <w:b w:val="1"/>
                <w:bCs w:val="1"/>
                <w:color w:val="auto"/>
              </w:rPr>
              <w:t>At December 31, 2019</w:t>
            </w: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8"/>
                <w:szCs w:val="8"/>
                <w:b w:val="1"/>
                <w:bCs w:val="1"/>
                <w:color w:val="auto"/>
                <w:w w:val="94"/>
              </w:rPr>
              <w:t>At December 31, 2018</w:t>
            </w: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68"/>
        </w:trPr>
        <w:tc>
          <w:tcPr>
            <w:tcW w:w="3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Residential</w:t>
            </w:r>
          </w:p>
        </w:tc>
        <w:tc>
          <w:tcPr>
            <w:tcW w:w="220" w:type="dxa"/>
            <w:vAlign w:val="bottom"/>
          </w:tcPr>
          <w:p>
            <w:pPr>
              <w:spacing w:after="0"/>
              <w:rPr>
                <w:sz w:val="5"/>
                <w:szCs w:val="5"/>
                <w:color w:val="auto"/>
              </w:rPr>
            </w:pPr>
          </w:p>
        </w:tc>
        <w:tc>
          <w:tcPr>
            <w:tcW w:w="800" w:type="dxa"/>
            <w:vAlign w:val="bottom"/>
            <w:gridSpan w:val="2"/>
          </w:tcPr>
          <w:p>
            <w:pPr>
              <w:jc w:val="center"/>
              <w:ind w:right="220"/>
              <w:spacing w:after="0" w:line="69" w:lineRule="exact"/>
              <w:rPr>
                <w:sz w:val="20"/>
                <w:szCs w:val="20"/>
                <w:color w:val="auto"/>
              </w:rPr>
            </w:pPr>
            <w:r>
              <w:rPr>
                <w:rFonts w:ascii="Arial" w:cs="Arial" w:eastAsia="Arial" w:hAnsi="Arial"/>
                <w:sz w:val="7"/>
                <w:szCs w:val="7"/>
                <w:b w:val="1"/>
                <w:bCs w:val="1"/>
                <w:color w:val="auto"/>
              </w:rPr>
              <w:t>Small and</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gridSpan w:val="2"/>
          </w:tcPr>
          <w:p>
            <w:pPr>
              <w:jc w:val="center"/>
              <w:ind w:right="60"/>
              <w:spacing w:after="0" w:line="69" w:lineRule="exact"/>
              <w:rPr>
                <w:sz w:val="20"/>
                <w:szCs w:val="20"/>
                <w:color w:val="auto"/>
              </w:rPr>
            </w:pPr>
            <w:r>
              <w:rPr>
                <w:rFonts w:ascii="Arial" w:cs="Arial" w:eastAsia="Arial" w:hAnsi="Arial"/>
                <w:sz w:val="7"/>
                <w:szCs w:val="7"/>
                <w:b w:val="1"/>
                <w:bCs w:val="1"/>
                <w:color w:val="auto"/>
              </w:rPr>
              <w:t>Residential</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0"/>
        </w:trPr>
        <w:tc>
          <w:tcPr>
            <w:tcW w:w="3220" w:type="dxa"/>
            <w:vAlign w:val="bottom"/>
          </w:tcPr>
          <w:p>
            <w:pPr>
              <w:spacing w:after="0"/>
              <w:rPr>
                <w:sz w:val="7"/>
                <w:szCs w:val="7"/>
                <w:color w:val="auto"/>
              </w:rPr>
            </w:pPr>
          </w:p>
        </w:tc>
        <w:tc>
          <w:tcPr>
            <w:tcW w:w="74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Commercial</w:t>
            </w:r>
          </w:p>
        </w:tc>
        <w:tc>
          <w:tcPr>
            <w:tcW w:w="5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8"/>
              </w:rPr>
              <w:t>mortgage</w:t>
            </w:r>
          </w:p>
        </w:tc>
        <w:tc>
          <w:tcPr>
            <w:tcW w:w="220" w:type="dxa"/>
            <w:vAlign w:val="bottom"/>
          </w:tcPr>
          <w:p>
            <w:pPr>
              <w:spacing w:after="0"/>
              <w:rPr>
                <w:sz w:val="7"/>
                <w:szCs w:val="7"/>
                <w:color w:val="auto"/>
              </w:rPr>
            </w:pPr>
          </w:p>
        </w:tc>
        <w:tc>
          <w:tcPr>
            <w:tcW w:w="8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microenterprise</w:t>
            </w:r>
          </w:p>
        </w:tc>
        <w:tc>
          <w:tcPr>
            <w:tcW w:w="72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Consumer</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Commercial</w:t>
            </w:r>
          </w:p>
        </w:tc>
        <w:tc>
          <w:tcPr>
            <w:tcW w:w="540" w:type="dxa"/>
            <w:vAlign w:val="bottom"/>
            <w:gridSpan w:val="2"/>
          </w:tcPr>
          <w:p>
            <w:pPr>
              <w:jc w:val="center"/>
              <w:ind w:right="40"/>
              <w:spacing w:after="0" w:line="90" w:lineRule="exact"/>
              <w:rPr>
                <w:sz w:val="20"/>
                <w:szCs w:val="20"/>
                <w:color w:val="auto"/>
              </w:rPr>
            </w:pPr>
            <w:r>
              <w:rPr>
                <w:rFonts w:ascii="Arial" w:cs="Arial" w:eastAsia="Arial" w:hAnsi="Arial"/>
                <w:sz w:val="8"/>
                <w:szCs w:val="8"/>
                <w:b w:val="1"/>
                <w:bCs w:val="1"/>
                <w:color w:val="auto"/>
                <w:w w:val="93"/>
              </w:rPr>
              <w:t>mortgage</w:t>
            </w:r>
          </w:p>
        </w:tc>
        <w:tc>
          <w:tcPr>
            <w:tcW w:w="860" w:type="dxa"/>
            <w:vAlign w:val="bottom"/>
            <w:gridSpan w:val="3"/>
          </w:tcPr>
          <w:p>
            <w:pPr>
              <w:jc w:val="center"/>
              <w:ind w:right="20"/>
              <w:spacing w:after="0" w:line="90" w:lineRule="exact"/>
              <w:rPr>
                <w:sz w:val="20"/>
                <w:szCs w:val="20"/>
                <w:color w:val="auto"/>
              </w:rPr>
            </w:pPr>
            <w:r>
              <w:rPr>
                <w:rFonts w:ascii="Arial" w:cs="Arial" w:eastAsia="Arial" w:hAnsi="Arial"/>
                <w:sz w:val="8"/>
                <w:szCs w:val="8"/>
                <w:b w:val="1"/>
                <w:bCs w:val="1"/>
                <w:color w:val="auto"/>
                <w:w w:val="92"/>
              </w:rPr>
              <w:t>Microbusiness</w:t>
            </w:r>
          </w:p>
        </w:tc>
        <w:tc>
          <w:tcPr>
            <w:tcW w:w="72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0"/>
              </w:rPr>
              <w:t>Consumer</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1"/>
        </w:trPr>
        <w:tc>
          <w:tcPr>
            <w:tcW w:w="3220" w:type="dxa"/>
            <w:vAlign w:val="bottom"/>
          </w:tcPr>
          <w:p>
            <w:pPr>
              <w:spacing w:after="0"/>
              <w:rPr>
                <w:sz w:val="8"/>
                <w:szCs w:val="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loans</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w w:val="95"/>
              </w:rPr>
              <w:t>loans</w:t>
            </w:r>
          </w:p>
        </w:tc>
        <w:tc>
          <w:tcPr>
            <w:tcW w:w="220" w:type="dxa"/>
            <w:vAlign w:val="bottom"/>
          </w:tcPr>
          <w:p>
            <w:pPr>
              <w:spacing w:after="0"/>
              <w:rPr>
                <w:sz w:val="8"/>
                <w:szCs w:val="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5"/>
              </w:rPr>
              <w:t>loans</w:t>
            </w: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5"/>
              </w:rPr>
              <w:t>loans</w:t>
            </w:r>
          </w:p>
        </w:tc>
        <w:tc>
          <w:tcPr>
            <w:tcW w:w="700" w:type="dxa"/>
            <w:vAlign w:val="bottom"/>
            <w:gridSpan w:val="2"/>
          </w:tcPr>
          <w:p>
            <w:pPr>
              <w:ind w:left="160"/>
              <w:spacing w:after="0"/>
              <w:rPr>
                <w:sz w:val="20"/>
                <w:szCs w:val="20"/>
                <w:color w:val="auto"/>
              </w:rPr>
            </w:pPr>
            <w:r>
              <w:rPr>
                <w:rFonts w:ascii="Arial" w:cs="Arial" w:eastAsia="Arial" w:hAnsi="Arial"/>
                <w:sz w:val="8"/>
                <w:szCs w:val="8"/>
                <w:b w:val="1"/>
                <w:bCs w:val="1"/>
                <w:color w:val="auto"/>
              </w:rPr>
              <w:t>Total</w:t>
            </w:r>
          </w:p>
        </w:tc>
        <w:tc>
          <w:tcPr>
            <w:tcW w:w="700" w:type="dxa"/>
            <w:vAlign w:val="bottom"/>
            <w:gridSpan w:val="2"/>
          </w:tcPr>
          <w:p>
            <w:pPr>
              <w:ind w:left="160"/>
              <w:spacing w:after="0"/>
              <w:rPr>
                <w:sz w:val="20"/>
                <w:szCs w:val="20"/>
                <w:color w:val="auto"/>
              </w:rPr>
            </w:pPr>
            <w:r>
              <w:rPr>
                <w:rFonts w:ascii="Arial" w:cs="Arial" w:eastAsia="Arial" w:hAnsi="Arial"/>
                <w:sz w:val="8"/>
                <w:szCs w:val="8"/>
                <w:b w:val="1"/>
                <w:bCs w:val="1"/>
                <w:color w:val="auto"/>
              </w:rPr>
              <w:t>loans</w:t>
            </w:r>
          </w:p>
        </w:tc>
        <w:tc>
          <w:tcPr>
            <w:tcW w:w="54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w w:val="85"/>
              </w:rPr>
              <w:t>loans</w:t>
            </w:r>
          </w:p>
        </w:tc>
        <w:tc>
          <w:tcPr>
            <w:tcW w:w="160" w:type="dxa"/>
            <w:vAlign w:val="bottom"/>
          </w:tcPr>
          <w:p>
            <w:pPr>
              <w:spacing w:after="0"/>
              <w:rPr>
                <w:sz w:val="8"/>
                <w:szCs w:val="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5"/>
              </w:rPr>
              <w:t>loans</w:t>
            </w:r>
          </w:p>
        </w:tc>
        <w:tc>
          <w:tcPr>
            <w:tcW w:w="72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5"/>
              </w:rPr>
              <w:t>loans</w:t>
            </w:r>
          </w:p>
        </w:tc>
        <w:tc>
          <w:tcPr>
            <w:tcW w:w="600" w:type="dxa"/>
            <w:vAlign w:val="bottom"/>
            <w:gridSpan w:val="2"/>
          </w:tcPr>
          <w:p>
            <w:pPr>
              <w:ind w:left="160"/>
              <w:spacing w:after="0"/>
              <w:rPr>
                <w:sz w:val="20"/>
                <w:szCs w:val="20"/>
                <w:color w:val="auto"/>
              </w:rPr>
            </w:pPr>
            <w:r>
              <w:rPr>
                <w:rFonts w:ascii="Arial" w:cs="Arial" w:eastAsia="Arial" w:hAnsi="Arial"/>
                <w:sz w:val="8"/>
                <w:szCs w:val="8"/>
                <w:b w:val="1"/>
                <w:bCs w:val="1"/>
                <w:color w:val="auto"/>
              </w:rPr>
              <w:t>Total</w:t>
            </w:r>
          </w:p>
        </w:tc>
      </w:tr>
      <w:tr>
        <w:trPr>
          <w:trHeight w:val="79"/>
        </w:trPr>
        <w:tc>
          <w:tcPr>
            <w:tcW w:w="3220" w:type="dxa"/>
            <w:vAlign w:val="bottom"/>
          </w:tcPr>
          <w:p>
            <w:pPr>
              <w:spacing w:after="0"/>
              <w:rPr>
                <w:sz w:val="6"/>
                <w:szCs w:val="6"/>
                <w:color w:val="auto"/>
              </w:rPr>
            </w:pPr>
          </w:p>
        </w:tc>
        <w:tc>
          <w:tcPr>
            <w:tcW w:w="5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ind w:left="120"/>
              <w:spacing w:after="0" w:line="79" w:lineRule="exact"/>
              <w:rPr>
                <w:sz w:val="20"/>
                <w:szCs w:val="20"/>
                <w:color w:val="auto"/>
              </w:rPr>
            </w:pPr>
            <w:r>
              <w:rPr>
                <w:rFonts w:ascii="Arial" w:cs="Arial" w:eastAsia="Arial" w:hAnsi="Arial"/>
                <w:sz w:val="8"/>
                <w:szCs w:val="8"/>
                <w:b w:val="1"/>
                <w:bCs w:val="1"/>
                <w:color w:val="auto"/>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ind w:left="120"/>
              <w:spacing w:after="0" w:line="79" w:lineRule="exact"/>
              <w:rPr>
                <w:sz w:val="20"/>
                <w:szCs w:val="20"/>
                <w:color w:val="auto"/>
              </w:rPr>
            </w:pPr>
            <w:r>
              <w:rPr>
                <w:rFonts w:ascii="Arial" w:cs="Arial" w:eastAsia="Arial" w:hAnsi="Arial"/>
                <w:sz w:val="8"/>
                <w:szCs w:val="8"/>
                <w:b w:val="1"/>
                <w:bCs w:val="1"/>
                <w:color w:val="auto"/>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80" w:type="dxa"/>
            <w:vAlign w:val="bottom"/>
          </w:tcPr>
          <w:p>
            <w:pPr>
              <w:spacing w:after="0"/>
              <w:rPr>
                <w:sz w:val="6"/>
                <w:szCs w:val="6"/>
                <w:color w:val="auto"/>
              </w:rPr>
            </w:pPr>
          </w:p>
        </w:tc>
        <w:tc>
          <w:tcPr>
            <w:tcW w:w="52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00" w:type="dxa"/>
            <w:vAlign w:val="bottom"/>
          </w:tcPr>
          <w:p>
            <w:pPr>
              <w:spacing w:after="0"/>
              <w:rPr>
                <w:sz w:val="6"/>
                <w:szCs w:val="6"/>
                <w:color w:val="auto"/>
              </w:rPr>
            </w:pPr>
          </w:p>
        </w:tc>
        <w:tc>
          <w:tcPr>
            <w:tcW w:w="50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S/(000)</w:t>
            </w:r>
          </w:p>
        </w:tc>
        <w:tc>
          <w:tcPr>
            <w:tcW w:w="100" w:type="dxa"/>
            <w:vAlign w:val="bottom"/>
          </w:tcPr>
          <w:p>
            <w:pPr>
              <w:spacing w:after="0"/>
              <w:rPr>
                <w:sz w:val="6"/>
                <w:szCs w:val="6"/>
                <w:color w:val="auto"/>
              </w:rPr>
            </w:pPr>
          </w:p>
        </w:tc>
      </w:tr>
      <w:tr>
        <w:trPr>
          <w:trHeight w:val="90"/>
        </w:trPr>
        <w:tc>
          <w:tcPr>
            <w:tcW w:w="322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Impaired loans</w:t>
            </w:r>
          </w:p>
        </w:tc>
        <w:tc>
          <w:tcPr>
            <w:tcW w:w="7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2,812,011</w:t>
            </w: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994,479</w:t>
            </w:r>
          </w:p>
        </w:tc>
        <w:tc>
          <w:tcPr>
            <w:tcW w:w="8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1,253,969</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758,836</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5,819,295</w:t>
            </w:r>
          </w:p>
        </w:tc>
        <w:tc>
          <w:tcPr>
            <w:tcW w:w="7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2,321,335</w:t>
            </w:r>
          </w:p>
        </w:tc>
        <w:tc>
          <w:tcPr>
            <w:tcW w:w="5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959,033</w:t>
            </w:r>
          </w:p>
        </w:tc>
        <w:tc>
          <w:tcPr>
            <w:tcW w:w="68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1,254,526</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702,561</w:t>
            </w:r>
          </w:p>
        </w:tc>
        <w:tc>
          <w:tcPr>
            <w:tcW w:w="6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5,237,455</w:t>
            </w:r>
          </w:p>
        </w:tc>
      </w:tr>
      <w:tr>
        <w:trPr>
          <w:trHeight w:val="90"/>
        </w:trPr>
        <w:tc>
          <w:tcPr>
            <w:tcW w:w="3220" w:type="dxa"/>
            <w:vAlign w:val="bottom"/>
          </w:tcPr>
          <w:p>
            <w:pPr>
              <w:spacing w:after="0" w:line="90" w:lineRule="exact"/>
              <w:rPr>
                <w:sz w:val="20"/>
                <w:szCs w:val="20"/>
                <w:color w:val="auto"/>
              </w:rPr>
            </w:pPr>
            <w:r>
              <w:rPr>
                <w:rFonts w:ascii="Arial" w:cs="Arial" w:eastAsia="Arial" w:hAnsi="Arial"/>
                <w:sz w:val="8"/>
                <w:szCs w:val="8"/>
                <w:color w:val="auto"/>
              </w:rPr>
              <w:t>Fair value of collateral</w:t>
            </w: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2,491,069</w:t>
            </w:r>
          </w:p>
        </w:tc>
        <w:tc>
          <w:tcPr>
            <w:tcW w:w="220" w:type="dxa"/>
            <w:vAlign w:val="bottom"/>
          </w:tcPr>
          <w:p>
            <w:pPr>
              <w:spacing w:after="0"/>
              <w:rPr>
                <w:sz w:val="7"/>
                <w:szCs w:val="7"/>
                <w:color w:val="auto"/>
              </w:rPr>
            </w:pP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864,473</w:t>
            </w:r>
          </w:p>
        </w:tc>
        <w:tc>
          <w:tcPr>
            <w:tcW w:w="1020" w:type="dxa"/>
            <w:vAlign w:val="bottom"/>
            <w:gridSpan w:val="3"/>
          </w:tcPr>
          <w:p>
            <w:pPr>
              <w:jc w:val="right"/>
              <w:ind w:right="220"/>
              <w:spacing w:after="0" w:line="90" w:lineRule="exact"/>
              <w:rPr>
                <w:sz w:val="20"/>
                <w:szCs w:val="20"/>
                <w:color w:val="auto"/>
              </w:rPr>
            </w:pPr>
            <w:r>
              <w:rPr>
                <w:rFonts w:ascii="Arial" w:cs="Arial" w:eastAsia="Arial" w:hAnsi="Arial"/>
                <w:sz w:val="8"/>
                <w:szCs w:val="8"/>
                <w:color w:val="auto"/>
              </w:rPr>
              <w:t>330,347</w:t>
            </w:r>
          </w:p>
        </w:tc>
        <w:tc>
          <w:tcPr>
            <w:tcW w:w="520" w:type="dxa"/>
            <w:vAlign w:val="bottom"/>
          </w:tcPr>
          <w:p>
            <w:pPr>
              <w:jc w:val="right"/>
              <w:spacing w:after="0" w:line="90" w:lineRule="exact"/>
              <w:rPr>
                <w:sz w:val="20"/>
                <w:szCs w:val="20"/>
                <w:color w:val="auto"/>
              </w:rPr>
            </w:pPr>
            <w:r>
              <w:rPr>
                <w:rFonts w:ascii="Arial" w:cs="Arial" w:eastAsia="Arial" w:hAnsi="Arial"/>
                <w:sz w:val="8"/>
                <w:szCs w:val="8"/>
                <w:color w:val="auto"/>
              </w:rPr>
              <w:t>193,319</w:t>
            </w:r>
          </w:p>
        </w:tc>
        <w:tc>
          <w:tcPr>
            <w:tcW w:w="200" w:type="dxa"/>
            <w:vAlign w:val="bottom"/>
          </w:tcPr>
          <w:p>
            <w:pPr>
              <w:spacing w:after="0"/>
              <w:rPr>
                <w:sz w:val="7"/>
                <w:szCs w:val="7"/>
                <w:color w:val="auto"/>
              </w:rPr>
            </w:pPr>
          </w:p>
        </w:tc>
        <w:tc>
          <w:tcPr>
            <w:tcW w:w="700" w:type="dxa"/>
            <w:vAlign w:val="bottom"/>
            <w:gridSpan w:val="2"/>
          </w:tcPr>
          <w:p>
            <w:pPr>
              <w:ind w:left="160"/>
              <w:spacing w:after="0" w:line="90" w:lineRule="exact"/>
              <w:rPr>
                <w:sz w:val="20"/>
                <w:szCs w:val="20"/>
                <w:color w:val="auto"/>
              </w:rPr>
            </w:pPr>
            <w:r>
              <w:rPr>
                <w:rFonts w:ascii="Arial" w:cs="Arial" w:eastAsia="Arial" w:hAnsi="Arial"/>
                <w:sz w:val="8"/>
                <w:szCs w:val="8"/>
                <w:color w:val="auto"/>
              </w:rPr>
              <w:t>3,879,208</w:t>
            </w:r>
          </w:p>
        </w:tc>
        <w:tc>
          <w:tcPr>
            <w:tcW w:w="700" w:type="dxa"/>
            <w:vAlign w:val="bottom"/>
            <w:gridSpan w:val="2"/>
          </w:tcPr>
          <w:p>
            <w:pPr>
              <w:ind w:left="160"/>
              <w:spacing w:after="0" w:line="90" w:lineRule="exact"/>
              <w:rPr>
                <w:sz w:val="20"/>
                <w:szCs w:val="20"/>
                <w:color w:val="auto"/>
              </w:rPr>
            </w:pPr>
            <w:r>
              <w:rPr>
                <w:rFonts w:ascii="Arial" w:cs="Arial" w:eastAsia="Arial" w:hAnsi="Arial"/>
                <w:sz w:val="8"/>
                <w:szCs w:val="8"/>
                <w:color w:val="auto"/>
              </w:rPr>
              <w:t>1,758,098</w:t>
            </w:r>
          </w:p>
        </w:tc>
        <w:tc>
          <w:tcPr>
            <w:tcW w:w="5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820,291</w:t>
            </w:r>
          </w:p>
        </w:tc>
        <w:tc>
          <w:tcPr>
            <w:tcW w:w="680" w:type="dxa"/>
            <w:vAlign w:val="bottom"/>
            <w:gridSpan w:val="2"/>
          </w:tcPr>
          <w:p>
            <w:pPr>
              <w:jc w:val="right"/>
              <w:spacing w:after="0" w:line="90" w:lineRule="exact"/>
              <w:rPr>
                <w:sz w:val="20"/>
                <w:szCs w:val="20"/>
                <w:color w:val="auto"/>
              </w:rPr>
            </w:pPr>
            <w:r>
              <w:rPr>
                <w:rFonts w:ascii="Arial" w:cs="Arial" w:eastAsia="Arial" w:hAnsi="Arial"/>
                <w:sz w:val="8"/>
                <w:szCs w:val="8"/>
                <w:color w:val="auto"/>
              </w:rPr>
              <w:t>422,330</w:t>
            </w:r>
          </w:p>
        </w:tc>
        <w:tc>
          <w:tcPr>
            <w:tcW w:w="180" w:type="dxa"/>
            <w:vAlign w:val="bottom"/>
          </w:tcPr>
          <w:p>
            <w:pPr>
              <w:spacing w:after="0"/>
              <w:rPr>
                <w:sz w:val="7"/>
                <w:szCs w:val="7"/>
                <w:color w:val="auto"/>
              </w:rPr>
            </w:pPr>
          </w:p>
        </w:tc>
        <w:tc>
          <w:tcPr>
            <w:tcW w:w="72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189,811</w:t>
            </w:r>
          </w:p>
        </w:tc>
        <w:tc>
          <w:tcPr>
            <w:tcW w:w="600" w:type="dxa"/>
            <w:vAlign w:val="bottom"/>
            <w:gridSpan w:val="2"/>
          </w:tcPr>
          <w:p>
            <w:pPr>
              <w:ind w:left="160"/>
              <w:spacing w:after="0" w:line="90" w:lineRule="exact"/>
              <w:rPr>
                <w:sz w:val="20"/>
                <w:szCs w:val="20"/>
                <w:color w:val="auto"/>
              </w:rPr>
            </w:pPr>
            <w:r>
              <w:rPr>
                <w:rFonts w:ascii="Arial" w:cs="Arial" w:eastAsia="Arial" w:hAnsi="Arial"/>
                <w:sz w:val="8"/>
                <w:szCs w:val="8"/>
                <w:color w:val="auto"/>
              </w:rPr>
              <w:t>3,190,530</w:t>
            </w:r>
          </w:p>
        </w:tc>
      </w:tr>
      <w:tr>
        <w:trPr>
          <w:trHeight w:val="90"/>
        </w:trPr>
        <w:tc>
          <w:tcPr>
            <w:tcW w:w="322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Allowance for loan losses</w:t>
            </w:r>
          </w:p>
        </w:tc>
        <w:tc>
          <w:tcPr>
            <w:tcW w:w="74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982,950</w:t>
            </w: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472,718</w:t>
            </w:r>
          </w:p>
        </w:tc>
        <w:tc>
          <w:tcPr>
            <w:tcW w:w="1020" w:type="dxa"/>
            <w:vAlign w:val="bottom"/>
            <w:gridSpan w:val="3"/>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931,587</w:t>
            </w:r>
          </w:p>
        </w:tc>
        <w:tc>
          <w:tcPr>
            <w:tcW w:w="52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629,558</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3,016,813</w:t>
            </w:r>
          </w:p>
        </w:tc>
        <w:tc>
          <w:tcPr>
            <w:tcW w:w="7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1,023,771</w:t>
            </w:r>
          </w:p>
        </w:tc>
        <w:tc>
          <w:tcPr>
            <w:tcW w:w="5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470,286</w:t>
            </w:r>
          </w:p>
        </w:tc>
        <w:tc>
          <w:tcPr>
            <w:tcW w:w="68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978,834</w:t>
            </w:r>
          </w:p>
        </w:tc>
        <w:tc>
          <w:tcPr>
            <w:tcW w:w="1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608,686</w:t>
            </w:r>
          </w:p>
        </w:tc>
        <w:tc>
          <w:tcPr>
            <w:tcW w:w="600" w:type="dxa"/>
            <w:vAlign w:val="bottom"/>
            <w:gridSpan w:val="2"/>
            <w:shd w:val="clear" w:color="auto" w:fill="CCEEFF"/>
          </w:tcPr>
          <w:p>
            <w:pPr>
              <w:ind w:left="160"/>
              <w:spacing w:after="0" w:line="90" w:lineRule="exact"/>
              <w:rPr>
                <w:sz w:val="20"/>
                <w:szCs w:val="20"/>
                <w:color w:val="auto"/>
              </w:rPr>
            </w:pPr>
            <w:r>
              <w:rPr>
                <w:rFonts w:ascii="Arial" w:cs="Arial" w:eastAsia="Arial" w:hAnsi="Arial"/>
                <w:sz w:val="8"/>
                <w:szCs w:val="8"/>
                <w:color w:val="auto"/>
              </w:rPr>
              <w:t>3,081,577</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the other hand, the breakdown of loans classified by maturity is shown below, according to the following criteria:</w:t>
      </w:r>
    </w:p>
    <w:p>
      <w:pPr>
        <w:spacing w:after="0" w:line="150" w:lineRule="exact"/>
        <w:rPr>
          <w:sz w:val="20"/>
          <w:szCs w:val="20"/>
          <w:color w:val="auto"/>
        </w:rPr>
      </w:pPr>
    </w:p>
    <w:p>
      <w:pPr>
        <w:ind w:left="400" w:hanging="156"/>
        <w:spacing w:after="0"/>
        <w:tabs>
          <w:tab w:leader="none" w:pos="40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Current loans which comprise those direct loans which do not currently have characteristics of delinquency, nor are they in default or stage 3, according to the rules of IFRS 9.</w:t>
      </w:r>
    </w:p>
    <w:p>
      <w:pPr>
        <w:spacing w:after="0" w:line="14" w:lineRule="exact"/>
        <w:rPr>
          <w:rFonts w:ascii="Arial" w:cs="Arial" w:eastAsia="Arial" w:hAnsi="Arial"/>
          <w:sz w:val="12"/>
          <w:szCs w:val="12"/>
          <w:color w:val="auto"/>
        </w:rPr>
      </w:pPr>
    </w:p>
    <w:p>
      <w:pPr>
        <w:ind w:left="400" w:hanging="156"/>
        <w:spacing w:after="0"/>
        <w:tabs>
          <w:tab w:leader="none" w:pos="40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Current but impaired loans, which comprise those direct loans which do not currently have characteristics of delinquency, but are in default or stage 3, according to IFRS 9.</w:t>
      </w:r>
    </w:p>
    <w:p>
      <w:pPr>
        <w:spacing w:after="0" w:line="6" w:lineRule="exact"/>
        <w:rPr>
          <w:sz w:val="20"/>
          <w:szCs w:val="20"/>
          <w:color w:val="auto"/>
        </w:rPr>
      </w:pPr>
    </w:p>
    <w:p>
      <w:pPr>
        <w:ind w:left="420" w:right="80" w:hanging="179"/>
        <w:spacing w:after="0" w:line="250" w:lineRule="auto"/>
        <w:rPr>
          <w:sz w:val="20"/>
          <w:szCs w:val="20"/>
          <w:color w:val="auto"/>
        </w:rPr>
      </w:pPr>
      <w:r>
        <w:rPr>
          <w:rFonts w:ascii="Arial" w:cs="Arial" w:eastAsia="Arial" w:hAnsi="Arial"/>
          <w:sz w:val="12"/>
          <w:szCs w:val="12"/>
          <w:color w:val="auto"/>
        </w:rPr>
        <w:t>(iii)Loans with payment delay of one day or more, but are not past due according to our internal guidelines. Comprise those direct loans of customers who have failed to make a payment at its contractual maturity, that is, with at least one day past-due. However, the days of delinquency are insufficient to be considered as past due under the Group’s internal criteria.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(iv)Past due loans under internal criteria.</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total of the concepts: loans with a delay of payment from the first day and the amounts of the internal overdue loans reflect the totality of "past due" loans consistent with IFRS 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19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8"/>
                <w:szCs w:val="8"/>
                <w:b w:val="1"/>
                <w:bCs w:val="1"/>
                <w:color w:val="auto"/>
              </w:rPr>
              <w:t>As of December 31, 2019</w:t>
            </w: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4"/>
          </w:tcPr>
          <w:p>
            <w:pPr>
              <w:ind w:left="240"/>
              <w:spacing w:after="0"/>
              <w:rPr>
                <w:sz w:val="20"/>
                <w:szCs w:val="20"/>
                <w:color w:val="auto"/>
              </w:rPr>
            </w:pPr>
            <w:r>
              <w:rPr>
                <w:rFonts w:ascii="Arial" w:cs="Arial" w:eastAsia="Arial" w:hAnsi="Arial"/>
                <w:sz w:val="8"/>
                <w:szCs w:val="8"/>
                <w:b w:val="1"/>
                <w:bCs w:val="1"/>
                <w:color w:val="auto"/>
              </w:rPr>
              <w:t>As of December 31, 2018</w:t>
            </w: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68"/>
        </w:trPr>
        <w:tc>
          <w:tcPr>
            <w:tcW w:w="1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7"/>
                <w:szCs w:val="7"/>
                <w:b w:val="1"/>
                <w:bCs w:val="1"/>
                <w:color w:val="auto"/>
              </w:rPr>
              <w:t>Loans with</w:t>
            </w: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tcPr>
          <w:p>
            <w:pPr>
              <w:jc w:val="center"/>
              <w:ind w:right="200"/>
              <w:spacing w:after="0" w:line="69" w:lineRule="exact"/>
              <w:rPr>
                <w:sz w:val="20"/>
                <w:szCs w:val="20"/>
                <w:color w:val="auto"/>
              </w:rPr>
            </w:pPr>
            <w:r>
              <w:rPr>
                <w:rFonts w:ascii="Arial" w:cs="Arial" w:eastAsia="Arial" w:hAnsi="Arial"/>
                <w:sz w:val="7"/>
                <w:szCs w:val="7"/>
                <w:b w:val="1"/>
                <w:bCs w:val="1"/>
                <w:color w:val="auto"/>
              </w:rPr>
              <w:t>Loans with</w:t>
            </w: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87"/>
              </w:rPr>
              <w:t>delays in</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delays in</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3"/>
              </w:rPr>
              <w:t>payments of</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3"/>
              </w:rPr>
              <w:t>payments of</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3"/>
              </w:rPr>
              <w:t>one day or</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3"/>
              </w:rPr>
              <w:t>one day or</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9"/>
              </w:rPr>
              <w:t>more but</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9"/>
              </w:rPr>
              <w:t>more but</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6"/>
              </w:rPr>
              <w:t>not</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6"/>
              </w:rPr>
              <w:t>not</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Current</w:t>
            </w: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88"/>
              </w:rPr>
              <w:t>considered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rPr>
              <w:t>Current</w:t>
            </w:r>
          </w:p>
        </w:tc>
        <w:tc>
          <w:tcPr>
            <w:tcW w:w="8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8"/>
              </w:rPr>
              <w:t>considered</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6"/>
              </w:rPr>
              <w:t>but</w:t>
            </w: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6"/>
              </w:rPr>
              <w:t>internal</w:t>
            </w: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Internal</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5"/>
              </w:rPr>
              <w:t>Total past</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rPr>
              <w:t>but</w:t>
            </w:r>
          </w:p>
        </w:tc>
        <w:tc>
          <w:tcPr>
            <w:tcW w:w="80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6"/>
              </w:rPr>
              <w:t>internal</w:t>
            </w:r>
          </w:p>
        </w:tc>
        <w:tc>
          <w:tcPr>
            <w:tcW w:w="78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Internal</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5"/>
              </w:rPr>
              <w:t>Total past</w:t>
            </w:r>
          </w:p>
        </w:tc>
      </w:tr>
      <w:tr>
        <w:trPr>
          <w:trHeight w:val="90"/>
        </w:trPr>
        <w:tc>
          <w:tcPr>
            <w:tcW w:w="196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Current</w:t>
            </w: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impaired</w:t>
            </w: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6"/>
              </w:rPr>
              <w:t>overdue</w:t>
            </w: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6"/>
              </w:rPr>
              <w:t>overdue</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2"/>
              </w:rPr>
              <w:t>due under</w:t>
            </w: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Current</w:t>
            </w:r>
          </w:p>
        </w:tc>
        <w:tc>
          <w:tcPr>
            <w:tcW w:w="780" w:type="dxa"/>
            <w:vAlign w:val="bottom"/>
            <w:gridSpan w:val="2"/>
          </w:tcPr>
          <w:p>
            <w:pPr>
              <w:jc w:val="center"/>
              <w:ind w:right="200"/>
              <w:spacing w:after="0" w:line="90" w:lineRule="exact"/>
              <w:rPr>
                <w:sz w:val="20"/>
                <w:szCs w:val="20"/>
                <w:color w:val="auto"/>
              </w:rPr>
            </w:pPr>
            <w:r>
              <w:rPr>
                <w:rFonts w:ascii="Arial" w:cs="Arial" w:eastAsia="Arial" w:hAnsi="Arial"/>
                <w:sz w:val="8"/>
                <w:szCs w:val="8"/>
                <w:b w:val="1"/>
                <w:bCs w:val="1"/>
                <w:color w:val="auto"/>
              </w:rPr>
              <w:t>impaired</w:t>
            </w:r>
          </w:p>
        </w:tc>
        <w:tc>
          <w:tcPr>
            <w:tcW w:w="80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6"/>
              </w:rPr>
              <w:t>overdue</w:t>
            </w: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9"/>
              </w:rPr>
              <w:t>overdue</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2"/>
              </w:rPr>
              <w:t>due under</w:t>
            </w:r>
          </w:p>
        </w:tc>
      </w:tr>
      <w:tr>
        <w:trPr>
          <w:trHeight w:val="101"/>
        </w:trPr>
        <w:tc>
          <w:tcPr>
            <w:tcW w:w="196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5"/>
              </w:rPr>
              <w:t>loans</w:t>
            </w: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5"/>
              </w:rPr>
              <w:t>loans</w:t>
            </w: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5"/>
              </w:rPr>
              <w:t>loans</w:t>
            </w: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5"/>
              </w:rPr>
              <w:t>loans</w:t>
            </w:r>
          </w:p>
        </w:tc>
        <w:tc>
          <w:tcPr>
            <w:tcW w:w="820" w:type="dxa"/>
            <w:vAlign w:val="bottom"/>
            <w:gridSpan w:val="2"/>
          </w:tcPr>
          <w:p>
            <w:pPr>
              <w:ind w:left="200"/>
              <w:spacing w:after="0"/>
              <w:rPr>
                <w:sz w:val="20"/>
                <w:szCs w:val="20"/>
                <w:color w:val="auto"/>
              </w:rPr>
            </w:pPr>
            <w:r>
              <w:rPr>
                <w:rFonts w:ascii="Arial" w:cs="Arial" w:eastAsia="Arial" w:hAnsi="Arial"/>
                <w:sz w:val="8"/>
                <w:szCs w:val="8"/>
                <w:b w:val="1"/>
                <w:bCs w:val="1"/>
                <w:color w:val="auto"/>
              </w:rPr>
              <w:t>Total</w:t>
            </w: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IFRS 7</w:t>
            </w:r>
          </w:p>
        </w:tc>
        <w:tc>
          <w:tcPr>
            <w:tcW w:w="7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loans</w:t>
            </w:r>
          </w:p>
        </w:tc>
        <w:tc>
          <w:tcPr>
            <w:tcW w:w="7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5"/>
              </w:rPr>
              <w:t>loans</w:t>
            </w:r>
          </w:p>
        </w:tc>
        <w:tc>
          <w:tcPr>
            <w:tcW w:w="8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5"/>
              </w:rPr>
              <w:t>loans</w:t>
            </w:r>
          </w:p>
        </w:tc>
        <w:tc>
          <w:tcPr>
            <w:tcW w:w="7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loans</w:t>
            </w:r>
          </w:p>
        </w:tc>
        <w:tc>
          <w:tcPr>
            <w:tcW w:w="78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Total</w:t>
            </w:r>
          </w:p>
        </w:tc>
        <w:tc>
          <w:tcPr>
            <w:tcW w:w="6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IFRS 7</w:t>
            </w:r>
          </w:p>
        </w:tc>
      </w:tr>
      <w:tr>
        <w:trPr>
          <w:trHeight w:val="79"/>
        </w:trPr>
        <w:tc>
          <w:tcPr>
            <w:tcW w:w="196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right"/>
              <w:ind w:right="118"/>
              <w:spacing w:after="0" w:line="79" w:lineRule="exact"/>
              <w:rPr>
                <w:sz w:val="20"/>
                <w:szCs w:val="20"/>
                <w:color w:val="auto"/>
              </w:rPr>
            </w:pPr>
            <w:r>
              <w:rPr>
                <w:rFonts w:ascii="Arial" w:cs="Arial" w:eastAsia="Arial" w:hAnsi="Arial"/>
                <w:sz w:val="8"/>
                <w:szCs w:val="8"/>
                <w:b w:val="1"/>
                <w:bCs w:val="1"/>
                <w:color w:val="auto"/>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4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00" w:type="dxa"/>
            <w:vAlign w:val="bottom"/>
          </w:tcPr>
          <w:p>
            <w:pPr>
              <w:spacing w:after="0"/>
              <w:rPr>
                <w:sz w:val="6"/>
                <w:szCs w:val="6"/>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1"/>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right"/>
              <w:ind w:right="118"/>
              <w:spacing w:after="0" w:line="79" w:lineRule="exact"/>
              <w:rPr>
                <w:sz w:val="20"/>
                <w:szCs w:val="20"/>
                <w:color w:val="auto"/>
              </w:rPr>
            </w:pPr>
            <w:r>
              <w:rPr>
                <w:rFonts w:ascii="Arial" w:cs="Arial" w:eastAsia="Arial" w:hAnsi="Arial"/>
                <w:sz w:val="8"/>
                <w:szCs w:val="8"/>
                <w:b w:val="1"/>
                <w:bCs w:val="1"/>
                <w:color w:val="auto"/>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8"/>
              </w:rPr>
              <w:t>S/(000)</w:t>
            </w:r>
          </w:p>
        </w:tc>
        <w:tc>
          <w:tcPr>
            <w:tcW w:w="120" w:type="dxa"/>
            <w:vAlign w:val="bottom"/>
          </w:tcPr>
          <w:p>
            <w:pPr>
              <w:spacing w:after="0"/>
              <w:rPr>
                <w:sz w:val="6"/>
                <w:szCs w:val="6"/>
                <w:color w:val="auto"/>
              </w:rPr>
            </w:pP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Neither past due nor impaired</w:t>
            </w:r>
          </w:p>
        </w:tc>
        <w:tc>
          <w:tcPr>
            <w:tcW w:w="5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106,143,943</w:t>
            </w:r>
          </w:p>
        </w:tc>
        <w:tc>
          <w:tcPr>
            <w:tcW w:w="24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103</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106,144,046</w:t>
            </w:r>
          </w:p>
        </w:tc>
        <w:tc>
          <w:tcPr>
            <w:tcW w:w="5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103</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101,602,442</w:t>
            </w:r>
          </w:p>
        </w:tc>
        <w:tc>
          <w:tcPr>
            <w:tcW w:w="22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220"/>
              <w:spacing w:after="0" w:line="90" w:lineRule="exact"/>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1,755</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101,604,197</w:t>
            </w:r>
          </w:p>
        </w:tc>
        <w:tc>
          <w:tcPr>
            <w:tcW w:w="2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1,755</w:t>
            </w:r>
          </w:p>
        </w:tc>
      </w:tr>
      <w:tr>
        <w:trPr>
          <w:trHeight w:val="90"/>
        </w:trPr>
        <w:tc>
          <w:tcPr>
            <w:tcW w:w="1960" w:type="dxa"/>
            <w:vAlign w:val="bottom"/>
          </w:tcPr>
          <w:p>
            <w:pPr>
              <w:spacing w:after="0" w:line="90" w:lineRule="exact"/>
              <w:rPr>
                <w:sz w:val="20"/>
                <w:szCs w:val="20"/>
                <w:color w:val="auto"/>
              </w:rPr>
            </w:pPr>
            <w:r>
              <w:rPr>
                <w:rFonts w:ascii="Arial" w:cs="Arial" w:eastAsia="Arial" w:hAnsi="Arial"/>
                <w:sz w:val="8"/>
                <w:szCs w:val="8"/>
                <w:color w:val="auto"/>
              </w:rPr>
              <w:t>Past due but not impaired</w:t>
            </w:r>
          </w:p>
        </w:tc>
        <w:tc>
          <w:tcPr>
            <w:tcW w:w="82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(30)</w:t>
            </w:r>
          </w:p>
        </w:tc>
        <w:tc>
          <w:tcPr>
            <w:tcW w:w="82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w:t>
            </w:r>
          </w:p>
        </w:tc>
        <w:tc>
          <w:tcPr>
            <w:tcW w:w="82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2,569,349</w:t>
            </w:r>
          </w:p>
        </w:tc>
        <w:tc>
          <w:tcPr>
            <w:tcW w:w="82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275,296</w:t>
            </w:r>
          </w:p>
        </w:tc>
        <w:tc>
          <w:tcPr>
            <w:tcW w:w="820" w:type="dxa"/>
            <w:vAlign w:val="bottom"/>
            <w:gridSpan w:val="2"/>
          </w:tcPr>
          <w:p>
            <w:pPr>
              <w:jc w:val="right"/>
              <w:ind w:right="240"/>
              <w:spacing w:after="0" w:line="90" w:lineRule="exact"/>
              <w:rPr>
                <w:sz w:val="20"/>
                <w:szCs w:val="20"/>
                <w:color w:val="auto"/>
              </w:rPr>
            </w:pPr>
            <w:r>
              <w:rPr>
                <w:rFonts w:ascii="Arial" w:cs="Arial" w:eastAsia="Arial" w:hAnsi="Arial"/>
                <w:sz w:val="8"/>
                <w:szCs w:val="8"/>
                <w:color w:val="auto"/>
              </w:rPr>
              <w:t>2,844,615</w:t>
            </w: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2,844,645</w:t>
            </w:r>
          </w:p>
        </w:tc>
        <w:tc>
          <w:tcPr>
            <w:tcW w:w="240" w:type="dxa"/>
            <w:vAlign w:val="bottom"/>
          </w:tcPr>
          <w:p>
            <w:pPr>
              <w:spacing w:after="0"/>
              <w:rPr>
                <w:sz w:val="7"/>
                <w:szCs w:val="7"/>
                <w:color w:val="auto"/>
              </w:rPr>
            </w:pPr>
          </w:p>
        </w:tc>
        <w:tc>
          <w:tcPr>
            <w:tcW w:w="7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780" w:type="dxa"/>
            <w:vAlign w:val="bottom"/>
            <w:gridSpan w:val="2"/>
          </w:tcPr>
          <w:p>
            <w:pPr>
              <w:jc w:val="right"/>
              <w:ind w:right="200"/>
              <w:spacing w:after="0" w:line="90" w:lineRule="exact"/>
              <w:rPr>
                <w:sz w:val="20"/>
                <w:szCs w:val="20"/>
                <w:color w:val="auto"/>
              </w:rPr>
            </w:pPr>
            <w:r>
              <w:rPr>
                <w:rFonts w:ascii="Arial" w:cs="Arial" w:eastAsia="Arial" w:hAnsi="Arial"/>
                <w:sz w:val="8"/>
                <w:szCs w:val="8"/>
                <w:color w:val="auto"/>
              </w:rPr>
              <w:t>-</w:t>
            </w: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2,869,944</w:t>
            </w:r>
          </w:p>
        </w:tc>
        <w:tc>
          <w:tcPr>
            <w:tcW w:w="220" w:type="dxa"/>
            <w:vAlign w:val="bottom"/>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Arial" w:cs="Arial" w:eastAsia="Arial" w:hAnsi="Arial"/>
                <w:sz w:val="8"/>
                <w:szCs w:val="8"/>
                <w:color w:val="auto"/>
              </w:rPr>
              <w:t>249,028</w:t>
            </w:r>
          </w:p>
        </w:tc>
        <w:tc>
          <w:tcPr>
            <w:tcW w:w="220" w:type="dxa"/>
            <w:vAlign w:val="bottom"/>
          </w:tcPr>
          <w:p>
            <w:pPr>
              <w:spacing w:after="0"/>
              <w:rPr>
                <w:sz w:val="7"/>
                <w:szCs w:val="7"/>
                <w:color w:val="auto"/>
              </w:rPr>
            </w:pPr>
          </w:p>
        </w:tc>
        <w:tc>
          <w:tcPr>
            <w:tcW w:w="780" w:type="dxa"/>
            <w:vAlign w:val="bottom"/>
            <w:gridSpan w:val="2"/>
          </w:tcPr>
          <w:p>
            <w:pPr>
              <w:jc w:val="right"/>
              <w:ind w:right="220"/>
              <w:spacing w:after="0" w:line="90" w:lineRule="exact"/>
              <w:rPr>
                <w:sz w:val="20"/>
                <w:szCs w:val="20"/>
                <w:color w:val="auto"/>
              </w:rPr>
            </w:pPr>
            <w:r>
              <w:rPr>
                <w:rFonts w:ascii="Arial" w:cs="Arial" w:eastAsia="Arial" w:hAnsi="Arial"/>
                <w:sz w:val="8"/>
                <w:szCs w:val="8"/>
                <w:color w:val="auto"/>
              </w:rPr>
              <w:t>3,118,972</w:t>
            </w:r>
          </w:p>
        </w:tc>
        <w:tc>
          <w:tcPr>
            <w:tcW w:w="680" w:type="dxa"/>
            <w:vAlign w:val="bottom"/>
            <w:gridSpan w:val="2"/>
          </w:tcPr>
          <w:p>
            <w:pPr>
              <w:ind w:left="240"/>
              <w:spacing w:after="0" w:line="90" w:lineRule="exact"/>
              <w:rPr>
                <w:sz w:val="20"/>
                <w:szCs w:val="20"/>
                <w:color w:val="auto"/>
              </w:rPr>
            </w:pPr>
            <w:r>
              <w:rPr>
                <w:rFonts w:ascii="Arial" w:cs="Arial" w:eastAsia="Arial" w:hAnsi="Arial"/>
                <w:sz w:val="8"/>
                <w:szCs w:val="8"/>
                <w:color w:val="auto"/>
              </w:rPr>
              <w:t>3,118,972</w:t>
            </w:r>
          </w:p>
        </w:tc>
      </w:tr>
      <w:tr>
        <w:trPr>
          <w:trHeight w:val="90"/>
        </w:trPr>
        <w:tc>
          <w:tcPr>
            <w:tcW w:w="19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Impaired debt</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2,274,182</w:t>
            </w:r>
          </w:p>
        </w:tc>
        <w:tc>
          <w:tcPr>
            <w:tcW w:w="24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515,628</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3,029,487</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5,819,297</w:t>
            </w:r>
          </w:p>
        </w:tc>
        <w:tc>
          <w:tcPr>
            <w:tcW w:w="820" w:type="dxa"/>
            <w:vAlign w:val="bottom"/>
            <w:gridSpan w:val="2"/>
            <w:shd w:val="clear" w:color="auto" w:fill="CCEEFF"/>
          </w:tcPr>
          <w:p>
            <w:pPr>
              <w:jc w:val="right"/>
              <w:ind w:right="240"/>
              <w:spacing w:after="0" w:line="90" w:lineRule="exact"/>
              <w:rPr>
                <w:sz w:val="20"/>
                <w:szCs w:val="20"/>
                <w:color w:val="auto"/>
              </w:rPr>
            </w:pPr>
            <w:r>
              <w:rPr>
                <w:rFonts w:ascii="Arial" w:cs="Arial" w:eastAsia="Arial" w:hAnsi="Arial"/>
                <w:sz w:val="8"/>
                <w:szCs w:val="8"/>
                <w:color w:val="auto"/>
              </w:rPr>
              <w:t>3,545,115</w:t>
            </w:r>
          </w:p>
        </w:tc>
        <w:tc>
          <w:tcPr>
            <w:tcW w:w="780" w:type="dxa"/>
            <w:vAlign w:val="bottom"/>
            <w:gridSpan w:val="2"/>
            <w:shd w:val="clear" w:color="auto" w:fill="CCEEFF"/>
          </w:tcPr>
          <w:p>
            <w:pPr>
              <w:jc w:val="right"/>
              <w:ind w:right="200"/>
              <w:spacing w:after="0" w:line="90" w:lineRule="exact"/>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1,582,189</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786,428</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2,868,838</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5,237,455</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ind w:left="240"/>
              <w:spacing w:after="0" w:line="90" w:lineRule="exact"/>
              <w:rPr>
                <w:sz w:val="20"/>
                <w:szCs w:val="20"/>
                <w:color w:val="auto"/>
              </w:rPr>
            </w:pPr>
            <w:r>
              <w:rPr>
                <w:rFonts w:ascii="Arial" w:cs="Arial" w:eastAsia="Arial" w:hAnsi="Arial"/>
                <w:sz w:val="8"/>
                <w:szCs w:val="8"/>
                <w:color w:val="auto"/>
                <w:w w:val="84"/>
              </w:rPr>
              <w:t>3,655,266</w:t>
            </w:r>
          </w:p>
        </w:tc>
        <w:tc>
          <w:tcPr>
            <w:tcW w:w="120" w:type="dxa"/>
            <w:vAlign w:val="bottom"/>
            <w:shd w:val="clear" w:color="auto" w:fill="CCEEFF"/>
          </w:tcPr>
          <w:p>
            <w:pPr>
              <w:spacing w:after="0"/>
              <w:rPr>
                <w:sz w:val="7"/>
                <w:szCs w:val="7"/>
                <w:color w:val="auto"/>
              </w:rPr>
            </w:pPr>
          </w:p>
        </w:tc>
      </w:tr>
      <w:tr>
        <w:trPr>
          <w:trHeight w:val="86"/>
        </w:trPr>
        <w:tc>
          <w:tcPr>
            <w:tcW w:w="1960" w:type="dxa"/>
            <w:vAlign w:val="bottom"/>
          </w:tcPr>
          <w:p>
            <w:pPr>
              <w:spacing w:after="0" w:line="79" w:lineRule="exact"/>
              <w:rPr>
                <w:sz w:val="20"/>
                <w:szCs w:val="20"/>
                <w:color w:val="auto"/>
              </w:rPr>
            </w:pPr>
            <w:r>
              <w:rPr>
                <w:rFonts w:ascii="Arial" w:cs="Arial" w:eastAsia="Arial" w:hAnsi="Arial"/>
                <w:sz w:val="8"/>
                <w:szCs w:val="8"/>
                <w:b w:val="1"/>
                <w:bCs w:val="1"/>
                <w:color w:val="auto"/>
              </w:rPr>
              <w:t>Total</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106,143,913</w:t>
            </w:r>
          </w:p>
        </w:tc>
        <w:tc>
          <w:tcPr>
            <w:tcW w:w="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2,274,182</w:t>
            </w:r>
          </w:p>
        </w:tc>
        <w:tc>
          <w:tcPr>
            <w:tcW w:w="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3,084,977</w:t>
            </w:r>
          </w:p>
        </w:tc>
        <w:tc>
          <w:tcPr>
            <w:tcW w:w="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3,304,886</w:t>
            </w:r>
          </w:p>
        </w:tc>
        <w:tc>
          <w:tcPr>
            <w:tcW w:w="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114,807,958</w:t>
            </w:r>
          </w:p>
        </w:tc>
        <w:tc>
          <w:tcPr>
            <w:tcW w:w="24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6,389,863</w:t>
            </w:r>
          </w:p>
        </w:tc>
        <w:tc>
          <w:tcPr>
            <w:tcW w:w="24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101,602,442</w:t>
            </w:r>
          </w:p>
        </w:tc>
        <w:tc>
          <w:tcPr>
            <w:tcW w:w="2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1,582,189</w:t>
            </w:r>
          </w:p>
        </w:tc>
        <w:tc>
          <w:tcPr>
            <w:tcW w:w="20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3,656,372</w:t>
            </w:r>
          </w:p>
        </w:tc>
        <w:tc>
          <w:tcPr>
            <w:tcW w:w="22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3,119,621</w:t>
            </w:r>
          </w:p>
        </w:tc>
        <w:tc>
          <w:tcPr>
            <w:tcW w:w="22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109,960,624</w:t>
            </w:r>
          </w:p>
        </w:tc>
        <w:tc>
          <w:tcPr>
            <w:tcW w:w="220" w:type="dxa"/>
            <w:vAlign w:val="bottom"/>
          </w:tcPr>
          <w:p>
            <w:pPr>
              <w:spacing w:after="0"/>
              <w:rPr>
                <w:sz w:val="7"/>
                <w:szCs w:val="7"/>
                <w:color w:val="auto"/>
              </w:rPr>
            </w:pPr>
          </w:p>
        </w:tc>
        <w:tc>
          <w:tcPr>
            <w:tcW w:w="560" w:type="dxa"/>
            <w:vAlign w:val="bottom"/>
            <w:tcBorders>
              <w:top w:val="single" w:sz="8" w:color="auto"/>
              <w:bottom w:val="single" w:sz="8" w:color="auto"/>
            </w:tcBorders>
          </w:tcPr>
          <w:p>
            <w:pPr>
              <w:ind w:left="240"/>
              <w:spacing w:after="0" w:line="79" w:lineRule="exact"/>
              <w:rPr>
                <w:sz w:val="20"/>
                <w:szCs w:val="20"/>
                <w:color w:val="auto"/>
              </w:rPr>
            </w:pPr>
            <w:r>
              <w:rPr>
                <w:rFonts w:ascii="Arial" w:cs="Arial" w:eastAsia="Arial" w:hAnsi="Arial"/>
                <w:sz w:val="8"/>
                <w:szCs w:val="8"/>
                <w:color w:val="auto"/>
                <w:w w:val="84"/>
              </w:rPr>
              <w:t>6,775,993</w:t>
            </w:r>
          </w:p>
        </w:tc>
        <w:tc>
          <w:tcPr>
            <w:tcW w:w="120" w:type="dxa"/>
            <w:vAlign w:val="bottom"/>
          </w:tcPr>
          <w:p>
            <w:pPr>
              <w:spacing w:after="0"/>
              <w:rPr>
                <w:sz w:val="7"/>
                <w:szCs w:val="7"/>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53" w:right="199" w:bottom="1440" w:gutter="0" w:footer="0" w:header="0"/>
        </w:sectPr>
      </w:pPr>
    </w:p>
    <w:bookmarkStart w:id="151" w:name="page152"/>
    <w:bookmarkEnd w:id="151"/>
    <w:p>
      <w:pPr>
        <w:ind w:left="200"/>
        <w:spacing w:after="0"/>
        <w:rPr>
          <w:sz w:val="20"/>
          <w:szCs w:val="20"/>
          <w:color w:val="auto"/>
        </w:rPr>
      </w:pPr>
      <w:r>
        <w:rPr>
          <w:rFonts w:ascii="Arial" w:cs="Arial" w:eastAsia="Arial" w:hAnsi="Arial"/>
          <w:sz w:val="12"/>
          <w:szCs w:val="12"/>
          <w:color w:val="auto"/>
        </w:rPr>
        <w:t>The classification of loans by type of banking and maturity is as follows:</w:t>
      </w:r>
    </w:p>
    <w:p>
      <w:pPr>
        <w:spacing w:after="0" w:line="152"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ind w:left="480"/>
              <w:spacing w:after="0"/>
              <w:rPr>
                <w:sz w:val="20"/>
                <w:szCs w:val="20"/>
                <w:color w:val="auto"/>
              </w:rPr>
            </w:pPr>
            <w:r>
              <w:rPr>
                <w:rFonts w:ascii="Arial" w:cs="Arial" w:eastAsia="Arial" w:hAnsi="Arial"/>
                <w:sz w:val="10"/>
                <w:szCs w:val="10"/>
                <w:b w:val="1"/>
                <w:bCs w:val="1"/>
                <w:color w:val="auto"/>
                <w:w w:val="84"/>
              </w:rPr>
              <w:t>As of December 31, 2019</w:t>
            </w: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center"/>
              <w:ind w:left="392"/>
              <w:spacing w:after="0"/>
              <w:rPr>
                <w:sz w:val="20"/>
                <w:szCs w:val="20"/>
                <w:color w:val="auto"/>
              </w:rPr>
            </w:pPr>
            <w:r>
              <w:rPr>
                <w:rFonts w:ascii="Arial" w:cs="Arial" w:eastAsia="Arial" w:hAnsi="Arial"/>
                <w:sz w:val="10"/>
                <w:szCs w:val="10"/>
                <w:b w:val="1"/>
                <w:bCs w:val="1"/>
                <w:color w:val="auto"/>
                <w:w w:val="86"/>
              </w:rPr>
              <w:t>As of December 31, 2018</w:t>
            </w: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Loans with</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Loans with</w:t>
            </w: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3"/>
              </w:rPr>
              <w:t>delays in</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delays in</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payments</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payments</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3"/>
              </w:rPr>
              <w:t>of one day</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of one day</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or more</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or more</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but not</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8"/>
              </w:rPr>
              <w:t>but not</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4"/>
              </w:rPr>
              <w:t>Current</w:t>
            </w: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2"/>
              </w:rPr>
              <w:t>considered</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4"/>
              </w:rPr>
              <w:t>Current</w:t>
            </w:r>
          </w:p>
        </w:tc>
        <w:tc>
          <w:tcPr>
            <w:tcW w:w="7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2"/>
              </w:rPr>
              <w:t>considered</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but</w:t>
            </w:r>
          </w:p>
        </w:tc>
        <w:tc>
          <w:tcPr>
            <w:tcW w:w="7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internal</w:t>
            </w: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3"/>
              </w:rPr>
              <w:t>Internal</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but</w:t>
            </w:r>
          </w:p>
        </w:tc>
        <w:tc>
          <w:tcPr>
            <w:tcW w:w="7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internal</w:t>
            </w:r>
          </w:p>
        </w:tc>
        <w:tc>
          <w:tcPr>
            <w:tcW w:w="66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3"/>
              </w:rPr>
              <w:t>Internal</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Current</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1"/>
              </w:rPr>
              <w:t>impaired</w:t>
            </w:r>
          </w:p>
        </w:tc>
        <w:tc>
          <w:tcPr>
            <w:tcW w:w="7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overdue</w:t>
            </w: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overdue</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Current</w:t>
            </w:r>
          </w:p>
        </w:tc>
        <w:tc>
          <w:tcPr>
            <w:tcW w:w="7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1"/>
              </w:rPr>
              <w:t>impaired</w:t>
            </w:r>
          </w:p>
        </w:tc>
        <w:tc>
          <w:tcPr>
            <w:tcW w:w="7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overdue</w:t>
            </w:r>
          </w:p>
        </w:tc>
        <w:tc>
          <w:tcPr>
            <w:tcW w:w="66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overdue</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360" w:type="dxa"/>
            <w:vAlign w:val="bottom"/>
          </w:tcPr>
          <w:p>
            <w:pPr>
              <w:spacing w:after="0"/>
              <w:rPr>
                <w:sz w:val="9"/>
                <w:szCs w:val="9"/>
                <w:color w:val="auto"/>
              </w:rPr>
            </w:pPr>
          </w:p>
        </w:tc>
        <w:tc>
          <w:tcPr>
            <w:tcW w:w="8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76"/>
              </w:rPr>
              <w:t>loans</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loans</w:t>
            </w:r>
          </w:p>
        </w:tc>
        <w:tc>
          <w:tcPr>
            <w:tcW w:w="7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loans</w:t>
            </w:r>
          </w:p>
        </w:tc>
        <w:tc>
          <w:tcPr>
            <w:tcW w:w="7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loans</w:t>
            </w:r>
          </w:p>
        </w:tc>
        <w:tc>
          <w:tcPr>
            <w:tcW w:w="76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Total</w:t>
            </w:r>
          </w:p>
        </w:tc>
        <w:tc>
          <w:tcPr>
            <w:tcW w:w="8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6"/>
              </w:rPr>
              <w:t>loans</w:t>
            </w:r>
          </w:p>
        </w:tc>
        <w:tc>
          <w:tcPr>
            <w:tcW w:w="7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loans</w:t>
            </w:r>
          </w:p>
        </w:tc>
        <w:tc>
          <w:tcPr>
            <w:tcW w:w="7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loans</w:t>
            </w: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loans</w:t>
            </w:r>
          </w:p>
        </w:tc>
        <w:tc>
          <w:tcPr>
            <w:tcW w:w="68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336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580" w:type="dxa"/>
            <w:vAlign w:val="bottom"/>
            <w:tcBorders>
              <w:top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60" w:type="dxa"/>
            <w:vAlign w:val="bottom"/>
          </w:tcPr>
          <w:p>
            <w:pPr>
              <w:spacing w:after="0"/>
              <w:rPr>
                <w:sz w:val="7"/>
                <w:szCs w:val="7"/>
                <w:color w:val="auto"/>
              </w:rPr>
            </w:pPr>
          </w:p>
        </w:tc>
        <w:tc>
          <w:tcPr>
            <w:tcW w:w="460" w:type="dxa"/>
            <w:vAlign w:val="bottom"/>
            <w:tcBorders>
              <w:top w:val="single" w:sz="8" w:color="auto"/>
            </w:tcBorders>
          </w:tcPr>
          <w:p>
            <w:pPr>
              <w:jc w:val="center"/>
              <w:ind w:right="12"/>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58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Commercial loans</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59,218,904</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1,460,816</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1,027,177</w:t>
            </w: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1,390,176</w:t>
            </w: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63,097,073</w:t>
            </w: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60,034,357</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797,776</w:t>
            </w:r>
          </w:p>
        </w:tc>
        <w:tc>
          <w:tcPr>
            <w:tcW w:w="780" w:type="dxa"/>
            <w:vAlign w:val="bottom"/>
            <w:tcBorders>
              <w:right w:val="single" w:sz="8" w:color="CCEEFF"/>
            </w:tcBorders>
            <w:gridSpan w:val="2"/>
            <w:shd w:val="clear" w:color="auto" w:fill="CCEEFF"/>
          </w:tcPr>
          <w:p>
            <w:pPr>
              <w:jc w:val="right"/>
              <w:ind w:right="260"/>
              <w:spacing w:after="0" w:line="99" w:lineRule="exact"/>
              <w:rPr>
                <w:sz w:val="20"/>
                <w:szCs w:val="20"/>
                <w:color w:val="auto"/>
              </w:rPr>
            </w:pPr>
            <w:r>
              <w:rPr>
                <w:rFonts w:ascii="Arial" w:cs="Arial" w:eastAsia="Arial" w:hAnsi="Arial"/>
                <w:sz w:val="10"/>
                <w:szCs w:val="10"/>
                <w:color w:val="auto"/>
              </w:rPr>
              <w:t>1,541,975</w:t>
            </w:r>
          </w:p>
        </w:tc>
        <w:tc>
          <w:tcPr>
            <w:tcW w:w="6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w w:val="98"/>
              </w:rPr>
              <w:t>1,235,880</w:t>
            </w:r>
          </w:p>
        </w:tc>
        <w:tc>
          <w:tcPr>
            <w:tcW w:w="6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63,609,988</w:t>
            </w:r>
          </w:p>
        </w:tc>
        <w:tc>
          <w:tcPr>
            <w:tcW w:w="0" w:type="dxa"/>
            <w:vAlign w:val="bottom"/>
          </w:tcPr>
          <w:p>
            <w:pPr>
              <w:spacing w:after="0"/>
              <w:rPr>
                <w:sz w:val="1"/>
                <w:szCs w:val="1"/>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Residential mortgage loans</w:t>
            </w: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17,985,809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284,279</w:t>
            </w:r>
          </w:p>
        </w:tc>
        <w:tc>
          <w:tcPr>
            <w:tcW w:w="74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868,087</w:t>
            </w:r>
          </w:p>
        </w:tc>
        <w:tc>
          <w:tcPr>
            <w:tcW w:w="520" w:type="dxa"/>
            <w:vAlign w:val="bottom"/>
          </w:tcPr>
          <w:p>
            <w:pPr>
              <w:jc w:val="right"/>
              <w:spacing w:after="0" w:line="99" w:lineRule="exact"/>
              <w:rPr>
                <w:sz w:val="20"/>
                <w:szCs w:val="20"/>
                <w:color w:val="auto"/>
              </w:rPr>
            </w:pPr>
            <w:r>
              <w:rPr>
                <w:rFonts w:ascii="Arial" w:cs="Arial" w:eastAsia="Arial" w:hAnsi="Arial"/>
                <w:sz w:val="10"/>
                <w:szCs w:val="10"/>
                <w:color w:val="auto"/>
              </w:rPr>
              <w:t>537,646</w:t>
            </w:r>
          </w:p>
        </w:tc>
        <w:tc>
          <w:tcPr>
            <w:tcW w:w="2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19,675,821</w:t>
            </w:r>
          </w:p>
        </w:tc>
        <w:tc>
          <w:tcPr>
            <w:tcW w:w="18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15,926,555</w:t>
            </w:r>
          </w:p>
        </w:tc>
        <w:tc>
          <w:tcPr>
            <w:tcW w:w="20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258,149</w:t>
            </w:r>
          </w:p>
        </w:tc>
        <w:tc>
          <w:tcPr>
            <w:tcW w:w="780" w:type="dxa"/>
            <w:vAlign w:val="bottom"/>
            <w:gridSpan w:val="2"/>
          </w:tcPr>
          <w:p>
            <w:pPr>
              <w:jc w:val="right"/>
              <w:ind w:right="260"/>
              <w:spacing w:after="0" w:line="99" w:lineRule="exact"/>
              <w:rPr>
                <w:sz w:val="20"/>
                <w:szCs w:val="20"/>
                <w:color w:val="auto"/>
              </w:rPr>
            </w:pPr>
            <w:r>
              <w:rPr>
                <w:rFonts w:ascii="Arial" w:cs="Arial" w:eastAsia="Arial" w:hAnsi="Arial"/>
                <w:sz w:val="10"/>
                <w:szCs w:val="10"/>
                <w:color w:val="auto"/>
              </w:rPr>
              <w:t>1,054,112</w:t>
            </w:r>
          </w:p>
        </w:tc>
        <w:tc>
          <w:tcPr>
            <w:tcW w:w="6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531,876</w:t>
            </w:r>
          </w:p>
        </w:tc>
        <w:tc>
          <w:tcPr>
            <w:tcW w:w="6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17,770,692</w:t>
            </w:r>
          </w:p>
        </w:tc>
        <w:tc>
          <w:tcPr>
            <w:tcW w:w="0" w:type="dxa"/>
            <w:vAlign w:val="bottom"/>
          </w:tcPr>
          <w:p>
            <w:pPr>
              <w:spacing w:after="0"/>
              <w:rPr>
                <w:sz w:val="1"/>
                <w:szCs w:val="1"/>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Small and microenterprise loans</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14,898,270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247,076</w:t>
            </w:r>
          </w:p>
        </w:tc>
        <w:tc>
          <w:tcPr>
            <w:tcW w:w="7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635,436</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973,043</w:t>
            </w: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16,753,825</w:t>
            </w: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13,472,223</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253,735</w:t>
            </w:r>
          </w:p>
        </w:tc>
        <w:tc>
          <w:tcPr>
            <w:tcW w:w="780" w:type="dxa"/>
            <w:vAlign w:val="bottom"/>
            <w:tcBorders>
              <w:right w:val="single" w:sz="8" w:color="CCEEFF"/>
            </w:tcBorders>
            <w:gridSpan w:val="2"/>
            <w:shd w:val="clear" w:color="auto" w:fill="CCEEFF"/>
          </w:tcPr>
          <w:p>
            <w:pPr>
              <w:jc w:val="right"/>
              <w:ind w:right="260"/>
              <w:spacing w:after="0" w:line="99" w:lineRule="exact"/>
              <w:rPr>
                <w:sz w:val="20"/>
                <w:szCs w:val="20"/>
                <w:color w:val="auto"/>
              </w:rPr>
            </w:pPr>
            <w:r>
              <w:rPr>
                <w:rFonts w:ascii="Arial" w:cs="Arial" w:eastAsia="Arial" w:hAnsi="Arial"/>
                <w:sz w:val="10"/>
                <w:szCs w:val="10"/>
                <w:color w:val="auto"/>
              </w:rPr>
              <w:t>526,023</w:t>
            </w:r>
          </w:p>
        </w:tc>
        <w:tc>
          <w:tcPr>
            <w:tcW w:w="6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w w:val="98"/>
              </w:rPr>
              <w:t>1,001,474</w:t>
            </w:r>
          </w:p>
        </w:tc>
        <w:tc>
          <w:tcPr>
            <w:tcW w:w="6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15,253,455</w:t>
            </w:r>
          </w:p>
        </w:tc>
        <w:tc>
          <w:tcPr>
            <w:tcW w:w="0" w:type="dxa"/>
            <w:vAlign w:val="bottom"/>
          </w:tcPr>
          <w:p>
            <w:pPr>
              <w:spacing w:after="0"/>
              <w:rPr>
                <w:sz w:val="1"/>
                <w:szCs w:val="1"/>
                <w:color w:val="auto"/>
              </w:rPr>
            </w:pPr>
          </w:p>
        </w:tc>
      </w:tr>
      <w:tr>
        <w:trPr>
          <w:trHeight w:val="108"/>
        </w:trPr>
        <w:tc>
          <w:tcPr>
            <w:tcW w:w="3360" w:type="dxa"/>
            <w:vAlign w:val="bottom"/>
          </w:tcPr>
          <w:p>
            <w:pPr>
              <w:spacing w:after="0" w:line="108" w:lineRule="exact"/>
              <w:rPr>
                <w:sz w:val="20"/>
                <w:szCs w:val="20"/>
                <w:color w:val="auto"/>
              </w:rPr>
            </w:pPr>
            <w:r>
              <w:rPr>
                <w:rFonts w:ascii="Arial" w:cs="Arial" w:eastAsia="Arial" w:hAnsi="Arial"/>
                <w:sz w:val="10"/>
                <w:szCs w:val="10"/>
                <w:color w:val="auto"/>
              </w:rPr>
              <w:t>Consumer loans</w:t>
            </w: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14,040,930</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282,011</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554,277</w:t>
            </w:r>
          </w:p>
        </w:tc>
        <w:tc>
          <w:tcPr>
            <w:tcW w:w="520" w:type="dxa"/>
            <w:vAlign w:val="bottom"/>
          </w:tcPr>
          <w:p>
            <w:pPr>
              <w:jc w:val="right"/>
              <w:spacing w:after="0" w:line="108" w:lineRule="exact"/>
              <w:rPr>
                <w:sz w:val="20"/>
                <w:szCs w:val="20"/>
                <w:color w:val="auto"/>
              </w:rPr>
            </w:pPr>
            <w:r>
              <w:rPr>
                <w:rFonts w:ascii="Arial" w:cs="Arial" w:eastAsia="Arial" w:hAnsi="Arial"/>
                <w:sz w:val="10"/>
                <w:szCs w:val="10"/>
                <w:color w:val="auto"/>
              </w:rPr>
              <w:t>404,021</w:t>
            </w: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15,281,239</w:t>
            </w:r>
          </w:p>
        </w:tc>
        <w:tc>
          <w:tcPr>
            <w:tcW w:w="18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12,169,307</w:t>
            </w:r>
          </w:p>
        </w:tc>
        <w:tc>
          <w:tcPr>
            <w:tcW w:w="20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272,529</w:t>
            </w:r>
          </w:p>
        </w:tc>
        <w:tc>
          <w:tcPr>
            <w:tcW w:w="7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534,262</w:t>
            </w:r>
          </w:p>
        </w:tc>
        <w:tc>
          <w:tcPr>
            <w:tcW w:w="6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350,391</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13,326,489</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w:t>
            </w: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60" w:type="dxa"/>
            <w:vAlign w:val="bottom"/>
            <w:vMerge w:val="continue"/>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106,143,913</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2,274,182</w:t>
            </w: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3,084,977</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3,304,886</w:t>
            </w: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114,807,958</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101,602,442</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1,582,189</w:t>
            </w: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3,656,372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98"/>
              </w:rPr>
              <w:t>3,119,621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109,960,624</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right="40"/>
        <w:spacing w:after="0" w:line="263" w:lineRule="auto"/>
        <w:rPr>
          <w:sz w:val="20"/>
          <w:szCs w:val="20"/>
          <w:color w:val="auto"/>
        </w:rPr>
      </w:pPr>
      <w:r>
        <w:rPr>
          <w:rFonts w:ascii="Arial" w:cs="Arial" w:eastAsia="Arial" w:hAnsi="Arial"/>
          <w:sz w:val="12"/>
          <w:szCs w:val="12"/>
          <w:color w:val="auto"/>
        </w:rPr>
        <w:t>Provision of credit loss for direct and indirect loan is a weighted estimate of three macroeconomic scenarios: base, optimistic and pessimistic; that are based on macroeconomic projections provided by the internal team of Economic Studies and approved by Senior Management. In each scenario, the Group bases itself on a wide variety of prospective information such as economic inputs, including: the growth of the gross domestic product, inflation rate, exchange rate, among others, see more explanation in Note 3(i).</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a comparison between the carrying amount of provision of credit loss for direct and indirect loan and its estimation under three scenarios: base, optimistic and pessimistic.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2"/>
                <w:szCs w:val="12"/>
                <w:b w:val="1"/>
                <w:bCs w:val="1"/>
                <w:color w:val="auto"/>
              </w:rPr>
              <w:t>Balance at</w:t>
            </w:r>
          </w:p>
        </w:tc>
        <w:tc>
          <w:tcPr>
            <w:tcW w:w="1760" w:type="dxa"/>
            <w:vAlign w:val="bottom"/>
          </w:tcPr>
          <w:p>
            <w:pPr>
              <w:jc w:val="right"/>
              <w:ind w:right="580"/>
              <w:spacing w:after="0"/>
              <w:rPr>
                <w:sz w:val="20"/>
                <w:szCs w:val="20"/>
                <w:color w:val="auto"/>
              </w:rPr>
            </w:pPr>
            <w:r>
              <w:rPr>
                <w:rFonts w:ascii="Arial" w:cs="Arial" w:eastAsia="Arial" w:hAnsi="Arial"/>
                <w:sz w:val="12"/>
                <w:szCs w:val="12"/>
                <w:b w:val="1"/>
                <w:bCs w:val="1"/>
                <w:color w:val="auto"/>
              </w:rPr>
              <w:t>Balance at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December 31,</w:t>
            </w:r>
          </w:p>
        </w:tc>
        <w:tc>
          <w:tcPr>
            <w:tcW w:w="1760" w:type="dxa"/>
            <w:vAlign w:val="bottom"/>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8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7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2018</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Carrying amount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5,507,759</w:t>
            </w:r>
          </w:p>
        </w:tc>
        <w:tc>
          <w:tcPr>
            <w:tcW w:w="1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5,314,531</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Scenarios:</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tcBorders>
              <w:right w:val="single" w:sz="8" w:color="CCEEFF"/>
            </w:tcBorders>
            <w:shd w:val="clear" w:color="auto" w:fill="CCEEFF"/>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tcPr>
          <w:p>
            <w:pPr>
              <w:ind w:left="60"/>
              <w:spacing w:after="0"/>
              <w:rPr>
                <w:sz w:val="20"/>
                <w:szCs w:val="20"/>
                <w:color w:val="auto"/>
              </w:rPr>
            </w:pPr>
            <w:r>
              <w:rPr>
                <w:rFonts w:ascii="Arial" w:cs="Arial" w:eastAsia="Arial" w:hAnsi="Arial"/>
                <w:sz w:val="12"/>
                <w:szCs w:val="12"/>
                <w:color w:val="auto"/>
              </w:rPr>
              <w:t>Optimistic</w:t>
            </w:r>
          </w:p>
        </w:tc>
        <w:tc>
          <w:tcPr>
            <w:tcW w:w="1840" w:type="dxa"/>
            <w:vAlign w:val="bottom"/>
            <w:gridSpan w:val="2"/>
          </w:tcPr>
          <w:p>
            <w:pPr>
              <w:jc w:val="right"/>
              <w:ind w:right="160"/>
              <w:spacing w:after="0"/>
              <w:rPr>
                <w:sz w:val="20"/>
                <w:szCs w:val="20"/>
                <w:color w:val="auto"/>
              </w:rPr>
            </w:pPr>
            <w:r>
              <w:rPr>
                <w:rFonts w:ascii="Arial" w:cs="Arial" w:eastAsia="Arial" w:hAnsi="Arial"/>
                <w:sz w:val="12"/>
                <w:szCs w:val="12"/>
                <w:color w:val="auto"/>
              </w:rPr>
              <w:t>5,426,608</w:t>
            </w:r>
          </w:p>
        </w:tc>
        <w:tc>
          <w:tcPr>
            <w:tcW w:w="1760" w:type="dxa"/>
            <w:vAlign w:val="bottom"/>
          </w:tcPr>
          <w:p>
            <w:pPr>
              <w:jc w:val="right"/>
              <w:spacing w:after="0"/>
              <w:rPr>
                <w:sz w:val="20"/>
                <w:szCs w:val="20"/>
                <w:color w:val="auto"/>
              </w:rPr>
            </w:pPr>
            <w:r>
              <w:rPr>
                <w:rFonts w:ascii="Arial" w:cs="Arial" w:eastAsia="Arial" w:hAnsi="Arial"/>
                <w:sz w:val="12"/>
                <w:szCs w:val="12"/>
                <w:color w:val="auto"/>
              </w:rPr>
              <w:t>5,218,142</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Base Case</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5,509,729</w:t>
            </w:r>
          </w:p>
        </w:tc>
        <w:tc>
          <w:tcPr>
            <w:tcW w:w="1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5,308,346</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60"/>
              <w:spacing w:after="0"/>
              <w:rPr>
                <w:sz w:val="20"/>
                <w:szCs w:val="20"/>
                <w:color w:val="auto"/>
              </w:rPr>
            </w:pPr>
            <w:r>
              <w:rPr>
                <w:rFonts w:ascii="Arial" w:cs="Arial" w:eastAsia="Arial" w:hAnsi="Arial"/>
                <w:sz w:val="12"/>
                <w:szCs w:val="12"/>
                <w:color w:val="auto"/>
              </w:rPr>
              <w:t>Pessimistic</w:t>
            </w:r>
          </w:p>
        </w:tc>
        <w:tc>
          <w:tcPr>
            <w:tcW w:w="1840" w:type="dxa"/>
            <w:vAlign w:val="bottom"/>
            <w:gridSpan w:val="2"/>
          </w:tcPr>
          <w:p>
            <w:pPr>
              <w:jc w:val="right"/>
              <w:ind w:right="160"/>
              <w:spacing w:after="0"/>
              <w:rPr>
                <w:sz w:val="20"/>
                <w:szCs w:val="20"/>
                <w:color w:val="auto"/>
              </w:rPr>
            </w:pPr>
            <w:r>
              <w:rPr>
                <w:rFonts w:ascii="Arial" w:cs="Arial" w:eastAsia="Arial" w:hAnsi="Arial"/>
                <w:sz w:val="12"/>
                <w:szCs w:val="12"/>
                <w:color w:val="auto"/>
              </w:rPr>
              <w:t>5,584,965</w:t>
            </w:r>
          </w:p>
        </w:tc>
        <w:tc>
          <w:tcPr>
            <w:tcW w:w="1760" w:type="dxa"/>
            <w:vAlign w:val="bottom"/>
          </w:tcPr>
          <w:p>
            <w:pPr>
              <w:jc w:val="right"/>
              <w:spacing w:after="0"/>
              <w:rPr>
                <w:sz w:val="20"/>
                <w:szCs w:val="20"/>
                <w:color w:val="auto"/>
              </w:rPr>
            </w:pPr>
            <w:r>
              <w:rPr>
                <w:rFonts w:ascii="Arial" w:cs="Arial" w:eastAsia="Arial" w:hAnsi="Arial"/>
                <w:sz w:val="12"/>
                <w:szCs w:val="12"/>
                <w:color w:val="auto"/>
              </w:rPr>
              <w:t>5,422,882</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- 147 -</w:t>
            </w: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52" w:name="page153"/>
    <w:bookmarkEnd w:id="152"/>
    <w:p>
      <w:pPr>
        <w:ind w:left="420" w:hanging="212"/>
        <w:spacing w:after="0"/>
        <w:tabs>
          <w:tab w:leader="none" w:pos="42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Credit risk management on reverse repurchase agreements and securities borrowing -</w:t>
      </w:r>
    </w:p>
    <w:p>
      <w:pPr>
        <w:spacing w:after="0" w:line="150" w:lineRule="exact"/>
        <w:rPr>
          <w:rFonts w:ascii="Arial" w:cs="Arial" w:eastAsia="Arial" w:hAnsi="Arial"/>
          <w:sz w:val="12"/>
          <w:szCs w:val="12"/>
          <w:color w:val="auto"/>
        </w:rPr>
      </w:pPr>
    </w:p>
    <w:p>
      <w:pPr>
        <w:ind w:left="420" w:right="200"/>
        <w:spacing w:after="0" w:line="276" w:lineRule="auto"/>
        <w:rPr>
          <w:rFonts w:ascii="Arial" w:cs="Arial" w:eastAsia="Arial" w:hAnsi="Arial"/>
          <w:sz w:val="12"/>
          <w:szCs w:val="12"/>
          <w:color w:val="auto"/>
        </w:rPr>
      </w:pPr>
      <w:r>
        <w:rPr>
          <w:rFonts w:ascii="Arial" w:cs="Arial" w:eastAsia="Arial" w:hAnsi="Arial"/>
          <w:sz w:val="12"/>
          <w:szCs w:val="12"/>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Credit risk management on investments -</w:t>
      </w:r>
    </w:p>
    <w:p>
      <w:pPr>
        <w:spacing w:after="0" w:line="150" w:lineRule="exact"/>
        <w:rPr>
          <w:rFonts w:ascii="Arial" w:cs="Arial" w:eastAsia="Arial" w:hAnsi="Arial"/>
          <w:sz w:val="12"/>
          <w:szCs w:val="12"/>
          <w:color w:val="auto"/>
        </w:rPr>
      </w:pPr>
    </w:p>
    <w:p>
      <w:pPr>
        <w:ind w:left="420" w:right="280"/>
        <w:spacing w:after="0" w:line="323" w:lineRule="auto"/>
        <w:rPr>
          <w:rFonts w:ascii="Arial" w:cs="Arial" w:eastAsia="Arial" w:hAnsi="Arial"/>
          <w:sz w:val="12"/>
          <w:szCs w:val="12"/>
          <w:color w:val="auto"/>
        </w:rPr>
      </w:pPr>
      <w:r>
        <w:rPr>
          <w:rFonts w:ascii="Arial" w:cs="Arial" w:eastAsia="Arial" w:hAnsi="Arial"/>
          <w:sz w:val="11"/>
          <w:szCs w:val="11"/>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91" w:lineRule="exact"/>
        <w:rPr>
          <w:rFonts w:ascii="Arial" w:cs="Arial" w:eastAsia="Arial" w:hAnsi="Arial"/>
          <w:sz w:val="12"/>
          <w:szCs w:val="12"/>
          <w:color w:val="auto"/>
        </w:rPr>
      </w:pPr>
    </w:p>
    <w:p>
      <w:pPr>
        <w:ind w:left="420" w:right="2340"/>
        <w:spacing w:after="0" w:line="505" w:lineRule="auto"/>
        <w:rPr>
          <w:rFonts w:ascii="Arial" w:cs="Arial" w:eastAsia="Arial" w:hAnsi="Arial"/>
          <w:sz w:val="12"/>
          <w:szCs w:val="12"/>
          <w:color w:val="auto"/>
        </w:rPr>
      </w:pPr>
      <w:r>
        <w:rPr>
          <w:rFonts w:ascii="Arial" w:cs="Arial" w:eastAsia="Arial" w:hAnsi="Arial"/>
          <w:sz w:val="12"/>
          <w:szCs w:val="12"/>
          <w:color w:val="auto"/>
        </w:rPr>
        <w:t>In the event that any subsidiary uses a risk-rating prepared by any other risk rating agency, said risk-ratings are standardized with those provided by the above mentioned institutions. The following table shows the analysis of the risk-rating of the investments, provided by the institutions referred to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2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w w:val="91"/>
              </w:rPr>
              <w:t>At December 31, 2019</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w w:val="91"/>
              </w:rPr>
              <w:t>At December 31, 2018</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S/(000)</w:t>
            </w:r>
          </w:p>
        </w:tc>
        <w:tc>
          <w:tcPr>
            <w:tcW w:w="260" w:type="dxa"/>
            <w:vAlign w:val="bottom"/>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S/(000)</w:t>
            </w:r>
          </w:p>
        </w:tc>
        <w:tc>
          <w:tcPr>
            <w:tcW w:w="600" w:type="dxa"/>
            <w:vAlign w:val="bottom"/>
          </w:tcPr>
          <w:p>
            <w:pPr>
              <w:jc w:val="right"/>
              <w:ind w:right="38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Instruments rated in Peru:</w:t>
            </w:r>
          </w:p>
        </w:tc>
        <w:tc>
          <w:tcPr>
            <w:tcW w:w="1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AAA</w:t>
            </w:r>
          </w:p>
        </w:tc>
        <w:tc>
          <w:tcPr>
            <w:tcW w:w="2840" w:type="dxa"/>
            <w:vAlign w:val="bottom"/>
            <w:gridSpan w:val="2"/>
          </w:tcPr>
          <w:p>
            <w:pPr>
              <w:jc w:val="right"/>
              <w:spacing w:after="0"/>
              <w:rPr>
                <w:sz w:val="20"/>
                <w:szCs w:val="20"/>
                <w:color w:val="auto"/>
              </w:rPr>
            </w:pPr>
            <w:r>
              <w:rPr>
                <w:rFonts w:ascii="Arial" w:cs="Arial" w:eastAsia="Arial" w:hAnsi="Arial"/>
                <w:sz w:val="12"/>
                <w:szCs w:val="12"/>
                <w:color w:val="auto"/>
              </w:rPr>
              <w:t>1,621,270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4.80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1,219,451</w:t>
            </w:r>
          </w:p>
        </w:tc>
        <w:tc>
          <w:tcPr>
            <w:tcW w:w="5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3.70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AA- a AA+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1,853,042</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1,483,063</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A- to A+</w:t>
            </w:r>
          </w:p>
        </w:tc>
        <w:tc>
          <w:tcPr>
            <w:tcW w:w="2840" w:type="dxa"/>
            <w:vAlign w:val="bottom"/>
            <w:gridSpan w:val="2"/>
          </w:tcPr>
          <w:p>
            <w:pPr>
              <w:jc w:val="right"/>
              <w:spacing w:after="0"/>
              <w:rPr>
                <w:sz w:val="20"/>
                <w:szCs w:val="20"/>
                <w:color w:val="auto"/>
              </w:rPr>
            </w:pPr>
            <w:r>
              <w:rPr>
                <w:rFonts w:ascii="Arial" w:cs="Arial" w:eastAsia="Arial" w:hAnsi="Arial"/>
                <w:sz w:val="12"/>
                <w:szCs w:val="12"/>
                <w:color w:val="auto"/>
              </w:rPr>
              <w:t>8,970,590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26.80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6,809,865</w:t>
            </w:r>
          </w:p>
        </w:tc>
        <w:tc>
          <w:tcPr>
            <w:tcW w:w="5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20.70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BBB- to BBB+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1,874,556</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2,282,714</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BB- to BB+</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517,146</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1.50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459,249</w:t>
            </w:r>
          </w:p>
        </w:tc>
        <w:tc>
          <w:tcPr>
            <w:tcW w:w="5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1.40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Lower and equal to +B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7,397</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Unrated:</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BCRP certificates of deposit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8,665,272</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25.80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9,829,584</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29.90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140"/>
              <w:spacing w:after="0"/>
              <w:rPr>
                <w:sz w:val="20"/>
                <w:szCs w:val="20"/>
                <w:color w:val="auto"/>
              </w:rPr>
            </w:pPr>
            <w:r>
              <w:rPr>
                <w:rFonts w:ascii="Arial" w:cs="Arial" w:eastAsia="Arial" w:hAnsi="Arial"/>
                <w:sz w:val="12"/>
                <w:szCs w:val="12"/>
                <w:color w:val="auto"/>
              </w:rPr>
              <w:t>Listed and unlisted securities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573,485</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1.70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650,507</w:t>
            </w:r>
          </w:p>
        </w:tc>
        <w:tc>
          <w:tcPr>
            <w:tcW w:w="5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2.00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mutual funds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460,086</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407,350</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140"/>
              <w:spacing w:after="0"/>
              <w:rPr>
                <w:sz w:val="20"/>
                <w:szCs w:val="20"/>
                <w:color w:val="auto"/>
              </w:rPr>
            </w:pPr>
            <w:r>
              <w:rPr>
                <w:rFonts w:ascii="Arial" w:cs="Arial" w:eastAsia="Arial" w:hAnsi="Arial"/>
                <w:sz w:val="12"/>
                <w:szCs w:val="12"/>
                <w:color w:val="auto"/>
              </w:rPr>
              <w:t>Investment funds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102,085</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0.30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66,932</w:t>
            </w:r>
          </w:p>
        </w:tc>
        <w:tc>
          <w:tcPr>
            <w:tcW w:w="5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0.20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Mutual funds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291,024</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16,811</w:t>
            </w:r>
          </w:p>
        </w:tc>
        <w:tc>
          <w:tcPr>
            <w:tcW w:w="5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0.10</w:t>
            </w:r>
          </w:p>
        </w:tc>
        <w:tc>
          <w:tcPr>
            <w:tcW w:w="740" w:type="dxa"/>
            <w:vAlign w:val="bottom"/>
          </w:tcPr>
          <w:p>
            <w:pPr>
              <w:spacing w:after="0"/>
              <w:rPr>
                <w:sz w:val="12"/>
                <w:szCs w:val="12"/>
                <w:color w:val="auto"/>
              </w:rPr>
            </w:pPr>
          </w:p>
        </w:tc>
      </w:tr>
      <w:tr>
        <w:trPr>
          <w:trHeight w:val="153"/>
        </w:trPr>
        <w:tc>
          <w:tcPr>
            <w:tcW w:w="640" w:type="dxa"/>
            <w:vAlign w:val="bottom"/>
          </w:tcPr>
          <w:p>
            <w:pPr>
              <w:spacing w:after="0"/>
              <w:rPr>
                <w:sz w:val="13"/>
                <w:szCs w:val="13"/>
                <w:color w:val="auto"/>
              </w:rPr>
            </w:pPr>
          </w:p>
        </w:tc>
        <w:tc>
          <w:tcPr>
            <w:tcW w:w="3240" w:type="dxa"/>
            <w:vAlign w:val="bottom"/>
          </w:tcPr>
          <w:p>
            <w:pPr>
              <w:ind w:left="140"/>
              <w:spacing w:after="0"/>
              <w:rPr>
                <w:sz w:val="20"/>
                <w:szCs w:val="20"/>
                <w:color w:val="auto"/>
              </w:rPr>
            </w:pPr>
            <w:r>
              <w:rPr>
                <w:rFonts w:ascii="Arial" w:cs="Arial" w:eastAsia="Arial" w:hAnsi="Arial"/>
                <w:sz w:val="12"/>
                <w:szCs w:val="12"/>
                <w:color w:val="auto"/>
              </w:rPr>
              <w:t>Other instruments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264,497</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0.80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727,713</w:t>
            </w:r>
          </w:p>
        </w:tc>
        <w:tc>
          <w:tcPr>
            <w:tcW w:w="5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2.20</w:t>
            </w:r>
          </w:p>
        </w:tc>
        <w:tc>
          <w:tcPr>
            <w:tcW w:w="740" w:type="dxa"/>
            <w:vAlign w:val="bottom"/>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3240" w:type="dxa"/>
            <w:vAlign w:val="bottom"/>
            <w:tcBorders>
              <w:top w:val="single" w:sz="8" w:color="CCEEFF"/>
            </w:tcBorders>
            <w:shd w:val="clear" w:color="auto" w:fill="CCEEFF"/>
          </w:tcPr>
          <w:p>
            <w:pPr>
              <w:ind w:left="40"/>
              <w:spacing w:after="0" w:line="133" w:lineRule="exact"/>
              <w:rPr>
                <w:sz w:val="20"/>
                <w:szCs w:val="20"/>
                <w:color w:val="auto"/>
              </w:rPr>
            </w:pPr>
            <w:r>
              <w:rPr>
                <w:rFonts w:ascii="Arial" w:cs="Arial" w:eastAsia="Arial" w:hAnsi="Arial"/>
                <w:sz w:val="12"/>
                <w:szCs w:val="12"/>
                <w:b w:val="1"/>
                <w:bCs w:val="1"/>
                <w:color w:val="auto"/>
              </w:rPr>
              <w:t>Subtotal</w:t>
            </w:r>
          </w:p>
        </w:tc>
        <w:tc>
          <w:tcPr>
            <w:tcW w:w="17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25,193,053</w:t>
            </w:r>
          </w:p>
        </w:tc>
        <w:tc>
          <w:tcPr>
            <w:tcW w:w="2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75.10</w:t>
            </w:r>
          </w:p>
        </w:tc>
        <w:tc>
          <w:tcPr>
            <w:tcW w:w="2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23,960,636</w:t>
            </w:r>
          </w:p>
        </w:tc>
        <w:tc>
          <w:tcPr>
            <w:tcW w:w="2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72.80</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Pr>
          <w:p>
            <w:pPr>
              <w:spacing w:after="0"/>
              <w:rPr>
                <w:sz w:val="11"/>
                <w:szCs w:val="11"/>
                <w:color w:val="auto"/>
              </w:rPr>
            </w:pPr>
          </w:p>
        </w:tc>
      </w:tr>
      <w:tr>
        <w:trPr>
          <w:trHeight w:val="421"/>
        </w:trPr>
        <w:tc>
          <w:tcPr>
            <w:tcW w:w="6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2"/>
                <w:szCs w:val="12"/>
                <w:color w:val="auto"/>
              </w:rPr>
              <w:t>- 148 -</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71" w:right="19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w w:val="90"/>
              </w:rPr>
              <w:t>At December 31, 2019</w:t>
            </w: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w w:val="90"/>
              </w:rPr>
              <w:t>At December 31, 2018</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S/(000)</w:t>
            </w:r>
          </w:p>
        </w:tc>
        <w:tc>
          <w:tcPr>
            <w:tcW w:w="620" w:type="dxa"/>
            <w:vAlign w:val="bottom"/>
          </w:tcPr>
          <w:p>
            <w:pPr>
              <w:jc w:val="right"/>
              <w:ind w:right="4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Instruments rated abroad:</w:t>
            </w:r>
          </w:p>
        </w:tc>
        <w:tc>
          <w:tcPr>
            <w:tcW w:w="1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AAA</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657,787</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2.00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286,417</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0.90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AA- a AA+</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854,501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513,577</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A- to A+</w:t>
            </w:r>
          </w:p>
        </w:tc>
        <w:tc>
          <w:tcPr>
            <w:tcW w:w="2840" w:type="dxa"/>
            <w:vAlign w:val="bottom"/>
            <w:gridSpan w:val="2"/>
          </w:tcPr>
          <w:p>
            <w:pPr>
              <w:ind w:left="2360"/>
              <w:spacing w:after="0"/>
              <w:rPr>
                <w:sz w:val="20"/>
                <w:szCs w:val="20"/>
                <w:color w:val="auto"/>
              </w:rPr>
            </w:pPr>
            <w:r>
              <w:rPr>
                <w:rFonts w:ascii="Arial" w:cs="Arial" w:eastAsia="Arial" w:hAnsi="Arial"/>
                <w:sz w:val="12"/>
                <w:szCs w:val="12"/>
                <w:color w:val="auto"/>
                <w:w w:val="86"/>
              </w:rPr>
              <w:t>1,581,995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4.70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1,265,390</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3.90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BBB- to BBB+</w:t>
            </w:r>
          </w:p>
        </w:tc>
        <w:tc>
          <w:tcPr>
            <w:tcW w:w="2840" w:type="dxa"/>
            <w:vAlign w:val="bottom"/>
            <w:gridSpan w:val="2"/>
            <w:shd w:val="clear" w:color="auto" w:fill="CCEEFF"/>
          </w:tcPr>
          <w:p>
            <w:pPr>
              <w:ind w:left="2360"/>
              <w:spacing w:after="0"/>
              <w:rPr>
                <w:sz w:val="20"/>
                <w:szCs w:val="20"/>
                <w:color w:val="auto"/>
              </w:rPr>
            </w:pPr>
            <w:r>
              <w:rPr>
                <w:rFonts w:ascii="Arial" w:cs="Arial" w:eastAsia="Arial" w:hAnsi="Arial"/>
                <w:sz w:val="12"/>
                <w:szCs w:val="12"/>
                <w:color w:val="auto"/>
                <w:w w:val="86"/>
              </w:rPr>
              <w:t>2,974,639</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4,064,725</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12.40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BB- to BB+</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996,917</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3.00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1,383,960</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4.20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Lower and equal to +B</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54,316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0.20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81,627</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40"/>
              <w:spacing w:after="0"/>
              <w:rPr>
                <w:sz w:val="20"/>
                <w:szCs w:val="20"/>
                <w:color w:val="auto"/>
              </w:rPr>
            </w:pPr>
            <w:r>
              <w:rPr>
                <w:rFonts w:ascii="Arial" w:cs="Arial" w:eastAsia="Arial" w:hAnsi="Arial"/>
                <w:sz w:val="12"/>
                <w:szCs w:val="12"/>
                <w:color w:val="auto"/>
              </w:rPr>
              <w:t>Unrated:</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Listed and unlisted securities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88,799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0.30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100,031</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120"/>
              <w:spacing w:after="0"/>
              <w:rPr>
                <w:sz w:val="20"/>
                <w:szCs w:val="20"/>
                <w:color w:val="auto"/>
              </w:rPr>
            </w:pPr>
            <w:r>
              <w:rPr>
                <w:rFonts w:ascii="Arial" w:cs="Arial" w:eastAsia="Arial" w:hAnsi="Arial"/>
                <w:sz w:val="12"/>
                <w:szCs w:val="12"/>
                <w:color w:val="auto"/>
              </w:rPr>
              <w:t>Participations of RAL funds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300,398</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0.90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445,039</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1.40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Mutual funds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302,528</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381,107</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tcPr>
          <w:p>
            <w:pPr>
              <w:ind w:left="120"/>
              <w:spacing w:after="0"/>
              <w:rPr>
                <w:sz w:val="20"/>
                <w:szCs w:val="20"/>
                <w:color w:val="auto"/>
              </w:rPr>
            </w:pPr>
            <w:r>
              <w:rPr>
                <w:rFonts w:ascii="Arial" w:cs="Arial" w:eastAsia="Arial" w:hAnsi="Arial"/>
                <w:sz w:val="12"/>
                <w:szCs w:val="12"/>
                <w:color w:val="auto"/>
              </w:rPr>
              <w:t>Investment funds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294,158</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0.90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168,870</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74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Hedge funds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33,223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44,335</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0.10</w:t>
            </w:r>
          </w:p>
        </w:tc>
        <w:tc>
          <w:tcPr>
            <w:tcW w:w="740" w:type="dxa"/>
            <w:vAlign w:val="bottom"/>
          </w:tcPr>
          <w:p>
            <w:pPr>
              <w:spacing w:after="0"/>
              <w:rPr>
                <w:sz w:val="12"/>
                <w:szCs w:val="12"/>
                <w:color w:val="auto"/>
              </w:rPr>
            </w:pPr>
          </w:p>
        </w:tc>
      </w:tr>
      <w:tr>
        <w:trPr>
          <w:trHeight w:val="153"/>
        </w:trPr>
        <w:tc>
          <w:tcPr>
            <w:tcW w:w="640" w:type="dxa"/>
            <w:vAlign w:val="bottom"/>
          </w:tcPr>
          <w:p>
            <w:pPr>
              <w:spacing w:after="0"/>
              <w:rPr>
                <w:sz w:val="13"/>
                <w:szCs w:val="13"/>
                <w:color w:val="auto"/>
              </w:rPr>
            </w:pPr>
          </w:p>
        </w:tc>
        <w:tc>
          <w:tcPr>
            <w:tcW w:w="3240" w:type="dxa"/>
            <w:vAlign w:val="bottom"/>
          </w:tcPr>
          <w:p>
            <w:pPr>
              <w:ind w:left="120"/>
              <w:spacing w:after="0"/>
              <w:rPr>
                <w:sz w:val="20"/>
                <w:szCs w:val="20"/>
                <w:color w:val="auto"/>
              </w:rPr>
            </w:pPr>
            <w:r>
              <w:rPr>
                <w:rFonts w:ascii="Arial" w:cs="Arial" w:eastAsia="Arial" w:hAnsi="Arial"/>
                <w:sz w:val="12"/>
                <w:szCs w:val="12"/>
                <w:color w:val="auto"/>
              </w:rPr>
              <w:t>Other instruments</w:t>
            </w:r>
          </w:p>
        </w:tc>
        <w:tc>
          <w:tcPr>
            <w:tcW w:w="3040" w:type="dxa"/>
            <w:vAlign w:val="bottom"/>
            <w:gridSpan w:val="3"/>
          </w:tcPr>
          <w:p>
            <w:pPr>
              <w:jc w:val="right"/>
              <w:ind w:right="200"/>
              <w:spacing w:after="0"/>
              <w:rPr>
                <w:sz w:val="20"/>
                <w:szCs w:val="20"/>
                <w:color w:val="auto"/>
              </w:rPr>
            </w:pPr>
            <w:r>
              <w:rPr>
                <w:rFonts w:ascii="Arial" w:cs="Arial" w:eastAsia="Arial" w:hAnsi="Arial"/>
                <w:sz w:val="12"/>
                <w:szCs w:val="12"/>
                <w:color w:val="auto"/>
              </w:rPr>
              <w:t>198,217</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0.50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167,404</w:t>
            </w:r>
          </w:p>
        </w:tc>
        <w:tc>
          <w:tcPr>
            <w:tcW w:w="4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740" w:type="dxa"/>
            <w:vAlign w:val="bottom"/>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3240" w:type="dxa"/>
            <w:vAlign w:val="bottom"/>
            <w:tcBorders>
              <w:top w:val="single" w:sz="8" w:color="CCEEFF"/>
            </w:tcBorders>
            <w:shd w:val="clear" w:color="auto" w:fill="CCEEFF"/>
          </w:tcPr>
          <w:p>
            <w:pPr>
              <w:ind w:left="40"/>
              <w:spacing w:after="0" w:line="133" w:lineRule="exact"/>
              <w:rPr>
                <w:sz w:val="20"/>
                <w:szCs w:val="20"/>
                <w:color w:val="auto"/>
              </w:rPr>
            </w:pPr>
            <w:r>
              <w:rPr>
                <w:rFonts w:ascii="Arial" w:cs="Arial" w:eastAsia="Arial" w:hAnsi="Arial"/>
                <w:sz w:val="12"/>
                <w:szCs w:val="12"/>
                <w:b w:val="1"/>
                <w:bCs w:val="1"/>
                <w:color w:val="auto"/>
              </w:rPr>
              <w:t>Subtotal</w:t>
            </w:r>
          </w:p>
        </w:tc>
        <w:tc>
          <w:tcPr>
            <w:tcW w:w="17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ind w:left="640"/>
              <w:spacing w:after="0" w:line="133" w:lineRule="exact"/>
              <w:rPr>
                <w:sz w:val="20"/>
                <w:szCs w:val="20"/>
                <w:color w:val="auto"/>
              </w:rPr>
            </w:pPr>
            <w:r>
              <w:rPr>
                <w:rFonts w:ascii="Arial" w:cs="Arial" w:eastAsia="Arial" w:hAnsi="Arial"/>
                <w:sz w:val="12"/>
                <w:szCs w:val="12"/>
                <w:color w:val="auto"/>
                <w:w w:val="86"/>
              </w:rPr>
              <w:t>8,337,478</w:t>
            </w: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24.90</w:t>
            </w:r>
          </w:p>
        </w:tc>
        <w:tc>
          <w:tcPr>
            <w:tcW w:w="2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8,902,482</w:t>
            </w: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27.20</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Pr>
          <w:p>
            <w:pPr>
              <w:spacing w:after="0"/>
              <w:rPr>
                <w:sz w:val="11"/>
                <w:szCs w:val="11"/>
                <w:color w:val="auto"/>
              </w:rPr>
            </w:pPr>
          </w:p>
        </w:tc>
      </w:tr>
      <w:tr>
        <w:trPr>
          <w:trHeight w:val="142"/>
        </w:trPr>
        <w:tc>
          <w:tcPr>
            <w:tcW w:w="640" w:type="dxa"/>
            <w:vAlign w:val="bottom"/>
          </w:tcPr>
          <w:p>
            <w:pPr>
              <w:spacing w:after="0"/>
              <w:rPr>
                <w:sz w:val="12"/>
                <w:szCs w:val="12"/>
                <w:color w:val="auto"/>
              </w:rPr>
            </w:pPr>
          </w:p>
        </w:tc>
        <w:tc>
          <w:tcPr>
            <w:tcW w:w="3240" w:type="dxa"/>
            <w:vAlign w:val="bottom"/>
          </w:tcPr>
          <w:p>
            <w:pPr>
              <w:ind w:left="40"/>
              <w:spacing w:after="0" w:line="137" w:lineRule="exact"/>
              <w:rPr>
                <w:sz w:val="20"/>
                <w:szCs w:val="20"/>
                <w:color w:val="auto"/>
              </w:rPr>
            </w:pPr>
            <w:r>
              <w:rPr>
                <w:rFonts w:ascii="Arial" w:cs="Arial" w:eastAsia="Arial" w:hAnsi="Arial"/>
                <w:sz w:val="12"/>
                <w:szCs w:val="12"/>
                <w:b w:val="1"/>
                <w:bCs w:val="1"/>
                <w:color w:val="auto"/>
              </w:rPr>
              <w:t>Total</w:t>
            </w:r>
          </w:p>
        </w:tc>
        <w:tc>
          <w:tcPr>
            <w:tcW w:w="172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33,530,531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100.00</w:t>
            </w: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32,863,118</w:t>
            </w:r>
          </w:p>
        </w:tc>
        <w:tc>
          <w:tcPr>
            <w:tcW w:w="4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740" w:type="dxa"/>
            <w:vAlign w:val="bottom"/>
          </w:tcPr>
          <w:p>
            <w:pPr>
              <w:spacing w:after="0"/>
              <w:rPr>
                <w:sz w:val="12"/>
                <w:szCs w:val="12"/>
                <w:color w:val="auto"/>
              </w:rPr>
            </w:pPr>
          </w:p>
        </w:tc>
      </w:tr>
      <w:tr>
        <w:trPr>
          <w:trHeight w:val="20"/>
        </w:trPr>
        <w:tc>
          <w:tcPr>
            <w:tcW w:w="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1"/>
        </w:trPr>
        <w:tc>
          <w:tcPr>
            <w:tcW w:w="6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2"/>
                <w:szCs w:val="12"/>
                <w:color w:val="auto"/>
              </w:rPr>
              <w:t>- 149 -</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8" w:right="199" w:bottom="1440" w:gutter="0" w:footer="0" w:header="0"/>
        </w:sectPr>
      </w:pPr>
    </w:p>
    <w:bookmarkStart w:id="154" w:name="page155"/>
    <w:bookmarkEnd w:id="154"/>
    <w:p>
      <w:pPr>
        <w:ind w:left="208" w:hanging="208"/>
        <w:spacing w:after="0"/>
        <w:tabs>
          <w:tab w:leader="none" w:pos="20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Concentration of financial instruments exposed to credit risk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As of December 31, 2019 and 2018, financial instruments with exposure to credit risk were distributed considering the following economic sectors:</w:t>
      </w:r>
    </w:p>
    <w:p>
      <w:pPr>
        <w:spacing w:after="0" w:line="152"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74"/>
        </w:trPr>
        <w:tc>
          <w:tcPr>
            <w:tcW w:w="3360" w:type="dxa"/>
            <w:vAlign w:val="bottom"/>
          </w:tcPr>
          <w:p>
            <w:pPr>
              <w:spacing w:after="0"/>
              <w:rPr>
                <w:sz w:val="6"/>
                <w:szCs w:val="6"/>
                <w:color w:val="auto"/>
              </w:rPr>
            </w:pPr>
          </w:p>
        </w:tc>
        <w:tc>
          <w:tcPr>
            <w:tcW w:w="1540" w:type="dxa"/>
            <w:vAlign w:val="bottom"/>
            <w:gridSpan w:val="4"/>
          </w:tcPr>
          <w:p>
            <w:pPr>
              <w:jc w:val="center"/>
              <w:ind w:right="220"/>
              <w:spacing w:after="0" w:line="74" w:lineRule="exact"/>
              <w:rPr>
                <w:sz w:val="20"/>
                <w:szCs w:val="20"/>
                <w:color w:val="auto"/>
              </w:rPr>
            </w:pPr>
            <w:r>
              <w:rPr>
                <w:rFonts w:ascii="Arial" w:cs="Arial" w:eastAsia="Arial" w:hAnsi="Arial"/>
                <w:sz w:val="8"/>
                <w:szCs w:val="8"/>
                <w:b w:val="1"/>
                <w:bCs w:val="1"/>
                <w:color w:val="auto"/>
              </w:rPr>
              <w:t>At fair value</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4"/>
          </w:tcPr>
          <w:p>
            <w:pPr>
              <w:jc w:val="right"/>
              <w:ind w:right="620"/>
              <w:spacing w:after="0" w:line="74" w:lineRule="exact"/>
              <w:rPr>
                <w:sz w:val="20"/>
                <w:szCs w:val="20"/>
                <w:color w:val="auto"/>
              </w:rPr>
            </w:pPr>
            <w:r>
              <w:rPr>
                <w:rFonts w:ascii="Arial" w:cs="Arial" w:eastAsia="Arial" w:hAnsi="Arial"/>
                <w:sz w:val="8"/>
                <w:szCs w:val="8"/>
                <w:b w:val="1"/>
                <w:bCs w:val="1"/>
                <w:color w:val="auto"/>
              </w:rPr>
              <w:t>At fair value</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14"/>
        </w:trPr>
        <w:tc>
          <w:tcPr>
            <w:tcW w:w="3360" w:type="dxa"/>
            <w:vAlign w:val="bottom"/>
          </w:tcPr>
          <w:p>
            <w:pPr>
              <w:spacing w:after="0"/>
              <w:rPr>
                <w:sz w:val="9"/>
                <w:szCs w:val="9"/>
                <w:color w:val="auto"/>
              </w:rPr>
            </w:pPr>
          </w:p>
        </w:tc>
        <w:tc>
          <w:tcPr>
            <w:tcW w:w="1540" w:type="dxa"/>
            <w:vAlign w:val="bottom"/>
            <w:gridSpan w:val="4"/>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through profit for loss</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90"/>
              </w:rPr>
              <w:t>At fair value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4"/>
          </w:tcPr>
          <w:p>
            <w:pPr>
              <w:jc w:val="right"/>
              <w:ind w:right="420"/>
              <w:spacing w:after="0" w:line="114" w:lineRule="exact"/>
              <w:rPr>
                <w:sz w:val="20"/>
                <w:szCs w:val="20"/>
                <w:color w:val="auto"/>
              </w:rPr>
            </w:pPr>
            <w:r>
              <w:rPr>
                <w:rFonts w:ascii="Arial" w:cs="Arial" w:eastAsia="Arial" w:hAnsi="Arial"/>
                <w:sz w:val="10"/>
                <w:szCs w:val="10"/>
                <w:b w:val="1"/>
                <w:bCs w:val="1"/>
                <w:color w:val="auto"/>
              </w:rPr>
              <w:t>through profit for loss</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At fair value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74"/>
        </w:trPr>
        <w:tc>
          <w:tcPr>
            <w:tcW w:w="3360" w:type="dxa"/>
            <w:vAlign w:val="bottom"/>
          </w:tcPr>
          <w:p>
            <w:pPr>
              <w:spacing w:after="0"/>
              <w:rPr>
                <w:sz w:val="6"/>
                <w:szCs w:val="6"/>
                <w:color w:val="auto"/>
              </w:rPr>
            </w:pPr>
          </w:p>
        </w:tc>
        <w:tc>
          <w:tcPr>
            <w:tcW w:w="760" w:type="dxa"/>
            <w:vAlign w:val="bottom"/>
            <w:tcBorders>
              <w:top w:val="single" w:sz="8" w:color="auto"/>
            </w:tcBorders>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Held for</w:t>
            </w: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Financial</w:t>
            </w:r>
          </w:p>
        </w:tc>
        <w:tc>
          <w:tcPr>
            <w:tcW w:w="82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through other</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top w:val="single" w:sz="8" w:color="auto"/>
            </w:tcBorders>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Held for</w:t>
            </w: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Financial</w:t>
            </w:r>
          </w:p>
        </w:tc>
        <w:tc>
          <w:tcPr>
            <w:tcW w:w="84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through other</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99"/>
        </w:trPr>
        <w:tc>
          <w:tcPr>
            <w:tcW w:w="336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2"/>
              </w:rPr>
              <w:t>trading,</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assets at</w:t>
            </w: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1"/>
              </w:rPr>
              <w:t>comprehensive</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trading,</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assets at</w:t>
            </w:r>
          </w:p>
        </w:tc>
        <w:tc>
          <w:tcPr>
            <w:tcW w:w="8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comprehensive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336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hedging and</w:t>
            </w:r>
          </w:p>
        </w:tc>
        <w:tc>
          <w:tcPr>
            <w:tcW w:w="7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1"/>
              </w:rPr>
              <w:t>Designated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amortized</w:t>
            </w: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income</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hedging and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Designated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amortized</w:t>
            </w:r>
          </w:p>
        </w:tc>
        <w:tc>
          <w:tcPr>
            <w:tcW w:w="8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income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3360" w:type="dxa"/>
            <w:vAlign w:val="bottom"/>
          </w:tcPr>
          <w:p>
            <w:pPr>
              <w:spacing w:after="0"/>
              <w:rPr>
                <w:sz w:val="9"/>
                <w:szCs w:val="9"/>
                <w:color w:val="auto"/>
              </w:rPr>
            </w:pP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others (*)</w:t>
            </w:r>
          </w:p>
        </w:tc>
        <w:tc>
          <w:tcPr>
            <w:tcW w:w="7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at inception</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77"/>
              </w:rPr>
              <w:t>cost</w:t>
            </w:r>
          </w:p>
        </w:tc>
        <w:tc>
          <w:tcPr>
            <w:tcW w:w="8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investments</w:t>
            </w:r>
          </w:p>
        </w:tc>
        <w:tc>
          <w:tcPr>
            <w:tcW w:w="76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Total</w:t>
            </w:r>
          </w:p>
        </w:tc>
        <w:tc>
          <w:tcPr>
            <w:tcW w:w="7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others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at inception</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7"/>
              </w:rPr>
              <w:t>cost</w:t>
            </w: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investments</w:t>
            </w:r>
          </w:p>
        </w:tc>
        <w:tc>
          <w:tcPr>
            <w:tcW w:w="6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Total</w:t>
            </w:r>
          </w:p>
        </w:tc>
      </w:tr>
      <w:tr>
        <w:trPr>
          <w:trHeight w:val="88"/>
        </w:trPr>
        <w:tc>
          <w:tcPr>
            <w:tcW w:w="336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Central Reserve Bank of Peru</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21,166,346</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8,665,272</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29,831,618</w:t>
            </w: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16,307,372</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9,829,584</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26,136,956</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Financial services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2,856,512</w:t>
            </w:r>
          </w:p>
        </w:tc>
        <w:tc>
          <w:tcPr>
            <w:tcW w:w="22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237,240</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13,281,408</w:t>
            </w:r>
          </w:p>
        </w:tc>
        <w:tc>
          <w:tcPr>
            <w:tcW w:w="2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2,883,301</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19,258,461</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1,640,578</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161,498</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13,237,970</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2,462,343</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17,502,389</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Manufacturing</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202,554</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36,686</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15,608,834</w:t>
            </w:r>
          </w:p>
        </w:tc>
        <w:tc>
          <w:tcPr>
            <w:tcW w:w="22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1,225,118</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17,073,192</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97,425</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38,586</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16,840,385</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1,337,907</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18,314,303</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Mortgage loans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18,985,407</w:t>
            </w:r>
          </w:p>
        </w:tc>
        <w:tc>
          <w:tcPr>
            <w:tcW w:w="2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18,985,407</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16,997,464</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16,997,464</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Consumer loans</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14,809,503</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14,809,503</w:t>
            </w: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13,384,611</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13,384,611</w:t>
            </w: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Micro-business loans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13,902,760</w:t>
            </w:r>
          </w:p>
        </w:tc>
        <w:tc>
          <w:tcPr>
            <w:tcW w:w="2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13,902,760</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13,150,811</w:t>
            </w: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13,150,811</w:t>
            </w: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Commerce</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21,228</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12,468</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12,636,843</w:t>
            </w:r>
          </w:p>
        </w:tc>
        <w:tc>
          <w:tcPr>
            <w:tcW w:w="22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452,214</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13,122,753</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27,021</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11,377</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12,752,836</w:t>
            </w: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330,492</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13,121,726</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Government and public administration</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1,581,527</w:t>
            </w:r>
          </w:p>
        </w:tc>
        <w:tc>
          <w:tcPr>
            <w:tcW w:w="22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12,994</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3,985,158</w:t>
            </w:r>
          </w:p>
        </w:tc>
        <w:tc>
          <w:tcPr>
            <w:tcW w:w="2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7,170,624</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12,750,303</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1,790,176</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41,060</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4,768,891</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5,547,253</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12,147,380</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Electricity, gas and water</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91,055</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50,929</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3,014,319</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2,286,932</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5,443,235</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101,939</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42,705</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4,312,044</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1,940,604</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6,397,292</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Community services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4,858,427</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5,798</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4,864,225</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4,459,532</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7,391</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4,466,923</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Communications, storage and transportation</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17,306</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59,392</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4,421,095</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1,071,335</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5,569,128</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24,678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36,794</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4,377,933</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1,279,371</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5,718,776</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Mining</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41,687</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27,875</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3,195,049</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146,362</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3,410,973</w:t>
            </w:r>
          </w:p>
        </w:tc>
        <w:tc>
          <w:tcPr>
            <w:tcW w:w="20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31,094</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5,749</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2,661,615</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154,188</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2,852,646</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Construction</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20,847</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3,967</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2,089,164</w:t>
            </w:r>
          </w:p>
        </w:tc>
        <w:tc>
          <w:tcPr>
            <w:tcW w:w="22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322,864</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2,436,842</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15,068</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1,913</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1,848,063</w:t>
            </w: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372,827</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2,237,871</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Agriculture</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1,963</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3,050,141</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17,887</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3,069,991</w:t>
            </w:r>
          </w:p>
        </w:tc>
        <w:tc>
          <w:tcPr>
            <w:tcW w:w="20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13,440</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2,546,889</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45,425</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2,605,754</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Insurance</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5,100</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123,771</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986</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129,857</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19,106</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1,862,688</w:t>
            </w: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1,881,794</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Education, health and others</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4,543</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53,792</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1,364,542</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644,143</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2,067,020</w:t>
            </w:r>
          </w:p>
        </w:tc>
        <w:tc>
          <w:tcPr>
            <w:tcW w:w="20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5,419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21,518</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1,296,293</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399,752</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1,722,982</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Real estate and leasing</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43,203</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125,201</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7,158,667</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1,276,941</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8,604,012</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62,597</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159,986</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6,423,262</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1,455,551</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8,101,396</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Fishing</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321</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417,067</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417,388</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3,416</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445,603</w:t>
            </w: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449,019</w:t>
            </w:r>
          </w:p>
        </w:tc>
      </w:tr>
      <w:tr>
        <w:trPr>
          <w:trHeight w:val="108"/>
        </w:trPr>
        <w:tc>
          <w:tcPr>
            <w:tcW w:w="3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Others</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55,023</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4,036,066</w:t>
            </w:r>
          </w:p>
        </w:tc>
        <w:tc>
          <w:tcPr>
            <w:tcW w:w="2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32,946</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4,124,035</w:t>
            </w:r>
          </w:p>
        </w:tc>
        <w:tc>
          <w:tcPr>
            <w:tcW w:w="2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446,805</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3,542,776</w:t>
            </w: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33,147</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4,022,728</w:t>
            </w:r>
          </w:p>
        </w:tc>
        <w:tc>
          <w:tcPr>
            <w:tcW w:w="120" w:type="dxa"/>
            <w:vAlign w:val="bottom"/>
            <w:shd w:val="clear" w:color="auto" w:fill="CCEEFF"/>
          </w:tcPr>
          <w:p>
            <w:pPr>
              <w:spacing w:after="0"/>
              <w:rPr>
                <w:sz w:val="9"/>
                <w:szCs w:val="9"/>
                <w:color w:val="auto"/>
              </w:rPr>
            </w:pPr>
          </w:p>
        </w:tc>
      </w:tr>
      <w:tr>
        <w:trPr>
          <w:trHeight w:val="104"/>
        </w:trPr>
        <w:tc>
          <w:tcPr>
            <w:tcW w:w="3360" w:type="dxa"/>
            <w:vAlign w:val="bottom"/>
          </w:tcPr>
          <w:p>
            <w:pPr>
              <w:spacing w:after="0" w:line="97" w:lineRule="exact"/>
              <w:rPr>
                <w:sz w:val="20"/>
                <w:szCs w:val="20"/>
                <w:color w:val="auto"/>
              </w:rPr>
            </w:pPr>
            <w:r>
              <w:rPr>
                <w:rFonts w:ascii="Arial" w:cs="Arial" w:eastAsia="Arial" w:hAnsi="Arial"/>
                <w:sz w:val="10"/>
                <w:szCs w:val="10"/>
                <w:b w:val="1"/>
                <w:bCs w:val="1"/>
                <w:color w:val="auto"/>
              </w:rPr>
              <w:t>Total</w:t>
            </w: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4,942,869</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620,544</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3"/>
              </w:rPr>
              <w:t>148,104,567</w:t>
            </w:r>
          </w:p>
        </w:tc>
        <w:tc>
          <w:tcPr>
            <w:tcW w:w="2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26,202,723</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7"/>
              </w:rPr>
              <w:t>179,870,703</w:t>
            </w:r>
          </w:p>
        </w:tc>
        <w:tc>
          <w:tcPr>
            <w:tcW w:w="20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4,278,762</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521,186</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7"/>
              </w:rPr>
              <w:t>141,217,038</w:t>
            </w:r>
          </w:p>
        </w:tc>
        <w:tc>
          <w:tcPr>
            <w:tcW w:w="20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25,195,835</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3"/>
              </w:rPr>
              <w:t>171,212,821</w:t>
            </w:r>
          </w:p>
        </w:tc>
        <w:tc>
          <w:tcPr>
            <w:tcW w:w="120" w:type="dxa"/>
            <w:vAlign w:val="bottom"/>
          </w:tcPr>
          <w:p>
            <w:pPr>
              <w:spacing w:after="0"/>
              <w:rPr>
                <w:sz w:val="9"/>
                <w:szCs w:val="9"/>
                <w:color w:val="auto"/>
              </w:rPr>
            </w:pPr>
          </w:p>
        </w:tc>
      </w:tr>
    </w:tbl>
    <w:p>
      <w:pPr>
        <w:spacing w:after="0" w:line="132" w:lineRule="exact"/>
        <w:rPr>
          <w:sz w:val="20"/>
          <w:szCs w:val="20"/>
          <w:color w:val="auto"/>
        </w:rPr>
      </w:pPr>
    </w:p>
    <w:p>
      <w:pPr>
        <w:ind w:left="208"/>
        <w:spacing w:after="0"/>
        <w:rPr>
          <w:sz w:val="20"/>
          <w:szCs w:val="20"/>
          <w:color w:val="auto"/>
        </w:rPr>
      </w:pPr>
      <w:r>
        <w:rPr>
          <w:rFonts w:ascii="Arial" w:cs="Arial" w:eastAsia="Arial" w:hAnsi="Arial"/>
          <w:sz w:val="10"/>
          <w:szCs w:val="10"/>
          <w:color w:val="auto"/>
        </w:rPr>
        <w:t>(*) It includes non-trading investments that did not pass SPPI test.</w:t>
      </w:r>
    </w:p>
    <w:p>
      <w:pPr>
        <w:spacing w:after="0" w:line="276"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- 150 -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48"/>
          </w:cols>
          <w:pgMar w:left="212" w:top="653" w:right="439" w:bottom="1440" w:gutter="0" w:footer="0" w:header="0"/>
        </w:sectPr>
      </w:pPr>
    </w:p>
    <w:bookmarkStart w:id="155" w:name="page156"/>
    <w:bookmarkEnd w:id="155"/>
    <w:p>
      <w:pPr>
        <w:spacing w:after="0"/>
        <w:rPr>
          <w:sz w:val="20"/>
          <w:szCs w:val="20"/>
          <w:color w:val="auto"/>
        </w:rPr>
      </w:pPr>
      <w:r>
        <w:rPr>
          <w:rFonts w:ascii="Arial" w:cs="Arial" w:eastAsia="Arial" w:hAnsi="Arial"/>
          <w:sz w:val="12"/>
          <w:szCs w:val="12"/>
          <w:color w:val="auto"/>
        </w:rPr>
        <w:t>As of December 31, 2019 and 2018 financial instruments with exposure to credit risk were distributed by the following geographical areas: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74"/>
        </w:trPr>
        <w:tc>
          <w:tcPr>
            <w:tcW w:w="3360" w:type="dxa"/>
            <w:vAlign w:val="bottom"/>
          </w:tcPr>
          <w:p>
            <w:pPr>
              <w:spacing w:after="0"/>
              <w:rPr>
                <w:sz w:val="6"/>
                <w:szCs w:val="6"/>
                <w:color w:val="auto"/>
              </w:rPr>
            </w:pPr>
          </w:p>
        </w:tc>
        <w:tc>
          <w:tcPr>
            <w:tcW w:w="1540" w:type="dxa"/>
            <w:vAlign w:val="bottom"/>
            <w:gridSpan w:val="4"/>
          </w:tcPr>
          <w:p>
            <w:pPr>
              <w:jc w:val="center"/>
              <w:ind w:right="220"/>
              <w:spacing w:after="0" w:line="74" w:lineRule="exact"/>
              <w:rPr>
                <w:sz w:val="20"/>
                <w:szCs w:val="20"/>
                <w:color w:val="auto"/>
              </w:rPr>
            </w:pPr>
            <w:r>
              <w:rPr>
                <w:rFonts w:ascii="Arial" w:cs="Arial" w:eastAsia="Arial" w:hAnsi="Arial"/>
                <w:sz w:val="8"/>
                <w:szCs w:val="8"/>
                <w:b w:val="1"/>
                <w:bCs w:val="1"/>
                <w:color w:val="auto"/>
              </w:rPr>
              <w:t>At fair value</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4"/>
          </w:tcPr>
          <w:p>
            <w:pPr>
              <w:jc w:val="right"/>
              <w:ind w:right="620"/>
              <w:spacing w:after="0" w:line="74" w:lineRule="exact"/>
              <w:rPr>
                <w:sz w:val="20"/>
                <w:szCs w:val="20"/>
                <w:color w:val="auto"/>
              </w:rPr>
            </w:pPr>
            <w:r>
              <w:rPr>
                <w:rFonts w:ascii="Arial" w:cs="Arial" w:eastAsia="Arial" w:hAnsi="Arial"/>
                <w:sz w:val="8"/>
                <w:szCs w:val="8"/>
                <w:b w:val="1"/>
                <w:bCs w:val="1"/>
                <w:color w:val="auto"/>
              </w:rPr>
              <w:t>At fair value</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14"/>
        </w:trPr>
        <w:tc>
          <w:tcPr>
            <w:tcW w:w="3360" w:type="dxa"/>
            <w:vAlign w:val="bottom"/>
          </w:tcPr>
          <w:p>
            <w:pPr>
              <w:spacing w:after="0"/>
              <w:rPr>
                <w:sz w:val="9"/>
                <w:szCs w:val="9"/>
                <w:color w:val="auto"/>
              </w:rPr>
            </w:pPr>
          </w:p>
        </w:tc>
        <w:tc>
          <w:tcPr>
            <w:tcW w:w="1540" w:type="dxa"/>
            <w:vAlign w:val="bottom"/>
            <w:gridSpan w:val="4"/>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through profit for loss</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At fair value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4"/>
          </w:tcPr>
          <w:p>
            <w:pPr>
              <w:jc w:val="right"/>
              <w:ind w:right="420"/>
              <w:spacing w:after="0" w:line="114" w:lineRule="exact"/>
              <w:rPr>
                <w:sz w:val="20"/>
                <w:szCs w:val="20"/>
                <w:color w:val="auto"/>
              </w:rPr>
            </w:pPr>
            <w:r>
              <w:rPr>
                <w:rFonts w:ascii="Arial" w:cs="Arial" w:eastAsia="Arial" w:hAnsi="Arial"/>
                <w:sz w:val="10"/>
                <w:szCs w:val="10"/>
                <w:b w:val="1"/>
                <w:bCs w:val="1"/>
                <w:color w:val="auto"/>
              </w:rPr>
              <w:t>through profit for loss</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0"/>
              </w:rPr>
              <w:t>At fair value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74"/>
        </w:trPr>
        <w:tc>
          <w:tcPr>
            <w:tcW w:w="3360" w:type="dxa"/>
            <w:vAlign w:val="bottom"/>
          </w:tcPr>
          <w:p>
            <w:pPr>
              <w:spacing w:after="0"/>
              <w:rPr>
                <w:sz w:val="6"/>
                <w:szCs w:val="6"/>
                <w:color w:val="auto"/>
              </w:rPr>
            </w:pPr>
          </w:p>
        </w:tc>
        <w:tc>
          <w:tcPr>
            <w:tcW w:w="760" w:type="dxa"/>
            <w:vAlign w:val="bottom"/>
            <w:tcBorders>
              <w:top w:val="single" w:sz="8" w:color="auto"/>
            </w:tcBorders>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Held for</w:t>
            </w: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Financial</w:t>
            </w:r>
          </w:p>
        </w:tc>
        <w:tc>
          <w:tcPr>
            <w:tcW w:w="82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through other</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top w:val="single" w:sz="8" w:color="auto"/>
            </w:tcBorders>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Held for</w:t>
            </w: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Financial</w:t>
            </w:r>
          </w:p>
        </w:tc>
        <w:tc>
          <w:tcPr>
            <w:tcW w:w="84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through other</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99"/>
        </w:trPr>
        <w:tc>
          <w:tcPr>
            <w:tcW w:w="336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2"/>
              </w:rPr>
              <w:t>trading,</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assets at</w:t>
            </w: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1"/>
              </w:rPr>
              <w:t>comprehensive</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trading,</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assets at</w:t>
            </w:r>
          </w:p>
        </w:tc>
        <w:tc>
          <w:tcPr>
            <w:tcW w:w="8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comprehensive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3360" w:type="dxa"/>
            <w:vAlign w:val="bottom"/>
          </w:tcPr>
          <w:p>
            <w:pPr>
              <w:spacing w:after="0"/>
              <w:rPr>
                <w:sz w:val="8"/>
                <w:szCs w:val="8"/>
                <w:color w:val="auto"/>
              </w:rPr>
            </w:pP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hedging and</w:t>
            </w:r>
          </w:p>
        </w:tc>
        <w:tc>
          <w:tcPr>
            <w:tcW w:w="7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1"/>
              </w:rPr>
              <w:t>Designated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amortized</w:t>
            </w: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9"/>
              </w:rPr>
              <w:t>income</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hedging and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Designated</w:t>
            </w:r>
          </w:p>
        </w:tc>
        <w:tc>
          <w:tcPr>
            <w:tcW w:w="7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amortized</w:t>
            </w:r>
          </w:p>
        </w:tc>
        <w:tc>
          <w:tcPr>
            <w:tcW w:w="84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income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3360" w:type="dxa"/>
            <w:vAlign w:val="bottom"/>
          </w:tcPr>
          <w:p>
            <w:pPr>
              <w:spacing w:after="0"/>
              <w:rPr>
                <w:sz w:val="9"/>
                <w:szCs w:val="9"/>
                <w:color w:val="auto"/>
              </w:rPr>
            </w:pP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others (*)</w:t>
            </w:r>
          </w:p>
        </w:tc>
        <w:tc>
          <w:tcPr>
            <w:tcW w:w="7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at inception</w:t>
            </w: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77"/>
              </w:rPr>
              <w:t>cost</w:t>
            </w:r>
          </w:p>
        </w:tc>
        <w:tc>
          <w:tcPr>
            <w:tcW w:w="8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investments</w:t>
            </w:r>
          </w:p>
        </w:tc>
        <w:tc>
          <w:tcPr>
            <w:tcW w:w="76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Total</w:t>
            </w:r>
          </w:p>
        </w:tc>
        <w:tc>
          <w:tcPr>
            <w:tcW w:w="7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others (*)</w:t>
            </w:r>
          </w:p>
        </w:tc>
        <w:tc>
          <w:tcPr>
            <w:tcW w:w="7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at inception</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77"/>
              </w:rPr>
              <w:t>cost</w:t>
            </w: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investments</w:t>
            </w:r>
          </w:p>
        </w:tc>
        <w:tc>
          <w:tcPr>
            <w:tcW w:w="6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Total</w:t>
            </w:r>
          </w:p>
        </w:tc>
      </w:tr>
      <w:tr>
        <w:trPr>
          <w:trHeight w:val="88"/>
        </w:trPr>
        <w:tc>
          <w:tcPr>
            <w:tcW w:w="336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540" w:type="dxa"/>
            <w:vAlign w:val="bottom"/>
            <w:tcBorders>
              <w:top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Peru</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688,099</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138,293</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130,436,702</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20,674,142</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151,937,236</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839,713</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121,725</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124,349,120</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19,640,847</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144,951,405</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United States of America</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568,588</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275,991</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982,944</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2,770,903</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4,598,426</w:t>
            </w:r>
          </w:p>
        </w:tc>
        <w:tc>
          <w:tcPr>
            <w:tcW w:w="20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476,593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241,743</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1,538,853</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2,616,120</w:t>
            </w:r>
          </w:p>
        </w:tc>
        <w:tc>
          <w:tcPr>
            <w:tcW w:w="2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4,873,309</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Bolivia</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494,547</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9,218,219</w:t>
            </w:r>
          </w:p>
        </w:tc>
        <w:tc>
          <w:tcPr>
            <w:tcW w:w="22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555,028</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10,267,794</w:t>
            </w:r>
          </w:p>
        </w:tc>
        <w:tc>
          <w:tcPr>
            <w:tcW w:w="2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716,740</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8,531,311</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514,845</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9,762,896</w:t>
            </w:r>
          </w:p>
        </w:tc>
        <w:tc>
          <w:tcPr>
            <w:tcW w:w="120" w:type="dxa"/>
            <w:vAlign w:val="bottom"/>
            <w:shd w:val="clear" w:color="auto" w:fill="CCEEFF"/>
          </w:tcPr>
          <w:p>
            <w:pPr>
              <w:spacing w:after="0"/>
              <w:rPr>
                <w:sz w:val="8"/>
                <w:szCs w:val="8"/>
                <w:color w:val="auto"/>
              </w:rPr>
            </w:pP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Colombia</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1,346,042</w:t>
            </w:r>
          </w:p>
        </w:tc>
        <w:tc>
          <w:tcPr>
            <w:tcW w:w="22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21,289</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2,627,353</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385,794</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4,380,478</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1,450,342</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23,274</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2,214,653</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492,121</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4,180,390</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Panama</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905,675</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91,571</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997,246</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5,406</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663,326</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56,780</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725,512</w:t>
            </w: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Chile</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683,822</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34,606</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2,047,951</w:t>
            </w:r>
          </w:p>
        </w:tc>
        <w:tc>
          <w:tcPr>
            <w:tcW w:w="22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450,382</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3,216,761</w:t>
            </w:r>
          </w:p>
        </w:tc>
        <w:tc>
          <w:tcPr>
            <w:tcW w:w="200" w:type="dxa"/>
            <w:vAlign w:val="bottom"/>
          </w:tcPr>
          <w:p>
            <w:pPr>
              <w:spacing w:after="0"/>
              <w:rPr>
                <w:sz w:val="8"/>
                <w:szCs w:val="8"/>
                <w:color w:val="auto"/>
              </w:rPr>
            </w:pP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306,299</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41,290</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1,868,149</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677,740</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2,893,478</w:t>
            </w: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Brazil</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6,023</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5,867</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485,594</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40,472</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537,956</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7,773</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436,580</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17,074</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461,427</w:t>
            </w: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color w:val="auto"/>
              </w:rPr>
              <w:t>Mexico</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28,846</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18,093</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5,962</w:t>
            </w: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247,713</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300,614</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51,091</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12,206</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147,632</w:t>
            </w: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286,235</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497,164</w:t>
            </w:r>
          </w:p>
        </w:tc>
      </w:tr>
      <w:tr>
        <w:trPr>
          <w:trHeight w:val="99"/>
        </w:trPr>
        <w:tc>
          <w:tcPr>
            <w:tcW w:w="3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Canada</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29,976</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109,233</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108,494</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247,703</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9,478</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30,537</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91,832</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131,847</w:t>
            </w:r>
          </w:p>
        </w:tc>
      </w:tr>
      <w:tr>
        <w:trPr>
          <w:trHeight w:val="99"/>
        </w:trPr>
        <w:tc>
          <w:tcPr>
            <w:tcW w:w="3360" w:type="dxa"/>
            <w:vAlign w:val="bottom"/>
          </w:tcPr>
          <w:p>
            <w:pPr>
              <w:spacing w:after="0" w:line="99" w:lineRule="exact"/>
              <w:rPr>
                <w:sz w:val="20"/>
                <w:szCs w:val="20"/>
                <w:color w:val="auto"/>
              </w:rPr>
            </w:pPr>
            <w:r>
              <w:rPr>
                <w:rFonts w:ascii="Arial" w:cs="Arial" w:eastAsia="Arial" w:hAnsi="Arial"/>
                <w:sz w:val="10"/>
                <w:szCs w:val="10"/>
                <w:b w:val="1"/>
                <w:bCs w:val="1"/>
                <w:color w:val="auto"/>
              </w:rPr>
              <w:t>Europe:</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336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United Kingdom</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189,658</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14,950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273,477</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80,965</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559,050</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192,141</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18,451</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116,262</w:t>
            </w: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126,811</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453,665</w:t>
            </w:r>
          </w:p>
        </w:tc>
      </w:tr>
      <w:tr>
        <w:trPr>
          <w:trHeight w:val="99"/>
        </w:trPr>
        <w:tc>
          <w:tcPr>
            <w:tcW w:w="3360" w:type="dxa"/>
            <w:vAlign w:val="bottom"/>
          </w:tcPr>
          <w:p>
            <w:pPr>
              <w:ind w:left="120"/>
              <w:spacing w:after="0" w:line="99" w:lineRule="exact"/>
              <w:rPr>
                <w:sz w:val="20"/>
                <w:szCs w:val="20"/>
                <w:color w:val="auto"/>
              </w:rPr>
            </w:pPr>
            <w:r>
              <w:rPr>
                <w:rFonts w:ascii="Arial" w:cs="Arial" w:eastAsia="Arial" w:hAnsi="Arial"/>
                <w:sz w:val="10"/>
                <w:szCs w:val="10"/>
                <w:color w:val="auto"/>
              </w:rPr>
              <w:t>Others in Europe</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127,915</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17,184</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83,979</w:t>
            </w: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46,331</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275,409</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54,252</w:t>
            </w: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15,244</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115,467</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103,970</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288,933</w:t>
            </w:r>
          </w:p>
        </w:tc>
      </w:tr>
      <w:tr>
        <w:trPr>
          <w:trHeight w:val="99"/>
        </w:trPr>
        <w:tc>
          <w:tcPr>
            <w:tcW w:w="336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France</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227,823</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8,850</w:t>
            </w:r>
          </w:p>
        </w:tc>
        <w:tc>
          <w:tcPr>
            <w:tcW w:w="7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27,244</w:t>
            </w: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169,632</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433,549</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119,572</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7,961</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63,855</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191,388</w:t>
            </w:r>
          </w:p>
        </w:tc>
      </w:tr>
      <w:tr>
        <w:trPr>
          <w:trHeight w:val="99"/>
        </w:trPr>
        <w:tc>
          <w:tcPr>
            <w:tcW w:w="3360" w:type="dxa"/>
            <w:vAlign w:val="bottom"/>
          </w:tcPr>
          <w:p>
            <w:pPr>
              <w:ind w:left="120"/>
              <w:spacing w:after="0" w:line="99" w:lineRule="exact"/>
              <w:rPr>
                <w:sz w:val="20"/>
                <w:szCs w:val="20"/>
                <w:color w:val="auto"/>
              </w:rPr>
            </w:pPr>
            <w:r>
              <w:rPr>
                <w:rFonts w:ascii="Arial" w:cs="Arial" w:eastAsia="Arial" w:hAnsi="Arial"/>
                <w:sz w:val="10"/>
                <w:szCs w:val="10"/>
                <w:color w:val="auto"/>
              </w:rPr>
              <w:t>Spain</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11,105</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32,836</w:t>
            </w: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32,366</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76,307</w:t>
            </w:r>
          </w:p>
        </w:tc>
        <w:tc>
          <w:tcPr>
            <w:tcW w:w="7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8,960</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22,060</w:t>
            </w: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1,322</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32,342</w:t>
            </w:r>
          </w:p>
        </w:tc>
      </w:tr>
      <w:tr>
        <w:trPr>
          <w:trHeight w:val="99"/>
        </w:trPr>
        <w:tc>
          <w:tcPr>
            <w:tcW w:w="336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Switzerland</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514</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980</w:t>
            </w:r>
          </w:p>
        </w:tc>
        <w:tc>
          <w:tcPr>
            <w:tcW w:w="22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26,136</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27,630</w:t>
            </w:r>
          </w:p>
        </w:tc>
        <w:tc>
          <w:tcPr>
            <w:tcW w:w="7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1,315</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91,029</w:t>
            </w:r>
          </w:p>
        </w:tc>
        <w:tc>
          <w:tcPr>
            <w:tcW w:w="84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23,785</w:t>
            </w: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116,129</w:t>
            </w:r>
          </w:p>
        </w:tc>
      </w:tr>
      <w:tr>
        <w:trPr>
          <w:trHeight w:val="99"/>
        </w:trPr>
        <w:tc>
          <w:tcPr>
            <w:tcW w:w="3360" w:type="dxa"/>
            <w:vAlign w:val="bottom"/>
          </w:tcPr>
          <w:p>
            <w:pPr>
              <w:ind w:left="120"/>
              <w:spacing w:after="0" w:line="99" w:lineRule="exact"/>
              <w:rPr>
                <w:sz w:val="20"/>
                <w:szCs w:val="20"/>
                <w:color w:val="auto"/>
              </w:rPr>
            </w:pPr>
            <w:r>
              <w:rPr>
                <w:rFonts w:ascii="Arial" w:cs="Arial" w:eastAsia="Arial" w:hAnsi="Arial"/>
                <w:sz w:val="10"/>
                <w:szCs w:val="10"/>
                <w:color w:val="auto"/>
              </w:rPr>
              <w:t>Netherlands</w:t>
            </w: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26,024</w:t>
            </w: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108,343</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134,367</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15,390</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989</w:t>
            </w: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16,379</w:t>
            </w:r>
          </w:p>
        </w:tc>
      </w:tr>
      <w:tr>
        <w:trPr>
          <w:trHeight w:val="108"/>
        </w:trPr>
        <w:tc>
          <w:tcPr>
            <w:tcW w:w="33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Others</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539,911</w:t>
            </w:r>
          </w:p>
        </w:tc>
        <w:tc>
          <w:tcPr>
            <w:tcW w:w="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85,421</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840,394</w:t>
            </w: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414,451</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1,880,177</w:t>
            </w:r>
          </w:p>
        </w:tc>
        <w:tc>
          <w:tcPr>
            <w:tcW w:w="2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39,087</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31,863</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1,083,109</w:t>
            </w: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482,498</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1,636,557</w:t>
            </w:r>
          </w:p>
        </w:tc>
        <w:tc>
          <w:tcPr>
            <w:tcW w:w="120" w:type="dxa"/>
            <w:vAlign w:val="bottom"/>
            <w:shd w:val="clear" w:color="auto" w:fill="CCEEFF"/>
          </w:tcPr>
          <w:p>
            <w:pPr>
              <w:spacing w:after="0"/>
              <w:rPr>
                <w:sz w:val="9"/>
                <w:szCs w:val="9"/>
                <w:color w:val="auto"/>
              </w:rPr>
            </w:pPr>
          </w:p>
        </w:tc>
      </w:tr>
      <w:tr>
        <w:trPr>
          <w:trHeight w:val="104"/>
        </w:trPr>
        <w:tc>
          <w:tcPr>
            <w:tcW w:w="3360" w:type="dxa"/>
            <w:vAlign w:val="bottom"/>
          </w:tcPr>
          <w:p>
            <w:pPr>
              <w:spacing w:after="0" w:line="97" w:lineRule="exact"/>
              <w:rPr>
                <w:sz w:val="20"/>
                <w:szCs w:val="20"/>
                <w:color w:val="auto"/>
              </w:rPr>
            </w:pPr>
            <w:r>
              <w:rPr>
                <w:rFonts w:ascii="Arial" w:cs="Arial" w:eastAsia="Arial" w:hAnsi="Arial"/>
                <w:sz w:val="10"/>
                <w:szCs w:val="10"/>
                <w:b w:val="1"/>
                <w:bCs w:val="1"/>
                <w:color w:val="auto"/>
              </w:rPr>
              <w:t>Total</w:t>
            </w: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4,942,869</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620,544</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3"/>
              </w:rPr>
              <w:t>148,104,567</w:t>
            </w:r>
          </w:p>
        </w:tc>
        <w:tc>
          <w:tcPr>
            <w:tcW w:w="2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26,202,723</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7"/>
              </w:rPr>
              <w:t>179,870,703</w:t>
            </w:r>
          </w:p>
        </w:tc>
        <w:tc>
          <w:tcPr>
            <w:tcW w:w="20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4,278,762</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521,186</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7"/>
              </w:rPr>
              <w:t>141,217,038</w:t>
            </w:r>
          </w:p>
        </w:tc>
        <w:tc>
          <w:tcPr>
            <w:tcW w:w="20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25,195,835</w:t>
            </w:r>
          </w:p>
        </w:tc>
        <w:tc>
          <w:tcPr>
            <w:tcW w:w="22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3"/>
              </w:rPr>
              <w:t>171,212,821</w:t>
            </w:r>
          </w:p>
        </w:tc>
        <w:tc>
          <w:tcPr>
            <w:tcW w:w="120" w:type="dxa"/>
            <w:vAlign w:val="bottom"/>
          </w:tcPr>
          <w:p>
            <w:pPr>
              <w:spacing w:after="0"/>
              <w:rPr>
                <w:sz w:val="9"/>
                <w:szCs w:val="9"/>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 It includes non-trading investments that did not pass SPPI test.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40"/>
          </w:cols>
          <w:pgMar w:left="420" w:top="653" w:right="439" w:bottom="1440" w:gutter="0" w:footer="0" w:header="0"/>
        </w:sectPr>
      </w:pPr>
    </w:p>
    <w:bookmarkStart w:id="156" w:name="page157"/>
    <w:bookmarkEnd w:id="156"/>
    <w:p>
      <w:pPr>
        <w:ind w:left="208" w:hanging="208"/>
        <w:spacing w:after="0"/>
        <w:tabs>
          <w:tab w:leader="none" w:pos="208" w:val="left"/>
        </w:tabs>
        <w:numPr>
          <w:ilvl w:val="0"/>
          <w:numId w:val="180"/>
        </w:numPr>
        <w:rPr>
          <w:rFonts w:ascii="Arial" w:cs="Arial" w:eastAsia="Arial" w:hAnsi="Arial"/>
          <w:sz w:val="12"/>
          <w:szCs w:val="12"/>
          <w:color w:val="auto"/>
        </w:rPr>
      </w:pPr>
      <w:r>
        <w:rPr>
          <w:rFonts w:ascii="Arial" w:cs="Arial" w:eastAsia="Arial" w:hAnsi="Arial"/>
          <w:sz w:val="12"/>
          <w:szCs w:val="12"/>
          <w:color w:val="auto"/>
        </w:rPr>
        <w:t>Offsetting financial assets and liabilities -</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The disclosures set out in the tables below include financial assets and liabilities that:</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180"/>
        </w:numPr>
        <w:rPr>
          <w:rFonts w:ascii="Arial" w:cs="Arial" w:eastAsia="Arial" w:hAnsi="Arial"/>
          <w:sz w:val="12"/>
          <w:szCs w:val="12"/>
          <w:color w:val="auto"/>
        </w:rPr>
      </w:pPr>
      <w:r>
        <w:rPr>
          <w:rFonts w:ascii="Arial" w:cs="Arial" w:eastAsia="Arial" w:hAnsi="Arial"/>
          <w:sz w:val="12"/>
          <w:szCs w:val="12"/>
          <w:color w:val="auto"/>
        </w:rPr>
        <w:t>Are offset in the Group’s consolidated statement of financial position; or</w:t>
      </w:r>
    </w:p>
    <w:p>
      <w:pPr>
        <w:spacing w:after="0" w:line="14" w:lineRule="exact"/>
        <w:rPr>
          <w:rFonts w:ascii="Arial" w:cs="Arial" w:eastAsia="Arial" w:hAnsi="Arial"/>
          <w:sz w:val="12"/>
          <w:szCs w:val="12"/>
          <w:color w:val="auto"/>
        </w:rPr>
      </w:pPr>
    </w:p>
    <w:p>
      <w:pPr>
        <w:ind w:left="428" w:hanging="212"/>
        <w:spacing w:after="0"/>
        <w:tabs>
          <w:tab w:leader="none" w:pos="428" w:val="left"/>
        </w:tabs>
        <w:numPr>
          <w:ilvl w:val="1"/>
          <w:numId w:val="180"/>
        </w:numPr>
        <w:rPr>
          <w:rFonts w:ascii="Arial" w:cs="Arial" w:eastAsia="Arial" w:hAnsi="Arial"/>
          <w:sz w:val="11"/>
          <w:szCs w:val="11"/>
          <w:color w:val="auto"/>
        </w:rPr>
      </w:pPr>
      <w:r>
        <w:rPr>
          <w:rFonts w:ascii="Arial" w:cs="Arial" w:eastAsia="Arial" w:hAnsi="Arial"/>
          <w:sz w:val="11"/>
          <w:szCs w:val="11"/>
          <w:color w:val="auto"/>
        </w:rPr>
        <w:t>Are subject to an enforceable master netting arrangement or similar agreement that covers similar financial instruments, irrespective of whether they are offset in the consolidated statement of financial position.</w:t>
      </w:r>
    </w:p>
    <w:p>
      <w:pPr>
        <w:spacing w:after="0" w:line="153" w:lineRule="exact"/>
        <w:rPr>
          <w:sz w:val="20"/>
          <w:szCs w:val="20"/>
          <w:color w:val="auto"/>
        </w:rPr>
      </w:pPr>
    </w:p>
    <w:p>
      <w:pPr>
        <w:ind w:left="208" w:right="80"/>
        <w:spacing w:after="0" w:line="263" w:lineRule="auto"/>
        <w:rPr>
          <w:sz w:val="20"/>
          <w:szCs w:val="20"/>
          <w:color w:val="auto"/>
        </w:rPr>
      </w:pPr>
      <w:r>
        <w:rPr>
          <w:rFonts w:ascii="Arial" w:cs="Arial" w:eastAsia="Arial" w:hAnsi="Arial"/>
          <w:sz w:val="12"/>
          <w:szCs w:val="12"/>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statement of financial position.</w:t>
      </w:r>
    </w:p>
    <w:p>
      <w:pPr>
        <w:spacing w:after="0" w:line="123" w:lineRule="exact"/>
        <w:rPr>
          <w:sz w:val="20"/>
          <w:szCs w:val="20"/>
          <w:color w:val="auto"/>
        </w:rPr>
      </w:pPr>
    </w:p>
    <w:p>
      <w:pPr>
        <w:ind w:left="208"/>
        <w:spacing w:after="0" w:line="263" w:lineRule="auto"/>
        <w:rPr>
          <w:sz w:val="20"/>
          <w:szCs w:val="20"/>
          <w:color w:val="auto"/>
        </w:rPr>
      </w:pPr>
      <w:r>
        <w:rPr>
          <w:rFonts w:ascii="Arial" w:cs="Arial" w:eastAsia="Arial" w:hAnsi="Arial"/>
          <w:sz w:val="12"/>
          <w:szCs w:val="12"/>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2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Group receives and gives collateral in the form of cash and trading securities in respect of the following transactions:</w:t>
      </w:r>
    </w:p>
    <w:p>
      <w:pPr>
        <w:spacing w:after="0" w:line="150" w:lineRule="exact"/>
        <w:rPr>
          <w:sz w:val="20"/>
          <w:szCs w:val="20"/>
          <w:color w:val="auto"/>
        </w:rPr>
      </w:pPr>
    </w:p>
    <w:p>
      <w:pPr>
        <w:ind w:left="428" w:hanging="212"/>
        <w:spacing w:after="0"/>
        <w:tabs>
          <w:tab w:leader="none" w:pos="42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Derivatives;</w:t>
      </w:r>
    </w:p>
    <w:p>
      <w:pPr>
        <w:spacing w:after="0" w:line="14" w:lineRule="exact"/>
        <w:rPr>
          <w:rFonts w:ascii="Arial" w:cs="Arial" w:eastAsia="Arial" w:hAnsi="Arial"/>
          <w:sz w:val="12"/>
          <w:szCs w:val="12"/>
          <w:color w:val="auto"/>
        </w:rPr>
      </w:pPr>
    </w:p>
    <w:p>
      <w:pPr>
        <w:ind w:left="428" w:hanging="212"/>
        <w:spacing w:after="0"/>
        <w:tabs>
          <w:tab w:leader="none" w:pos="42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Accounts receivable from reverse repurchase agreements and securities borrowing;</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Payables from repurchase agreements and securities lending; and</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Other financial assets and liabilities</w:t>
      </w:r>
    </w:p>
    <w:p>
      <w:pPr>
        <w:spacing w:after="0" w:line="141" w:lineRule="exact"/>
        <w:rPr>
          <w:sz w:val="20"/>
          <w:szCs w:val="20"/>
          <w:color w:val="auto"/>
        </w:rPr>
      </w:pPr>
    </w:p>
    <w:p>
      <w:pPr>
        <w:ind w:left="208" w:right="100"/>
        <w:spacing w:after="0" w:line="323" w:lineRule="auto"/>
        <w:rPr>
          <w:sz w:val="20"/>
          <w:szCs w:val="20"/>
          <w:color w:val="auto"/>
        </w:rPr>
      </w:pPr>
      <w:r>
        <w:rPr>
          <w:rFonts w:ascii="Arial" w:cs="Arial" w:eastAsia="Arial" w:hAnsi="Arial"/>
          <w:sz w:val="11"/>
          <w:szCs w:val="11"/>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71" w:right="199" w:bottom="1440" w:gutter="0" w:footer="0" w:header="0"/>
        </w:sectPr>
      </w:pPr>
    </w:p>
    <w:bookmarkStart w:id="157" w:name="page158"/>
    <w:bookmarkEnd w:id="157"/>
    <w:p>
      <w:pPr>
        <w:spacing w:after="0"/>
        <w:rPr>
          <w:sz w:val="20"/>
          <w:szCs w:val="20"/>
          <w:color w:val="auto"/>
        </w:rPr>
      </w:pPr>
      <w:r>
        <w:rPr>
          <w:rFonts w:ascii="Arial" w:cs="Arial" w:eastAsia="Arial" w:hAnsi="Arial"/>
          <w:sz w:val="10"/>
          <w:szCs w:val="10"/>
          <w:color w:val="auto"/>
        </w:rPr>
        <w:t>Financial assets subject to offsetting, enforceable master offsetting agreements and similar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248660" cy="571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3248660" cy="57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Receivables from derivatives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Cash collateral, reverse repurchase agreements and securities borrowing</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Investments at fair value through other comprehensive income and amortized cost pledged as collateral</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237230" cy="571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237230" cy="57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Receivables from derivatives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Cash collateral, reverse repurchase agreements and securities borrowing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Available-for-sale and held-to-maturity investments pledged as collateral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As of December 31,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4"/>
          </w:tcPr>
          <w:p>
            <w:pPr>
              <w:ind w:left="20"/>
              <w:spacing w:after="0" w:line="121" w:lineRule="exact"/>
              <w:rPr>
                <w:sz w:val="20"/>
                <w:szCs w:val="20"/>
                <w:color w:val="auto"/>
              </w:rPr>
            </w:pPr>
            <w:r>
              <w:rPr>
                <w:rFonts w:ascii="Arial" w:cs="Arial" w:eastAsia="Arial" w:hAnsi="Arial"/>
                <w:sz w:val="12"/>
                <w:szCs w:val="12"/>
                <w:b w:val="1"/>
                <w:bCs w:val="1"/>
                <w:color w:val="auto"/>
                <w:w w:val="95"/>
              </w:rPr>
              <w:t>Gross amounts of</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5"/>
              </w:rPr>
              <w:t>recognized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financial assets</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Net of financial</w:t>
            </w:r>
          </w:p>
        </w:tc>
        <w:tc>
          <w:tcPr>
            <w:tcW w:w="2000" w:type="dxa"/>
            <w:vAlign w:val="bottom"/>
            <w:gridSpan w:val="7"/>
          </w:tcPr>
          <w:p>
            <w:pPr>
              <w:jc w:val="center"/>
              <w:ind w:right="40"/>
              <w:spacing w:after="0"/>
              <w:rPr>
                <w:sz w:val="20"/>
                <w:szCs w:val="20"/>
                <w:color w:val="auto"/>
              </w:rPr>
            </w:pPr>
            <w:r>
              <w:rPr>
                <w:rFonts w:ascii="Arial" w:cs="Arial" w:eastAsia="Arial" w:hAnsi="Arial"/>
                <w:sz w:val="12"/>
                <w:szCs w:val="12"/>
                <w:b w:val="1"/>
                <w:bCs w:val="1"/>
                <w:color w:val="auto"/>
                <w:w w:val="88"/>
              </w:rPr>
              <w:t>Related amounts not offset in the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and offset in the</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3"/>
              </w:rPr>
              <w:t>assets presented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87"/>
              </w:rPr>
              <w:t>consolidated statement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6"/>
              </w:rPr>
              <w:t>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 the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9"/>
              </w:rPr>
              <w:t>financial position</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960" w:type="dxa"/>
            <w:vAlign w:val="bottom"/>
            <w:gridSpan w:val="5"/>
          </w:tcPr>
          <w:p>
            <w:pPr>
              <w:jc w:val="center"/>
              <w:ind w:right="140"/>
              <w:spacing w:after="0" w:line="121" w:lineRule="exact"/>
              <w:rPr>
                <w:sz w:val="20"/>
                <w:szCs w:val="20"/>
                <w:color w:val="auto"/>
              </w:rPr>
            </w:pPr>
            <w:r>
              <w:rPr>
                <w:rFonts w:ascii="Arial" w:cs="Arial" w:eastAsia="Arial" w:hAnsi="Arial"/>
                <w:sz w:val="12"/>
                <w:szCs w:val="12"/>
                <w:b w:val="1"/>
                <w:bCs w:val="1"/>
                <w:color w:val="auto"/>
                <w:w w:val="88"/>
              </w:rPr>
              <w:t>Gross amounts</w:t>
            </w:r>
          </w:p>
        </w:tc>
        <w:tc>
          <w:tcPr>
            <w:tcW w:w="20" w:type="dxa"/>
            <w:vAlign w:val="bottom"/>
          </w:tcPr>
          <w:p>
            <w:pPr>
              <w:spacing w:after="0"/>
              <w:rPr>
                <w:sz w:val="10"/>
                <w:szCs w:val="10"/>
                <w:color w:val="auto"/>
              </w:rPr>
            </w:pPr>
          </w:p>
        </w:tc>
        <w:tc>
          <w:tcPr>
            <w:tcW w:w="100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statement of</w:t>
            </w:r>
          </w:p>
        </w:tc>
        <w:tc>
          <w:tcPr>
            <w:tcW w:w="100" w:type="dxa"/>
            <w:vAlign w:val="bottom"/>
          </w:tcPr>
          <w:p>
            <w:pPr>
              <w:spacing w:after="0"/>
              <w:rPr>
                <w:sz w:val="10"/>
                <w:szCs w:val="10"/>
                <w:color w:val="auto"/>
              </w:rPr>
            </w:pPr>
          </w:p>
        </w:tc>
        <w:tc>
          <w:tcPr>
            <w:tcW w:w="98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consolidated</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60"/>
              <w:spacing w:after="0" w:line="121" w:lineRule="exact"/>
              <w:rPr>
                <w:sz w:val="20"/>
                <w:szCs w:val="20"/>
                <w:color w:val="auto"/>
              </w:rPr>
            </w:pPr>
            <w:r>
              <w:rPr>
                <w:rFonts w:ascii="Arial" w:cs="Arial" w:eastAsia="Arial" w:hAnsi="Arial"/>
                <w:sz w:val="12"/>
                <w:szCs w:val="12"/>
                <w:b w:val="1"/>
                <w:bCs w:val="1"/>
                <w:color w:val="auto"/>
                <w:w w:val="88"/>
              </w:rPr>
              <w:t>Cash</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5"/>
              </w:rPr>
              <w:t>recognized</w:t>
            </w:r>
          </w:p>
        </w:tc>
        <w:tc>
          <w:tcPr>
            <w:tcW w:w="2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financial</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statements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2"/>
              </w:rPr>
              <w:t>Financial</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collateral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9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87"/>
              </w:rPr>
              <w:t>financial assets</w:t>
            </w:r>
          </w:p>
        </w:tc>
        <w:tc>
          <w:tcPr>
            <w:tcW w:w="2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positions</w:t>
            </w:r>
          </w:p>
        </w:tc>
        <w:tc>
          <w:tcPr>
            <w:tcW w:w="1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financial position</w:t>
            </w:r>
          </w:p>
        </w:tc>
        <w:tc>
          <w:tcPr>
            <w:tcW w:w="120" w:type="dxa"/>
            <w:vAlign w:val="bottom"/>
          </w:tcPr>
          <w:p>
            <w:pPr>
              <w:spacing w:after="0"/>
              <w:rPr>
                <w:sz w:val="13"/>
                <w:szCs w:val="13"/>
                <w:color w:val="auto"/>
              </w:rPr>
            </w:pPr>
          </w:p>
        </w:tc>
        <w:tc>
          <w:tcPr>
            <w:tcW w:w="106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instruments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received</w:t>
            </w:r>
          </w:p>
        </w:tc>
        <w:tc>
          <w:tcPr>
            <w:tcW w:w="7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0"/>
              </w:rPr>
              <w:t>Net amount</w:t>
            </w:r>
          </w:p>
        </w:tc>
      </w:tr>
      <w:tr>
        <w:trPr>
          <w:trHeight w:val="124"/>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80"/>
              <w:spacing w:after="0" w:line="125"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4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40"/>
              <w:spacing w:after="0" w:line="125" w:lineRule="exact"/>
              <w:rPr>
                <w:sz w:val="20"/>
                <w:szCs w:val="20"/>
                <w:color w:val="auto"/>
              </w:rPr>
            </w:pPr>
            <w:r>
              <w:rPr>
                <w:rFonts w:ascii="Arial" w:cs="Arial" w:eastAsia="Arial" w:hAnsi="Arial"/>
                <w:sz w:val="12"/>
                <w:szCs w:val="12"/>
                <w:b w:val="1"/>
                <w:bCs w:val="1"/>
                <w:color w:val="auto"/>
                <w:w w:val="91"/>
              </w:rPr>
              <w:t>S/(000)</w:t>
            </w:r>
          </w:p>
        </w:tc>
        <w:tc>
          <w:tcPr>
            <w:tcW w:w="40" w:type="dxa"/>
            <w:vAlign w:val="bottom"/>
          </w:tcPr>
          <w:p>
            <w:pPr>
              <w:spacing w:after="0"/>
              <w:rPr>
                <w:sz w:val="10"/>
                <w:szCs w:val="10"/>
                <w:color w:val="auto"/>
              </w:rPr>
            </w:pPr>
          </w:p>
        </w:tc>
      </w:tr>
      <w:tr>
        <w:trPr>
          <w:trHeight w:val="144"/>
        </w:trPr>
        <w:tc>
          <w:tcPr>
            <w:tcW w:w="800" w:type="dxa"/>
            <w:vAlign w:val="bottom"/>
            <w:gridSpan w:val="4"/>
          </w:tcPr>
          <w:p>
            <w:pPr>
              <w:jc w:val="right"/>
              <w:ind w:right="20"/>
              <w:spacing w:after="0"/>
              <w:rPr>
                <w:sz w:val="20"/>
                <w:szCs w:val="20"/>
                <w:color w:val="auto"/>
              </w:rPr>
            </w:pPr>
            <w:r>
              <w:rPr>
                <w:rFonts w:ascii="Arial" w:cs="Arial" w:eastAsia="Arial" w:hAnsi="Arial"/>
                <w:sz w:val="12"/>
                <w:szCs w:val="12"/>
                <w:color w:val="auto"/>
              </w:rPr>
              <w:t>1,092,107</w:t>
            </w:r>
          </w:p>
        </w:tc>
        <w:tc>
          <w:tcPr>
            <w:tcW w:w="160" w:type="dxa"/>
            <w:vAlign w:val="bottom"/>
          </w:tcPr>
          <w:p>
            <w:pPr>
              <w:spacing w:after="0"/>
              <w:rPr>
                <w:sz w:val="12"/>
                <w:szCs w:val="1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4"/>
          </w:tcPr>
          <w:p>
            <w:pPr>
              <w:jc w:val="right"/>
              <w:ind w:right="100"/>
              <w:spacing w:after="0"/>
              <w:rPr>
                <w:sz w:val="20"/>
                <w:szCs w:val="20"/>
                <w:color w:val="auto"/>
              </w:rPr>
            </w:pPr>
            <w:r>
              <w:rPr>
                <w:rFonts w:ascii="Arial" w:cs="Arial" w:eastAsia="Arial" w:hAnsi="Arial"/>
                <w:sz w:val="12"/>
                <w:szCs w:val="12"/>
                <w:color w:val="auto"/>
              </w:rPr>
              <w:t>1,092,107</w:t>
            </w:r>
          </w:p>
        </w:tc>
        <w:tc>
          <w:tcPr>
            <w:tcW w:w="1080" w:type="dxa"/>
            <w:vAlign w:val="bottom"/>
            <w:gridSpan w:val="4"/>
          </w:tcPr>
          <w:p>
            <w:pPr>
              <w:jc w:val="right"/>
              <w:ind w:right="160"/>
              <w:spacing w:after="0"/>
              <w:rPr>
                <w:sz w:val="20"/>
                <w:szCs w:val="20"/>
                <w:color w:val="auto"/>
              </w:rPr>
            </w:pPr>
            <w:r>
              <w:rPr>
                <w:rFonts w:ascii="Arial" w:cs="Arial" w:eastAsia="Arial" w:hAnsi="Arial"/>
                <w:sz w:val="12"/>
                <w:szCs w:val="12"/>
                <w:color w:val="auto"/>
              </w:rPr>
              <w:t>(122,557)</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(144,175)</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825,375</w:t>
            </w:r>
          </w:p>
        </w:tc>
      </w:tr>
      <w:tr>
        <w:trPr>
          <w:trHeight w:val="144"/>
        </w:trPr>
        <w:tc>
          <w:tcPr>
            <w:tcW w:w="800" w:type="dxa"/>
            <w:vAlign w:val="bottom"/>
            <w:gridSpan w:val="4"/>
          </w:tcPr>
          <w:p>
            <w:pPr>
              <w:jc w:val="right"/>
              <w:ind w:right="20"/>
              <w:spacing w:after="0"/>
              <w:rPr>
                <w:sz w:val="20"/>
                <w:szCs w:val="20"/>
                <w:color w:val="auto"/>
              </w:rPr>
            </w:pPr>
            <w:r>
              <w:rPr>
                <w:rFonts w:ascii="Arial" w:cs="Arial" w:eastAsia="Arial" w:hAnsi="Arial"/>
                <w:sz w:val="12"/>
                <w:szCs w:val="12"/>
                <w:color w:val="auto"/>
              </w:rPr>
              <w:t>4,288,524</w:t>
            </w:r>
          </w:p>
        </w:tc>
        <w:tc>
          <w:tcPr>
            <w:tcW w:w="160" w:type="dxa"/>
            <w:vAlign w:val="bottom"/>
          </w:tcPr>
          <w:p>
            <w:pPr>
              <w:spacing w:after="0"/>
              <w:rPr>
                <w:sz w:val="12"/>
                <w:szCs w:val="1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4"/>
          </w:tcPr>
          <w:p>
            <w:pPr>
              <w:jc w:val="right"/>
              <w:ind w:right="100"/>
              <w:spacing w:after="0"/>
              <w:rPr>
                <w:sz w:val="20"/>
                <w:szCs w:val="20"/>
                <w:color w:val="auto"/>
              </w:rPr>
            </w:pPr>
            <w:r>
              <w:rPr>
                <w:rFonts w:ascii="Arial" w:cs="Arial" w:eastAsia="Arial" w:hAnsi="Arial"/>
                <w:sz w:val="12"/>
                <w:szCs w:val="12"/>
                <w:color w:val="auto"/>
              </w:rPr>
              <w:t>4,288,524</w:t>
            </w:r>
          </w:p>
        </w:tc>
        <w:tc>
          <w:tcPr>
            <w:tcW w:w="1080" w:type="dxa"/>
            <w:vAlign w:val="bottom"/>
            <w:gridSpan w:val="4"/>
          </w:tcPr>
          <w:p>
            <w:pPr>
              <w:jc w:val="right"/>
              <w:ind w:right="160"/>
              <w:spacing w:after="0"/>
              <w:rPr>
                <w:sz w:val="20"/>
                <w:szCs w:val="20"/>
                <w:color w:val="auto"/>
              </w:rPr>
            </w:pPr>
            <w:r>
              <w:rPr>
                <w:rFonts w:ascii="Arial" w:cs="Arial" w:eastAsia="Arial" w:hAnsi="Arial"/>
                <w:sz w:val="12"/>
                <w:szCs w:val="12"/>
                <w:color w:val="auto"/>
              </w:rPr>
              <w:t>(151,538)</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(2,893,723)</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1,243,263</w:t>
            </w:r>
          </w:p>
        </w:tc>
        <w:tc>
          <w:tcPr>
            <w:tcW w:w="40" w:type="dxa"/>
            <w:vAlign w:val="bottom"/>
          </w:tcPr>
          <w:p>
            <w:pPr>
              <w:spacing w:after="0"/>
              <w:rPr>
                <w:sz w:val="12"/>
                <w:szCs w:val="12"/>
                <w:color w:val="auto"/>
              </w:rPr>
            </w:pPr>
          </w:p>
        </w:tc>
      </w:tr>
      <w:tr>
        <w:trPr>
          <w:trHeight w:val="162"/>
        </w:trPr>
        <w:tc>
          <w:tcPr>
            <w:tcW w:w="140" w:type="dxa"/>
            <w:vAlign w:val="bottom"/>
            <w:gridSpan w:val="2"/>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3,157,981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3,157,981</w:t>
            </w:r>
          </w:p>
        </w:tc>
        <w:tc>
          <w:tcPr>
            <w:tcW w:w="10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(3,208,973)</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(50,992)</w:t>
            </w:r>
          </w:p>
        </w:tc>
      </w:tr>
      <w:tr>
        <w:trPr>
          <w:trHeight w:val="149"/>
        </w:trPr>
        <w:tc>
          <w:tcPr>
            <w:tcW w:w="14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8,538,612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8,538,612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(3,483,068</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(3,037,898</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2,017,646</w:t>
            </w:r>
          </w:p>
        </w:tc>
        <w:tc>
          <w:tcPr>
            <w:tcW w:w="40" w:type="dxa"/>
            <w:vAlign w:val="bottom"/>
          </w:tcPr>
          <w:p>
            <w:pPr>
              <w:spacing w:after="0"/>
              <w:rPr>
                <w:sz w:val="12"/>
                <w:szCs w:val="12"/>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rPr>
              <w:t>As of December 31, 2018</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87"/>
              </w:rPr>
              <w:t>Gross amounts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recognized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financial assets</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Net of financial</w:t>
            </w:r>
          </w:p>
        </w:tc>
        <w:tc>
          <w:tcPr>
            <w:tcW w:w="2000" w:type="dxa"/>
            <w:vAlign w:val="bottom"/>
            <w:gridSpan w:val="7"/>
          </w:tcPr>
          <w:p>
            <w:pPr>
              <w:jc w:val="center"/>
              <w:ind w:right="40"/>
              <w:spacing w:after="0"/>
              <w:rPr>
                <w:sz w:val="20"/>
                <w:szCs w:val="20"/>
                <w:color w:val="auto"/>
              </w:rPr>
            </w:pPr>
            <w:r>
              <w:rPr>
                <w:rFonts w:ascii="Arial" w:cs="Arial" w:eastAsia="Arial" w:hAnsi="Arial"/>
                <w:sz w:val="12"/>
                <w:szCs w:val="12"/>
                <w:b w:val="1"/>
                <w:bCs w:val="1"/>
                <w:color w:val="auto"/>
                <w:w w:val="88"/>
              </w:rPr>
              <w:t>Related amounts not offset in the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8"/>
              </w:rPr>
              <w:t>and offset in the</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3"/>
              </w:rPr>
              <w:t>assets presented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87"/>
              </w:rPr>
              <w:t>consolidated statement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6"/>
              </w:rPr>
              <w:t>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 the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9"/>
              </w:rPr>
              <w:t>financial position</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96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88"/>
              </w:rPr>
              <w:t>Gross amounts</w:t>
            </w:r>
          </w:p>
        </w:tc>
        <w:tc>
          <w:tcPr>
            <w:tcW w:w="20" w:type="dxa"/>
            <w:vAlign w:val="bottom"/>
          </w:tcPr>
          <w:p>
            <w:pPr>
              <w:spacing w:after="0"/>
              <w:rPr>
                <w:sz w:val="10"/>
                <w:szCs w:val="10"/>
                <w:color w:val="auto"/>
              </w:rPr>
            </w:pPr>
          </w:p>
        </w:tc>
        <w:tc>
          <w:tcPr>
            <w:tcW w:w="1000" w:type="dxa"/>
            <w:vAlign w:val="bottom"/>
            <w:gridSpan w:val="3"/>
          </w:tcPr>
          <w:p>
            <w:pPr>
              <w:jc w:val="center"/>
              <w:ind w:right="140"/>
              <w:spacing w:after="0" w:line="121" w:lineRule="exact"/>
              <w:rPr>
                <w:sz w:val="20"/>
                <w:szCs w:val="20"/>
                <w:color w:val="auto"/>
              </w:rPr>
            </w:pPr>
            <w:r>
              <w:rPr>
                <w:rFonts w:ascii="Arial" w:cs="Arial" w:eastAsia="Arial" w:hAnsi="Arial"/>
                <w:sz w:val="12"/>
                <w:szCs w:val="12"/>
                <w:b w:val="1"/>
                <w:bCs w:val="1"/>
                <w:color w:val="auto"/>
                <w:w w:val="86"/>
              </w:rPr>
              <w:t>statement of</w:t>
            </w:r>
          </w:p>
        </w:tc>
        <w:tc>
          <w:tcPr>
            <w:tcW w:w="100" w:type="dxa"/>
            <w:vAlign w:val="bottom"/>
          </w:tcPr>
          <w:p>
            <w:pPr>
              <w:spacing w:after="0"/>
              <w:rPr>
                <w:sz w:val="10"/>
                <w:szCs w:val="10"/>
                <w:color w:val="auto"/>
              </w:rPr>
            </w:pPr>
          </w:p>
        </w:tc>
        <w:tc>
          <w:tcPr>
            <w:tcW w:w="98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consolidated</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60"/>
              <w:spacing w:after="0" w:line="121" w:lineRule="exact"/>
              <w:rPr>
                <w:sz w:val="20"/>
                <w:szCs w:val="20"/>
                <w:color w:val="auto"/>
              </w:rPr>
            </w:pPr>
            <w:r>
              <w:rPr>
                <w:rFonts w:ascii="Arial" w:cs="Arial" w:eastAsia="Arial" w:hAnsi="Arial"/>
                <w:sz w:val="12"/>
                <w:szCs w:val="12"/>
                <w:b w:val="1"/>
                <w:bCs w:val="1"/>
                <w:color w:val="auto"/>
                <w:w w:val="88"/>
              </w:rPr>
              <w:t>Cash</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5"/>
              </w:rPr>
              <w:t>recognized</w:t>
            </w:r>
          </w:p>
        </w:tc>
        <w:tc>
          <w:tcPr>
            <w:tcW w:w="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financial</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statements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2"/>
              </w:rPr>
              <w:t>Financial</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collateral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96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84"/>
              </w:rPr>
              <w:t>financial assets</w:t>
            </w:r>
          </w:p>
        </w:tc>
        <w:tc>
          <w:tcPr>
            <w:tcW w:w="2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6"/>
              </w:rPr>
              <w:t>positions</w:t>
            </w:r>
          </w:p>
        </w:tc>
        <w:tc>
          <w:tcPr>
            <w:tcW w:w="1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financial position</w:t>
            </w:r>
          </w:p>
        </w:tc>
        <w:tc>
          <w:tcPr>
            <w:tcW w:w="120" w:type="dxa"/>
            <w:vAlign w:val="bottom"/>
          </w:tcPr>
          <w:p>
            <w:pPr>
              <w:spacing w:after="0"/>
              <w:rPr>
                <w:sz w:val="13"/>
                <w:szCs w:val="13"/>
                <w:color w:val="auto"/>
              </w:rPr>
            </w:pPr>
          </w:p>
        </w:tc>
        <w:tc>
          <w:tcPr>
            <w:tcW w:w="106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instruments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received</w:t>
            </w:r>
          </w:p>
        </w:tc>
        <w:tc>
          <w:tcPr>
            <w:tcW w:w="7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0"/>
              </w:rPr>
              <w:t>Net amount</w:t>
            </w:r>
          </w:p>
        </w:tc>
      </w:tr>
      <w:tr>
        <w:trPr>
          <w:trHeight w:val="124"/>
        </w:trPr>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00"/>
              <w:spacing w:after="0" w:line="125" w:lineRule="exact"/>
              <w:rPr>
                <w:sz w:val="20"/>
                <w:szCs w:val="20"/>
                <w:color w:val="auto"/>
              </w:rPr>
            </w:pPr>
            <w:r>
              <w:rPr>
                <w:rFonts w:ascii="Arial" w:cs="Arial" w:eastAsia="Arial" w:hAnsi="Arial"/>
                <w:sz w:val="12"/>
                <w:szCs w:val="12"/>
                <w:b w:val="1"/>
                <w:bCs w:val="1"/>
                <w:color w:val="auto"/>
                <w:w w:val="91"/>
              </w:rPr>
              <w:t>S/(000)</w:t>
            </w:r>
          </w:p>
        </w:tc>
        <w:tc>
          <w:tcPr>
            <w:tcW w:w="180" w:type="dxa"/>
            <w:vAlign w:val="bottom"/>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80"/>
              <w:spacing w:after="0" w:line="125"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4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40"/>
              <w:spacing w:after="0" w:line="125" w:lineRule="exact"/>
              <w:rPr>
                <w:sz w:val="20"/>
                <w:szCs w:val="20"/>
                <w:color w:val="auto"/>
              </w:rPr>
            </w:pPr>
            <w:r>
              <w:rPr>
                <w:rFonts w:ascii="Arial" w:cs="Arial" w:eastAsia="Arial" w:hAnsi="Arial"/>
                <w:sz w:val="12"/>
                <w:szCs w:val="12"/>
                <w:b w:val="1"/>
                <w:bCs w:val="1"/>
                <w:color w:val="auto"/>
                <w:w w:val="91"/>
              </w:rPr>
              <w:t>S/(000)</w:t>
            </w:r>
          </w:p>
        </w:tc>
        <w:tc>
          <w:tcPr>
            <w:tcW w:w="40" w:type="dxa"/>
            <w:vAlign w:val="bottom"/>
          </w:tcPr>
          <w:p>
            <w:pPr>
              <w:spacing w:after="0"/>
              <w:rPr>
                <w:sz w:val="10"/>
                <w:szCs w:val="10"/>
                <w:color w:val="auto"/>
              </w:rPr>
            </w:pPr>
          </w:p>
        </w:tc>
      </w:tr>
      <w:tr>
        <w:trPr>
          <w:trHeight w:val="144"/>
        </w:trPr>
        <w:tc>
          <w:tcPr>
            <w:tcW w:w="780" w:type="dxa"/>
            <w:vAlign w:val="bottom"/>
            <w:gridSpan w:val="3"/>
          </w:tcPr>
          <w:p>
            <w:pPr>
              <w:jc w:val="right"/>
              <w:spacing w:after="0"/>
              <w:rPr>
                <w:sz w:val="20"/>
                <w:szCs w:val="20"/>
                <w:color w:val="auto"/>
              </w:rPr>
            </w:pPr>
            <w:r>
              <w:rPr>
                <w:rFonts w:ascii="Arial" w:cs="Arial" w:eastAsia="Arial" w:hAnsi="Arial"/>
                <w:sz w:val="12"/>
                <w:szCs w:val="12"/>
                <w:color w:val="auto"/>
              </w:rPr>
              <w:t>766,317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2"/>
                <w:szCs w:val="12"/>
                <w:color w:val="auto"/>
              </w:rPr>
              <w:t>766,317</w:t>
            </w:r>
          </w:p>
        </w:tc>
        <w:tc>
          <w:tcPr>
            <w:tcW w:w="1080" w:type="dxa"/>
            <w:vAlign w:val="bottom"/>
            <w:gridSpan w:val="4"/>
          </w:tcPr>
          <w:p>
            <w:pPr>
              <w:jc w:val="right"/>
              <w:ind w:right="160"/>
              <w:spacing w:after="0"/>
              <w:rPr>
                <w:sz w:val="20"/>
                <w:szCs w:val="20"/>
                <w:color w:val="auto"/>
              </w:rPr>
            </w:pPr>
            <w:r>
              <w:rPr>
                <w:rFonts w:ascii="Arial" w:cs="Arial" w:eastAsia="Arial" w:hAnsi="Arial"/>
                <w:sz w:val="12"/>
                <w:szCs w:val="12"/>
                <w:color w:val="auto"/>
              </w:rPr>
              <w:t>(44,159)</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(28,906)</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693,252</w:t>
            </w:r>
          </w:p>
        </w:tc>
      </w:tr>
      <w:tr>
        <w:trPr>
          <w:trHeight w:val="144"/>
        </w:trPr>
        <w:tc>
          <w:tcPr>
            <w:tcW w:w="780" w:type="dxa"/>
            <w:vAlign w:val="bottom"/>
            <w:gridSpan w:val="3"/>
          </w:tcPr>
          <w:p>
            <w:pPr>
              <w:jc w:val="right"/>
              <w:spacing w:after="0"/>
              <w:rPr>
                <w:sz w:val="20"/>
                <w:szCs w:val="20"/>
                <w:color w:val="auto"/>
              </w:rPr>
            </w:pPr>
            <w:r>
              <w:rPr>
                <w:rFonts w:ascii="Arial" w:cs="Arial" w:eastAsia="Arial" w:hAnsi="Arial"/>
                <w:sz w:val="12"/>
                <w:szCs w:val="12"/>
                <w:color w:val="auto"/>
              </w:rPr>
              <w:t>4,082,942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2"/>
                <w:szCs w:val="12"/>
                <w:color w:val="auto"/>
              </w:rPr>
              <w:t>4,082,942</w:t>
            </w:r>
          </w:p>
        </w:tc>
        <w:tc>
          <w:tcPr>
            <w:tcW w:w="1080" w:type="dxa"/>
            <w:vAlign w:val="bottom"/>
            <w:gridSpan w:val="4"/>
          </w:tcPr>
          <w:p>
            <w:pPr>
              <w:jc w:val="right"/>
              <w:ind w:right="160"/>
              <w:spacing w:after="0"/>
              <w:rPr>
                <w:sz w:val="20"/>
                <w:szCs w:val="20"/>
                <w:color w:val="auto"/>
              </w:rPr>
            </w:pPr>
            <w:r>
              <w:rPr>
                <w:rFonts w:ascii="Arial" w:cs="Arial" w:eastAsia="Arial" w:hAnsi="Arial"/>
                <w:sz w:val="12"/>
                <w:szCs w:val="12"/>
                <w:color w:val="auto"/>
              </w:rPr>
              <w:t>(35,008)</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(3,319,949)</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727,985</w:t>
            </w:r>
          </w:p>
        </w:tc>
      </w:tr>
      <w:tr>
        <w:trPr>
          <w:trHeight w:val="162"/>
        </w:trPr>
        <w:tc>
          <w:tcPr>
            <w:tcW w:w="780" w:type="dxa"/>
            <w:vAlign w:val="bottom"/>
            <w:gridSpan w:val="3"/>
          </w:tcPr>
          <w:p>
            <w:pPr>
              <w:jc w:val="right"/>
              <w:spacing w:after="0"/>
              <w:rPr>
                <w:sz w:val="20"/>
                <w:szCs w:val="20"/>
                <w:color w:val="auto"/>
              </w:rPr>
            </w:pPr>
            <w:r>
              <w:rPr>
                <w:rFonts w:ascii="Arial" w:cs="Arial" w:eastAsia="Arial" w:hAnsi="Arial"/>
                <w:sz w:val="12"/>
                <w:szCs w:val="12"/>
                <w:color w:val="auto"/>
              </w:rPr>
              <w:t>5,001,516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5,001,516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(3,123,930)</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1,877,586</w:t>
            </w:r>
          </w:p>
        </w:tc>
        <w:tc>
          <w:tcPr>
            <w:tcW w:w="40" w:type="dxa"/>
            <w:vAlign w:val="bottom"/>
          </w:tcPr>
          <w:p>
            <w:pPr>
              <w:spacing w:after="0"/>
              <w:rPr>
                <w:sz w:val="14"/>
                <w:szCs w:val="14"/>
                <w:color w:val="auto"/>
              </w:rPr>
            </w:pPr>
          </w:p>
        </w:tc>
      </w:tr>
      <w:tr>
        <w:trPr>
          <w:trHeight w:val="149"/>
        </w:trPr>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9,850,775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9,850,775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(3,203,097</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(3,348,855</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3,298,823</w:t>
            </w:r>
          </w:p>
        </w:tc>
        <w:tc>
          <w:tcPr>
            <w:tcW w:w="40" w:type="dxa"/>
            <w:vAlign w:val="bottom"/>
          </w:tcPr>
          <w:p>
            <w:pPr>
              <w:spacing w:after="0"/>
              <w:rPr>
                <w:sz w:val="12"/>
                <w:szCs w:val="12"/>
                <w:color w:val="auto"/>
              </w:rPr>
            </w:pPr>
          </w:p>
        </w:tc>
      </w:tr>
      <w:tr>
        <w:trPr>
          <w:trHeight w:val="432"/>
        </w:trPr>
        <w:tc>
          <w:tcPr>
            <w:tcW w:w="780" w:type="dxa"/>
            <w:vAlign w:val="bottom"/>
            <w:gridSpan w:val="3"/>
          </w:tcPr>
          <w:p>
            <w:pPr>
              <w:jc w:val="right"/>
              <w:ind w:right="220"/>
              <w:spacing w:after="0"/>
              <w:rPr>
                <w:sz w:val="20"/>
                <w:szCs w:val="20"/>
                <w:color w:val="auto"/>
              </w:rPr>
            </w:pPr>
            <w:r>
              <w:rPr>
                <w:rFonts w:ascii="Arial" w:cs="Arial" w:eastAsia="Arial" w:hAnsi="Arial"/>
                <w:sz w:val="12"/>
                <w:szCs w:val="12"/>
                <w:color w:val="auto"/>
              </w:rPr>
              <w:t>- 153 -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-2104390</wp:posOffset>
            </wp:positionV>
            <wp:extent cx="7000875" cy="9144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000875" cy="9144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-1920875</wp:posOffset>
            </wp:positionV>
            <wp:extent cx="7000875" cy="971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000875" cy="971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-674370</wp:posOffset>
            </wp:positionV>
            <wp:extent cx="7000875" cy="9144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000875" cy="9144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-491490</wp:posOffset>
            </wp:positionV>
            <wp:extent cx="7000875" cy="971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000875" cy="971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0</wp:posOffset>
            </wp:positionV>
            <wp:extent cx="7292340" cy="571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2">
            <w:col w:w="4960" w:space="240"/>
            <w:col w:w="5760"/>
          </w:cols>
          <w:pgMar w:left="420" w:top="653" w:right="519" w:bottom="1440" w:gutter="0" w:footer="0" w:header="0"/>
        </w:sectPr>
      </w:pPr>
    </w:p>
    <w:bookmarkStart w:id="158" w:name="page159"/>
    <w:bookmarkEnd w:id="158"/>
    <w:p>
      <w:pPr>
        <w:spacing w:after="0"/>
        <w:rPr>
          <w:sz w:val="20"/>
          <w:szCs w:val="20"/>
          <w:color w:val="auto"/>
        </w:rPr>
      </w:pPr>
      <w:r>
        <w:rPr>
          <w:rFonts w:ascii="Arial" w:cs="Arial" w:eastAsia="Arial" w:hAnsi="Arial"/>
          <w:sz w:val="10"/>
          <w:szCs w:val="10"/>
          <w:color w:val="auto"/>
        </w:rPr>
        <w:t>Financial liabilities subject to offsetting, enforceable offsetting master agreements and similar agreements:</w:t>
      </w:r>
    </w:p>
    <w:p>
      <w:pPr>
        <w:sectPr>
          <w:pgSz w:w="11900" w:h="16838" w:orient="portrait"/>
          <w:cols w:equalWidth="0" w:num="1">
            <w:col w:w="11140"/>
          </w:cols>
          <w:pgMar w:left="420" w:top="6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68650" cy="571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3168650" cy="57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Payables on derivatives</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Payables on repurchase agreements and securites lending</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68650" cy="571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3168650" cy="57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Payables on derivatives</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Payables on repurchase agreements and securites lending</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280"/>
        <w:spacing w:after="0"/>
        <w:rPr>
          <w:sz w:val="20"/>
          <w:szCs w:val="20"/>
          <w:color w:val="auto"/>
        </w:rPr>
      </w:pPr>
      <w:r>
        <w:rPr>
          <w:rFonts w:ascii="Arial" w:cs="Arial" w:eastAsia="Arial" w:hAnsi="Arial"/>
          <w:sz w:val="12"/>
          <w:szCs w:val="12"/>
          <w:b w:val="1"/>
          <w:bCs w:val="1"/>
          <w:color w:val="auto"/>
        </w:rPr>
        <w:t>As of December 31,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Net amounts of</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Gross amounts of</w:t>
            </w:r>
          </w:p>
        </w:tc>
        <w:tc>
          <w:tcPr>
            <w:tcW w:w="12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0"/>
              </w:rPr>
              <w:t>financial liabilities</w:t>
            </w:r>
          </w:p>
        </w:tc>
        <w:tc>
          <w:tcPr>
            <w:tcW w:w="188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88"/>
              </w:rPr>
              <w:t>Related amounts not offset in the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Gross amounts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recognized</w:t>
            </w:r>
          </w:p>
        </w:tc>
        <w:tc>
          <w:tcPr>
            <w:tcW w:w="100" w:type="dxa"/>
            <w:vAlign w:val="bottom"/>
          </w:tcPr>
          <w:p>
            <w:pPr>
              <w:spacing w:after="0"/>
              <w:rPr>
                <w:sz w:val="12"/>
                <w:szCs w:val="12"/>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8"/>
              </w:rPr>
              <w:t>presented in the</w:t>
            </w:r>
          </w:p>
        </w:tc>
        <w:tc>
          <w:tcPr>
            <w:tcW w:w="120" w:type="dxa"/>
            <w:vAlign w:val="bottom"/>
          </w:tcPr>
          <w:p>
            <w:pPr>
              <w:spacing w:after="0"/>
              <w:rPr>
                <w:sz w:val="12"/>
                <w:szCs w:val="12"/>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87"/>
              </w:rPr>
              <w:t>consolidated statement of</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of</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liabilities and offset</w:t>
            </w:r>
          </w:p>
        </w:tc>
        <w:tc>
          <w:tcPr>
            <w:tcW w:w="100" w:type="dxa"/>
            <w:vAlign w:val="bottom"/>
          </w:tcPr>
          <w:p>
            <w:pPr>
              <w:spacing w:after="0"/>
              <w:rPr>
                <w:sz w:val="13"/>
                <w:szCs w:val="13"/>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consolidated</w:t>
            </w:r>
          </w:p>
        </w:tc>
        <w:tc>
          <w:tcPr>
            <w:tcW w:w="12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1"/>
              </w:rPr>
              <w:t>financial position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recognized</w:t>
            </w:r>
          </w:p>
        </w:tc>
        <w:tc>
          <w:tcPr>
            <w:tcW w:w="11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7"/>
              </w:rPr>
              <w:t>in the consolidated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360"/>
              <w:spacing w:after="0" w:line="121" w:lineRule="exact"/>
              <w:rPr>
                <w:sz w:val="20"/>
                <w:szCs w:val="20"/>
                <w:color w:val="auto"/>
              </w:rPr>
            </w:pPr>
            <w:r>
              <w:rPr>
                <w:rFonts w:ascii="Arial" w:cs="Arial" w:eastAsia="Arial" w:hAnsi="Arial"/>
                <w:sz w:val="12"/>
                <w:szCs w:val="12"/>
                <w:b w:val="1"/>
                <w:bCs w:val="1"/>
                <w:color w:val="auto"/>
                <w:w w:val="86"/>
              </w:rPr>
              <w:t>statement of</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21" w:lineRule="exact"/>
              <w:rPr>
                <w:sz w:val="20"/>
                <w:szCs w:val="20"/>
                <w:color w:val="auto"/>
              </w:rPr>
            </w:pPr>
            <w:r>
              <w:rPr>
                <w:rFonts w:ascii="Arial" w:cs="Arial" w:eastAsia="Arial" w:hAnsi="Arial"/>
                <w:sz w:val="12"/>
                <w:szCs w:val="12"/>
                <w:b w:val="1"/>
                <w:bCs w:val="1"/>
                <w:color w:val="auto"/>
                <w:w w:val="88"/>
              </w:rPr>
              <w:t>Cash</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financial</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statement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financial</w:t>
            </w:r>
          </w:p>
        </w:tc>
        <w:tc>
          <w:tcPr>
            <w:tcW w:w="120" w:type="dxa"/>
            <w:vAlign w:val="bottom"/>
          </w:tcPr>
          <w:p>
            <w:pPr>
              <w:spacing w:after="0"/>
              <w:rPr>
                <w:sz w:val="12"/>
                <w:szCs w:val="12"/>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2"/>
              </w:rPr>
              <w:t>Financial</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collateral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liabilities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financial position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position</w:t>
            </w:r>
          </w:p>
        </w:tc>
        <w:tc>
          <w:tcPr>
            <w:tcW w:w="106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instruments</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pledged</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Net amount</w:t>
            </w:r>
          </w:p>
        </w:tc>
        <w:tc>
          <w:tcPr>
            <w:tcW w:w="0" w:type="dxa"/>
            <w:vAlign w:val="bottom"/>
          </w:tcPr>
          <w:p>
            <w:pPr>
              <w:spacing w:after="0"/>
              <w:rPr>
                <w:sz w:val="1"/>
                <w:szCs w:val="1"/>
                <w:color w:val="auto"/>
              </w:rPr>
            </w:pPr>
          </w:p>
        </w:tc>
      </w:tr>
      <w:tr>
        <w:trPr>
          <w:trHeight w:val="124"/>
        </w:trPr>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2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60" w:type="dxa"/>
            <w:vAlign w:val="bottom"/>
            <w:gridSpan w:val="3"/>
          </w:tcPr>
          <w:p>
            <w:pPr>
              <w:jc w:val="right"/>
              <w:ind w:right="200"/>
              <w:spacing w:after="0"/>
              <w:rPr>
                <w:sz w:val="20"/>
                <w:szCs w:val="20"/>
                <w:color w:val="auto"/>
              </w:rPr>
            </w:pPr>
            <w:r>
              <w:rPr>
                <w:rFonts w:ascii="Arial" w:cs="Arial" w:eastAsia="Arial" w:hAnsi="Arial"/>
                <w:sz w:val="12"/>
                <w:szCs w:val="12"/>
                <w:color w:val="auto"/>
              </w:rPr>
              <w:t>1,040,282</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1,040,282</w:t>
            </w:r>
          </w:p>
        </w:tc>
        <w:tc>
          <w:tcPr>
            <w:tcW w:w="940" w:type="dxa"/>
            <w:vAlign w:val="bottom"/>
            <w:gridSpan w:val="3"/>
          </w:tcPr>
          <w:p>
            <w:pPr>
              <w:jc w:val="right"/>
              <w:ind w:right="180"/>
              <w:spacing w:after="0"/>
              <w:rPr>
                <w:sz w:val="20"/>
                <w:szCs w:val="20"/>
                <w:color w:val="auto"/>
              </w:rPr>
            </w:pPr>
            <w:r>
              <w:rPr>
                <w:rFonts w:ascii="Arial" w:cs="Arial" w:eastAsia="Arial" w:hAnsi="Arial"/>
                <w:sz w:val="12"/>
                <w:szCs w:val="12"/>
                <w:color w:val="auto"/>
              </w:rPr>
              <w:t>122,557</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(186,384)</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color w:val="auto"/>
              </w:rPr>
              <w:t>976,455</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7,678,016</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7,678,016</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(3,208,973)</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(3,293,837)</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1,175,206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8,718,298</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8,718,298</w:t>
            </w:r>
          </w:p>
        </w:tc>
        <w:tc>
          <w:tcPr>
            <w:tcW w:w="120" w:type="dxa"/>
            <w:vAlign w:val="bottom"/>
            <w:vMerge w:val="continue"/>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(3,086,416</w:t>
            </w:r>
          </w:p>
        </w:tc>
        <w:tc>
          <w:tcPr>
            <w:tcW w:w="2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(3,480,221</w:t>
            </w:r>
          </w:p>
        </w:tc>
        <w:tc>
          <w:tcPr>
            <w:tcW w:w="220" w:type="dxa"/>
            <w:vAlign w:val="bottom"/>
            <w:vMerge w:val="continue"/>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2,151,661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As of December 31, 2018</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Net amounts of</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Gross amounts of</w:t>
            </w:r>
          </w:p>
        </w:tc>
        <w:tc>
          <w:tcPr>
            <w:tcW w:w="12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0"/>
              </w:rPr>
              <w:t>financial liabilities</w:t>
            </w:r>
          </w:p>
        </w:tc>
        <w:tc>
          <w:tcPr>
            <w:tcW w:w="188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88"/>
              </w:rPr>
              <w:t>Related amounts not offset in the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Gross amounts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recognized</w:t>
            </w:r>
          </w:p>
        </w:tc>
        <w:tc>
          <w:tcPr>
            <w:tcW w:w="100" w:type="dxa"/>
            <w:vAlign w:val="bottom"/>
          </w:tcPr>
          <w:p>
            <w:pPr>
              <w:spacing w:after="0"/>
              <w:rPr>
                <w:sz w:val="12"/>
                <w:szCs w:val="12"/>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8"/>
              </w:rPr>
              <w:t>presented in the</w:t>
            </w:r>
          </w:p>
        </w:tc>
        <w:tc>
          <w:tcPr>
            <w:tcW w:w="120" w:type="dxa"/>
            <w:vAlign w:val="bottom"/>
          </w:tcPr>
          <w:p>
            <w:pPr>
              <w:spacing w:after="0"/>
              <w:rPr>
                <w:sz w:val="12"/>
                <w:szCs w:val="12"/>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87"/>
              </w:rPr>
              <w:t>consolidated statement of</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of</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liabilities and offset</w:t>
            </w:r>
          </w:p>
        </w:tc>
        <w:tc>
          <w:tcPr>
            <w:tcW w:w="100" w:type="dxa"/>
            <w:vAlign w:val="bottom"/>
          </w:tcPr>
          <w:p>
            <w:pPr>
              <w:spacing w:after="0"/>
              <w:rPr>
                <w:sz w:val="13"/>
                <w:szCs w:val="13"/>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consolidated</w:t>
            </w:r>
          </w:p>
        </w:tc>
        <w:tc>
          <w:tcPr>
            <w:tcW w:w="12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1"/>
              </w:rPr>
              <w:t>financial position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recognized</w:t>
            </w:r>
          </w:p>
        </w:tc>
        <w:tc>
          <w:tcPr>
            <w:tcW w:w="11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7"/>
              </w:rPr>
              <w:t>in the consolidated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360"/>
              <w:spacing w:after="0" w:line="121" w:lineRule="exact"/>
              <w:rPr>
                <w:sz w:val="20"/>
                <w:szCs w:val="20"/>
                <w:color w:val="auto"/>
              </w:rPr>
            </w:pPr>
            <w:r>
              <w:rPr>
                <w:rFonts w:ascii="Arial" w:cs="Arial" w:eastAsia="Arial" w:hAnsi="Arial"/>
                <w:sz w:val="12"/>
                <w:szCs w:val="12"/>
                <w:b w:val="1"/>
                <w:bCs w:val="1"/>
                <w:color w:val="auto"/>
                <w:w w:val="86"/>
              </w:rPr>
              <w:t>statement of</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21" w:lineRule="exact"/>
              <w:rPr>
                <w:sz w:val="20"/>
                <w:szCs w:val="20"/>
                <w:color w:val="auto"/>
              </w:rPr>
            </w:pPr>
            <w:r>
              <w:rPr>
                <w:rFonts w:ascii="Arial" w:cs="Arial" w:eastAsia="Arial" w:hAnsi="Arial"/>
                <w:sz w:val="12"/>
                <w:szCs w:val="12"/>
                <w:b w:val="1"/>
                <w:bCs w:val="1"/>
                <w:color w:val="auto"/>
                <w:w w:val="88"/>
              </w:rPr>
              <w:t>Cash</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financial</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statement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financial</w:t>
            </w:r>
          </w:p>
        </w:tc>
        <w:tc>
          <w:tcPr>
            <w:tcW w:w="120" w:type="dxa"/>
            <w:vAlign w:val="bottom"/>
          </w:tcPr>
          <w:p>
            <w:pPr>
              <w:spacing w:after="0"/>
              <w:rPr>
                <w:sz w:val="12"/>
                <w:szCs w:val="12"/>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2"/>
              </w:rPr>
              <w:t>Financial</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collateral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liabilities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financial position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position</w:t>
            </w:r>
          </w:p>
        </w:tc>
        <w:tc>
          <w:tcPr>
            <w:tcW w:w="106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instruments</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pledged</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Net amount</w:t>
            </w:r>
          </w:p>
        </w:tc>
        <w:tc>
          <w:tcPr>
            <w:tcW w:w="0" w:type="dxa"/>
            <w:vAlign w:val="bottom"/>
          </w:tcPr>
          <w:p>
            <w:pPr>
              <w:spacing w:after="0"/>
              <w:rPr>
                <w:sz w:val="1"/>
                <w:szCs w:val="1"/>
                <w:color w:val="auto"/>
              </w:rPr>
            </w:pPr>
          </w:p>
        </w:tc>
      </w:tr>
      <w:tr>
        <w:trPr>
          <w:trHeight w:val="124"/>
        </w:trPr>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20"/>
              <w:spacing w:after="0" w:line="125" w:lineRule="exact"/>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60"/>
              <w:spacing w:after="0" w:line="125" w:lineRule="exact"/>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60" w:type="dxa"/>
            <w:vAlign w:val="bottom"/>
            <w:gridSpan w:val="3"/>
          </w:tcPr>
          <w:p>
            <w:pPr>
              <w:jc w:val="right"/>
              <w:ind w:right="200"/>
              <w:spacing w:after="0"/>
              <w:rPr>
                <w:sz w:val="20"/>
                <w:szCs w:val="20"/>
                <w:color w:val="auto"/>
              </w:rPr>
            </w:pPr>
            <w:r>
              <w:rPr>
                <w:rFonts w:ascii="Arial" w:cs="Arial" w:eastAsia="Arial" w:hAnsi="Arial"/>
                <w:sz w:val="12"/>
                <w:szCs w:val="12"/>
                <w:color w:val="auto"/>
              </w:rPr>
              <w:t>715,804</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715,804</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(44,159)</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(190,212)</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color w:val="auto"/>
              </w:rPr>
              <w:t>481,433</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9,415,357</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9,415,357</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(3,123,930)</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(3,409,890)</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2,881,537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10,131,161</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4"/>
          </w:tcPr>
          <w:p>
            <w:pPr>
              <w:jc w:val="right"/>
              <w:ind w:right="200"/>
              <w:spacing w:after="0"/>
              <w:rPr>
                <w:sz w:val="20"/>
                <w:szCs w:val="20"/>
                <w:color w:val="auto"/>
              </w:rPr>
            </w:pPr>
            <w:r>
              <w:rPr>
                <w:rFonts w:ascii="Arial" w:cs="Arial" w:eastAsia="Arial" w:hAnsi="Arial"/>
                <w:sz w:val="12"/>
                <w:szCs w:val="12"/>
                <w:color w:val="auto"/>
              </w:rPr>
              <w:t>10,131,161</w:t>
            </w:r>
          </w:p>
        </w:tc>
        <w:tc>
          <w:tcPr>
            <w:tcW w:w="120" w:type="dxa"/>
            <w:vAlign w:val="bottom"/>
            <w:vMerge w:val="continue"/>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(3,168,089</w:t>
            </w: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(3,600,102</w:t>
            </w:r>
          </w:p>
        </w:tc>
        <w:tc>
          <w:tcPr>
            <w:tcW w:w="220" w:type="dxa"/>
            <w:vAlign w:val="bottom"/>
            <w:vMerge w:val="continue"/>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3,362,970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-1549400</wp:posOffset>
            </wp:positionV>
            <wp:extent cx="7000875" cy="9144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000875" cy="9144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-1360805</wp:posOffset>
            </wp:positionV>
            <wp:extent cx="7000875" cy="10858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000875" cy="10858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-307975</wp:posOffset>
            </wp:positionV>
            <wp:extent cx="7000875" cy="9144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000875" cy="9144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-119380</wp:posOffset>
            </wp:positionV>
            <wp:extent cx="7000875" cy="10858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000875" cy="10858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380" w:space="720"/>
            <w:col w:w="6040"/>
          </w:cols>
          <w:pgMar w:left="420" w:top="653" w:right="339" w:bottom="1440" w:gutter="0" w:footer="0" w:header="0"/>
          <w:type w:val="continuous"/>
        </w:sectPr>
      </w:pPr>
    </w:p>
    <w:p>
      <w:pPr>
        <w:spacing w:after="0"/>
        <w:rPr>
          <w:sz w:val="20"/>
          <w:szCs w:val="20"/>
          <w:color w:val="auto"/>
        </w:rPr>
      </w:pPr>
      <w:r>
        <w:rPr>
          <w:rFonts w:ascii="Arial" w:cs="Arial" w:eastAsia="Arial" w:hAnsi="Arial"/>
          <w:sz w:val="12"/>
          <w:szCs w:val="12"/>
          <w:color w:val="auto"/>
        </w:rPr>
        <w:t>The gross amounts of financial assets and liabilities disclosed in the above tables have been measured in the statement of financial position on the following basis:</w:t>
      </w:r>
    </w:p>
    <w:p>
      <w:pPr>
        <w:spacing w:after="0" w:line="150" w:lineRule="exact"/>
        <w:rPr>
          <w:sz w:val="20"/>
          <w:szCs w:val="20"/>
          <w:color w:val="auto"/>
        </w:rPr>
      </w:pPr>
    </w:p>
    <w:p>
      <w:pPr>
        <w:ind w:left="220" w:hanging="212"/>
        <w:spacing w:after="0"/>
        <w:tabs>
          <w:tab w:leader="none" w:pos="2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Derivative assets and liabilities are measured at fair value.</w:t>
      </w:r>
    </w:p>
    <w:p>
      <w:pPr>
        <w:spacing w:after="0" w:line="14" w:lineRule="exact"/>
        <w:rPr>
          <w:rFonts w:ascii="Arial" w:cs="Arial" w:eastAsia="Arial" w:hAnsi="Arial"/>
          <w:sz w:val="12"/>
          <w:szCs w:val="12"/>
          <w:color w:val="auto"/>
        </w:rPr>
      </w:pPr>
    </w:p>
    <w:p>
      <w:pPr>
        <w:ind w:left="220" w:hanging="212"/>
        <w:spacing w:after="0"/>
        <w:tabs>
          <w:tab w:leader="none" w:pos="2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Receivables from reverse repurchase agreements and securities lending are measured at amortized cost.</w:t>
      </w:r>
    </w:p>
    <w:p>
      <w:pPr>
        <w:spacing w:after="0" w:line="6" w:lineRule="exact"/>
        <w:rPr>
          <w:rFonts w:ascii="Arial" w:cs="Arial" w:eastAsia="Arial" w:hAnsi="Arial"/>
          <w:sz w:val="12"/>
          <w:szCs w:val="12"/>
          <w:color w:val="auto"/>
        </w:rPr>
      </w:pPr>
    </w:p>
    <w:p>
      <w:pPr>
        <w:ind w:left="220" w:hanging="212"/>
        <w:spacing w:after="0"/>
        <w:tabs>
          <w:tab w:leader="none" w:pos="2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Financial liabilities are measured at fair value.</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difference between the carrying amount in the consolidated statement of financial position and the amounts presented in the tables above for derivatives (presented in other assets Note 13(b)), receivables from reverse repurchase agreement and securities borrowing and payables from repurchase agreements and securities lending and financial liabilities measured at fair value through profit or loss are financial instruments outside of the scope of offsetting disclosure.</w:t>
      </w: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40"/>
          </w:cols>
          <w:pgMar w:left="420" w:top="653"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2"/>
          <w:szCs w:val="12"/>
          <w:b w:val="1"/>
          <w:bCs w:val="1"/>
          <w:color w:val="auto"/>
        </w:rPr>
        <w:t>34.2 Market risk -</w:t>
      </w:r>
    </w:p>
    <w:p>
      <w:pPr>
        <w:spacing w:after="0" w:line="154" w:lineRule="exact"/>
        <w:rPr>
          <w:sz w:val="20"/>
          <w:szCs w:val="20"/>
          <w:color w:val="auto"/>
        </w:rPr>
      </w:pPr>
    </w:p>
    <w:p>
      <w:pPr>
        <w:ind w:left="280" w:right="140"/>
        <w:spacing w:after="0" w:line="263" w:lineRule="auto"/>
        <w:rPr>
          <w:sz w:val="20"/>
          <w:szCs w:val="20"/>
          <w:color w:val="auto"/>
        </w:rPr>
      </w:pPr>
      <w:r>
        <w:rPr>
          <w:rFonts w:ascii="Arial" w:cs="Arial" w:eastAsia="Arial" w:hAnsi="Arial"/>
          <w:sz w:val="12"/>
          <w:szCs w:val="12"/>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23" w:lineRule="exact"/>
        <w:rPr>
          <w:sz w:val="20"/>
          <w:szCs w:val="20"/>
          <w:color w:val="auto"/>
        </w:rPr>
      </w:pPr>
    </w:p>
    <w:p>
      <w:pPr>
        <w:jc w:val="both"/>
        <w:ind w:left="280" w:right="140"/>
        <w:spacing w:after="0" w:line="263" w:lineRule="auto"/>
        <w:rPr>
          <w:sz w:val="20"/>
          <w:szCs w:val="20"/>
          <w:color w:val="auto"/>
        </w:rPr>
      </w:pPr>
      <w:r>
        <w:rPr>
          <w:rFonts w:ascii="Arial" w:cs="Arial" w:eastAsia="Arial" w:hAnsi="Arial"/>
          <w:sz w:val="12"/>
          <w:szCs w:val="12"/>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23" w:lineRule="exact"/>
        <w:rPr>
          <w:sz w:val="20"/>
          <w:szCs w:val="20"/>
          <w:color w:val="auto"/>
        </w:rPr>
      </w:pPr>
    </w:p>
    <w:p>
      <w:pPr>
        <w:ind w:left="280" w:right="40"/>
        <w:spacing w:after="0" w:line="276" w:lineRule="auto"/>
        <w:rPr>
          <w:sz w:val="20"/>
          <w:szCs w:val="20"/>
          <w:color w:val="auto"/>
        </w:rPr>
      </w:pPr>
      <w:r>
        <w:rPr>
          <w:rFonts w:ascii="Arial" w:cs="Arial" w:eastAsia="Arial" w:hAnsi="Arial"/>
          <w:sz w:val="12"/>
          <w:szCs w:val="12"/>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15" w:lineRule="exact"/>
        <w:rPr>
          <w:sz w:val="20"/>
          <w:szCs w:val="20"/>
          <w:color w:val="auto"/>
        </w:rPr>
      </w:pPr>
    </w:p>
    <w:p>
      <w:pPr>
        <w:ind w:left="500" w:hanging="220"/>
        <w:spacing w:after="0"/>
        <w:tabs>
          <w:tab w:leader="none" w:pos="50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Trading Book -</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trading book is characterized for having liquid positions in stocks, bonds, foreign currencies and derivatives, arising from market-making transactions where the Group acts as principal with the customers or with the market.</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portfolio includes investments and derivatives classified by Management as held for trading.</w:t>
      </w:r>
    </w:p>
    <w:p>
      <w:pPr>
        <w:spacing w:after="0" w:line="141" w:lineRule="exact"/>
        <w:rPr>
          <w:sz w:val="20"/>
          <w:szCs w:val="20"/>
          <w:color w:val="auto"/>
        </w:rPr>
      </w:pPr>
    </w:p>
    <w:p>
      <w:pPr>
        <w:ind w:left="640" w:hanging="216"/>
        <w:spacing w:after="0"/>
        <w:tabs>
          <w:tab w:leader="none" w:pos="64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Value at Risk (VaR) -</w:t>
      </w:r>
    </w:p>
    <w:p>
      <w:pPr>
        <w:spacing w:after="0" w:line="150" w:lineRule="exact"/>
        <w:rPr>
          <w:rFonts w:ascii="Arial" w:cs="Arial" w:eastAsia="Arial" w:hAnsi="Arial"/>
          <w:sz w:val="12"/>
          <w:szCs w:val="12"/>
          <w:color w:val="auto"/>
        </w:rPr>
      </w:pPr>
    </w:p>
    <w:p>
      <w:pPr>
        <w:ind w:left="640"/>
        <w:spacing w:after="0" w:line="276" w:lineRule="auto"/>
        <w:rPr>
          <w:rFonts w:ascii="Arial" w:cs="Arial" w:eastAsia="Arial" w:hAnsi="Arial"/>
          <w:sz w:val="12"/>
          <w:szCs w:val="12"/>
          <w:color w:val="auto"/>
        </w:rPr>
      </w:pPr>
      <w:r>
        <w:rPr>
          <w:rFonts w:ascii="Arial" w:cs="Arial" w:eastAsia="Arial" w:hAnsi="Arial"/>
          <w:sz w:val="12"/>
          <w:szCs w:val="12"/>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14"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Daily calculation of VaR is a statistically-based estimate of the maximum potential loss on the current portfolio from adverse market movements.</w:t>
      </w:r>
    </w:p>
    <w:p>
      <w:pPr>
        <w:spacing w:after="0" w:line="150" w:lineRule="exact"/>
        <w:rPr>
          <w:rFonts w:ascii="Arial" w:cs="Arial" w:eastAsia="Arial" w:hAnsi="Arial"/>
          <w:sz w:val="12"/>
          <w:szCs w:val="12"/>
          <w:color w:val="auto"/>
        </w:rPr>
      </w:pPr>
    </w:p>
    <w:p>
      <w:pPr>
        <w:ind w:left="640" w:right="40"/>
        <w:spacing w:after="0" w:line="276" w:lineRule="auto"/>
        <w:rPr>
          <w:rFonts w:ascii="Arial" w:cs="Arial" w:eastAsia="Arial" w:hAnsi="Arial"/>
          <w:sz w:val="12"/>
          <w:szCs w:val="12"/>
          <w:color w:val="auto"/>
        </w:rPr>
      </w:pPr>
      <w:r>
        <w:rPr>
          <w:rFonts w:ascii="Arial" w:cs="Arial" w:eastAsia="Arial" w:hAnsi="Arial"/>
          <w:sz w:val="12"/>
          <w:szCs w:val="12"/>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14" w:lineRule="exact"/>
        <w:rPr>
          <w:rFonts w:ascii="Arial" w:cs="Arial" w:eastAsia="Arial" w:hAnsi="Arial"/>
          <w:sz w:val="12"/>
          <w:szCs w:val="12"/>
          <w:color w:val="auto"/>
        </w:rPr>
      </w:pPr>
    </w:p>
    <w:p>
      <w:pPr>
        <w:jc w:val="both"/>
        <w:ind w:left="640" w:right="20"/>
        <w:spacing w:after="0" w:line="263" w:lineRule="auto"/>
        <w:rPr>
          <w:rFonts w:ascii="Arial" w:cs="Arial" w:eastAsia="Arial" w:hAnsi="Arial"/>
          <w:sz w:val="12"/>
          <w:szCs w:val="12"/>
          <w:color w:val="auto"/>
        </w:rPr>
      </w:pPr>
      <w:r>
        <w:rPr>
          <w:rFonts w:ascii="Arial" w:cs="Arial" w:eastAsia="Arial" w:hAnsi="Arial"/>
          <w:sz w:val="12"/>
          <w:szCs w:val="12"/>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22" w:lineRule="exact"/>
        <w:rPr>
          <w:rFonts w:ascii="Arial" w:cs="Arial" w:eastAsia="Arial" w:hAnsi="Arial"/>
          <w:sz w:val="12"/>
          <w:szCs w:val="12"/>
          <w:color w:val="auto"/>
        </w:rPr>
      </w:pPr>
    </w:p>
    <w:p>
      <w:pPr>
        <w:ind w:left="640" w:right="80"/>
        <w:spacing w:after="0" w:line="276" w:lineRule="auto"/>
        <w:rPr>
          <w:rFonts w:ascii="Arial" w:cs="Arial" w:eastAsia="Arial" w:hAnsi="Arial"/>
          <w:sz w:val="12"/>
          <w:szCs w:val="12"/>
          <w:color w:val="auto"/>
        </w:rPr>
      </w:pPr>
      <w:r>
        <w:rPr>
          <w:rFonts w:ascii="Arial" w:cs="Arial" w:eastAsia="Arial" w:hAnsi="Arial"/>
          <w:sz w:val="12"/>
          <w:szCs w:val="12"/>
          <w:color w:val="auto"/>
        </w:rPr>
        <w:t>The assessment of portfolio movements has been based on annual historical information and 250 market risk factors, which are detailed below; 43 market curves, 156 stock prices, 36 mutual fund values, 4 series of volatility and 11 survival probability curves. The Group directly applies these historical changes in rates to each position in its current portfalio (method known as historical simulation).</w:t>
      </w:r>
    </w:p>
    <w:p>
      <w:pPr>
        <w:spacing w:after="0" w:line="259" w:lineRule="exact"/>
        <w:rPr>
          <w:rFonts w:ascii="Arial" w:cs="Arial" w:eastAsia="Arial" w:hAnsi="Arial"/>
          <w:sz w:val="12"/>
          <w:szCs w:val="12"/>
          <w:color w:val="auto"/>
        </w:rPr>
      </w:pPr>
    </w:p>
    <w:p>
      <w:pPr>
        <w:ind w:left="5640" w:hanging="62"/>
        <w:spacing w:after="0"/>
        <w:tabs>
          <w:tab w:leader="none" w:pos="564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0"/>
          </w:cols>
          <w:pgMar w:left="220" w:top="649" w:right="239" w:bottom="1440" w:gutter="0" w:footer="0" w:header="0"/>
        </w:sectPr>
      </w:pPr>
    </w:p>
    <w:bookmarkStart w:id="160" w:name="page161"/>
    <w:bookmarkEnd w:id="160"/>
    <w:p>
      <w:pPr>
        <w:ind w:left="372"/>
        <w:spacing w:after="0"/>
        <w:rPr>
          <w:sz w:val="20"/>
          <w:szCs w:val="20"/>
          <w:color w:val="auto"/>
        </w:rPr>
      </w:pPr>
      <w:r>
        <w:rPr>
          <w:rFonts w:ascii="Arial" w:cs="Arial" w:eastAsia="Arial" w:hAnsi="Arial"/>
          <w:sz w:val="12"/>
          <w:szCs w:val="12"/>
          <w:color w:val="auto"/>
        </w:rPr>
        <w:t>The Group Management considers that the market risk factors, incorporated in their VaR model, are adequate to measure the market risk to which its trading portfolio is exposed.</w:t>
      </w:r>
    </w:p>
    <w:p>
      <w:pPr>
        <w:spacing w:after="0" w:line="150" w:lineRule="exact"/>
        <w:rPr>
          <w:sz w:val="20"/>
          <w:szCs w:val="20"/>
          <w:color w:val="auto"/>
        </w:rPr>
      </w:pPr>
    </w:p>
    <w:p>
      <w:pPr>
        <w:ind w:left="372" w:right="120"/>
        <w:spacing w:after="0" w:line="276" w:lineRule="auto"/>
        <w:rPr>
          <w:sz w:val="20"/>
          <w:szCs w:val="20"/>
          <w:color w:val="auto"/>
        </w:rPr>
      </w:pPr>
      <w:r>
        <w:rPr>
          <w:rFonts w:ascii="Arial" w:cs="Arial" w:eastAsia="Arial" w:hAnsi="Arial"/>
          <w:sz w:val="12"/>
          <w:szCs w:val="12"/>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15" w:lineRule="exact"/>
        <w:rPr>
          <w:sz w:val="20"/>
          <w:szCs w:val="20"/>
          <w:color w:val="auto"/>
        </w:rPr>
      </w:pPr>
    </w:p>
    <w:p>
      <w:pPr>
        <w:ind w:left="372"/>
        <w:spacing w:after="0" w:line="276" w:lineRule="auto"/>
        <w:rPr>
          <w:sz w:val="20"/>
          <w:szCs w:val="20"/>
          <w:color w:val="auto"/>
        </w:rPr>
      </w:pPr>
      <w:r>
        <w:rPr>
          <w:rFonts w:ascii="Arial" w:cs="Arial" w:eastAsia="Arial" w:hAnsi="Arial"/>
          <w:sz w:val="12"/>
          <w:szCs w:val="12"/>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15" w:lineRule="exact"/>
        <w:rPr>
          <w:sz w:val="20"/>
          <w:szCs w:val="20"/>
          <w:color w:val="auto"/>
        </w:rPr>
      </w:pPr>
    </w:p>
    <w:p>
      <w:pPr>
        <w:ind w:left="372" w:right="100"/>
        <w:spacing w:after="0" w:line="276" w:lineRule="auto"/>
        <w:rPr>
          <w:sz w:val="20"/>
          <w:szCs w:val="20"/>
          <w:color w:val="auto"/>
        </w:rPr>
      </w:pPr>
      <w:r>
        <w:rPr>
          <w:rFonts w:ascii="Arial" w:cs="Arial" w:eastAsia="Arial" w:hAnsi="Arial"/>
          <w:sz w:val="12"/>
          <w:szCs w:val="12"/>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Credicorp Committee.</w:t>
      </w:r>
    </w:p>
    <w:p>
      <w:pPr>
        <w:spacing w:after="0" w:line="115" w:lineRule="exact"/>
        <w:rPr>
          <w:sz w:val="20"/>
          <w:szCs w:val="20"/>
          <w:color w:val="auto"/>
        </w:rPr>
      </w:pPr>
    </w:p>
    <w:p>
      <w:pPr>
        <w:ind w:left="372"/>
        <w:spacing w:after="0"/>
        <w:rPr>
          <w:sz w:val="20"/>
          <w:szCs w:val="20"/>
          <w:color w:val="auto"/>
        </w:rPr>
      </w:pPr>
      <w:r>
        <w:rPr>
          <w:rFonts w:ascii="Arial" w:cs="Arial" w:eastAsia="Arial" w:hAnsi="Arial"/>
          <w:sz w:val="12"/>
          <w:szCs w:val="12"/>
          <w:color w:val="auto"/>
        </w:rPr>
        <w:t>In VaR calculation, the effects of the exchange rate are not included because said effects are measured in the net monetary position, see Note 34.2 (b)(ii).</w:t>
      </w:r>
    </w:p>
    <w:p>
      <w:pPr>
        <w:spacing w:after="0" w:line="150" w:lineRule="exact"/>
        <w:rPr>
          <w:sz w:val="20"/>
          <w:szCs w:val="20"/>
          <w:color w:val="auto"/>
        </w:rPr>
      </w:pPr>
    </w:p>
    <w:p>
      <w:pPr>
        <w:ind w:left="372" w:right="80"/>
        <w:spacing w:after="0" w:line="276" w:lineRule="auto"/>
        <w:rPr>
          <w:sz w:val="20"/>
          <w:szCs w:val="20"/>
          <w:color w:val="auto"/>
        </w:rPr>
      </w:pPr>
      <w:r>
        <w:rPr>
          <w:rFonts w:ascii="Arial" w:cs="Arial" w:eastAsia="Arial" w:hAnsi="Arial"/>
          <w:sz w:val="12"/>
          <w:szCs w:val="12"/>
          <w:color w:val="auto"/>
        </w:rPr>
        <w:t>The Group's VaR showed an increase at December 31, 2019, mainly by Price Effect due to greater exposure in Equity instruments despite of an increase in diversification between risks. The VaR remains contained within the limits of the risk appetite established by the Bank's Risk Management of each subsidiary.</w:t>
      </w:r>
    </w:p>
    <w:p>
      <w:pPr>
        <w:spacing w:after="0" w:line="115" w:lineRule="exact"/>
        <w:rPr>
          <w:sz w:val="20"/>
          <w:szCs w:val="20"/>
          <w:color w:val="auto"/>
        </w:rPr>
      </w:pPr>
    </w:p>
    <w:tbl>
      <w:tblPr>
        <w:tblLayout w:type="fixed"/>
        <w:tblInd w:w="372" w:type="dxa"/>
        <w:tblCellMar>
          <w:top w:w="0" w:type="dxa"/>
          <w:left w:w="0" w:type="dxa"/>
          <w:bottom w:w="0" w:type="dxa"/>
          <w:right w:w="0" w:type="dxa"/>
        </w:tblCellMar>
      </w:tblPr>
      <w:tr>
        <w:trPr>
          <w:trHeight w:val="153"/>
        </w:trPr>
        <w:tc>
          <w:tcPr>
            <w:tcW w:w="8300" w:type="dxa"/>
            <w:vAlign w:val="bottom"/>
            <w:gridSpan w:val="3"/>
          </w:tcPr>
          <w:p>
            <w:pPr>
              <w:spacing w:after="0"/>
              <w:rPr>
                <w:sz w:val="20"/>
                <w:szCs w:val="20"/>
                <w:color w:val="auto"/>
              </w:rPr>
            </w:pPr>
            <w:r>
              <w:rPr>
                <w:rFonts w:ascii="Arial" w:cs="Arial" w:eastAsia="Arial" w:hAnsi="Arial"/>
                <w:sz w:val="12"/>
                <w:szCs w:val="12"/>
                <w:color w:val="auto"/>
              </w:rPr>
              <w:t>As of December 31, 2019 and 2018, the Group’s VaR by risk type is as follows: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83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4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940" w:type="dxa"/>
            <w:vAlign w:val="bottom"/>
            <w:tcBorders>
              <w:top w:val="single" w:sz="8" w:color="auto"/>
            </w:tcBorders>
          </w:tcPr>
          <w:p>
            <w:pPr>
              <w:jc w:val="center"/>
              <w:ind w:left="360"/>
              <w:spacing w:after="0" w:line="133" w:lineRule="exact"/>
              <w:rPr>
                <w:sz w:val="20"/>
                <w:szCs w:val="20"/>
                <w:color w:val="auto"/>
              </w:rPr>
            </w:pPr>
            <w:r>
              <w:rPr>
                <w:rFonts w:ascii="Arial" w:cs="Arial" w:eastAsia="Arial" w:hAnsi="Arial"/>
                <w:sz w:val="12"/>
                <w:szCs w:val="12"/>
                <w:b w:val="1"/>
                <w:bCs w:val="1"/>
                <w:color w:val="auto"/>
                <w:w w:val="91"/>
              </w:rPr>
              <w:t>S/(000)</w:t>
            </w: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rate risk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9,274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80" w:type="dxa"/>
            <w:vAlign w:val="bottom"/>
            <w:gridSpan w:val="2"/>
          </w:tcPr>
          <w:p>
            <w:pPr>
              <w:spacing w:after="0"/>
              <w:rPr>
                <w:sz w:val="20"/>
                <w:szCs w:val="20"/>
                <w:color w:val="auto"/>
              </w:rPr>
            </w:pPr>
            <w:r>
              <w:rPr>
                <w:rFonts w:ascii="Arial" w:cs="Arial" w:eastAsia="Arial" w:hAnsi="Arial"/>
                <w:sz w:val="12"/>
                <w:szCs w:val="12"/>
                <w:color w:val="auto"/>
              </w:rPr>
              <w:t>Price risk</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7,809</w:t>
            </w: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Volatility risk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40" w:type="dxa"/>
            <w:vAlign w:val="bottom"/>
          </w:tcPr>
          <w:p>
            <w:pPr>
              <w:spacing w:after="0"/>
              <w:rPr>
                <w:sz w:val="20"/>
                <w:szCs w:val="20"/>
                <w:color w:val="auto"/>
              </w:rPr>
            </w:pPr>
            <w:r>
              <w:rPr>
                <w:rFonts w:ascii="Arial" w:cs="Arial" w:eastAsia="Arial" w:hAnsi="Arial"/>
                <w:sz w:val="12"/>
                <w:szCs w:val="12"/>
                <w:color w:val="auto"/>
              </w:rPr>
              <w:t>Diversification effect</w:t>
            </w:r>
          </w:p>
        </w:tc>
        <w:tc>
          <w:tcPr>
            <w:tcW w:w="9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(6,245)</w:t>
            </w: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Consolidated VaR by type of risk</w:t>
            </w: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11,301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72"/>
        <w:spacing w:after="0"/>
        <w:rPr>
          <w:sz w:val="20"/>
          <w:szCs w:val="20"/>
          <w:color w:val="auto"/>
        </w:rPr>
      </w:pPr>
      <w:r>
        <w:rPr>
          <w:rFonts w:ascii="Arial" w:cs="Arial" w:eastAsia="Arial" w:hAnsi="Arial"/>
          <w:sz w:val="12"/>
          <w:szCs w:val="12"/>
          <w:color w:val="auto"/>
        </w:rPr>
        <w:t>In VaR calculation, financial instruments from the trading book were taken.</w:t>
      </w:r>
    </w:p>
    <w:p>
      <w:pPr>
        <w:spacing w:after="0" w:line="150" w:lineRule="exact"/>
        <w:rPr>
          <w:sz w:val="20"/>
          <w:szCs w:val="20"/>
          <w:color w:val="auto"/>
        </w:rPr>
      </w:pPr>
    </w:p>
    <w:p>
      <w:pPr>
        <w:ind w:left="372" w:right="360"/>
        <w:spacing w:after="0" w:line="276" w:lineRule="auto"/>
        <w:rPr>
          <w:sz w:val="20"/>
          <w:szCs w:val="20"/>
          <w:color w:val="auto"/>
        </w:rPr>
      </w:pPr>
      <w:r>
        <w:rPr>
          <w:rFonts w:ascii="Arial" w:cs="Arial" w:eastAsia="Arial" w:hAnsi="Arial"/>
          <w:sz w:val="12"/>
          <w:szCs w:val="12"/>
          <w:color w:val="auto"/>
        </w:rPr>
        <w:t>On the other hand, the instruments recorded as fair values through profit or loss are not part of the selling business model and are considered as part of the sensitivity analysis of rates in the next section. See the chart of sensitivity of earnings at risk, net economic value and price sensitivity.</w:t>
      </w:r>
    </w:p>
    <w:p>
      <w:pPr>
        <w:spacing w:after="0" w:line="115" w:lineRule="exact"/>
        <w:rPr>
          <w:sz w:val="20"/>
          <w:szCs w:val="20"/>
          <w:color w:val="auto"/>
        </w:rPr>
      </w:pPr>
    </w:p>
    <w:p>
      <w:pPr>
        <w:ind w:left="212" w:hanging="212"/>
        <w:spacing w:after="0"/>
        <w:tabs>
          <w:tab w:leader="none" w:pos="212" w:val="left"/>
        </w:tabs>
        <w:numPr>
          <w:ilvl w:val="0"/>
          <w:numId w:val="185"/>
        </w:numPr>
        <w:rPr>
          <w:rFonts w:ascii="Arial" w:cs="Arial" w:eastAsia="Arial" w:hAnsi="Arial"/>
          <w:sz w:val="12"/>
          <w:szCs w:val="12"/>
          <w:color w:val="auto"/>
        </w:rPr>
      </w:pPr>
      <w:r>
        <w:rPr>
          <w:rFonts w:ascii="Arial" w:cs="Arial" w:eastAsia="Arial" w:hAnsi="Arial"/>
          <w:sz w:val="12"/>
          <w:szCs w:val="12"/>
          <w:color w:val="auto"/>
        </w:rPr>
        <w:t>Banking Book -</w:t>
      </w:r>
    </w:p>
    <w:p>
      <w:pPr>
        <w:spacing w:after="0" w:line="150" w:lineRule="exact"/>
        <w:rPr>
          <w:rFonts w:ascii="Arial" w:cs="Arial" w:eastAsia="Arial" w:hAnsi="Arial"/>
          <w:sz w:val="12"/>
          <w:szCs w:val="12"/>
          <w:color w:val="auto"/>
        </w:rPr>
      </w:pPr>
    </w:p>
    <w:p>
      <w:pPr>
        <w:ind w:left="212"/>
        <w:spacing w:after="0" w:line="276" w:lineRule="auto"/>
        <w:rPr>
          <w:rFonts w:ascii="Arial" w:cs="Arial" w:eastAsia="Arial" w:hAnsi="Arial"/>
          <w:sz w:val="12"/>
          <w:szCs w:val="12"/>
          <w:color w:val="auto"/>
        </w:rPr>
      </w:pPr>
      <w:r>
        <w:rPr>
          <w:rFonts w:ascii="Arial" w:cs="Arial" w:eastAsia="Arial" w:hAnsi="Arial"/>
          <w:sz w:val="12"/>
          <w:szCs w:val="12"/>
          <w:color w:val="auto"/>
        </w:rPr>
        <w:t>Non-trading portfolios which comprise the Banking Book are exposed to different risks, given that they are sensitive to market rate movements, which could bring about a deterioration in the value of assets compared to liabilities and hence to a reduction of their net worth.</w:t>
      </w:r>
    </w:p>
    <w:p>
      <w:pPr>
        <w:spacing w:after="0" w:line="259" w:lineRule="exact"/>
        <w:rPr>
          <w:rFonts w:ascii="Arial" w:cs="Arial" w:eastAsia="Arial" w:hAnsi="Arial"/>
          <w:sz w:val="12"/>
          <w:szCs w:val="12"/>
          <w:color w:val="auto"/>
        </w:rPr>
      </w:pPr>
    </w:p>
    <w:p>
      <w:pPr>
        <w:ind w:left="5432" w:hanging="62"/>
        <w:spacing w:after="0"/>
        <w:tabs>
          <w:tab w:leader="none" w:pos="5432" w:val="left"/>
        </w:tabs>
        <w:numPr>
          <w:ilvl w:val="1"/>
          <w:numId w:val="185"/>
        </w:numPr>
        <w:rPr>
          <w:rFonts w:ascii="Arial" w:cs="Arial" w:eastAsia="Arial" w:hAnsi="Arial"/>
          <w:sz w:val="12"/>
          <w:szCs w:val="12"/>
          <w:color w:val="auto"/>
        </w:rPr>
      </w:pPr>
      <w:r>
        <w:rPr>
          <w:rFonts w:ascii="Arial" w:cs="Arial" w:eastAsia="Arial" w:hAnsi="Arial"/>
          <w:sz w:val="12"/>
          <w:szCs w:val="12"/>
          <w:color w:val="auto"/>
        </w:rPr>
        <w:t>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92"/>
          </w:cols>
          <w:pgMar w:left="428" w:top="653" w:right="279" w:bottom="1440" w:gutter="0" w:footer="0" w:header="0"/>
        </w:sectPr>
      </w:pPr>
    </w:p>
    <w:bookmarkStart w:id="161" w:name="page162"/>
    <w:bookmarkEnd w:id="161"/>
    <w:p>
      <w:pPr>
        <w:ind w:left="212" w:hanging="212"/>
        <w:spacing w:after="0"/>
        <w:tabs>
          <w:tab w:leader="none" w:pos="212"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Interest rate risk -</w:t>
      </w:r>
    </w:p>
    <w:p>
      <w:pPr>
        <w:spacing w:after="0" w:line="150" w:lineRule="exact"/>
        <w:rPr>
          <w:rFonts w:ascii="Arial" w:cs="Arial" w:eastAsia="Arial" w:hAnsi="Arial"/>
          <w:sz w:val="12"/>
          <w:szCs w:val="12"/>
          <w:color w:val="auto"/>
        </w:rPr>
      </w:pPr>
    </w:p>
    <w:p>
      <w:pPr>
        <w:ind w:left="212"/>
        <w:spacing w:after="0" w:line="276" w:lineRule="auto"/>
        <w:rPr>
          <w:rFonts w:ascii="Arial" w:cs="Arial" w:eastAsia="Arial" w:hAnsi="Arial"/>
          <w:sz w:val="12"/>
          <w:szCs w:val="12"/>
          <w:color w:val="auto"/>
        </w:rPr>
      </w:pPr>
      <w:r>
        <w:rPr>
          <w:rFonts w:ascii="Arial" w:cs="Arial" w:eastAsia="Arial" w:hAnsi="Arial"/>
          <w:sz w:val="12"/>
          <w:szCs w:val="12"/>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14"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The Risk Committee sets the guidelines regarding the level of unmatched repricing of interest rates that can be tolerated, which is periodically monitored through ALCO.</w:t>
      </w:r>
    </w:p>
    <w:p>
      <w:pPr>
        <w:spacing w:after="0" w:line="150" w:lineRule="exact"/>
        <w:rPr>
          <w:rFonts w:ascii="Arial" w:cs="Arial" w:eastAsia="Arial" w:hAnsi="Arial"/>
          <w:sz w:val="12"/>
          <w:szCs w:val="12"/>
          <w:color w:val="auto"/>
        </w:rPr>
      </w:pPr>
    </w:p>
    <w:p>
      <w:pPr>
        <w:ind w:left="212" w:right="340"/>
        <w:spacing w:after="0" w:line="276" w:lineRule="auto"/>
        <w:rPr>
          <w:rFonts w:ascii="Arial" w:cs="Arial" w:eastAsia="Arial" w:hAnsi="Arial"/>
          <w:sz w:val="12"/>
          <w:szCs w:val="12"/>
          <w:color w:val="auto"/>
        </w:rPr>
      </w:pPr>
      <w:r>
        <w:rPr>
          <w:rFonts w:ascii="Arial" w:cs="Arial" w:eastAsia="Arial" w:hAnsi="Arial"/>
          <w:sz w:val="12"/>
          <w:szCs w:val="12"/>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14" w:lineRule="exact"/>
        <w:rPr>
          <w:rFonts w:ascii="Arial" w:cs="Arial" w:eastAsia="Arial" w:hAnsi="Arial"/>
          <w:sz w:val="12"/>
          <w:szCs w:val="12"/>
          <w:color w:val="auto"/>
        </w:rPr>
      </w:pPr>
    </w:p>
    <w:p>
      <w:pPr>
        <w:ind w:left="212" w:right="60"/>
        <w:spacing w:after="0" w:line="263" w:lineRule="auto"/>
        <w:rPr>
          <w:rFonts w:ascii="Arial" w:cs="Arial" w:eastAsia="Arial" w:hAnsi="Arial"/>
          <w:sz w:val="12"/>
          <w:szCs w:val="12"/>
          <w:color w:val="auto"/>
        </w:rPr>
      </w:pPr>
      <w:r>
        <w:rPr>
          <w:rFonts w:ascii="Arial" w:cs="Arial" w:eastAsia="Arial" w:hAnsi="Arial"/>
          <w:sz w:val="12"/>
          <w:szCs w:val="12"/>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by performing a repricing gap analysis, sensitivity analysis of the financial margin (GER) and sensitivity analysis of the net economic value (VEN). These calculations consider different rate shocks in stress scenarios.</w:t>
      </w:r>
    </w:p>
    <w:p>
      <w:pPr>
        <w:spacing w:after="0" w:line="122"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2"/>
          <w:szCs w:val="12"/>
          <w:color w:val="auto"/>
        </w:rPr>
        <w:t>Analysis of repricing gap -</w:t>
      </w:r>
    </w:p>
    <w:p>
      <w:pPr>
        <w:spacing w:after="0" w:line="150" w:lineRule="exact"/>
        <w:rPr>
          <w:rFonts w:ascii="Arial" w:cs="Arial" w:eastAsia="Arial" w:hAnsi="Arial"/>
          <w:sz w:val="12"/>
          <w:szCs w:val="12"/>
          <w:color w:val="auto"/>
        </w:rPr>
      </w:pPr>
    </w:p>
    <w:p>
      <w:pPr>
        <w:ind w:left="212" w:right="100"/>
        <w:spacing w:after="0" w:line="276" w:lineRule="auto"/>
        <w:rPr>
          <w:rFonts w:ascii="Arial" w:cs="Arial" w:eastAsia="Arial" w:hAnsi="Arial"/>
          <w:sz w:val="12"/>
          <w:szCs w:val="12"/>
          <w:color w:val="auto"/>
        </w:rPr>
      </w:pPr>
      <w:r>
        <w:rPr>
          <w:rFonts w:ascii="Arial" w:cs="Arial" w:eastAsia="Arial" w:hAnsi="Arial"/>
          <w:sz w:val="12"/>
          <w:szCs w:val="12"/>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259" w:lineRule="exact"/>
        <w:rPr>
          <w:rFonts w:ascii="Arial" w:cs="Arial" w:eastAsia="Arial" w:hAnsi="Arial"/>
          <w:sz w:val="12"/>
          <w:szCs w:val="12"/>
          <w:color w:val="auto"/>
        </w:rPr>
      </w:pPr>
    </w:p>
    <w:p>
      <w:pPr>
        <w:ind w:left="5432" w:hanging="62"/>
        <w:spacing w:after="0"/>
        <w:tabs>
          <w:tab w:leader="none" w:pos="5432" w:val="left"/>
        </w:tabs>
        <w:numPr>
          <w:ilvl w:val="1"/>
          <w:numId w:val="186"/>
        </w:numPr>
        <w:rPr>
          <w:rFonts w:ascii="Arial" w:cs="Arial" w:eastAsia="Arial" w:hAnsi="Arial"/>
          <w:sz w:val="12"/>
          <w:szCs w:val="12"/>
          <w:color w:val="auto"/>
        </w:rPr>
      </w:pPr>
      <w:r>
        <w:rPr>
          <w:rFonts w:ascii="Arial" w:cs="Arial" w:eastAsia="Arial" w:hAnsi="Arial"/>
          <w:sz w:val="12"/>
          <w:szCs w:val="12"/>
          <w:color w:val="auto"/>
        </w:rPr>
        <w:t>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7292340" cy="571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12"/>
          </w:cols>
          <w:pgMar w:left="428" w:top="653" w:right="259" w:bottom="1440" w:gutter="0" w:footer="0" w:header="0"/>
        </w:sectPr>
      </w:pPr>
    </w:p>
    <w:bookmarkStart w:id="162" w:name="page163"/>
    <w:bookmarkEnd w:id="162"/>
    <w:p>
      <w:pPr>
        <w:ind w:left="2"/>
        <w:spacing w:after="0"/>
        <w:rPr>
          <w:sz w:val="20"/>
          <w:szCs w:val="20"/>
          <w:color w:val="auto"/>
        </w:rPr>
      </w:pPr>
      <w:r>
        <w:rPr>
          <w:rFonts w:ascii="Arial" w:cs="Arial" w:eastAsia="Arial" w:hAnsi="Arial"/>
          <w:sz w:val="10"/>
          <w:szCs w:val="10"/>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75"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w w:val="87"/>
              </w:rPr>
              <w:t>At December 31, 2019</w:t>
            </w: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4660" w:type="dxa"/>
            <w:vAlign w:val="bottom"/>
          </w:tcPr>
          <w:p>
            <w:pPr>
              <w:spacing w:after="0"/>
              <w:rPr>
                <w:sz w:val="7"/>
                <w:szCs w:val="7"/>
                <w:color w:val="auto"/>
              </w:rPr>
            </w:pPr>
          </w:p>
        </w:tc>
        <w:tc>
          <w:tcPr>
            <w:tcW w:w="840" w:type="dxa"/>
            <w:vAlign w:val="bottom"/>
            <w:gridSpan w:val="2"/>
          </w:tcPr>
          <w:p>
            <w:pPr>
              <w:jc w:val="center"/>
              <w:ind w:right="214"/>
              <w:spacing w:after="0" w:line="83" w:lineRule="exact"/>
              <w:rPr>
                <w:sz w:val="20"/>
                <w:szCs w:val="20"/>
                <w:color w:val="auto"/>
              </w:rPr>
            </w:pPr>
            <w:r>
              <w:rPr>
                <w:rFonts w:ascii="Arial" w:cs="Arial" w:eastAsia="Arial" w:hAnsi="Arial"/>
                <w:sz w:val="8"/>
                <w:szCs w:val="8"/>
                <w:b w:val="1"/>
                <w:bCs w:val="1"/>
                <w:color w:val="auto"/>
              </w:rPr>
              <w:t>Up to 1</w:t>
            </w:r>
          </w:p>
        </w:tc>
        <w:tc>
          <w:tcPr>
            <w:tcW w:w="860" w:type="dxa"/>
            <w:vAlign w:val="bottom"/>
            <w:gridSpan w:val="2"/>
          </w:tcPr>
          <w:p>
            <w:pPr>
              <w:jc w:val="center"/>
              <w:ind w:right="200"/>
              <w:spacing w:after="0" w:line="83" w:lineRule="exact"/>
              <w:rPr>
                <w:sz w:val="20"/>
                <w:szCs w:val="20"/>
                <w:color w:val="auto"/>
              </w:rPr>
            </w:pPr>
            <w:r>
              <w:rPr>
                <w:rFonts w:ascii="Arial" w:cs="Arial" w:eastAsia="Arial" w:hAnsi="Arial"/>
                <w:sz w:val="8"/>
                <w:szCs w:val="8"/>
                <w:b w:val="1"/>
                <w:bCs w:val="1"/>
                <w:color w:val="auto"/>
              </w:rPr>
              <w:t>1 to 3</w:t>
            </w:r>
          </w:p>
        </w:tc>
        <w:tc>
          <w:tcPr>
            <w:tcW w:w="840" w:type="dxa"/>
            <w:vAlign w:val="bottom"/>
            <w:gridSpan w:val="2"/>
          </w:tcPr>
          <w:p>
            <w:pPr>
              <w:jc w:val="center"/>
              <w:ind w:right="172"/>
              <w:spacing w:after="0" w:line="83" w:lineRule="exact"/>
              <w:rPr>
                <w:sz w:val="20"/>
                <w:szCs w:val="20"/>
                <w:color w:val="auto"/>
              </w:rPr>
            </w:pPr>
            <w:r>
              <w:rPr>
                <w:rFonts w:ascii="Arial" w:cs="Arial" w:eastAsia="Arial" w:hAnsi="Arial"/>
                <w:sz w:val="8"/>
                <w:szCs w:val="8"/>
                <w:b w:val="1"/>
                <w:bCs w:val="1"/>
                <w:color w:val="auto"/>
              </w:rPr>
              <w:t>3 to 12</w:t>
            </w:r>
          </w:p>
        </w:tc>
        <w:tc>
          <w:tcPr>
            <w:tcW w:w="800" w:type="dxa"/>
            <w:vAlign w:val="bottom"/>
            <w:gridSpan w:val="2"/>
          </w:tcPr>
          <w:p>
            <w:pPr>
              <w:jc w:val="center"/>
              <w:ind w:right="200"/>
              <w:spacing w:after="0" w:line="83" w:lineRule="exact"/>
              <w:rPr>
                <w:sz w:val="20"/>
                <w:szCs w:val="20"/>
                <w:color w:val="auto"/>
              </w:rPr>
            </w:pPr>
            <w:r>
              <w:rPr>
                <w:rFonts w:ascii="Arial" w:cs="Arial" w:eastAsia="Arial" w:hAnsi="Arial"/>
                <w:sz w:val="8"/>
                <w:szCs w:val="8"/>
                <w:b w:val="1"/>
                <w:bCs w:val="1"/>
                <w:color w:val="auto"/>
              </w:rPr>
              <w:t>1 to 5</w:t>
            </w:r>
          </w:p>
        </w:tc>
        <w:tc>
          <w:tcPr>
            <w:tcW w:w="820" w:type="dxa"/>
            <w:vAlign w:val="bottom"/>
            <w:gridSpan w:val="2"/>
          </w:tcPr>
          <w:p>
            <w:pPr>
              <w:jc w:val="center"/>
              <w:ind w:right="200"/>
              <w:spacing w:after="0" w:line="83" w:lineRule="exact"/>
              <w:rPr>
                <w:sz w:val="20"/>
                <w:szCs w:val="20"/>
                <w:color w:val="auto"/>
              </w:rPr>
            </w:pPr>
            <w:r>
              <w:rPr>
                <w:rFonts w:ascii="Arial" w:cs="Arial" w:eastAsia="Arial" w:hAnsi="Arial"/>
                <w:sz w:val="8"/>
                <w:szCs w:val="8"/>
                <w:b w:val="1"/>
                <w:bCs w:val="1"/>
                <w:color w:val="auto"/>
              </w:rPr>
              <w:t>More than</w:t>
            </w:r>
          </w:p>
        </w:tc>
        <w:tc>
          <w:tcPr>
            <w:tcW w:w="800" w:type="dxa"/>
            <w:vAlign w:val="bottom"/>
            <w:gridSpan w:val="2"/>
          </w:tcPr>
          <w:p>
            <w:pPr>
              <w:jc w:val="center"/>
              <w:ind w:right="158"/>
              <w:spacing w:after="0" w:line="83" w:lineRule="exact"/>
              <w:rPr>
                <w:sz w:val="20"/>
                <w:szCs w:val="20"/>
                <w:color w:val="auto"/>
              </w:rPr>
            </w:pPr>
            <w:r>
              <w:rPr>
                <w:rFonts w:ascii="Arial" w:cs="Arial" w:eastAsia="Arial" w:hAnsi="Arial"/>
                <w:sz w:val="8"/>
                <w:szCs w:val="8"/>
                <w:b w:val="1"/>
                <w:bCs w:val="1"/>
                <w:color w:val="auto"/>
              </w:rPr>
              <w:t>Non-interest</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4"/>
        </w:trPr>
        <w:tc>
          <w:tcPr>
            <w:tcW w:w="4660" w:type="dxa"/>
            <w:vAlign w:val="bottom"/>
          </w:tcPr>
          <w:p>
            <w:pPr>
              <w:spacing w:after="0"/>
              <w:rPr>
                <w:sz w:val="9"/>
                <w:szCs w:val="9"/>
                <w:color w:val="auto"/>
              </w:rPr>
            </w:pPr>
          </w:p>
        </w:tc>
        <w:tc>
          <w:tcPr>
            <w:tcW w:w="840" w:type="dxa"/>
            <w:vAlign w:val="bottom"/>
            <w:gridSpan w:val="2"/>
          </w:tcPr>
          <w:p>
            <w:pPr>
              <w:jc w:val="center"/>
              <w:ind w:right="214"/>
              <w:spacing w:after="0" w:line="114" w:lineRule="exact"/>
              <w:rPr>
                <w:sz w:val="20"/>
                <w:szCs w:val="20"/>
                <w:color w:val="auto"/>
              </w:rPr>
            </w:pPr>
            <w:r>
              <w:rPr>
                <w:rFonts w:ascii="Arial" w:cs="Arial" w:eastAsia="Arial" w:hAnsi="Arial"/>
                <w:sz w:val="10"/>
                <w:szCs w:val="10"/>
                <w:b w:val="1"/>
                <w:bCs w:val="1"/>
                <w:color w:val="auto"/>
                <w:w w:val="84"/>
              </w:rPr>
              <w:t>month</w:t>
            </w:r>
          </w:p>
        </w:tc>
        <w:tc>
          <w:tcPr>
            <w:tcW w:w="8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months</w:t>
            </w:r>
          </w:p>
        </w:tc>
        <w:tc>
          <w:tcPr>
            <w:tcW w:w="840" w:type="dxa"/>
            <w:vAlign w:val="bottom"/>
            <w:gridSpan w:val="2"/>
          </w:tcPr>
          <w:p>
            <w:pPr>
              <w:jc w:val="center"/>
              <w:ind w:right="172"/>
              <w:spacing w:after="0" w:line="114" w:lineRule="exact"/>
              <w:rPr>
                <w:sz w:val="20"/>
                <w:szCs w:val="20"/>
                <w:color w:val="auto"/>
              </w:rPr>
            </w:pPr>
            <w:r>
              <w:rPr>
                <w:rFonts w:ascii="Arial" w:cs="Arial" w:eastAsia="Arial" w:hAnsi="Arial"/>
                <w:sz w:val="10"/>
                <w:szCs w:val="10"/>
                <w:b w:val="1"/>
                <w:bCs w:val="1"/>
                <w:color w:val="auto"/>
                <w:w w:val="82"/>
              </w:rPr>
              <w:t>months</w:t>
            </w:r>
          </w:p>
        </w:tc>
        <w:tc>
          <w:tcPr>
            <w:tcW w:w="8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3"/>
              </w:rPr>
              <w:t>years</w:t>
            </w:r>
          </w:p>
        </w:tc>
        <w:tc>
          <w:tcPr>
            <w:tcW w:w="8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5 years</w:t>
            </w:r>
          </w:p>
        </w:tc>
        <w:tc>
          <w:tcPr>
            <w:tcW w:w="800" w:type="dxa"/>
            <w:vAlign w:val="bottom"/>
            <w:gridSpan w:val="2"/>
          </w:tcPr>
          <w:p>
            <w:pPr>
              <w:jc w:val="center"/>
              <w:ind w:right="158"/>
              <w:spacing w:after="0" w:line="114" w:lineRule="exact"/>
              <w:rPr>
                <w:sz w:val="20"/>
                <w:szCs w:val="20"/>
                <w:color w:val="auto"/>
              </w:rPr>
            </w:pPr>
            <w:r>
              <w:rPr>
                <w:rFonts w:ascii="Arial" w:cs="Arial" w:eastAsia="Arial" w:hAnsi="Arial"/>
                <w:sz w:val="10"/>
                <w:szCs w:val="10"/>
                <w:b w:val="1"/>
                <w:bCs w:val="1"/>
                <w:color w:val="auto"/>
                <w:w w:val="88"/>
              </w:rPr>
              <w:t>bearing</w:t>
            </w:r>
          </w:p>
        </w:tc>
        <w:tc>
          <w:tcPr>
            <w:tcW w:w="72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Total</w:t>
            </w:r>
          </w:p>
        </w:tc>
      </w:tr>
      <w:tr>
        <w:trPr>
          <w:trHeight w:val="88"/>
        </w:trPr>
        <w:tc>
          <w:tcPr>
            <w:tcW w:w="466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0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Assets</w:t>
            </w: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Cash and cash collateral, reverse repurchase agreements and securities borrowing</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12,702,384</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1,841,425</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3,683,141</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5,351,933</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125,088</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6,571,315</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30,275,286</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Investments</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1,462,956</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1,346,028</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7,786,732</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5,876,624</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12,628,641</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578,788</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29,679,769</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Loans, net</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14,595,317</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17,107,120</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28,291,817</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35,086,667</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15,737,689</w:t>
            </w:r>
          </w:p>
        </w:tc>
        <w:tc>
          <w:tcPr>
            <w:tcW w:w="200" w:type="dxa"/>
            <w:vAlign w:val="bottom"/>
          </w:tcPr>
          <w:p>
            <w:pPr>
              <w:spacing w:after="0"/>
              <w:rPr>
                <w:sz w:val="8"/>
                <w:szCs w:val="8"/>
                <w:color w:val="auto"/>
              </w:rPr>
            </w:pPr>
          </w:p>
        </w:tc>
        <w:tc>
          <w:tcPr>
            <w:tcW w:w="80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(332,893)</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110,485,717</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Financial assets designated at fair value through profit or loss</w:t>
            </w:r>
          </w:p>
        </w:tc>
        <w:tc>
          <w:tcPr>
            <w:tcW w:w="84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620,544</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620,544</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Premiums and other policies receivable</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802,558</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22,866</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8,496</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4,811</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838,731</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Accounts receivable from reinsurers and coinsurers</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734</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120,600</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668,551</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1,348</w:t>
            </w: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471</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791,704</w:t>
            </w:r>
          </w:p>
        </w:tc>
      </w:tr>
      <w:tr>
        <w:trPr>
          <w:trHeight w:val="108"/>
        </w:trPr>
        <w:tc>
          <w:tcPr>
            <w:tcW w:w="4660" w:type="dxa"/>
            <w:vAlign w:val="bottom"/>
          </w:tcPr>
          <w:p>
            <w:pPr>
              <w:spacing w:after="0" w:line="108" w:lineRule="exact"/>
              <w:rPr>
                <w:sz w:val="20"/>
                <w:szCs w:val="20"/>
                <w:color w:val="auto"/>
              </w:rPr>
            </w:pPr>
            <w:r>
              <w:rPr>
                <w:rFonts w:ascii="Arial" w:cs="Arial" w:eastAsia="Arial" w:hAnsi="Arial"/>
                <w:sz w:val="10"/>
                <w:szCs w:val="10"/>
                <w:color w:val="auto"/>
              </w:rPr>
              <w:t>Other assets (*)</w:t>
            </w:r>
          </w:p>
        </w:tc>
        <w:tc>
          <w:tcPr>
            <w:tcW w:w="84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273,338</w:t>
            </w: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38,841</w:t>
            </w:r>
          </w:p>
        </w:tc>
        <w:tc>
          <w:tcPr>
            <w:tcW w:w="840" w:type="dxa"/>
            <w:vAlign w:val="bottom"/>
            <w:gridSpan w:val="2"/>
          </w:tcPr>
          <w:p>
            <w:pPr>
              <w:jc w:val="right"/>
              <w:ind w:right="172"/>
              <w:spacing w:after="0" w:line="108" w:lineRule="exact"/>
              <w:rPr>
                <w:sz w:val="20"/>
                <w:szCs w:val="20"/>
                <w:color w:val="auto"/>
              </w:rPr>
            </w:pPr>
            <w:r>
              <w:rPr>
                <w:rFonts w:ascii="Arial" w:cs="Arial" w:eastAsia="Arial" w:hAnsi="Arial"/>
                <w:sz w:val="10"/>
                <w:szCs w:val="10"/>
                <w:color w:val="auto"/>
              </w:rPr>
              <w:t>8</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2,023,067</w:t>
            </w:r>
          </w:p>
        </w:tc>
        <w:tc>
          <w:tcPr>
            <w:tcW w:w="20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2,335,254</w:t>
            </w:r>
          </w:p>
        </w:tc>
      </w:tr>
      <w:tr>
        <w:trPr>
          <w:trHeight w:val="88"/>
        </w:trPr>
        <w:tc>
          <w:tcPr>
            <w:tcW w:w="46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assets</w:t>
            </w: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29,837,287</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20,476,880</w:t>
            </w: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40,438,745</w:t>
            </w:r>
          </w:p>
        </w:tc>
        <w:tc>
          <w:tcPr>
            <w:tcW w:w="2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46,321,383</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28,491,889</w:t>
            </w:r>
          </w:p>
        </w:tc>
        <w:tc>
          <w:tcPr>
            <w:tcW w:w="20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9,460,821</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175,027,005</w:t>
            </w:r>
          </w:p>
        </w:tc>
        <w:tc>
          <w:tcPr>
            <w:tcW w:w="100" w:type="dxa"/>
            <w:vAlign w:val="bottom"/>
            <w:tcBorders>
              <w:top w:val="single" w:sz="8" w:color="CCEEFF"/>
            </w:tcBorders>
            <w:shd w:val="clear" w:color="auto" w:fill="CCEEFF"/>
          </w:tcPr>
          <w:p>
            <w:pPr>
              <w:spacing w:after="0"/>
              <w:rPr>
                <w:sz w:val="7"/>
                <w:szCs w:val="7"/>
                <w:color w:val="auto"/>
              </w:rPr>
            </w:pPr>
          </w:p>
        </w:tc>
      </w:tr>
      <w:tr>
        <w:trPr>
          <w:trHeight w:val="88"/>
        </w:trPr>
        <w:tc>
          <w:tcPr>
            <w:tcW w:w="4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Liabilities</w:t>
            </w: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Deposits and obligations</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29,478,976</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9,711,623</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19,010,084</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43,285,525</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7,339,092</w:t>
            </w:r>
          </w:p>
        </w:tc>
        <w:tc>
          <w:tcPr>
            <w:tcW w:w="20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3,180,085</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112,005,385</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Payables from repurchase agreements and securities lending</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3,742,155</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3,269,341</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4,969,337</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1,784,133</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2,528,985</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225,797</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16,519,748</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Accounts payable to reinsurers and coinsurers</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46,144</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133,864</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25,838</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10,888</w:t>
            </w: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216,734</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Technical reserves for claims and insurance premiums</w:t>
            </w:r>
          </w:p>
        </w:tc>
        <w:tc>
          <w:tcPr>
            <w:tcW w:w="84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266,556</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703,337</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1,166,055</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2,703,092</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5,056,900</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54,293</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9,950,233</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Financial liabilities at fair value through profit or loss</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493,700</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493,700</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Bonds and Notes issued</w:t>
            </w:r>
          </w:p>
        </w:tc>
        <w:tc>
          <w:tcPr>
            <w:tcW w:w="84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180,311</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252,316</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1,683,166</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10,060,986</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2,753,679</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15,905</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14,946,363</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Other liabilities (**)</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437,529</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361,087</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3,765</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3,008,995</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3,811,376</w:t>
            </w:r>
          </w:p>
        </w:tc>
      </w:tr>
      <w:tr>
        <w:trPr>
          <w:trHeight w:val="108"/>
        </w:trPr>
        <w:tc>
          <w:tcPr>
            <w:tcW w:w="4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w:t>
            </w:r>
          </w:p>
        </w:tc>
        <w:tc>
          <w:tcPr>
            <w:tcW w:w="840" w:type="dxa"/>
            <w:vAlign w:val="bottom"/>
            <w:gridSpan w:val="2"/>
            <w:shd w:val="clear" w:color="auto" w:fill="CCEEFF"/>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26,746,310</w:t>
            </w:r>
          </w:p>
        </w:tc>
        <w:tc>
          <w:tcPr>
            <w:tcW w:w="2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26,746,310</w:t>
            </w:r>
          </w:p>
        </w:tc>
      </w:tr>
      <w:tr>
        <w:trPr>
          <w:trHeight w:val="88"/>
        </w:trPr>
        <w:tc>
          <w:tcPr>
            <w:tcW w:w="46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Total liabilities and equity</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34,151,671</w:t>
            </w:r>
          </w:p>
        </w:tc>
        <w:tc>
          <w:tcPr>
            <w:tcW w:w="20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14,431,568</w:t>
            </w:r>
          </w:p>
        </w:tc>
        <w:tc>
          <w:tcPr>
            <w:tcW w:w="22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26,858,245</w:t>
            </w:r>
          </w:p>
        </w:tc>
        <w:tc>
          <w:tcPr>
            <w:tcW w:w="220" w:type="dxa"/>
            <w:vAlign w:val="bottom"/>
            <w:tcBorders>
              <w:bottom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57,844,624</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17,678,656</w:t>
            </w:r>
          </w:p>
        </w:tc>
        <w:tc>
          <w:tcPr>
            <w:tcW w:w="200" w:type="dxa"/>
            <w:vAlign w:val="bottom"/>
            <w:tcBorders>
              <w:bottom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33,725,085</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184,689,849</w:t>
            </w:r>
          </w:p>
        </w:tc>
        <w:tc>
          <w:tcPr>
            <w:tcW w:w="100" w:type="dxa"/>
            <w:vAlign w:val="bottom"/>
            <w:tcBorders>
              <w:bottom w:val="single" w:sz="8" w:color="CCEEFF"/>
            </w:tcBorders>
          </w:tcPr>
          <w:p>
            <w:pPr>
              <w:spacing w:after="0"/>
              <w:rPr>
                <w:sz w:val="7"/>
                <w:szCs w:val="7"/>
                <w:color w:val="auto"/>
              </w:rPr>
            </w:pPr>
          </w:p>
        </w:tc>
      </w:tr>
      <w:tr>
        <w:trPr>
          <w:trHeight w:val="88"/>
        </w:trPr>
        <w:tc>
          <w:tcPr>
            <w:tcW w:w="4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b w:val="1"/>
                <w:bCs w:val="1"/>
                <w:color w:val="auto"/>
              </w:rPr>
              <w:t>Off-balance-sheet accounts</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Derivative financial assets</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2,806,693</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2,849,046</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454,349</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272,223</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165,700</w:t>
            </w: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6,548,011</w:t>
            </w:r>
          </w:p>
        </w:tc>
      </w:tr>
      <w:tr>
        <w:trPr>
          <w:trHeight w:val="108"/>
        </w:trPr>
        <w:tc>
          <w:tcPr>
            <w:tcW w:w="4660" w:type="dxa"/>
            <w:vAlign w:val="bottom"/>
          </w:tcPr>
          <w:p>
            <w:pPr>
              <w:spacing w:after="0" w:line="108" w:lineRule="exact"/>
              <w:rPr>
                <w:sz w:val="20"/>
                <w:szCs w:val="20"/>
                <w:color w:val="auto"/>
              </w:rPr>
            </w:pPr>
            <w:r>
              <w:rPr>
                <w:rFonts w:ascii="Arial" w:cs="Arial" w:eastAsia="Arial" w:hAnsi="Arial"/>
                <w:sz w:val="10"/>
                <w:szCs w:val="10"/>
                <w:color w:val="auto"/>
              </w:rPr>
              <w:t>Derivative financial liabilities</w:t>
            </w:r>
          </w:p>
        </w:tc>
        <w:tc>
          <w:tcPr>
            <w:tcW w:w="84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323,360</w:t>
            </w: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821,872</w:t>
            </w:r>
          </w:p>
        </w:tc>
        <w:tc>
          <w:tcPr>
            <w:tcW w:w="840" w:type="dxa"/>
            <w:vAlign w:val="bottom"/>
            <w:gridSpan w:val="2"/>
          </w:tcPr>
          <w:p>
            <w:pPr>
              <w:jc w:val="right"/>
              <w:ind w:right="172"/>
              <w:spacing w:after="0" w:line="108" w:lineRule="exact"/>
              <w:rPr>
                <w:sz w:val="20"/>
                <w:szCs w:val="20"/>
                <w:color w:val="auto"/>
              </w:rPr>
            </w:pPr>
            <w:r>
              <w:rPr>
                <w:rFonts w:ascii="Arial" w:cs="Arial" w:eastAsia="Arial" w:hAnsi="Arial"/>
                <w:sz w:val="10"/>
                <w:szCs w:val="10"/>
                <w:color w:val="auto"/>
              </w:rPr>
              <w:t>3,798,631</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1,110,774</w:t>
            </w: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406,320</w:t>
            </w:r>
          </w:p>
        </w:tc>
        <w:tc>
          <w:tcPr>
            <w:tcW w:w="80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6,460,957</w:t>
            </w:r>
          </w:p>
        </w:tc>
      </w:tr>
      <w:tr>
        <w:trPr>
          <w:trHeight w:val="88"/>
        </w:trPr>
        <w:tc>
          <w:tcPr>
            <w:tcW w:w="46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2,483,333</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2,027,174</w:t>
            </w: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(3,344,282)</w:t>
            </w:r>
          </w:p>
        </w:tc>
        <w:tc>
          <w:tcPr>
            <w:tcW w:w="2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(838,551)</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(240,620)</w:t>
            </w:r>
          </w:p>
        </w:tc>
        <w:tc>
          <w:tcPr>
            <w:tcW w:w="20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87,054</w:t>
            </w:r>
          </w:p>
        </w:tc>
        <w:tc>
          <w:tcPr>
            <w:tcW w:w="100" w:type="dxa"/>
            <w:vAlign w:val="bottom"/>
            <w:tcBorders>
              <w:top w:val="single" w:sz="8" w:color="CCEEFF"/>
            </w:tcBorders>
            <w:shd w:val="clear" w:color="auto" w:fill="CCEEFF"/>
          </w:tcPr>
          <w:p>
            <w:pPr>
              <w:spacing w:after="0"/>
              <w:rPr>
                <w:sz w:val="7"/>
                <w:szCs w:val="7"/>
                <w:color w:val="auto"/>
              </w:rPr>
            </w:pPr>
          </w:p>
        </w:tc>
      </w:tr>
      <w:tr>
        <w:trPr>
          <w:trHeight w:val="88"/>
        </w:trPr>
        <w:tc>
          <w:tcPr>
            <w:tcW w:w="46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Marginal gap</w:t>
            </w: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(1,831,051)</w:t>
            </w:r>
          </w:p>
        </w:tc>
        <w:tc>
          <w:tcPr>
            <w:tcW w:w="20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8,072,486</w:t>
            </w:r>
          </w:p>
        </w:tc>
        <w:tc>
          <w:tcPr>
            <w:tcW w:w="22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10,236,218</w:t>
            </w:r>
          </w:p>
        </w:tc>
        <w:tc>
          <w:tcPr>
            <w:tcW w:w="2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(12,361,792)</w:t>
            </w:r>
          </w:p>
        </w:tc>
        <w:tc>
          <w:tcPr>
            <w:tcW w:w="2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10,572,613</w:t>
            </w:r>
          </w:p>
        </w:tc>
        <w:tc>
          <w:tcPr>
            <w:tcW w:w="20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(24,264,264)</w:t>
            </w:r>
          </w:p>
        </w:tc>
        <w:tc>
          <w:tcPr>
            <w:tcW w:w="2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(9,575,790)</w:t>
            </w:r>
          </w:p>
        </w:tc>
        <w:tc>
          <w:tcPr>
            <w:tcW w:w="100" w:type="dxa"/>
            <w:vAlign w:val="bottom"/>
            <w:tcBorders>
              <w:bottom w:val="single" w:sz="8" w:color="CCEEFF"/>
            </w:tcBorders>
          </w:tcPr>
          <w:p>
            <w:pPr>
              <w:spacing w:after="0"/>
              <w:rPr>
                <w:sz w:val="7"/>
                <w:szCs w:val="7"/>
                <w:color w:val="auto"/>
              </w:rPr>
            </w:pPr>
          </w:p>
        </w:tc>
      </w:tr>
      <w:tr>
        <w:trPr>
          <w:trHeight w:val="115"/>
        </w:trPr>
        <w:tc>
          <w:tcPr>
            <w:tcW w:w="466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Accumulated gap</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(1,831,051</w:t>
            </w:r>
          </w:p>
        </w:tc>
        <w:tc>
          <w:tcPr>
            <w:tcW w:w="200" w:type="dxa"/>
            <w:vAlign w:val="bottom"/>
            <w:shd w:val="clear" w:color="auto" w:fill="CCEEFF"/>
          </w:tcPr>
          <w:p>
            <w:pPr>
              <w:jc w:val="right"/>
              <w:ind w:right="174"/>
              <w:spacing w:after="0"/>
              <w:rPr>
                <w:sz w:val="20"/>
                <w:szCs w:val="20"/>
                <w:color w:val="auto"/>
              </w:rPr>
            </w:pPr>
            <w:r>
              <w:rPr>
                <w:rFonts w:ascii="Arial" w:cs="Arial" w:eastAsia="Arial" w:hAnsi="Arial"/>
                <w:sz w:val="1"/>
                <w:szCs w:val="1"/>
                <w:color w:val="auto"/>
                <w:w w:val="429496728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6,241,435</w:t>
            </w:r>
          </w:p>
        </w:tc>
        <w:tc>
          <w:tcPr>
            <w:tcW w:w="2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0"/>
                <w:szCs w:val="10"/>
                <w:color w:val="auto"/>
              </w:rPr>
              <w:t>16,477,653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4,115,861</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14,688,474</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(9,575,790</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27"/>
        </w:trPr>
        <w:tc>
          <w:tcPr>
            <w:tcW w:w="46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2" w:right="1520" w:hanging="2"/>
        <w:spacing w:after="0" w:line="276" w:lineRule="auto"/>
        <w:tabs>
          <w:tab w:leader="none" w:pos="202" w:val="left"/>
        </w:tabs>
        <w:numPr>
          <w:ilvl w:val="0"/>
          <w:numId w:val="187"/>
        </w:numPr>
        <w:rPr>
          <w:rFonts w:ascii="Arial" w:cs="Arial" w:eastAsia="Arial" w:hAnsi="Arial"/>
          <w:sz w:val="12"/>
          <w:szCs w:val="12"/>
          <w:color w:val="auto"/>
        </w:rPr>
      </w:pPr>
      <w:r>
        <w:rPr>
          <w:rFonts w:ascii="Arial" w:cs="Arial" w:eastAsia="Arial" w:hAnsi="Arial"/>
          <w:sz w:val="12"/>
          <w:szCs w:val="12"/>
          <w:color w:val="auto"/>
        </w:rPr>
        <w:t>Other assets and other liabilities only include financial accounts. The balances of the year 2018 have been adjusted and confirmed said guidelines in the information disclosed for this report. (**) Includes banker’s acceptances outstanding and other liabilities.</w:t>
      </w:r>
    </w:p>
    <w:p>
      <w:pPr>
        <w:spacing w:after="0" w:line="115" w:lineRule="exact"/>
        <w:rPr>
          <w:sz w:val="20"/>
          <w:szCs w:val="20"/>
          <w:color w:val="auto"/>
        </w:rPr>
      </w:pPr>
    </w:p>
    <w:p>
      <w:pPr>
        <w:ind w:left="2"/>
        <w:spacing w:after="0" w:line="276" w:lineRule="auto"/>
        <w:rPr>
          <w:sz w:val="20"/>
          <w:szCs w:val="20"/>
          <w:color w:val="auto"/>
        </w:rPr>
      </w:pPr>
      <w:r>
        <w:rPr>
          <w:rFonts w:ascii="Arial" w:cs="Arial" w:eastAsia="Arial" w:hAnsi="Arial"/>
          <w:sz w:val="12"/>
          <w:szCs w:val="12"/>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59" w:lineRule="exact"/>
        <w:rPr>
          <w:sz w:val="20"/>
          <w:szCs w:val="20"/>
          <w:color w:val="auto"/>
        </w:rPr>
      </w:pPr>
    </w:p>
    <w:p>
      <w:pPr>
        <w:jc w:val="center"/>
        <w:ind w:right="158"/>
        <w:spacing w:after="0"/>
        <w:rPr>
          <w:sz w:val="20"/>
          <w:szCs w:val="20"/>
          <w:color w:val="auto"/>
        </w:rPr>
      </w:pPr>
      <w:r>
        <w:rPr>
          <w:rFonts w:ascii="Arial" w:cs="Arial" w:eastAsia="Arial" w:hAnsi="Arial"/>
          <w:sz w:val="12"/>
          <w:szCs w:val="12"/>
          <w:color w:val="auto"/>
        </w:rPr>
        <w:t>- 158 -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9525</wp:posOffset>
            </wp:positionV>
            <wp:extent cx="7292340" cy="571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02"/>
          </w:cols>
          <w:pgMar w:left="638" w:top="653" w:right="459" w:bottom="1440" w:gutter="0" w:footer="0" w:header="0"/>
        </w:sectPr>
      </w:pPr>
    </w:p>
    <w:bookmarkStart w:id="163" w:name="page164"/>
    <w:bookmarkEnd w:id="163"/>
    <w:tbl>
      <w:tblPr>
        <w:tblLayout w:type="fixed"/>
        <w:tblInd w:w="2"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w w:val="87"/>
              </w:rPr>
              <w:t>At December 31, 2018</w:t>
            </w: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4660" w:type="dxa"/>
            <w:vAlign w:val="bottom"/>
          </w:tcPr>
          <w:p>
            <w:pPr>
              <w:spacing w:after="0"/>
              <w:rPr>
                <w:sz w:val="7"/>
                <w:szCs w:val="7"/>
                <w:color w:val="auto"/>
              </w:rPr>
            </w:pPr>
          </w:p>
        </w:tc>
        <w:tc>
          <w:tcPr>
            <w:tcW w:w="840" w:type="dxa"/>
            <w:vAlign w:val="bottom"/>
            <w:gridSpan w:val="2"/>
          </w:tcPr>
          <w:p>
            <w:pPr>
              <w:jc w:val="center"/>
              <w:ind w:right="214"/>
              <w:spacing w:after="0" w:line="83" w:lineRule="exact"/>
              <w:rPr>
                <w:sz w:val="20"/>
                <w:szCs w:val="20"/>
                <w:color w:val="auto"/>
              </w:rPr>
            </w:pPr>
            <w:r>
              <w:rPr>
                <w:rFonts w:ascii="Arial" w:cs="Arial" w:eastAsia="Arial" w:hAnsi="Arial"/>
                <w:sz w:val="8"/>
                <w:szCs w:val="8"/>
                <w:b w:val="1"/>
                <w:bCs w:val="1"/>
                <w:color w:val="auto"/>
              </w:rPr>
              <w:t>Up to 1</w:t>
            </w:r>
          </w:p>
        </w:tc>
        <w:tc>
          <w:tcPr>
            <w:tcW w:w="860" w:type="dxa"/>
            <w:vAlign w:val="bottom"/>
            <w:gridSpan w:val="2"/>
          </w:tcPr>
          <w:p>
            <w:pPr>
              <w:jc w:val="center"/>
              <w:ind w:right="200"/>
              <w:spacing w:after="0" w:line="83" w:lineRule="exact"/>
              <w:rPr>
                <w:sz w:val="20"/>
                <w:szCs w:val="20"/>
                <w:color w:val="auto"/>
              </w:rPr>
            </w:pPr>
            <w:r>
              <w:rPr>
                <w:rFonts w:ascii="Arial" w:cs="Arial" w:eastAsia="Arial" w:hAnsi="Arial"/>
                <w:sz w:val="8"/>
                <w:szCs w:val="8"/>
                <w:b w:val="1"/>
                <w:bCs w:val="1"/>
                <w:color w:val="auto"/>
              </w:rPr>
              <w:t>1 to 3</w:t>
            </w:r>
          </w:p>
        </w:tc>
        <w:tc>
          <w:tcPr>
            <w:tcW w:w="840" w:type="dxa"/>
            <w:vAlign w:val="bottom"/>
            <w:gridSpan w:val="2"/>
          </w:tcPr>
          <w:p>
            <w:pPr>
              <w:jc w:val="center"/>
              <w:ind w:right="172"/>
              <w:spacing w:after="0" w:line="83" w:lineRule="exact"/>
              <w:rPr>
                <w:sz w:val="20"/>
                <w:szCs w:val="20"/>
                <w:color w:val="auto"/>
              </w:rPr>
            </w:pPr>
            <w:r>
              <w:rPr>
                <w:rFonts w:ascii="Arial" w:cs="Arial" w:eastAsia="Arial" w:hAnsi="Arial"/>
                <w:sz w:val="8"/>
                <w:szCs w:val="8"/>
                <w:b w:val="1"/>
                <w:bCs w:val="1"/>
                <w:color w:val="auto"/>
              </w:rPr>
              <w:t>3 to 12</w:t>
            </w:r>
          </w:p>
        </w:tc>
        <w:tc>
          <w:tcPr>
            <w:tcW w:w="800" w:type="dxa"/>
            <w:vAlign w:val="bottom"/>
            <w:gridSpan w:val="2"/>
          </w:tcPr>
          <w:p>
            <w:pPr>
              <w:jc w:val="center"/>
              <w:ind w:right="200"/>
              <w:spacing w:after="0" w:line="83" w:lineRule="exact"/>
              <w:rPr>
                <w:sz w:val="20"/>
                <w:szCs w:val="20"/>
                <w:color w:val="auto"/>
              </w:rPr>
            </w:pPr>
            <w:r>
              <w:rPr>
                <w:rFonts w:ascii="Arial" w:cs="Arial" w:eastAsia="Arial" w:hAnsi="Arial"/>
                <w:sz w:val="8"/>
                <w:szCs w:val="8"/>
                <w:b w:val="1"/>
                <w:bCs w:val="1"/>
                <w:color w:val="auto"/>
              </w:rPr>
              <w:t>1 to 5</w:t>
            </w:r>
          </w:p>
        </w:tc>
        <w:tc>
          <w:tcPr>
            <w:tcW w:w="820" w:type="dxa"/>
            <w:vAlign w:val="bottom"/>
            <w:gridSpan w:val="2"/>
          </w:tcPr>
          <w:p>
            <w:pPr>
              <w:jc w:val="right"/>
              <w:ind w:right="300"/>
              <w:spacing w:after="0" w:line="83" w:lineRule="exact"/>
              <w:rPr>
                <w:sz w:val="20"/>
                <w:szCs w:val="20"/>
                <w:color w:val="auto"/>
              </w:rPr>
            </w:pPr>
            <w:r>
              <w:rPr>
                <w:rFonts w:ascii="Arial" w:cs="Arial" w:eastAsia="Arial" w:hAnsi="Arial"/>
                <w:sz w:val="8"/>
                <w:szCs w:val="8"/>
                <w:b w:val="1"/>
                <w:bCs w:val="1"/>
                <w:color w:val="auto"/>
              </w:rPr>
              <w:t>More than</w:t>
            </w:r>
          </w:p>
        </w:tc>
        <w:tc>
          <w:tcPr>
            <w:tcW w:w="800" w:type="dxa"/>
            <w:vAlign w:val="bottom"/>
            <w:gridSpan w:val="2"/>
          </w:tcPr>
          <w:p>
            <w:pPr>
              <w:jc w:val="center"/>
              <w:ind w:right="158"/>
              <w:spacing w:after="0" w:line="83" w:lineRule="exact"/>
              <w:rPr>
                <w:sz w:val="20"/>
                <w:szCs w:val="20"/>
                <w:color w:val="auto"/>
              </w:rPr>
            </w:pPr>
            <w:r>
              <w:rPr>
                <w:rFonts w:ascii="Arial" w:cs="Arial" w:eastAsia="Arial" w:hAnsi="Arial"/>
                <w:sz w:val="8"/>
                <w:szCs w:val="8"/>
                <w:b w:val="1"/>
                <w:bCs w:val="1"/>
                <w:color w:val="auto"/>
              </w:rPr>
              <w:t>Non-interest</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4"/>
        </w:trPr>
        <w:tc>
          <w:tcPr>
            <w:tcW w:w="4660" w:type="dxa"/>
            <w:vAlign w:val="bottom"/>
          </w:tcPr>
          <w:p>
            <w:pPr>
              <w:spacing w:after="0"/>
              <w:rPr>
                <w:sz w:val="9"/>
                <w:szCs w:val="9"/>
                <w:color w:val="auto"/>
              </w:rPr>
            </w:pPr>
          </w:p>
        </w:tc>
        <w:tc>
          <w:tcPr>
            <w:tcW w:w="840" w:type="dxa"/>
            <w:vAlign w:val="bottom"/>
            <w:gridSpan w:val="2"/>
          </w:tcPr>
          <w:p>
            <w:pPr>
              <w:jc w:val="center"/>
              <w:ind w:right="214"/>
              <w:spacing w:after="0" w:line="114" w:lineRule="exact"/>
              <w:rPr>
                <w:sz w:val="20"/>
                <w:szCs w:val="20"/>
                <w:color w:val="auto"/>
              </w:rPr>
            </w:pPr>
            <w:r>
              <w:rPr>
                <w:rFonts w:ascii="Arial" w:cs="Arial" w:eastAsia="Arial" w:hAnsi="Arial"/>
                <w:sz w:val="10"/>
                <w:szCs w:val="10"/>
                <w:b w:val="1"/>
                <w:bCs w:val="1"/>
                <w:color w:val="auto"/>
                <w:w w:val="84"/>
              </w:rPr>
              <w:t>month</w:t>
            </w:r>
          </w:p>
        </w:tc>
        <w:tc>
          <w:tcPr>
            <w:tcW w:w="8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2"/>
              </w:rPr>
              <w:t>months</w:t>
            </w:r>
          </w:p>
        </w:tc>
        <w:tc>
          <w:tcPr>
            <w:tcW w:w="840" w:type="dxa"/>
            <w:vAlign w:val="bottom"/>
            <w:gridSpan w:val="2"/>
          </w:tcPr>
          <w:p>
            <w:pPr>
              <w:jc w:val="center"/>
              <w:ind w:right="172"/>
              <w:spacing w:after="0" w:line="114" w:lineRule="exact"/>
              <w:rPr>
                <w:sz w:val="20"/>
                <w:szCs w:val="20"/>
                <w:color w:val="auto"/>
              </w:rPr>
            </w:pPr>
            <w:r>
              <w:rPr>
                <w:rFonts w:ascii="Arial" w:cs="Arial" w:eastAsia="Arial" w:hAnsi="Arial"/>
                <w:sz w:val="10"/>
                <w:szCs w:val="10"/>
                <w:b w:val="1"/>
                <w:bCs w:val="1"/>
                <w:color w:val="auto"/>
                <w:w w:val="82"/>
              </w:rPr>
              <w:t>months</w:t>
            </w:r>
          </w:p>
        </w:tc>
        <w:tc>
          <w:tcPr>
            <w:tcW w:w="8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3"/>
              </w:rPr>
              <w:t>years</w:t>
            </w:r>
          </w:p>
        </w:tc>
        <w:tc>
          <w:tcPr>
            <w:tcW w:w="82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5 years</w:t>
            </w:r>
          </w:p>
        </w:tc>
        <w:tc>
          <w:tcPr>
            <w:tcW w:w="800" w:type="dxa"/>
            <w:vAlign w:val="bottom"/>
            <w:gridSpan w:val="2"/>
          </w:tcPr>
          <w:p>
            <w:pPr>
              <w:jc w:val="center"/>
              <w:ind w:right="158"/>
              <w:spacing w:after="0" w:line="114" w:lineRule="exact"/>
              <w:rPr>
                <w:sz w:val="20"/>
                <w:szCs w:val="20"/>
                <w:color w:val="auto"/>
              </w:rPr>
            </w:pPr>
            <w:r>
              <w:rPr>
                <w:rFonts w:ascii="Arial" w:cs="Arial" w:eastAsia="Arial" w:hAnsi="Arial"/>
                <w:sz w:val="10"/>
                <w:szCs w:val="10"/>
                <w:b w:val="1"/>
                <w:bCs w:val="1"/>
                <w:color w:val="auto"/>
                <w:w w:val="88"/>
              </w:rPr>
              <w:t>bearing</w:t>
            </w:r>
          </w:p>
        </w:tc>
        <w:tc>
          <w:tcPr>
            <w:tcW w:w="72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Total</w:t>
            </w:r>
          </w:p>
        </w:tc>
      </w:tr>
      <w:tr>
        <w:trPr>
          <w:trHeight w:val="88"/>
        </w:trPr>
        <w:tc>
          <w:tcPr>
            <w:tcW w:w="466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2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1"/>
              </w:rPr>
              <w:t>S/(000)</w:t>
            </w:r>
          </w:p>
        </w:tc>
        <w:tc>
          <w:tcPr>
            <w:tcW w:w="22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right"/>
              <w:ind w:right="15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Assets</w:t>
            </w: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Cash and cash collateral, reverse repurchase agreements and securities borrowing</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8,348,880</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2,192,245</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2,644,313</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4,973,228</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94,925</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7,997,867</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26,251,458</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1,024,895</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4,143,332</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6,231,197</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5,288,235</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12,014,435</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648,579</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29,350,673</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Loans, net</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12,671,779</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17,663,723</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25,826,794</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36,908,775</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13,581,585</w:t>
            </w:r>
          </w:p>
        </w:tc>
        <w:tc>
          <w:tcPr>
            <w:tcW w:w="200" w:type="dxa"/>
            <w:vAlign w:val="bottom"/>
          </w:tcPr>
          <w:p>
            <w:pPr>
              <w:spacing w:after="0"/>
              <w:rPr>
                <w:sz w:val="8"/>
                <w:szCs w:val="8"/>
                <w:color w:val="auto"/>
              </w:rPr>
            </w:pPr>
          </w:p>
        </w:tc>
        <w:tc>
          <w:tcPr>
            <w:tcW w:w="80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(845,658)</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105,806,998</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Financial assets designated at fair value through profit or loss</w:t>
            </w:r>
          </w:p>
        </w:tc>
        <w:tc>
          <w:tcPr>
            <w:tcW w:w="84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521,186</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521,186</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Premiums and other policies receivable</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848,662</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24,303</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9,124</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5,184</w:t>
            </w: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887,273</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Accounts receivable from reinsurers and coinsurers</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89</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106,421</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734,043</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1,104</w:t>
            </w: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386</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842,043</w:t>
            </w:r>
          </w:p>
        </w:tc>
      </w:tr>
      <w:tr>
        <w:trPr>
          <w:trHeight w:val="108"/>
        </w:trPr>
        <w:tc>
          <w:tcPr>
            <w:tcW w:w="4660" w:type="dxa"/>
            <w:vAlign w:val="bottom"/>
          </w:tcPr>
          <w:p>
            <w:pPr>
              <w:spacing w:after="0" w:line="108" w:lineRule="exact"/>
              <w:rPr>
                <w:sz w:val="20"/>
                <w:szCs w:val="20"/>
                <w:color w:val="auto"/>
              </w:rPr>
            </w:pPr>
            <w:r>
              <w:rPr>
                <w:rFonts w:ascii="Arial" w:cs="Arial" w:eastAsia="Arial" w:hAnsi="Arial"/>
                <w:sz w:val="10"/>
                <w:szCs w:val="10"/>
                <w:color w:val="auto"/>
              </w:rPr>
              <w:t>Other assets (*)</w:t>
            </w:r>
          </w:p>
        </w:tc>
        <w:tc>
          <w:tcPr>
            <w:tcW w:w="84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42,057</w:t>
            </w: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46</w:t>
            </w:r>
          </w:p>
        </w:tc>
        <w:tc>
          <w:tcPr>
            <w:tcW w:w="840" w:type="dxa"/>
            <w:vAlign w:val="bottom"/>
            <w:gridSpan w:val="2"/>
          </w:tcPr>
          <w:p>
            <w:pPr>
              <w:jc w:val="right"/>
              <w:ind w:right="172"/>
              <w:spacing w:after="0" w:line="108" w:lineRule="exact"/>
              <w:rPr>
                <w:sz w:val="20"/>
                <w:szCs w:val="20"/>
                <w:color w:val="auto"/>
              </w:rPr>
            </w:pPr>
            <w:r>
              <w:rPr>
                <w:rFonts w:ascii="Arial" w:cs="Arial" w:eastAsia="Arial" w:hAnsi="Arial"/>
                <w:sz w:val="10"/>
                <w:szCs w:val="10"/>
                <w:color w:val="auto"/>
              </w:rPr>
              <w:t>498</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1,735</w:t>
            </w: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(1,763)</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2,408,072</w:t>
            </w:r>
          </w:p>
        </w:tc>
        <w:tc>
          <w:tcPr>
            <w:tcW w:w="20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2,450,645</w:t>
            </w:r>
          </w:p>
        </w:tc>
      </w:tr>
      <w:tr>
        <w:trPr>
          <w:trHeight w:val="88"/>
        </w:trPr>
        <w:tc>
          <w:tcPr>
            <w:tcW w:w="46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assets</w:t>
            </w: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22,936,362</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24,130,070</w:t>
            </w: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35,445,969</w:t>
            </w:r>
          </w:p>
        </w:tc>
        <w:tc>
          <w:tcPr>
            <w:tcW w:w="2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47,178,261</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25,689,568</w:t>
            </w:r>
          </w:p>
        </w:tc>
        <w:tc>
          <w:tcPr>
            <w:tcW w:w="20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10,730,046</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166,110,276</w:t>
            </w:r>
          </w:p>
        </w:tc>
        <w:tc>
          <w:tcPr>
            <w:tcW w:w="100" w:type="dxa"/>
            <w:vAlign w:val="bottom"/>
            <w:tcBorders>
              <w:top w:val="single" w:sz="8" w:color="CCEEFF"/>
            </w:tcBorders>
            <w:shd w:val="clear" w:color="auto" w:fill="CCEEFF"/>
          </w:tcPr>
          <w:p>
            <w:pPr>
              <w:spacing w:after="0"/>
              <w:rPr>
                <w:sz w:val="7"/>
                <w:szCs w:val="7"/>
                <w:color w:val="auto"/>
              </w:rPr>
            </w:pPr>
          </w:p>
        </w:tc>
      </w:tr>
      <w:tr>
        <w:trPr>
          <w:trHeight w:val="88"/>
        </w:trPr>
        <w:tc>
          <w:tcPr>
            <w:tcW w:w="4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Liabilities</w:t>
            </w: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Deposits and obligations</w:t>
            </w:r>
          </w:p>
        </w:tc>
        <w:tc>
          <w:tcPr>
            <w:tcW w:w="640" w:type="dxa"/>
            <w:vAlign w:val="bottom"/>
          </w:tcPr>
          <w:p>
            <w:pPr>
              <w:jc w:val="right"/>
              <w:spacing w:after="0" w:line="99" w:lineRule="exact"/>
              <w:rPr>
                <w:sz w:val="20"/>
                <w:szCs w:val="20"/>
                <w:color w:val="auto"/>
              </w:rPr>
            </w:pPr>
            <w:r>
              <w:rPr>
                <w:rFonts w:ascii="Arial" w:cs="Arial" w:eastAsia="Arial" w:hAnsi="Arial"/>
                <w:sz w:val="10"/>
                <w:szCs w:val="10"/>
                <w:color w:val="auto"/>
              </w:rPr>
              <w:t>27,696,282</w:t>
            </w:r>
          </w:p>
        </w:tc>
        <w:tc>
          <w:tcPr>
            <w:tcW w:w="20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9,545,250</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17,413,186</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39,389,207</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6,724,393</w:t>
            </w:r>
          </w:p>
        </w:tc>
        <w:tc>
          <w:tcPr>
            <w:tcW w:w="20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3,782,992</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104,551,310</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Payables from repurchase agreements and securities lending</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1,825,899</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3,895,312</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5,128,527</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3,811,941</w:t>
            </w: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1,609,500</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1,592,318</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17,863,497</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Accounts payable to reinsurers and coinsurers</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5,504</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281,808</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3,082</w:t>
            </w:r>
          </w:p>
        </w:tc>
        <w:tc>
          <w:tcPr>
            <w:tcW w:w="8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1,299</w:t>
            </w: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291,693</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Technical reserves for claims and insurance premiums</w:t>
            </w:r>
          </w:p>
        </w:tc>
        <w:tc>
          <w:tcPr>
            <w:tcW w:w="84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217,240</w:t>
            </w: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600,927</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1,007,817</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2,327,437</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4,247,236</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52,014</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8,452,671</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Financial liabilities at fair value through profit or loss</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362,310</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362,310</w:t>
            </w: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Bonds and Notes issued</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27</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1,934</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2,499,807</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12,441,149</w:t>
            </w: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445,350</w:t>
            </w: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69,273</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15,457,540</w:t>
            </w: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color w:val="auto"/>
              </w:rPr>
              <w:t>Other liabilities (**)</w:t>
            </w:r>
          </w:p>
        </w:tc>
        <w:tc>
          <w:tcPr>
            <w:tcW w:w="84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175,892</w:t>
            </w:r>
          </w:p>
        </w:tc>
        <w:tc>
          <w:tcPr>
            <w:tcW w:w="86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247,175</w:t>
            </w:r>
          </w:p>
        </w:tc>
        <w:tc>
          <w:tcPr>
            <w:tcW w:w="840" w:type="dxa"/>
            <w:vAlign w:val="bottom"/>
            <w:gridSpan w:val="2"/>
          </w:tcPr>
          <w:p>
            <w:pPr>
              <w:jc w:val="right"/>
              <w:ind w:right="172"/>
              <w:spacing w:after="0" w:line="99" w:lineRule="exact"/>
              <w:rPr>
                <w:sz w:val="20"/>
                <w:szCs w:val="20"/>
                <w:color w:val="auto"/>
              </w:rPr>
            </w:pPr>
            <w:r>
              <w:rPr>
                <w:rFonts w:ascii="Arial" w:cs="Arial" w:eastAsia="Arial" w:hAnsi="Arial"/>
                <w:sz w:val="10"/>
                <w:szCs w:val="10"/>
                <w:color w:val="auto"/>
              </w:rPr>
              <w:t>2,739</w:t>
            </w: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color w:val="auto"/>
              </w:rPr>
              <w:t>2,613,602</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3,039,408</w:t>
            </w:r>
          </w:p>
        </w:tc>
      </w:tr>
      <w:tr>
        <w:trPr>
          <w:trHeight w:val="108"/>
        </w:trPr>
        <w:tc>
          <w:tcPr>
            <w:tcW w:w="4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w:t>
            </w:r>
          </w:p>
        </w:tc>
        <w:tc>
          <w:tcPr>
            <w:tcW w:w="840" w:type="dxa"/>
            <w:vAlign w:val="bottom"/>
            <w:gridSpan w:val="2"/>
            <w:shd w:val="clear" w:color="auto" w:fill="CCEEFF"/>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24,266,076</w:t>
            </w:r>
          </w:p>
        </w:tc>
        <w:tc>
          <w:tcPr>
            <w:tcW w:w="2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24,266,076</w:t>
            </w:r>
          </w:p>
        </w:tc>
      </w:tr>
      <w:tr>
        <w:trPr>
          <w:trHeight w:val="88"/>
        </w:trPr>
        <w:tc>
          <w:tcPr>
            <w:tcW w:w="46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Total liabilities and equity</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29,920,844</w:t>
            </w:r>
          </w:p>
        </w:tc>
        <w:tc>
          <w:tcPr>
            <w:tcW w:w="20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14,572,406</w:t>
            </w:r>
          </w:p>
        </w:tc>
        <w:tc>
          <w:tcPr>
            <w:tcW w:w="22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26,055,158</w:t>
            </w:r>
          </w:p>
        </w:tc>
        <w:tc>
          <w:tcPr>
            <w:tcW w:w="220" w:type="dxa"/>
            <w:vAlign w:val="bottom"/>
            <w:tcBorders>
              <w:bottom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57,971,033</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13,026,479</w:t>
            </w:r>
          </w:p>
        </w:tc>
        <w:tc>
          <w:tcPr>
            <w:tcW w:w="200" w:type="dxa"/>
            <w:vAlign w:val="bottom"/>
            <w:tcBorders>
              <w:bottom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32,738,585</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174,284,505</w:t>
            </w:r>
          </w:p>
        </w:tc>
        <w:tc>
          <w:tcPr>
            <w:tcW w:w="100" w:type="dxa"/>
            <w:vAlign w:val="bottom"/>
            <w:tcBorders>
              <w:bottom w:val="single" w:sz="8" w:color="CCEEFF"/>
            </w:tcBorders>
          </w:tcPr>
          <w:p>
            <w:pPr>
              <w:spacing w:after="0"/>
              <w:rPr>
                <w:sz w:val="7"/>
                <w:szCs w:val="7"/>
                <w:color w:val="auto"/>
              </w:rPr>
            </w:pPr>
          </w:p>
        </w:tc>
      </w:tr>
      <w:tr>
        <w:trPr>
          <w:trHeight w:val="88"/>
        </w:trPr>
        <w:tc>
          <w:tcPr>
            <w:tcW w:w="4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9"/>
        </w:trPr>
        <w:tc>
          <w:tcPr>
            <w:tcW w:w="4660" w:type="dxa"/>
            <w:vAlign w:val="bottom"/>
          </w:tcPr>
          <w:p>
            <w:pPr>
              <w:spacing w:after="0" w:line="99" w:lineRule="exact"/>
              <w:rPr>
                <w:sz w:val="20"/>
                <w:szCs w:val="20"/>
                <w:color w:val="auto"/>
              </w:rPr>
            </w:pPr>
            <w:r>
              <w:rPr>
                <w:rFonts w:ascii="Arial" w:cs="Arial" w:eastAsia="Arial" w:hAnsi="Arial"/>
                <w:sz w:val="10"/>
                <w:szCs w:val="10"/>
                <w:b w:val="1"/>
                <w:bCs w:val="1"/>
                <w:color w:val="auto"/>
              </w:rPr>
              <w:t>Off-balance-sheet accounts</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46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Derivative financial assets</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3,393,623</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2,736,835</w:t>
            </w:r>
          </w:p>
        </w:tc>
        <w:tc>
          <w:tcPr>
            <w:tcW w:w="840" w:type="dxa"/>
            <w:vAlign w:val="bottom"/>
            <w:gridSpan w:val="2"/>
            <w:shd w:val="clear" w:color="auto" w:fill="CCEEFF"/>
          </w:tcPr>
          <w:p>
            <w:pPr>
              <w:jc w:val="right"/>
              <w:ind w:right="172"/>
              <w:spacing w:after="0" w:line="99" w:lineRule="exact"/>
              <w:rPr>
                <w:sz w:val="20"/>
                <w:szCs w:val="20"/>
                <w:color w:val="auto"/>
              </w:rPr>
            </w:pPr>
            <w:r>
              <w:rPr>
                <w:rFonts w:ascii="Arial" w:cs="Arial" w:eastAsia="Arial" w:hAnsi="Arial"/>
                <w:sz w:val="10"/>
                <w:szCs w:val="10"/>
                <w:color w:val="auto"/>
              </w:rPr>
              <w:t>1,204,498</w:t>
            </w:r>
          </w:p>
        </w:tc>
        <w:tc>
          <w:tcPr>
            <w:tcW w:w="8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347,883</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72,826</w:t>
            </w:r>
          </w:p>
        </w:tc>
        <w:tc>
          <w:tcPr>
            <w:tcW w:w="8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7,755,665</w:t>
            </w:r>
          </w:p>
        </w:tc>
      </w:tr>
      <w:tr>
        <w:trPr>
          <w:trHeight w:val="108"/>
        </w:trPr>
        <w:tc>
          <w:tcPr>
            <w:tcW w:w="4660" w:type="dxa"/>
            <w:vAlign w:val="bottom"/>
          </w:tcPr>
          <w:p>
            <w:pPr>
              <w:spacing w:after="0" w:line="108" w:lineRule="exact"/>
              <w:rPr>
                <w:sz w:val="20"/>
                <w:szCs w:val="20"/>
                <w:color w:val="auto"/>
              </w:rPr>
            </w:pPr>
            <w:r>
              <w:rPr>
                <w:rFonts w:ascii="Arial" w:cs="Arial" w:eastAsia="Arial" w:hAnsi="Arial"/>
                <w:sz w:val="10"/>
                <w:szCs w:val="10"/>
                <w:color w:val="auto"/>
              </w:rPr>
              <w:t>Derivative financial liabilities</w:t>
            </w:r>
          </w:p>
        </w:tc>
        <w:tc>
          <w:tcPr>
            <w:tcW w:w="84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823,012</w:t>
            </w:r>
          </w:p>
        </w:tc>
        <w:tc>
          <w:tcPr>
            <w:tcW w:w="8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819,882</w:t>
            </w:r>
          </w:p>
        </w:tc>
        <w:tc>
          <w:tcPr>
            <w:tcW w:w="840" w:type="dxa"/>
            <w:vAlign w:val="bottom"/>
            <w:gridSpan w:val="2"/>
          </w:tcPr>
          <w:p>
            <w:pPr>
              <w:jc w:val="right"/>
              <w:ind w:right="172"/>
              <w:spacing w:after="0" w:line="108" w:lineRule="exact"/>
              <w:rPr>
                <w:sz w:val="20"/>
                <w:szCs w:val="20"/>
                <w:color w:val="auto"/>
              </w:rPr>
            </w:pPr>
            <w:r>
              <w:rPr>
                <w:rFonts w:ascii="Arial" w:cs="Arial" w:eastAsia="Arial" w:hAnsi="Arial"/>
                <w:sz w:val="10"/>
                <w:szCs w:val="10"/>
                <w:color w:val="auto"/>
              </w:rPr>
              <w:t>3,728,800</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1,754,972</w:t>
            </w:r>
          </w:p>
        </w:tc>
        <w:tc>
          <w:tcPr>
            <w:tcW w:w="20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534,259</w:t>
            </w:r>
          </w:p>
        </w:tc>
        <w:tc>
          <w:tcPr>
            <w:tcW w:w="80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7,660,925</w:t>
            </w:r>
          </w:p>
        </w:tc>
      </w:tr>
      <w:tr>
        <w:trPr>
          <w:trHeight w:val="88"/>
        </w:trPr>
        <w:tc>
          <w:tcPr>
            <w:tcW w:w="46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2,570,611</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1,916,953</w:t>
            </w:r>
          </w:p>
        </w:tc>
        <w:tc>
          <w:tcPr>
            <w:tcW w:w="2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(2,524,302)</w:t>
            </w:r>
          </w:p>
        </w:tc>
        <w:tc>
          <w:tcPr>
            <w:tcW w:w="2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(1,407,089)</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(461,433)</w:t>
            </w:r>
          </w:p>
        </w:tc>
        <w:tc>
          <w:tcPr>
            <w:tcW w:w="20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94,740</w:t>
            </w:r>
          </w:p>
        </w:tc>
        <w:tc>
          <w:tcPr>
            <w:tcW w:w="100" w:type="dxa"/>
            <w:vAlign w:val="bottom"/>
            <w:tcBorders>
              <w:top w:val="single" w:sz="8" w:color="CCEEFF"/>
            </w:tcBorders>
            <w:shd w:val="clear" w:color="auto" w:fill="CCEEFF"/>
          </w:tcPr>
          <w:p>
            <w:pPr>
              <w:spacing w:after="0"/>
              <w:rPr>
                <w:sz w:val="7"/>
                <w:szCs w:val="7"/>
                <w:color w:val="auto"/>
              </w:rPr>
            </w:pPr>
          </w:p>
        </w:tc>
      </w:tr>
      <w:tr>
        <w:trPr>
          <w:trHeight w:val="88"/>
        </w:trPr>
        <w:tc>
          <w:tcPr>
            <w:tcW w:w="46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Marginal gap</w:t>
            </w: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(4,413,871)</w:t>
            </w:r>
          </w:p>
        </w:tc>
        <w:tc>
          <w:tcPr>
            <w:tcW w:w="20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11,474,617</w:t>
            </w:r>
          </w:p>
        </w:tc>
        <w:tc>
          <w:tcPr>
            <w:tcW w:w="22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6,866,509</w:t>
            </w:r>
          </w:p>
        </w:tc>
        <w:tc>
          <w:tcPr>
            <w:tcW w:w="2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(12,199,861)</w:t>
            </w:r>
          </w:p>
        </w:tc>
        <w:tc>
          <w:tcPr>
            <w:tcW w:w="2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12,201,656</w:t>
            </w:r>
          </w:p>
        </w:tc>
        <w:tc>
          <w:tcPr>
            <w:tcW w:w="20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(22,008,539)</w:t>
            </w:r>
          </w:p>
        </w:tc>
        <w:tc>
          <w:tcPr>
            <w:tcW w:w="20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(8,079,489)</w:t>
            </w:r>
          </w:p>
        </w:tc>
        <w:tc>
          <w:tcPr>
            <w:tcW w:w="100" w:type="dxa"/>
            <w:vAlign w:val="bottom"/>
            <w:tcBorders>
              <w:bottom w:val="single" w:sz="8" w:color="CCEEFF"/>
            </w:tcBorders>
          </w:tcPr>
          <w:p>
            <w:pPr>
              <w:spacing w:after="0"/>
              <w:rPr>
                <w:sz w:val="7"/>
                <w:szCs w:val="7"/>
                <w:color w:val="auto"/>
              </w:rPr>
            </w:pPr>
          </w:p>
        </w:tc>
      </w:tr>
      <w:tr>
        <w:trPr>
          <w:trHeight w:val="115"/>
        </w:trPr>
        <w:tc>
          <w:tcPr>
            <w:tcW w:w="466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Accumulated gap</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(4,413,871</w:t>
            </w:r>
          </w:p>
        </w:tc>
        <w:tc>
          <w:tcPr>
            <w:tcW w:w="200" w:type="dxa"/>
            <w:vAlign w:val="bottom"/>
            <w:shd w:val="clear" w:color="auto" w:fill="CCEEFF"/>
          </w:tcPr>
          <w:p>
            <w:pPr>
              <w:jc w:val="right"/>
              <w:ind w:right="174"/>
              <w:spacing w:after="0"/>
              <w:rPr>
                <w:sz w:val="20"/>
                <w:szCs w:val="20"/>
                <w:color w:val="auto"/>
              </w:rPr>
            </w:pPr>
            <w:r>
              <w:rPr>
                <w:rFonts w:ascii="Arial" w:cs="Arial" w:eastAsia="Arial" w:hAnsi="Arial"/>
                <w:sz w:val="1"/>
                <w:szCs w:val="1"/>
                <w:color w:val="auto"/>
                <w:w w:val="429496728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7,060,746</w:t>
            </w:r>
          </w:p>
        </w:tc>
        <w:tc>
          <w:tcPr>
            <w:tcW w:w="2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0"/>
                <w:szCs w:val="10"/>
                <w:color w:val="auto"/>
              </w:rPr>
              <w:t>13,927,255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1,727,394</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13,929,050</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(8,079,489</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27"/>
        </w:trPr>
        <w:tc>
          <w:tcPr>
            <w:tcW w:w="46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2" w:right="1520" w:hanging="2"/>
        <w:spacing w:after="0" w:line="276" w:lineRule="auto"/>
        <w:tabs>
          <w:tab w:leader="none" w:pos="202" w:val="left"/>
        </w:tabs>
        <w:numPr>
          <w:ilvl w:val="0"/>
          <w:numId w:val="188"/>
        </w:numPr>
        <w:rPr>
          <w:rFonts w:ascii="Arial" w:cs="Arial" w:eastAsia="Arial" w:hAnsi="Arial"/>
          <w:sz w:val="12"/>
          <w:szCs w:val="12"/>
          <w:color w:val="auto"/>
        </w:rPr>
      </w:pPr>
      <w:r>
        <w:rPr>
          <w:rFonts w:ascii="Arial" w:cs="Arial" w:eastAsia="Arial" w:hAnsi="Arial"/>
          <w:sz w:val="12"/>
          <w:szCs w:val="12"/>
          <w:color w:val="auto"/>
        </w:rPr>
        <w:t>Other assets and other liabilities only include financial accounts. The balances of the year 2018 have been adjusted and confirmed said guidelines in the information disclosed for this report. (**) Includes banker’s acceptances outstanding and other liabilities.</w:t>
      </w:r>
    </w:p>
    <w:p>
      <w:pPr>
        <w:spacing w:after="0" w:line="115" w:lineRule="exact"/>
        <w:rPr>
          <w:sz w:val="20"/>
          <w:szCs w:val="20"/>
          <w:color w:val="auto"/>
        </w:rPr>
      </w:pPr>
    </w:p>
    <w:p>
      <w:pPr>
        <w:ind w:left="2"/>
        <w:spacing w:after="0" w:line="276" w:lineRule="auto"/>
        <w:rPr>
          <w:sz w:val="20"/>
          <w:szCs w:val="20"/>
          <w:color w:val="auto"/>
        </w:rPr>
      </w:pPr>
      <w:r>
        <w:rPr>
          <w:rFonts w:ascii="Arial" w:cs="Arial" w:eastAsia="Arial" w:hAnsi="Arial"/>
          <w:sz w:val="12"/>
          <w:szCs w:val="12"/>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59" w:lineRule="exact"/>
        <w:rPr>
          <w:sz w:val="20"/>
          <w:szCs w:val="20"/>
          <w:color w:val="auto"/>
        </w:rPr>
      </w:pPr>
    </w:p>
    <w:p>
      <w:pPr>
        <w:jc w:val="center"/>
        <w:ind w:right="158"/>
        <w:spacing w:after="0"/>
        <w:rPr>
          <w:sz w:val="20"/>
          <w:szCs w:val="20"/>
          <w:color w:val="auto"/>
        </w:rPr>
      </w:pPr>
      <w:r>
        <w:rPr>
          <w:rFonts w:ascii="Arial" w:cs="Arial" w:eastAsia="Arial" w:hAnsi="Arial"/>
          <w:sz w:val="12"/>
          <w:szCs w:val="12"/>
          <w:color w:val="auto"/>
        </w:rPr>
        <w:t>- 159 -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9525</wp:posOffset>
            </wp:positionV>
            <wp:extent cx="7292340" cy="571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02"/>
          </w:cols>
          <w:pgMar w:left="638" w:top="655" w:right="459" w:bottom="1440" w:gutter="0" w:footer="0" w:header="0"/>
        </w:sectPr>
      </w:pPr>
    </w:p>
    <w:bookmarkStart w:id="164" w:name="page165"/>
    <w:bookmarkEnd w:id="164"/>
    <w:p>
      <w:pPr>
        <w:ind w:left="420"/>
        <w:spacing w:after="0"/>
        <w:rPr>
          <w:sz w:val="20"/>
          <w:szCs w:val="20"/>
          <w:color w:val="auto"/>
        </w:rPr>
      </w:pPr>
      <w:r>
        <w:rPr>
          <w:rFonts w:ascii="Arial" w:cs="Arial" w:eastAsia="Arial" w:hAnsi="Arial"/>
          <w:sz w:val="12"/>
          <w:szCs w:val="12"/>
          <w:color w:val="auto"/>
        </w:rPr>
        <w:t>Sensitivity to changes in interest rates -</w:t>
      </w:r>
    </w:p>
    <w:p>
      <w:pPr>
        <w:spacing w:after="0" w:line="150" w:lineRule="exact"/>
        <w:rPr>
          <w:sz w:val="20"/>
          <w:szCs w:val="20"/>
          <w:color w:val="auto"/>
        </w:rPr>
      </w:pPr>
    </w:p>
    <w:p>
      <w:pPr>
        <w:jc w:val="both"/>
        <w:ind w:left="420" w:right="120"/>
        <w:spacing w:after="0" w:line="263" w:lineRule="auto"/>
        <w:rPr>
          <w:sz w:val="20"/>
          <w:szCs w:val="20"/>
          <w:color w:val="auto"/>
        </w:rPr>
      </w:pPr>
      <w:r>
        <w:rPr>
          <w:rFonts w:ascii="Arial" w:cs="Arial" w:eastAsia="Arial" w:hAnsi="Arial"/>
          <w:sz w:val="12"/>
          <w:szCs w:val="12"/>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Economic Value of assets and liabilities before and after a variation in interest rates.</w:t>
      </w:r>
    </w:p>
    <w:p>
      <w:pPr>
        <w:spacing w:after="0" w:line="123" w:lineRule="exact"/>
        <w:rPr>
          <w:sz w:val="20"/>
          <w:szCs w:val="20"/>
          <w:color w:val="auto"/>
        </w:rPr>
      </w:pPr>
    </w:p>
    <w:p>
      <w:pPr>
        <w:ind w:left="420" w:right="80"/>
        <w:spacing w:after="0" w:line="276" w:lineRule="auto"/>
        <w:rPr>
          <w:sz w:val="20"/>
          <w:szCs w:val="20"/>
          <w:color w:val="auto"/>
        </w:rPr>
      </w:pPr>
      <w:r>
        <w:rPr>
          <w:rFonts w:ascii="Arial" w:cs="Arial" w:eastAsia="Arial" w:hAnsi="Arial"/>
          <w:sz w:val="12"/>
          <w:szCs w:val="12"/>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at December 31, 2019 and 2018, including the effect of derivative instruments.</w:t>
      </w:r>
    </w:p>
    <w:p>
      <w:pPr>
        <w:spacing w:after="0" w:line="115" w:lineRule="exact"/>
        <w:rPr>
          <w:sz w:val="20"/>
          <w:szCs w:val="20"/>
          <w:color w:val="auto"/>
        </w:rPr>
      </w:pPr>
    </w:p>
    <w:p>
      <w:pPr>
        <w:ind w:left="420" w:right="60"/>
        <w:spacing w:after="0" w:line="276" w:lineRule="auto"/>
        <w:rPr>
          <w:sz w:val="20"/>
          <w:szCs w:val="20"/>
          <w:color w:val="auto"/>
        </w:rPr>
      </w:pPr>
      <w:r>
        <w:rPr>
          <w:rFonts w:ascii="Arial" w:cs="Arial" w:eastAsia="Arial" w:hAnsi="Arial"/>
          <w:sz w:val="12"/>
          <w:szCs w:val="12"/>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results of the sensitivity analysis regarding changes in interest rates at December 31, 2019 and 2018 are presented below:</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00" w:type="dxa"/>
            <w:vAlign w:val="bottom"/>
          </w:tcPr>
          <w:p>
            <w:pPr>
              <w:spacing w:after="0"/>
              <w:rPr>
                <w:sz w:val="10"/>
                <w:szCs w:val="10"/>
                <w:color w:val="auto"/>
              </w:rPr>
            </w:pPr>
          </w:p>
        </w:tc>
        <w:tc>
          <w:tcPr>
            <w:tcW w:w="286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ind w:left="560"/>
              <w:spacing w:after="0" w:line="121" w:lineRule="exact"/>
              <w:rPr>
                <w:sz w:val="20"/>
                <w:szCs w:val="20"/>
                <w:color w:val="auto"/>
              </w:rPr>
            </w:pPr>
            <w:r>
              <w:rPr>
                <w:rFonts w:ascii="Arial" w:cs="Arial" w:eastAsia="Arial" w:hAnsi="Arial"/>
                <w:sz w:val="12"/>
                <w:szCs w:val="12"/>
                <w:b w:val="1"/>
                <w:bCs w:val="1"/>
                <w:color w:val="auto"/>
              </w:rPr>
              <w:t>Changes in</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89"/>
              </w:rPr>
              <w:t>Sensitivity of net</w:t>
            </w: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240"/>
              <w:spacing w:after="0" w:line="121" w:lineRule="exact"/>
              <w:rPr>
                <w:sz w:val="20"/>
                <w:szCs w:val="20"/>
                <w:color w:val="auto"/>
              </w:rPr>
            </w:pPr>
            <w:r>
              <w:rPr>
                <w:rFonts w:ascii="Arial" w:cs="Arial" w:eastAsia="Arial" w:hAnsi="Arial"/>
                <w:sz w:val="12"/>
                <w:szCs w:val="12"/>
                <w:b w:val="1"/>
                <w:bCs w:val="1"/>
                <w:color w:val="auto"/>
                <w:w w:val="90"/>
              </w:rPr>
              <w:t>Sensitivity of Net</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60" w:type="dxa"/>
            <w:vAlign w:val="bottom"/>
            <w:gridSpan w:val="2"/>
          </w:tcPr>
          <w:p>
            <w:pPr>
              <w:ind w:left="400"/>
              <w:spacing w:after="0"/>
              <w:rPr>
                <w:sz w:val="20"/>
                <w:szCs w:val="20"/>
                <w:color w:val="auto"/>
              </w:rPr>
            </w:pPr>
            <w:r>
              <w:rPr>
                <w:rFonts w:ascii="Arial" w:cs="Arial" w:eastAsia="Arial" w:hAnsi="Arial"/>
                <w:sz w:val="12"/>
                <w:szCs w:val="12"/>
                <w:b w:val="1"/>
                <w:bCs w:val="1"/>
                <w:color w:val="auto"/>
              </w:rPr>
              <w:t>Currency</w:t>
            </w: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ind w:left="540"/>
              <w:spacing w:after="0"/>
              <w:rPr>
                <w:sz w:val="20"/>
                <w:szCs w:val="20"/>
                <w:color w:val="auto"/>
              </w:rPr>
            </w:pPr>
            <w:r>
              <w:rPr>
                <w:rFonts w:ascii="Arial" w:cs="Arial" w:eastAsia="Arial" w:hAnsi="Arial"/>
                <w:sz w:val="12"/>
                <w:szCs w:val="12"/>
                <w:b w:val="1"/>
                <w:bCs w:val="1"/>
                <w:color w:val="auto"/>
              </w:rPr>
              <w:t>basis points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profit</w:t>
            </w:r>
          </w:p>
        </w:tc>
        <w:tc>
          <w:tcPr>
            <w:tcW w:w="280" w:type="dxa"/>
            <w:vAlign w:val="bottom"/>
          </w:tcPr>
          <w:p>
            <w:pPr>
              <w:spacing w:after="0"/>
              <w:rPr>
                <w:sz w:val="13"/>
                <w:szCs w:val="13"/>
                <w:color w:val="auto"/>
              </w:rPr>
            </w:pPr>
          </w:p>
        </w:tc>
        <w:tc>
          <w:tcPr>
            <w:tcW w:w="1380" w:type="dxa"/>
            <w:vAlign w:val="bottom"/>
          </w:tcPr>
          <w:p>
            <w:pPr>
              <w:jc w:val="center"/>
              <w:ind w:right="240"/>
              <w:spacing w:after="0"/>
              <w:rPr>
                <w:sz w:val="20"/>
                <w:szCs w:val="20"/>
                <w:color w:val="auto"/>
              </w:rPr>
            </w:pPr>
            <w:r>
              <w:rPr>
                <w:rFonts w:ascii="Arial" w:cs="Arial" w:eastAsia="Arial" w:hAnsi="Arial"/>
                <w:sz w:val="12"/>
                <w:szCs w:val="12"/>
                <w:b w:val="1"/>
                <w:bCs w:val="1"/>
                <w:color w:val="auto"/>
                <w:w w:val="90"/>
              </w:rPr>
              <w:t>Economic Value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86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220"/>
              <w:spacing w:after="0" w:line="133" w:lineRule="exact"/>
              <w:rPr>
                <w:sz w:val="20"/>
                <w:szCs w:val="20"/>
                <w:color w:val="auto"/>
              </w:rPr>
            </w:pPr>
            <w:r>
              <w:rPr>
                <w:rFonts w:ascii="Arial" w:cs="Arial" w:eastAsia="Arial" w:hAnsi="Arial"/>
                <w:sz w:val="12"/>
                <w:szCs w:val="12"/>
                <w:b w:val="1"/>
                <w:bCs w:val="1"/>
                <w:color w:val="auto"/>
                <w:w w:val="91"/>
              </w:rPr>
              <w:t>S/(000)</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240"/>
              <w:spacing w:after="0" w:line="133" w:lineRule="exact"/>
              <w:rPr>
                <w:sz w:val="20"/>
                <w:szCs w:val="20"/>
                <w:color w:val="auto"/>
              </w:rPr>
            </w:pPr>
            <w:r>
              <w:rPr>
                <w:rFonts w:ascii="Arial" w:cs="Arial" w:eastAsia="Arial" w:hAnsi="Arial"/>
                <w:sz w:val="12"/>
                <w:szCs w:val="12"/>
                <w:b w:val="1"/>
                <w:bCs w:val="1"/>
                <w:color w:val="auto"/>
                <w:w w:val="91"/>
              </w:rPr>
              <w:t>S/(000)</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vMerge w:val="continue"/>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7,696</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520,389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11,544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780,584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1,040,778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23,088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1,561,167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52,276</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50,253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78,413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75,379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104,551</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100,506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156,827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150,759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4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ind w:left="560"/>
              <w:spacing w:after="0" w:line="121" w:lineRule="exact"/>
              <w:rPr>
                <w:sz w:val="20"/>
                <w:szCs w:val="20"/>
                <w:color w:val="auto"/>
              </w:rPr>
            </w:pPr>
            <w:r>
              <w:rPr>
                <w:rFonts w:ascii="Arial" w:cs="Arial" w:eastAsia="Arial" w:hAnsi="Arial"/>
                <w:sz w:val="12"/>
                <w:szCs w:val="12"/>
                <w:b w:val="1"/>
                <w:bCs w:val="1"/>
                <w:color w:val="auto"/>
              </w:rPr>
              <w:t>Changes in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89"/>
              </w:rPr>
              <w:t>Sensitivity of net</w:t>
            </w:r>
          </w:p>
        </w:tc>
        <w:tc>
          <w:tcPr>
            <w:tcW w:w="280" w:type="dxa"/>
            <w:vAlign w:val="bottom"/>
          </w:tcPr>
          <w:p>
            <w:pPr>
              <w:spacing w:after="0"/>
              <w:rPr>
                <w:sz w:val="10"/>
                <w:szCs w:val="10"/>
                <w:color w:val="auto"/>
              </w:rPr>
            </w:pPr>
          </w:p>
        </w:tc>
        <w:tc>
          <w:tcPr>
            <w:tcW w:w="1380" w:type="dxa"/>
            <w:vAlign w:val="bottom"/>
          </w:tcPr>
          <w:p>
            <w:pPr>
              <w:jc w:val="center"/>
              <w:ind w:right="240"/>
              <w:spacing w:after="0" w:line="121" w:lineRule="exact"/>
              <w:rPr>
                <w:sz w:val="20"/>
                <w:szCs w:val="20"/>
                <w:color w:val="auto"/>
              </w:rPr>
            </w:pPr>
            <w:r>
              <w:rPr>
                <w:rFonts w:ascii="Arial" w:cs="Arial" w:eastAsia="Arial" w:hAnsi="Arial"/>
                <w:sz w:val="12"/>
                <w:szCs w:val="12"/>
                <w:b w:val="1"/>
                <w:bCs w:val="1"/>
                <w:color w:val="auto"/>
                <w:w w:val="90"/>
              </w:rPr>
              <w:t>Sensitivity of Net</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60" w:type="dxa"/>
            <w:vAlign w:val="bottom"/>
            <w:gridSpan w:val="2"/>
          </w:tcPr>
          <w:p>
            <w:pPr>
              <w:ind w:left="400"/>
              <w:spacing w:after="0"/>
              <w:rPr>
                <w:sz w:val="20"/>
                <w:szCs w:val="20"/>
                <w:color w:val="auto"/>
              </w:rPr>
            </w:pPr>
            <w:r>
              <w:rPr>
                <w:rFonts w:ascii="Arial" w:cs="Arial" w:eastAsia="Arial" w:hAnsi="Arial"/>
                <w:sz w:val="12"/>
                <w:szCs w:val="12"/>
                <w:b w:val="1"/>
                <w:bCs w:val="1"/>
                <w:color w:val="auto"/>
              </w:rPr>
              <w:t>Currency</w:t>
            </w: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ind w:left="540"/>
              <w:spacing w:after="0"/>
              <w:rPr>
                <w:sz w:val="20"/>
                <w:szCs w:val="20"/>
                <w:color w:val="auto"/>
              </w:rPr>
            </w:pPr>
            <w:r>
              <w:rPr>
                <w:rFonts w:ascii="Arial" w:cs="Arial" w:eastAsia="Arial" w:hAnsi="Arial"/>
                <w:sz w:val="12"/>
                <w:szCs w:val="12"/>
                <w:b w:val="1"/>
                <w:bCs w:val="1"/>
                <w:color w:val="auto"/>
              </w:rPr>
              <w:t>basis points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profit</w:t>
            </w:r>
          </w:p>
        </w:tc>
        <w:tc>
          <w:tcPr>
            <w:tcW w:w="280" w:type="dxa"/>
            <w:vAlign w:val="bottom"/>
          </w:tcPr>
          <w:p>
            <w:pPr>
              <w:spacing w:after="0"/>
              <w:rPr>
                <w:sz w:val="13"/>
                <w:szCs w:val="13"/>
                <w:color w:val="auto"/>
              </w:rPr>
            </w:pPr>
          </w:p>
        </w:tc>
        <w:tc>
          <w:tcPr>
            <w:tcW w:w="1380" w:type="dxa"/>
            <w:vAlign w:val="bottom"/>
          </w:tcPr>
          <w:p>
            <w:pPr>
              <w:jc w:val="center"/>
              <w:ind w:right="240"/>
              <w:spacing w:after="0"/>
              <w:rPr>
                <w:sz w:val="20"/>
                <w:szCs w:val="20"/>
                <w:color w:val="auto"/>
              </w:rPr>
            </w:pPr>
            <w:r>
              <w:rPr>
                <w:rFonts w:ascii="Arial" w:cs="Arial" w:eastAsia="Arial" w:hAnsi="Arial"/>
                <w:sz w:val="12"/>
                <w:szCs w:val="12"/>
                <w:b w:val="1"/>
                <w:bCs w:val="1"/>
                <w:color w:val="auto"/>
                <w:w w:val="90"/>
              </w:rPr>
              <w:t>Economic Value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86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220"/>
              <w:spacing w:after="0" w:line="133" w:lineRule="exact"/>
              <w:rPr>
                <w:sz w:val="20"/>
                <w:szCs w:val="20"/>
                <w:color w:val="auto"/>
              </w:rPr>
            </w:pPr>
            <w:r>
              <w:rPr>
                <w:rFonts w:ascii="Arial" w:cs="Arial" w:eastAsia="Arial" w:hAnsi="Arial"/>
                <w:sz w:val="12"/>
                <w:szCs w:val="12"/>
                <w:b w:val="1"/>
                <w:bCs w:val="1"/>
                <w:color w:val="auto"/>
                <w:w w:val="91"/>
              </w:rPr>
              <w:t>S/(000)</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240"/>
              <w:spacing w:after="0" w:line="133" w:lineRule="exact"/>
              <w:rPr>
                <w:sz w:val="20"/>
                <w:szCs w:val="20"/>
                <w:color w:val="auto"/>
              </w:rPr>
            </w:pPr>
            <w:r>
              <w:rPr>
                <w:rFonts w:ascii="Arial" w:cs="Arial" w:eastAsia="Arial" w:hAnsi="Arial"/>
                <w:sz w:val="12"/>
                <w:szCs w:val="12"/>
                <w:b w:val="1"/>
                <w:bCs w:val="1"/>
                <w:color w:val="auto"/>
                <w:w w:val="91"/>
              </w:rPr>
              <w:t>S/(000)</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720" w:type="dxa"/>
            <w:vAlign w:val="bottom"/>
            <w:gridSpan w:val="3"/>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vMerge w:val="continue"/>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10,463</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439,964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15,695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659,946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20,926</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879,928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Soles</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31,389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1,319,893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48,325</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6,718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72,487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10,078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96,650</w:t>
            </w:r>
          </w:p>
        </w:tc>
        <w:tc>
          <w:tcPr>
            <w:tcW w:w="120" w:type="dxa"/>
            <w:vAlign w:val="bottom"/>
          </w:tcPr>
          <w:p>
            <w:pPr>
              <w:spacing w:after="0"/>
              <w:rPr>
                <w:sz w:val="12"/>
                <w:szCs w:val="12"/>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13,437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372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144,975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20,155</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2"/>
                <w:szCs w:val="12"/>
                <w:color w:val="auto"/>
              </w:rPr>
              <w:t>- 160 -</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65" w:name="page166"/>
    <w:bookmarkEnd w:id="165"/>
    <w:p>
      <w:pPr>
        <w:ind w:left="420" w:right="80"/>
        <w:spacing w:after="0" w:line="323" w:lineRule="auto"/>
        <w:rPr>
          <w:sz w:val="20"/>
          <w:szCs w:val="20"/>
          <w:color w:val="auto"/>
        </w:rPr>
      </w:pPr>
      <w:r>
        <w:rPr>
          <w:rFonts w:ascii="Arial" w:cs="Arial" w:eastAsia="Arial" w:hAnsi="Arial"/>
          <w:sz w:val="11"/>
          <w:szCs w:val="11"/>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92" w:lineRule="exact"/>
        <w:rPr>
          <w:sz w:val="20"/>
          <w:szCs w:val="20"/>
          <w:color w:val="auto"/>
        </w:rPr>
      </w:pPr>
    </w:p>
    <w:p>
      <w:pPr>
        <w:ind w:left="420" w:right="80"/>
        <w:spacing w:after="0" w:line="276" w:lineRule="auto"/>
        <w:rPr>
          <w:sz w:val="20"/>
          <w:szCs w:val="20"/>
          <w:color w:val="auto"/>
        </w:rPr>
      </w:pPr>
      <w:r>
        <w:rPr>
          <w:rFonts w:ascii="Arial" w:cs="Arial" w:eastAsia="Arial" w:hAnsi="Arial"/>
          <w:sz w:val="12"/>
          <w:szCs w:val="12"/>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15" w:lineRule="exact"/>
        <w:rPr>
          <w:sz w:val="20"/>
          <w:szCs w:val="20"/>
          <w:color w:val="auto"/>
        </w:rPr>
      </w:pPr>
    </w:p>
    <w:p>
      <w:pPr>
        <w:ind w:left="420" w:right="520"/>
        <w:spacing w:after="0" w:line="323" w:lineRule="auto"/>
        <w:rPr>
          <w:sz w:val="20"/>
          <w:szCs w:val="20"/>
          <w:color w:val="auto"/>
        </w:rPr>
      </w:pPr>
      <w:r>
        <w:rPr>
          <w:rFonts w:ascii="Arial" w:cs="Arial" w:eastAsia="Arial" w:hAnsi="Arial"/>
          <w:sz w:val="11"/>
          <w:szCs w:val="11"/>
          <w:color w:val="auto"/>
        </w:rPr>
        <w:t>As of December 31, 2019 and 2018,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 25 and 30 percent of changes in market prices is conducted to these price-sensitivity securities.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market price sensitivity tests as of December 31, 2019 and 2018 are presented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2"/>
                <w:szCs w:val="12"/>
                <w:b w:val="1"/>
                <w:bCs w:val="1"/>
                <w:color w:val="auto"/>
                <w:w w:val="89"/>
              </w:rPr>
              <w:t>Equity securities</w:t>
            </w:r>
          </w:p>
        </w:tc>
        <w:tc>
          <w:tcPr>
            <w:tcW w:w="1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29"/>
        </w:trPr>
        <w:tc>
          <w:tcPr>
            <w:tcW w:w="420" w:type="dxa"/>
            <w:vAlign w:val="bottom"/>
          </w:tcPr>
          <w:p>
            <w:pPr>
              <w:spacing w:after="0"/>
              <w:rPr>
                <w:sz w:val="11"/>
                <w:szCs w:val="11"/>
                <w:color w:val="auto"/>
              </w:rPr>
            </w:pPr>
          </w:p>
        </w:tc>
        <w:tc>
          <w:tcPr>
            <w:tcW w:w="2760" w:type="dxa"/>
            <w:vAlign w:val="bottom"/>
          </w:tcPr>
          <w:p>
            <w:pPr>
              <w:spacing w:after="0" w:line="129" w:lineRule="exact"/>
              <w:rPr>
                <w:sz w:val="20"/>
                <w:szCs w:val="20"/>
                <w:color w:val="auto"/>
              </w:rPr>
            </w:pPr>
            <w:r>
              <w:rPr>
                <w:rFonts w:ascii="Arial" w:cs="Arial" w:eastAsia="Arial" w:hAnsi="Arial"/>
                <w:sz w:val="12"/>
                <w:szCs w:val="12"/>
                <w:b w:val="1"/>
                <w:bCs w:val="1"/>
                <w:color w:val="auto"/>
              </w:rPr>
              <w:t>Measured at fair value through</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9"/>
              </w:rPr>
              <w:t>Change in</w:t>
            </w: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7"/>
        </w:trPr>
        <w:tc>
          <w:tcPr>
            <w:tcW w:w="4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2"/>
                <w:szCs w:val="12"/>
                <w:b w:val="1"/>
                <w:bCs w:val="1"/>
                <w:color w:val="auto"/>
              </w:rPr>
              <w:t>other comprehensive income</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market prices</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57,920</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64,947</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Equity securities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144,800</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162,368</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173,760</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194,841</w:t>
            </w:r>
          </w:p>
        </w:tc>
        <w:tc>
          <w:tcPr>
            <w:tcW w:w="400" w:type="dxa"/>
            <w:vAlign w:val="bottom"/>
          </w:tcPr>
          <w:p>
            <w:pPr>
              <w:spacing w:after="0"/>
              <w:rPr>
                <w:sz w:val="12"/>
                <w:szCs w:val="12"/>
                <w:color w:val="auto"/>
              </w:rPr>
            </w:pPr>
          </w:p>
        </w:tc>
      </w:tr>
      <w:tr>
        <w:trPr>
          <w:trHeight w:val="315"/>
        </w:trPr>
        <w:tc>
          <w:tcPr>
            <w:tcW w:w="4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2"/>
                <w:szCs w:val="12"/>
                <w:b w:val="1"/>
                <w:bCs w:val="1"/>
                <w:color w:val="auto"/>
                <w:w w:val="88"/>
              </w:rPr>
              <w:t>Funds</w:t>
            </w:r>
          </w:p>
        </w:tc>
        <w:tc>
          <w:tcPr>
            <w:tcW w:w="1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420" w:type="dxa"/>
            <w:vAlign w:val="bottom"/>
          </w:tcPr>
          <w:p>
            <w:pPr>
              <w:spacing w:after="0"/>
              <w:rPr>
                <w:sz w:val="11"/>
                <w:szCs w:val="11"/>
                <w:color w:val="auto"/>
              </w:rPr>
            </w:pPr>
          </w:p>
        </w:tc>
        <w:tc>
          <w:tcPr>
            <w:tcW w:w="2760" w:type="dxa"/>
            <w:vAlign w:val="bottom"/>
          </w:tcPr>
          <w:p>
            <w:pPr>
              <w:spacing w:after="0" w:line="129" w:lineRule="exact"/>
              <w:rPr>
                <w:sz w:val="20"/>
                <w:szCs w:val="20"/>
                <w:color w:val="auto"/>
              </w:rPr>
            </w:pPr>
            <w:r>
              <w:rPr>
                <w:rFonts w:ascii="Arial" w:cs="Arial" w:eastAsia="Arial" w:hAnsi="Arial"/>
                <w:sz w:val="12"/>
                <w:szCs w:val="12"/>
                <w:b w:val="1"/>
                <w:bCs w:val="1"/>
                <w:color w:val="auto"/>
              </w:rPr>
              <w:t>Measured at fair value</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9"/>
              </w:rPr>
              <w:t>Change in</w:t>
            </w: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57"/>
        </w:trPr>
        <w:tc>
          <w:tcPr>
            <w:tcW w:w="4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2"/>
                <w:szCs w:val="12"/>
                <w:b w:val="1"/>
                <w:bCs w:val="1"/>
                <w:color w:val="auto"/>
              </w:rPr>
              <w:t>through profit or loss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market prices</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22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S/(000)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Participation in mutual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59,127</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25,687</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Participation in mutual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147,818</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64,219</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Participation in mutual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177,381</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77,062</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Restricted mutual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46,009</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40,735</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Restricted mutual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115,022</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101,838</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Restricted mutual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138,026</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122,205</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Participation in RAL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30,040</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44,504</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Participation in RAL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75,100</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111,260</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Participation in RAL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90,119</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133,512</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Investment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30,576</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32,346</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Investment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76,440</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80,864</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Investment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91,728</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97,037</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Hedge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3,364</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4,434</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Hedge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8,410</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11,084</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Hedge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10,092</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13,301</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Exchange Trade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+/-10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1,360</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2,556</w:t>
            </w:r>
          </w:p>
        </w:tc>
        <w:tc>
          <w:tcPr>
            <w:tcW w:w="4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Exchange Trade Funds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3,399</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6,391</w:t>
            </w:r>
          </w:p>
        </w:tc>
        <w:tc>
          <w:tcPr>
            <w:tcW w:w="4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Exchange Trade Funds</w:t>
            </w:r>
          </w:p>
        </w:tc>
        <w:tc>
          <w:tcPr>
            <w:tcW w:w="4180" w:type="dxa"/>
            <w:vAlign w:val="bottom"/>
            <w:gridSpan w:val="4"/>
          </w:tcPr>
          <w:p>
            <w:pPr>
              <w:jc w:val="right"/>
              <w:ind w:right="200"/>
              <w:spacing w:after="0"/>
              <w:rPr>
                <w:sz w:val="20"/>
                <w:szCs w:val="20"/>
                <w:color w:val="auto"/>
              </w:rPr>
            </w:pPr>
            <w:r>
              <w:rPr>
                <w:rFonts w:ascii="Arial" w:cs="Arial" w:eastAsia="Arial" w:hAnsi="Arial"/>
                <w:sz w:val="12"/>
                <w:szCs w:val="12"/>
                <w:color w:val="auto"/>
              </w:rPr>
              <w:t>+/-30</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4,079</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7,669</w:t>
            </w:r>
          </w:p>
        </w:tc>
        <w:tc>
          <w:tcPr>
            <w:tcW w:w="400" w:type="dxa"/>
            <w:vAlign w:val="bottom"/>
          </w:tcPr>
          <w:p>
            <w:pPr>
              <w:spacing w:after="0"/>
              <w:rPr>
                <w:sz w:val="13"/>
                <w:szCs w:val="13"/>
                <w:color w:val="auto"/>
              </w:rPr>
            </w:pPr>
          </w:p>
        </w:tc>
      </w:tr>
      <w:tr>
        <w:trPr>
          <w:trHeight w:val="423"/>
        </w:trPr>
        <w:tc>
          <w:tcPr>
            <w:tcW w:w="4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right"/>
              <w:ind w:right="1200"/>
              <w:spacing w:after="0"/>
              <w:rPr>
                <w:sz w:val="20"/>
                <w:szCs w:val="20"/>
                <w:color w:val="auto"/>
              </w:rPr>
            </w:pPr>
            <w:r>
              <w:rPr>
                <w:rFonts w:ascii="Arial" w:cs="Arial" w:eastAsia="Arial" w:hAnsi="Arial"/>
                <w:sz w:val="12"/>
                <w:szCs w:val="12"/>
                <w:color w:val="auto"/>
              </w:rPr>
              <w:t>- 161 -</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166" w:name="page167"/>
    <w:bookmarkEnd w:id="166"/>
    <w:p>
      <w:pPr>
        <w:ind w:left="156" w:hanging="156"/>
        <w:spacing w:after="0"/>
        <w:tabs>
          <w:tab w:leader="none" w:pos="156" w:val="left"/>
        </w:tabs>
        <w:numPr>
          <w:ilvl w:val="0"/>
          <w:numId w:val="189"/>
        </w:numPr>
        <w:rPr>
          <w:rFonts w:ascii="Arial" w:cs="Arial" w:eastAsia="Arial" w:hAnsi="Arial"/>
          <w:sz w:val="12"/>
          <w:szCs w:val="12"/>
          <w:color w:val="auto"/>
        </w:rPr>
      </w:pPr>
      <w:r>
        <w:rPr>
          <w:rFonts w:ascii="Arial" w:cs="Arial" w:eastAsia="Arial" w:hAnsi="Arial"/>
          <w:sz w:val="12"/>
          <w:szCs w:val="12"/>
          <w:color w:val="auto"/>
        </w:rPr>
        <w:t>Foreign currency exchange risk -</w:t>
      </w:r>
    </w:p>
    <w:p>
      <w:pPr>
        <w:spacing w:after="0" w:line="150" w:lineRule="exact"/>
        <w:rPr>
          <w:rFonts w:ascii="Arial" w:cs="Arial" w:eastAsia="Arial" w:hAnsi="Arial"/>
          <w:sz w:val="12"/>
          <w:szCs w:val="12"/>
          <w:color w:val="auto"/>
        </w:rPr>
      </w:pPr>
    </w:p>
    <w:p>
      <w:pPr>
        <w:ind w:left="176"/>
        <w:spacing w:after="0" w:line="276" w:lineRule="auto"/>
        <w:rPr>
          <w:rFonts w:ascii="Arial" w:cs="Arial" w:eastAsia="Arial" w:hAnsi="Arial"/>
          <w:sz w:val="12"/>
          <w:szCs w:val="12"/>
          <w:color w:val="auto"/>
        </w:rPr>
      </w:pPr>
      <w:r>
        <w:rPr>
          <w:rFonts w:ascii="Arial" w:cs="Arial" w:eastAsia="Arial" w:hAnsi="Arial"/>
          <w:sz w:val="12"/>
          <w:szCs w:val="12"/>
          <w:color w:val="auto"/>
        </w:rPr>
        <w:t>The Group is exposed to fluctuations in foreign currency exchange rates on its financial position and cash flows. Management sets limits on the level of exposure by currency and overnight and intra-day total positions, which are monitored daily.</w:t>
      </w:r>
    </w:p>
    <w:p>
      <w:pPr>
        <w:spacing w:after="0" w:line="110" w:lineRule="exact"/>
        <w:rPr>
          <w:rFonts w:ascii="Arial" w:cs="Arial" w:eastAsia="Arial" w:hAnsi="Arial"/>
          <w:sz w:val="12"/>
          <w:szCs w:val="12"/>
          <w:color w:val="auto"/>
        </w:rPr>
      </w:pPr>
    </w:p>
    <w:p>
      <w:pPr>
        <w:ind w:left="176"/>
        <w:spacing w:after="0"/>
        <w:rPr>
          <w:rFonts w:ascii="Arial" w:cs="Arial" w:eastAsia="Arial" w:hAnsi="Arial"/>
          <w:sz w:val="12"/>
          <w:szCs w:val="12"/>
          <w:color w:val="auto"/>
        </w:rPr>
      </w:pPr>
      <w:r>
        <w:rPr>
          <w:rFonts w:ascii="Arial" w:cs="Arial" w:eastAsia="Arial" w:hAnsi="Arial"/>
          <w:sz w:val="11"/>
          <w:szCs w:val="11"/>
          <w:color w:val="auto"/>
        </w:rPr>
        <w:t>At December 31, 2019, the free market exchange rate for buying and selling transactions for each United States of Dollars, the main foreign currency held by the Group, was S</w:t>
      </w:r>
      <w:r>
        <w:rPr>
          <w:rFonts w:ascii="Arial" w:cs="Arial" w:eastAsia="Arial" w:hAnsi="Arial"/>
          <w:sz w:val="11"/>
          <w:szCs w:val="11"/>
          <w:b w:val="1"/>
          <w:bCs w:val="1"/>
          <w:color w:val="auto"/>
        </w:rPr>
        <w:t>/</w:t>
      </w:r>
      <w:r>
        <w:rPr>
          <w:rFonts w:ascii="Arial" w:cs="Arial" w:eastAsia="Arial" w:hAnsi="Arial"/>
          <w:sz w:val="11"/>
          <w:szCs w:val="11"/>
          <w:color w:val="auto"/>
        </w:rPr>
        <w:t xml:space="preserve"> 3.314 (S/3.373 at December 31, 2018).</w:t>
      </w:r>
    </w:p>
    <w:p>
      <w:pPr>
        <w:spacing w:after="0" w:line="309" w:lineRule="exact"/>
        <w:rPr>
          <w:rFonts w:ascii="Arial" w:cs="Arial" w:eastAsia="Arial" w:hAnsi="Arial"/>
          <w:sz w:val="12"/>
          <w:szCs w:val="12"/>
          <w:color w:val="auto"/>
        </w:rPr>
      </w:pPr>
    </w:p>
    <w:p>
      <w:pPr>
        <w:ind w:left="5396" w:hanging="62"/>
        <w:spacing w:after="0"/>
        <w:tabs>
          <w:tab w:leader="none" w:pos="5396" w:val="left"/>
        </w:tabs>
        <w:numPr>
          <w:ilvl w:val="1"/>
          <w:numId w:val="189"/>
        </w:numPr>
        <w:rPr>
          <w:rFonts w:ascii="Arial" w:cs="Arial" w:eastAsia="Arial" w:hAnsi="Arial"/>
          <w:sz w:val="12"/>
          <w:szCs w:val="12"/>
          <w:color w:val="auto"/>
        </w:rPr>
      </w:pPr>
      <w:r>
        <w:rPr>
          <w:rFonts w:ascii="Arial" w:cs="Arial" w:eastAsia="Arial" w:hAnsi="Arial"/>
          <w:sz w:val="12"/>
          <w:szCs w:val="12"/>
          <w:color w:val="auto"/>
        </w:rPr>
        <w:t>162 -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9525</wp:posOffset>
            </wp:positionV>
            <wp:extent cx="7292340" cy="571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16"/>
          </w:cols>
          <w:pgMar w:left="464" w:top="653" w:right="319" w:bottom="1440" w:gutter="0" w:footer="0" w:header="0"/>
        </w:sectPr>
      </w:pPr>
    </w:p>
    <w:bookmarkStart w:id="167" w:name="page168"/>
    <w:bookmarkEnd w:id="167"/>
    <w:p>
      <w:pPr>
        <w:spacing w:after="0" w:line="276" w:lineRule="auto"/>
        <w:rPr>
          <w:sz w:val="20"/>
          <w:szCs w:val="20"/>
          <w:color w:val="auto"/>
        </w:rPr>
      </w:pPr>
      <w:r>
        <w:rPr>
          <w:rFonts w:ascii="Arial" w:cs="Arial" w:eastAsia="Arial" w:hAnsi="Arial"/>
          <w:sz w:val="12"/>
          <w:szCs w:val="12"/>
          <w:color w:val="auto"/>
        </w:rPr>
        <w:t>Foreign currency transactions are made at the free market exchange rates of the countries where Credicorp’s Subsidiaries are established. As of December 31, 2019 and 2018, the Group’s assets and liabilities by currencies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At December 31,2019</w:t>
            </w: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0"/>
                <w:szCs w:val="10"/>
                <w:b w:val="1"/>
                <w:bCs w:val="1"/>
                <w:color w:val="auto"/>
              </w:rPr>
              <w:t>At December 31, 2018</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Other</w:t>
            </w: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Other</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680" w:type="dxa"/>
            <w:vAlign w:val="bottom"/>
          </w:tcPr>
          <w:p>
            <w:pPr>
              <w:spacing w:after="0"/>
              <w:rPr>
                <w:sz w:val="9"/>
                <w:szCs w:val="9"/>
                <w:color w:val="auto"/>
              </w:rPr>
            </w:pPr>
          </w:p>
        </w:tc>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Soles</w:t>
            </w:r>
          </w:p>
        </w:tc>
        <w:tc>
          <w:tcPr>
            <w:tcW w:w="7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92"/>
              </w:rPr>
              <w:t>U.S. Dollars</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currencies</w:t>
            </w:r>
          </w:p>
        </w:tc>
        <w:tc>
          <w:tcPr>
            <w:tcW w:w="8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Total</w:t>
            </w:r>
          </w:p>
        </w:tc>
        <w:tc>
          <w:tcPr>
            <w:tcW w:w="76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rPr>
              <w:t>Soles</w:t>
            </w:r>
          </w:p>
        </w:tc>
        <w:tc>
          <w:tcPr>
            <w:tcW w:w="7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8"/>
              </w:rPr>
              <w:t>U.S. Dollars</w:t>
            </w:r>
          </w:p>
        </w:tc>
        <w:tc>
          <w:tcPr>
            <w:tcW w:w="7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currencies</w:t>
            </w:r>
          </w:p>
        </w:tc>
        <w:tc>
          <w:tcPr>
            <w:tcW w:w="7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4680" w:type="dxa"/>
            <w:vAlign w:val="bottom"/>
          </w:tcPr>
          <w:p>
            <w:pPr>
              <w:spacing w:after="0"/>
              <w:rPr>
                <w:sz w:val="7"/>
                <w:szCs w:val="7"/>
                <w:color w:val="auto"/>
              </w:rPr>
            </w:pPr>
          </w:p>
        </w:tc>
        <w:tc>
          <w:tcPr>
            <w:tcW w:w="58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180" w:type="dxa"/>
            <w:vAlign w:val="bottom"/>
          </w:tcPr>
          <w:p>
            <w:pPr>
              <w:spacing w:after="0"/>
              <w:rPr>
                <w:sz w:val="7"/>
                <w:szCs w:val="7"/>
                <w:color w:val="auto"/>
              </w:rPr>
            </w:pPr>
          </w:p>
        </w:tc>
        <w:tc>
          <w:tcPr>
            <w:tcW w:w="58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right"/>
              <w:ind w:right="13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5"/>
              </w:rPr>
              <w:t>S/(000)</w:t>
            </w:r>
          </w:p>
        </w:tc>
        <w:tc>
          <w:tcPr>
            <w:tcW w:w="200" w:type="dxa"/>
            <w:vAlign w:val="bottom"/>
          </w:tcPr>
          <w:p>
            <w:pPr>
              <w:spacing w:after="0"/>
              <w:rPr>
                <w:sz w:val="7"/>
                <w:szCs w:val="7"/>
                <w:color w:val="auto"/>
              </w:rPr>
            </w:pPr>
          </w:p>
        </w:tc>
        <w:tc>
          <w:tcPr>
            <w:tcW w:w="620" w:type="dxa"/>
            <w:vAlign w:val="bottom"/>
            <w:tcBorders>
              <w:top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Monetary assets</w:t>
            </w: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Cash and due from banks</w:t>
            </w: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3,960,190</w:t>
            </w:r>
          </w:p>
        </w:tc>
        <w:tc>
          <w:tcPr>
            <w:tcW w:w="18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20,762,648</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1,263,924</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25,986,762</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3,582,390</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17,117,551</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1,468,575</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22,168,516</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Cash collateral, reverse repurchase agreements and securities borrowing</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150,009</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3,389,090</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749,425</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4,288,524</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6,654</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3,362,285</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714,003</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4,082,942</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Investments:</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At fair value through profit or loss</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800,370</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1,053,925</w:t>
            </w: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1,996,467</w:t>
            </w: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3,850,762</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541,649</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733,801</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2,236,995</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3,512,445</w:t>
            </w:r>
          </w:p>
        </w:tc>
        <w:tc>
          <w:tcPr>
            <w:tcW w:w="0" w:type="dxa"/>
            <w:vAlign w:val="bottom"/>
          </w:tcPr>
          <w:p>
            <w:pPr>
              <w:spacing w:after="0"/>
              <w:rPr>
                <w:sz w:val="1"/>
                <w:szCs w:val="1"/>
                <w:color w:val="auto"/>
              </w:rPr>
            </w:pPr>
          </w:p>
        </w:tc>
      </w:tr>
      <w:tr>
        <w:trPr>
          <w:trHeight w:val="99"/>
        </w:trPr>
        <w:tc>
          <w:tcPr>
            <w:tcW w:w="4680" w:type="dxa"/>
            <w:vAlign w:val="bottom"/>
          </w:tcPr>
          <w:p>
            <w:pPr>
              <w:ind w:left="120"/>
              <w:spacing w:after="0" w:line="99" w:lineRule="exact"/>
              <w:rPr>
                <w:sz w:val="20"/>
                <w:szCs w:val="20"/>
                <w:color w:val="auto"/>
              </w:rPr>
            </w:pPr>
            <w:r>
              <w:rPr>
                <w:rFonts w:ascii="Arial" w:cs="Arial" w:eastAsia="Arial" w:hAnsi="Arial"/>
                <w:sz w:val="10"/>
                <w:szCs w:val="10"/>
                <w:color w:val="auto"/>
              </w:rPr>
              <w:t>At fair value through other comprehensive income</w:t>
            </w: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18,221,102</w:t>
            </w:r>
          </w:p>
        </w:tc>
        <w:tc>
          <w:tcPr>
            <w:tcW w:w="18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6,869,840</w:t>
            </w:r>
          </w:p>
        </w:tc>
        <w:tc>
          <w:tcPr>
            <w:tcW w:w="20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532,582</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25,623,524</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16,757,917</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7,057,303</w:t>
            </w:r>
          </w:p>
        </w:tc>
        <w:tc>
          <w:tcPr>
            <w:tcW w:w="20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731,145</w:t>
            </w: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24,546,365</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At amortized cost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3,355,579</w:t>
            </w:r>
          </w:p>
        </w:tc>
        <w:tc>
          <w:tcPr>
            <w:tcW w:w="1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100,299</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21,168</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3,477,046</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3,239,330</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915,508</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4,154,838</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Loans, net</w:t>
            </w: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66,737,870</w:t>
            </w:r>
          </w:p>
        </w:tc>
        <w:tc>
          <w:tcPr>
            <w:tcW w:w="18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color w:val="auto"/>
              </w:rPr>
              <w:t>35,598,141</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8,149,706</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110,485,717</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61,665,634</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37,032,752</w:t>
            </w:r>
          </w:p>
        </w:tc>
        <w:tc>
          <w:tcPr>
            <w:tcW w:w="2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7,108,612</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105,806,998</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Financial assets designated at fair value through profit or loss</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44,223</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576,321</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620,544</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44,109</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477,077</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521,186</w:t>
            </w:r>
          </w:p>
        </w:tc>
        <w:tc>
          <w:tcPr>
            <w:tcW w:w="0" w:type="dxa"/>
            <w:vAlign w:val="bottom"/>
          </w:tcPr>
          <w:p>
            <w:pPr>
              <w:spacing w:after="0"/>
              <w:rPr>
                <w:sz w:val="1"/>
                <w:szCs w:val="1"/>
                <w:color w:val="auto"/>
              </w:rPr>
            </w:pPr>
          </w:p>
        </w:tc>
      </w:tr>
      <w:tr>
        <w:trPr>
          <w:trHeight w:val="108"/>
        </w:trPr>
        <w:tc>
          <w:tcPr>
            <w:tcW w:w="468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2,072,867</w:t>
            </w:r>
          </w:p>
        </w:tc>
        <w:tc>
          <w:tcPr>
            <w:tcW w:w="1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2,142,237</w:t>
            </w:r>
          </w:p>
        </w:tc>
        <w:tc>
          <w:tcPr>
            <w:tcW w:w="20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678,111</w:t>
            </w: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4,893,215</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2,561,684</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2,765,000</w:t>
            </w:r>
          </w:p>
        </w:tc>
        <w:tc>
          <w:tcPr>
            <w:tcW w:w="20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408,913</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5,735,597</w:t>
            </w:r>
          </w:p>
        </w:tc>
        <w:tc>
          <w:tcPr>
            <w:tcW w:w="0" w:type="dxa"/>
            <w:vAlign w:val="bottom"/>
          </w:tcPr>
          <w:p>
            <w:pPr>
              <w:spacing w:after="0"/>
              <w:rPr>
                <w:sz w:val="1"/>
                <w:szCs w:val="1"/>
                <w:color w:val="auto"/>
              </w:rPr>
            </w:pPr>
          </w:p>
        </w:tc>
      </w:tr>
      <w:tr>
        <w:trPr>
          <w:trHeight w:val="88"/>
        </w:trPr>
        <w:tc>
          <w:tcPr>
            <w:tcW w:w="46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monetary assets</w:t>
            </w: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95,342,210</w:t>
            </w:r>
          </w:p>
        </w:tc>
        <w:tc>
          <w:tcPr>
            <w:tcW w:w="1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70,492,501</w:t>
            </w:r>
          </w:p>
        </w:tc>
        <w:tc>
          <w:tcPr>
            <w:tcW w:w="2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13,391,383</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179,226,094</w:t>
            </w:r>
          </w:p>
        </w:tc>
        <w:tc>
          <w:tcPr>
            <w:tcW w:w="2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88,399,367</w:t>
            </w:r>
          </w:p>
        </w:tc>
        <w:tc>
          <w:tcPr>
            <w:tcW w:w="2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69,461,277</w:t>
            </w:r>
          </w:p>
        </w:tc>
        <w:tc>
          <w:tcPr>
            <w:tcW w:w="2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12,668,243</w:t>
            </w:r>
          </w:p>
        </w:tc>
        <w:tc>
          <w:tcPr>
            <w:tcW w:w="2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170,528,887</w:t>
            </w: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Monetary liabilities</w:t>
            </w: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Deposits and obligations</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(56,769,748)</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(46,319,179)</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(8,916,458)</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w w:val="99"/>
              </w:rPr>
              <w:t>(112,005,385)</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w w:val="98"/>
              </w:rPr>
              <w:t>(51,559,266)</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(44,122,875)</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(8,869,169)</w:t>
            </w:r>
          </w:p>
        </w:tc>
        <w:tc>
          <w:tcPr>
            <w:tcW w:w="7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(104,551,310)</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Payables from repurchase agreements and securities lending</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(5,068,896)</w:t>
            </w:r>
          </w:p>
        </w:tc>
        <w:tc>
          <w:tcPr>
            <w:tcW w:w="7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(734,441)</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(1,874,679)</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(7,678,016)</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(5,914,736)</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(1,860,424)</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(1,640,197)</w:t>
            </w:r>
          </w:p>
        </w:tc>
        <w:tc>
          <w:tcPr>
            <w:tcW w:w="7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(9,415,357)</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Due to bank and correspondents</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(3,798,717)</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(4,709,610)</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(333,405)</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(8,841,732)</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(3,442,620)</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(4,751,314)</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(254,206)</w:t>
            </w:r>
          </w:p>
        </w:tc>
        <w:tc>
          <w:tcPr>
            <w:tcW w:w="7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(8,448,140)</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Lease liabilities</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(162,103)</w:t>
            </w:r>
          </w:p>
        </w:tc>
        <w:tc>
          <w:tcPr>
            <w:tcW w:w="7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(605,036)</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(80,365)</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(847,504)</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Financial liabilities at fair value through profit or loss</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(94,475)</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(399,225)</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(493,700)</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(35,220)</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(58,031)</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(269,059)</w:t>
            </w:r>
          </w:p>
        </w:tc>
        <w:tc>
          <w:tcPr>
            <w:tcW w:w="7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(362,310)</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Technical reserves for claims and insurance</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(5,642,772)</w:t>
            </w:r>
          </w:p>
        </w:tc>
        <w:tc>
          <w:tcPr>
            <w:tcW w:w="7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(4,301,468)</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(5,993)</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(9,950,233)</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(4,318,973)</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(4,131,263)</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(2,435)</w:t>
            </w:r>
          </w:p>
        </w:tc>
        <w:tc>
          <w:tcPr>
            <w:tcW w:w="7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(8,452,671)</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Bonds and notes issued</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(4,028,893)</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(10,660,989)</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(256,481)</w:t>
            </w:r>
          </w:p>
        </w:tc>
        <w:tc>
          <w:tcPr>
            <w:tcW w:w="82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(14,946,363)</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(3,599,610)</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(11,752,328)</w:t>
            </w:r>
          </w:p>
        </w:tc>
        <w:tc>
          <w:tcPr>
            <w:tcW w:w="76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(105,602)</w:t>
            </w:r>
          </w:p>
        </w:tc>
        <w:tc>
          <w:tcPr>
            <w:tcW w:w="7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(15,457,540)</w:t>
            </w:r>
          </w:p>
        </w:tc>
        <w:tc>
          <w:tcPr>
            <w:tcW w:w="0" w:type="dxa"/>
            <w:vAlign w:val="bottom"/>
          </w:tcPr>
          <w:p>
            <w:pPr>
              <w:spacing w:after="0"/>
              <w:rPr>
                <w:sz w:val="1"/>
                <w:szCs w:val="1"/>
                <w:color w:val="auto"/>
              </w:rPr>
            </w:pP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liabilities</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(3,541,350)</w:t>
            </w: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(1,951,682)</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(874,416)</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(6,367,448)</w:t>
            </w: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(3,452,975)</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(2,208,427)</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(648,395)</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(6,309,797)</w:t>
            </w:r>
          </w:p>
        </w:tc>
        <w:tc>
          <w:tcPr>
            <w:tcW w:w="0" w:type="dxa"/>
            <w:vAlign w:val="bottom"/>
          </w:tcPr>
          <w:p>
            <w:pPr>
              <w:spacing w:after="0"/>
              <w:rPr>
                <w:sz w:val="1"/>
                <w:szCs w:val="1"/>
                <w:color w:val="auto"/>
              </w:rPr>
            </w:pPr>
          </w:p>
        </w:tc>
      </w:tr>
      <w:tr>
        <w:trPr>
          <w:trHeight w:val="88"/>
        </w:trPr>
        <w:tc>
          <w:tcPr>
            <w:tcW w:w="468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Total monetary liabilities</w:t>
            </w: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8"/>
              </w:rPr>
              <w:t>(79,012,479)</w:t>
            </w:r>
          </w:p>
        </w:tc>
        <w:tc>
          <w:tcPr>
            <w:tcW w:w="180" w:type="dxa"/>
            <w:vAlign w:val="bottom"/>
            <w:tcBorders>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8"/>
              </w:rPr>
              <w:t>(69,376,880)</w:t>
            </w:r>
          </w:p>
        </w:tc>
        <w:tc>
          <w:tcPr>
            <w:tcW w:w="20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5"/>
              </w:rPr>
              <w:t>(12,741,022)</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6"/>
              </w:rPr>
              <w:t>(161,130,381)</w:t>
            </w:r>
          </w:p>
        </w:tc>
        <w:tc>
          <w:tcPr>
            <w:tcW w:w="20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5"/>
              </w:rPr>
              <w:t>(72,323,400)</w:t>
            </w:r>
          </w:p>
        </w:tc>
        <w:tc>
          <w:tcPr>
            <w:tcW w:w="20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5"/>
              </w:rPr>
              <w:t>(68,884,662)</w:t>
            </w:r>
          </w:p>
        </w:tc>
        <w:tc>
          <w:tcPr>
            <w:tcW w:w="20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5"/>
              </w:rPr>
              <w:t>(11,789,063)</w:t>
            </w:r>
          </w:p>
        </w:tc>
        <w:tc>
          <w:tcPr>
            <w:tcW w:w="200" w:type="dxa"/>
            <w:vAlign w:val="bottom"/>
            <w:tcBorders>
              <w:bottom w:val="single" w:sz="8" w:color="CCEEFF"/>
            </w:tcBorders>
          </w:tcPr>
          <w:p>
            <w:pPr>
              <w:spacing w:after="0"/>
              <w:rPr>
                <w:sz w:val="7"/>
                <w:szCs w:val="7"/>
                <w:color w:val="auto"/>
              </w:rPr>
            </w:pP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6"/>
              </w:rPr>
              <w:t>(152,997,125)</w:t>
            </w:r>
          </w:p>
        </w:tc>
        <w:tc>
          <w:tcPr>
            <w:tcW w:w="1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680" w:type="dxa"/>
            <w:vAlign w:val="bottom"/>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16,329,731</w:t>
            </w:r>
          </w:p>
        </w:tc>
        <w:tc>
          <w:tcPr>
            <w:tcW w:w="180" w:type="dxa"/>
            <w:vAlign w:val="bottom"/>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1,115,621</w:t>
            </w:r>
          </w:p>
        </w:tc>
        <w:tc>
          <w:tcPr>
            <w:tcW w:w="20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650,361</w:t>
            </w:r>
          </w:p>
        </w:tc>
        <w:tc>
          <w:tcPr>
            <w:tcW w:w="2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18,095,713</w:t>
            </w:r>
          </w:p>
        </w:tc>
        <w:tc>
          <w:tcPr>
            <w:tcW w:w="20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16,075,967</w:t>
            </w:r>
          </w:p>
        </w:tc>
        <w:tc>
          <w:tcPr>
            <w:tcW w:w="20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576,615</w:t>
            </w:r>
          </w:p>
        </w:tc>
        <w:tc>
          <w:tcPr>
            <w:tcW w:w="20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879,180</w:t>
            </w:r>
          </w:p>
        </w:tc>
        <w:tc>
          <w:tcPr>
            <w:tcW w:w="20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17,531,762</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Forwards position, net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1,534,948</w:t>
            </w:r>
          </w:p>
        </w:tc>
        <w:tc>
          <w:tcPr>
            <w:tcW w:w="1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(1,351,414)</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(116,899)</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66,635</w:t>
            </w:r>
          </w:p>
        </w:tc>
        <w:tc>
          <w:tcPr>
            <w:tcW w:w="7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1,820,527</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(1,719,788)</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(101,048)</w:t>
            </w:r>
          </w:p>
        </w:tc>
        <w:tc>
          <w:tcPr>
            <w:tcW w:w="7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(309)</w:t>
            </w:r>
          </w:p>
        </w:tc>
        <w:tc>
          <w:tcPr>
            <w:tcW w:w="0" w:type="dxa"/>
            <w:vAlign w:val="bottom"/>
          </w:tcPr>
          <w:p>
            <w:pPr>
              <w:spacing w:after="0"/>
              <w:rPr>
                <w:sz w:val="1"/>
                <w:szCs w:val="1"/>
                <w:color w:val="auto"/>
              </w:rPr>
            </w:pPr>
          </w:p>
        </w:tc>
      </w:tr>
      <w:tr>
        <w:trPr>
          <w:trHeight w:val="99"/>
        </w:trPr>
        <w:tc>
          <w:tcPr>
            <w:tcW w:w="4680" w:type="dxa"/>
            <w:vAlign w:val="bottom"/>
          </w:tcPr>
          <w:p>
            <w:pPr>
              <w:spacing w:after="0" w:line="99" w:lineRule="exact"/>
              <w:rPr>
                <w:sz w:val="20"/>
                <w:szCs w:val="20"/>
                <w:color w:val="auto"/>
              </w:rPr>
            </w:pPr>
            <w:r>
              <w:rPr>
                <w:rFonts w:ascii="Arial" w:cs="Arial" w:eastAsia="Arial" w:hAnsi="Arial"/>
                <w:sz w:val="10"/>
                <w:szCs w:val="10"/>
                <w:color w:val="auto"/>
              </w:rPr>
              <w:t>Currency swaps position, net</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281,672</w:t>
            </w:r>
          </w:p>
        </w:tc>
        <w:tc>
          <w:tcPr>
            <w:tcW w:w="78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(281,672)</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(199,746)</w:t>
            </w:r>
          </w:p>
        </w:tc>
        <w:tc>
          <w:tcPr>
            <w:tcW w:w="7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199,512</w:t>
            </w: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234</w:t>
            </w:r>
          </w:p>
        </w:tc>
        <w:tc>
          <w:tcPr>
            <w:tcW w:w="20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46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Cross currency swaps position, net</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(787,355)</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692,525</w:t>
            </w: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(57,715)</w:t>
            </w:r>
          </w:p>
        </w:tc>
        <w:tc>
          <w:tcPr>
            <w:tcW w:w="8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(152,545)</w:t>
            </w:r>
          </w:p>
        </w:tc>
        <w:tc>
          <w:tcPr>
            <w:tcW w:w="7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(1,833,236)</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1,918,994</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(85,758)</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680" w:type="dxa"/>
            <w:vAlign w:val="bottom"/>
          </w:tcPr>
          <w:p>
            <w:pPr>
              <w:spacing w:after="0" w:line="108" w:lineRule="exact"/>
              <w:rPr>
                <w:sz w:val="20"/>
                <w:szCs w:val="20"/>
                <w:color w:val="auto"/>
              </w:rPr>
            </w:pPr>
            <w:r>
              <w:rPr>
                <w:rFonts w:ascii="Arial" w:cs="Arial" w:eastAsia="Arial" w:hAnsi="Arial"/>
                <w:sz w:val="10"/>
                <w:szCs w:val="10"/>
                <w:color w:val="auto"/>
              </w:rPr>
              <w:t>Options, net</w:t>
            </w: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25,071</w:t>
            </w:r>
          </w:p>
        </w:tc>
        <w:tc>
          <w:tcPr>
            <w:tcW w:w="180" w:type="dxa"/>
            <w:vAlign w:val="bottom"/>
          </w:tcPr>
          <w:p>
            <w:pPr>
              <w:spacing w:after="0"/>
              <w:rPr>
                <w:sz w:val="9"/>
                <w:szCs w:val="9"/>
                <w:color w:val="auto"/>
              </w:rPr>
            </w:pPr>
          </w:p>
        </w:tc>
        <w:tc>
          <w:tcPr>
            <w:tcW w:w="7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(25,071)</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(23,414)</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23,414</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Net monetary position</w:t>
            </w: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68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17,384,067</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149,989</w:t>
            </w: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475,747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18,009,803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15,840,098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998,747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692,608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17,531,453</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- 163 -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020"/>
          </w:cols>
          <w:pgMar w:left="420" w:top="653" w:right="459" w:bottom="1440" w:gutter="0" w:footer="0" w:header="0"/>
        </w:sectPr>
      </w:pPr>
    </w:p>
    <w:bookmarkStart w:id="168" w:name="page169"/>
    <w:bookmarkEnd w:id="168"/>
    <w:p>
      <w:pPr>
        <w:spacing w:after="0" w:line="290" w:lineRule="auto"/>
        <w:rPr>
          <w:sz w:val="20"/>
          <w:szCs w:val="20"/>
          <w:color w:val="auto"/>
        </w:rPr>
      </w:pPr>
      <w:r>
        <w:rPr>
          <w:rFonts w:ascii="Arial" w:cs="Arial" w:eastAsia="Arial" w:hAnsi="Arial"/>
          <w:sz w:val="11"/>
          <w:szCs w:val="11"/>
          <w:color w:val="auto"/>
        </w:rPr>
        <w:t>The Group manages foreign exchange risk by monitoring and controlling the currency position values exposed to changes in exchange rates. The Group measures its performance in soles. (since 2014 considering its change in functional currency, it was measured in U.S. Dollars before), so if the net foreign currency exchange position (U.S. Dollar) is positive, any depreciation of soles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09"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color w:val="auto"/>
        </w:rPr>
        <w:t>The Group’s net foreign exchange position is the sum of its positive open non-soles positions (net long position) less the sum of its negative open non-soles positions (net short position). Any depreciation/appreciation of the foreign exchange position would affect the consolidated statement of income. A currency mismatch would leave the Group’s consolidated statement of financial position vulnerable to a fluctuation of foreign currency (exchange rate shock).</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- 164 -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20"/>
          </w:cols>
          <w:pgMar w:left="420" w:top="653" w:right="359" w:bottom="1440" w:gutter="0" w:footer="0" w:header="0"/>
        </w:sectPr>
      </w:pPr>
    </w:p>
    <w:bookmarkStart w:id="169" w:name="page170"/>
    <w:bookmarkEnd w:id="169"/>
    <w:p>
      <w:pPr>
        <w:jc w:val="both"/>
        <w:ind w:left="200" w:right="320"/>
        <w:spacing w:after="0" w:line="263" w:lineRule="auto"/>
        <w:rPr>
          <w:sz w:val="20"/>
          <w:szCs w:val="20"/>
          <w:color w:val="auto"/>
        </w:rPr>
      </w:pPr>
      <w:r>
        <w:rPr>
          <w:rFonts w:ascii="Arial" w:cs="Arial" w:eastAsia="Arial" w:hAnsi="Arial"/>
          <w:sz w:val="12"/>
          <w:szCs w:val="12"/>
          <w:color w:val="auto"/>
        </w:rPr>
        <w:t>The table below shows the sensitivity analysis of the U.S. Dollar, the currency to which the Group had significant exposure as of December 31, 2019 and 2018 in its monetary assets and liabilities and its forecast cash flows. The analysis determines the effect of a reasonably possible variation of the exchange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180"/>
              <w:spacing w:after="0"/>
              <w:rPr>
                <w:sz w:val="20"/>
                <w:szCs w:val="20"/>
                <w:color w:val="auto"/>
              </w:rPr>
            </w:pPr>
            <w:r>
              <w:rPr>
                <w:rFonts w:ascii="Arial" w:cs="Arial" w:eastAsia="Arial" w:hAnsi="Arial"/>
                <w:sz w:val="12"/>
                <w:szCs w:val="12"/>
                <w:b w:val="1"/>
                <w:bCs w:val="1"/>
                <w:color w:val="auto"/>
                <w:w w:val="89"/>
              </w:rPr>
              <w:t>Change in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200"/>
              <w:spacing w:after="0"/>
              <w:rPr>
                <w:sz w:val="20"/>
                <w:szCs w:val="20"/>
                <w:color w:val="auto"/>
              </w:rPr>
            </w:pPr>
            <w:r>
              <w:rPr>
                <w:rFonts w:ascii="Arial" w:cs="Arial" w:eastAsia="Arial" w:hAnsi="Arial"/>
                <w:sz w:val="12"/>
                <w:szCs w:val="12"/>
                <w:b w:val="1"/>
                <w:bCs w:val="1"/>
                <w:color w:val="auto"/>
              </w:rPr>
              <w:t>Currency rate sensitivity</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left="160"/>
              <w:spacing w:after="0"/>
              <w:rPr>
                <w:sz w:val="20"/>
                <w:szCs w:val="20"/>
                <w:color w:val="auto"/>
              </w:rPr>
            </w:pPr>
            <w:r>
              <w:rPr>
                <w:rFonts w:ascii="Arial" w:cs="Arial" w:eastAsia="Arial" w:hAnsi="Arial"/>
                <w:sz w:val="12"/>
                <w:szCs w:val="12"/>
                <w:b w:val="1"/>
                <w:bCs w:val="1"/>
                <w:color w:val="auto"/>
                <w:w w:val="89"/>
              </w:rPr>
              <w:t>currency rates</w:t>
            </w:r>
          </w:p>
        </w:tc>
        <w:tc>
          <w:tcPr>
            <w:tcW w:w="14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332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tcPr>
          <w:p>
            <w:pPr>
              <w:jc w:val="center"/>
              <w:ind w:left="180"/>
              <w:spacing w:after="0" w:line="133" w:lineRule="exact"/>
              <w:rPr>
                <w:sz w:val="20"/>
                <w:szCs w:val="20"/>
                <w:color w:val="auto"/>
              </w:rPr>
            </w:pPr>
            <w:r>
              <w:rPr>
                <w:rFonts w:ascii="Arial" w:cs="Arial" w:eastAsia="Arial" w:hAnsi="Arial"/>
                <w:sz w:val="12"/>
                <w:szCs w:val="12"/>
                <w:b w:val="1"/>
                <w:bCs w:val="1"/>
                <w:color w:val="auto"/>
              </w:rPr>
              <w:t>%</w:t>
            </w: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tcPr>
          <w:p>
            <w:pPr>
              <w:jc w:val="center"/>
              <w:ind w:left="420"/>
              <w:spacing w:after="0" w:line="133" w:lineRule="exact"/>
              <w:rPr>
                <w:sz w:val="20"/>
                <w:szCs w:val="20"/>
                <w:color w:val="auto"/>
              </w:rPr>
            </w:pPr>
            <w:r>
              <w:rPr>
                <w:rFonts w:ascii="Arial" w:cs="Arial" w:eastAsia="Arial" w:hAnsi="Arial"/>
                <w:sz w:val="12"/>
                <w:szCs w:val="12"/>
                <w:b w:val="1"/>
                <w:bCs w:val="1"/>
                <w:color w:val="auto"/>
                <w:w w:val="89"/>
              </w:rPr>
              <w:t>S/000</w:t>
            </w: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S/000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Depreciation -</w:t>
            </w: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7,142</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47,559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U.S. Dollar</w:t>
            </w: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10</w:t>
            </w:r>
          </w:p>
        </w:tc>
        <w:tc>
          <w:tcPr>
            <w:tcW w:w="9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13,635</w:t>
            </w: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90,795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Appreciation -</w:t>
            </w: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U.S. Dollar</w:t>
            </w: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w:t>
            </w:r>
          </w:p>
        </w:tc>
        <w:tc>
          <w:tcPr>
            <w:tcW w:w="9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(7,894)</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(52,566)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U.S. Dollar</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10</w:t>
            </w:r>
          </w:p>
        </w:tc>
        <w:tc>
          <w:tcPr>
            <w:tcW w:w="9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(16,665)</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(110,972)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- 165 -</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53" w:right="199" w:bottom="1440" w:gutter="0" w:footer="0" w:header="0"/>
        </w:sectPr>
      </w:pPr>
    </w:p>
    <w:bookmarkStart w:id="170" w:name="page171"/>
    <w:bookmarkEnd w:id="170"/>
    <w:p>
      <w:pPr>
        <w:spacing w:after="0"/>
        <w:rPr>
          <w:sz w:val="20"/>
          <w:szCs w:val="20"/>
          <w:color w:val="auto"/>
        </w:rPr>
      </w:pPr>
      <w:r>
        <w:rPr>
          <w:rFonts w:ascii="Arial" w:cs="Arial" w:eastAsia="Arial" w:hAnsi="Arial"/>
          <w:sz w:val="12"/>
          <w:szCs w:val="12"/>
          <w:b w:val="1"/>
          <w:bCs w:val="1"/>
          <w:color w:val="auto"/>
        </w:rPr>
        <w:t>34.3 Liquidity risk -</w:t>
      </w:r>
    </w:p>
    <w:p>
      <w:pPr>
        <w:spacing w:after="0" w:line="154" w:lineRule="exact"/>
        <w:rPr>
          <w:sz w:val="20"/>
          <w:szCs w:val="20"/>
          <w:color w:val="auto"/>
        </w:rPr>
      </w:pPr>
    </w:p>
    <w:p>
      <w:pPr>
        <w:ind w:left="280" w:right="100"/>
        <w:spacing w:after="0" w:line="276" w:lineRule="auto"/>
        <w:rPr>
          <w:sz w:val="20"/>
          <w:szCs w:val="20"/>
          <w:color w:val="auto"/>
        </w:rPr>
      </w:pPr>
      <w:r>
        <w:rPr>
          <w:rFonts w:ascii="Arial" w:cs="Arial" w:eastAsia="Arial" w:hAnsi="Arial"/>
          <w:sz w:val="12"/>
          <w:szCs w:val="12"/>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15" w:lineRule="exact"/>
        <w:rPr>
          <w:sz w:val="20"/>
          <w:szCs w:val="20"/>
          <w:color w:val="auto"/>
        </w:rPr>
      </w:pPr>
    </w:p>
    <w:p>
      <w:pPr>
        <w:ind w:left="280" w:right="80"/>
        <w:spacing w:after="0" w:line="263" w:lineRule="auto"/>
        <w:rPr>
          <w:sz w:val="20"/>
          <w:szCs w:val="20"/>
          <w:color w:val="auto"/>
        </w:rPr>
      </w:pPr>
      <w:r>
        <w:rPr>
          <w:rFonts w:ascii="Arial" w:cs="Arial" w:eastAsia="Arial" w:hAnsi="Arial"/>
          <w:sz w:val="12"/>
          <w:szCs w:val="12"/>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unding, provider, producer and term.</w:t>
      </w:r>
    </w:p>
    <w:p>
      <w:pPr>
        <w:spacing w:after="0" w:line="123" w:lineRule="exact"/>
        <w:rPr>
          <w:sz w:val="20"/>
          <w:szCs w:val="20"/>
          <w:color w:val="auto"/>
        </w:rPr>
      </w:pPr>
    </w:p>
    <w:p>
      <w:pPr>
        <w:ind w:left="280"/>
        <w:spacing w:after="0" w:line="323" w:lineRule="auto"/>
        <w:rPr>
          <w:sz w:val="20"/>
          <w:szCs w:val="20"/>
          <w:color w:val="auto"/>
        </w:rPr>
      </w:pPr>
      <w:r>
        <w:rPr>
          <w:rFonts w:ascii="Arial" w:cs="Arial" w:eastAsia="Arial" w:hAnsi="Arial"/>
          <w:sz w:val="11"/>
          <w:szCs w:val="11"/>
          <w:color w:val="auto"/>
        </w:rPr>
        <w:t>The procedure to controlled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Maturities of assets and liabilities and the ability to replace them, at an acceptable cost are important factors in assessing the liquidity of the Group.</w:t>
      </w:r>
    </w:p>
    <w:p>
      <w:pPr>
        <w:spacing w:after="0" w:line="150" w:lineRule="exact"/>
        <w:rPr>
          <w:sz w:val="20"/>
          <w:szCs w:val="20"/>
          <w:color w:val="auto"/>
        </w:rPr>
      </w:pPr>
    </w:p>
    <w:p>
      <w:pPr>
        <w:ind w:left="280" w:right="120"/>
        <w:spacing w:after="0" w:line="263" w:lineRule="auto"/>
        <w:rPr>
          <w:sz w:val="20"/>
          <w:szCs w:val="20"/>
          <w:color w:val="auto"/>
        </w:rPr>
      </w:pPr>
      <w:r>
        <w:rPr>
          <w:rFonts w:ascii="Arial" w:cs="Arial" w:eastAsia="Arial" w:hAnsi="Arial"/>
          <w:sz w:val="12"/>
          <w:szCs w:val="12"/>
          <w:color w:val="auto"/>
        </w:rPr>
        <w:t>A mismatch, in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23" w:lineRule="exact"/>
        <w:rPr>
          <w:sz w:val="20"/>
          <w:szCs w:val="20"/>
          <w:color w:val="auto"/>
        </w:rPr>
      </w:pPr>
    </w:p>
    <w:p>
      <w:pPr>
        <w:ind w:left="280" w:right="80"/>
        <w:spacing w:after="0" w:line="276" w:lineRule="auto"/>
        <w:rPr>
          <w:sz w:val="20"/>
          <w:szCs w:val="20"/>
          <w:color w:val="auto"/>
        </w:rPr>
      </w:pPr>
      <w:r>
        <w:rPr>
          <w:rFonts w:ascii="Arial" w:cs="Arial" w:eastAsia="Arial" w:hAnsi="Arial"/>
          <w:sz w:val="12"/>
          <w:szCs w:val="12"/>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Commercial banking and Microfinance:</w:t>
      </w:r>
    </w:p>
    <w:p>
      <w:pPr>
        <w:spacing w:after="0" w:line="154" w:lineRule="exact"/>
        <w:rPr>
          <w:sz w:val="20"/>
          <w:szCs w:val="20"/>
          <w:color w:val="auto"/>
        </w:rPr>
      </w:pPr>
    </w:p>
    <w:p>
      <w:pPr>
        <w:ind w:left="280" w:right="60"/>
        <w:spacing w:after="0" w:line="290" w:lineRule="auto"/>
        <w:rPr>
          <w:sz w:val="20"/>
          <w:szCs w:val="20"/>
          <w:color w:val="auto"/>
        </w:rPr>
      </w:pPr>
      <w:r>
        <w:rPr>
          <w:rFonts w:ascii="Arial" w:cs="Arial" w:eastAsia="Arial" w:hAnsi="Arial"/>
          <w:sz w:val="11"/>
          <w:szCs w:val="11"/>
          <w:color w:val="auto"/>
        </w:rPr>
        <w:t>Liquidity risk exposure in BCP Peru, BCP Bolivia, Mibanco and Atlantic Security Bank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and any excess is presented in the Credicorp Treasury Risk Committee, Credicorp Risk Committee and the Assets Liabilities Committee (ALCO) of the respective subsidiary.</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Insurances and Pensions:</w:t>
      </w:r>
    </w:p>
    <w:p>
      <w:pPr>
        <w:spacing w:after="0" w:line="150" w:lineRule="exact"/>
        <w:rPr>
          <w:sz w:val="20"/>
          <w:szCs w:val="20"/>
          <w:color w:val="auto"/>
        </w:rPr>
      </w:pPr>
    </w:p>
    <w:p>
      <w:pPr>
        <w:jc w:val="both"/>
        <w:ind w:left="280" w:right="60"/>
        <w:spacing w:after="0" w:line="267" w:lineRule="auto"/>
        <w:rPr>
          <w:sz w:val="20"/>
          <w:szCs w:val="20"/>
          <w:color w:val="auto"/>
        </w:rPr>
      </w:pPr>
      <w:r>
        <w:rPr>
          <w:rFonts w:ascii="Arial" w:cs="Arial" w:eastAsia="Arial" w:hAnsi="Arial"/>
          <w:sz w:val="12"/>
          <w:szCs w:val="12"/>
          <w:u w:val="single" w:color="auto"/>
          <w:color w:val="auto"/>
        </w:rPr>
        <w:t>Insurances</w:t>
      </w:r>
      <w:r>
        <w:rPr>
          <w:rFonts w:ascii="Arial" w:cs="Arial" w:eastAsia="Arial" w:hAnsi="Arial"/>
          <w:sz w:val="12"/>
          <w:szCs w:val="12"/>
          <w:b w:val="1"/>
          <w:bCs w:val="1"/>
          <w:color w:val="auto"/>
        </w:rPr>
        <w:t>:</w:t>
      </w:r>
      <w:r>
        <w:rPr>
          <w:rFonts w:ascii="Arial" w:cs="Arial" w:eastAsia="Arial" w:hAnsi="Arial"/>
          <w:sz w:val="12"/>
          <w:szCs w:val="12"/>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0"/>
          </w:cols>
          <w:pgMar w:left="220" w:top="649" w:right="239" w:bottom="1440" w:gutter="0" w:footer="0" w:header="0"/>
        </w:sectPr>
      </w:pPr>
    </w:p>
    <w:bookmarkStart w:id="171" w:name="page172"/>
    <w:bookmarkEnd w:id="171"/>
    <w:p>
      <w:pPr>
        <w:jc w:val="both"/>
        <w:ind w:right="40"/>
        <w:spacing w:after="0" w:line="263" w:lineRule="auto"/>
        <w:rPr>
          <w:sz w:val="20"/>
          <w:szCs w:val="20"/>
          <w:color w:val="auto"/>
        </w:rPr>
      </w:pPr>
      <w:r>
        <w:rPr>
          <w:rFonts w:ascii="Arial" w:cs="Arial" w:eastAsia="Arial" w:hAnsi="Arial"/>
          <w:sz w:val="12"/>
          <w:szCs w:val="12"/>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this last under the methodology of Credicorp.</w:t>
      </w:r>
    </w:p>
    <w:p>
      <w:pPr>
        <w:spacing w:after="0" w:line="119"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u w:val="single" w:color="auto"/>
          <w:color w:val="auto"/>
        </w:rPr>
        <w:t>Pensions</w:t>
      </w:r>
      <w:r>
        <w:rPr>
          <w:rFonts w:ascii="Arial" w:cs="Arial" w:eastAsia="Arial" w:hAnsi="Arial"/>
          <w:sz w:val="12"/>
          <w:szCs w:val="12"/>
          <w:b w:val="1"/>
          <w:bCs w:val="1"/>
          <w:color w:val="auto"/>
        </w:rPr>
        <w:t>:</w:t>
      </w:r>
      <w:r>
        <w:rPr>
          <w:rFonts w:ascii="Arial" w:cs="Arial" w:eastAsia="Arial" w:hAnsi="Arial"/>
          <w:sz w:val="12"/>
          <w:szCs w:val="12"/>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banking:</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Liquidity risk in the Grupo Credicorp Capital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23"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In the case of Atlantic Security Bank, the risk liquidity management performs through indicators such as Internal Liquidity Coverage Ratio (RCLI, the Spanish acronym) and the Internal Ratio of Stable Net Funding (RFNEI, the Spanish acronym) with the core limits of 100% and any excess is presented in the Credicorp Treasury Risk Committee, Credicorp Risk Committee and the Assets Liabilities Committee (ALCO) of the respective subsidiary.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Companies perform a liquidity risk management using the liquidity Gap or contractual maturity Gap.</w:t>
      </w:r>
    </w:p>
    <w:p>
      <w:pPr>
        <w:spacing w:after="0" w:line="29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- 167 -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9525</wp:posOffset>
            </wp:positionV>
            <wp:extent cx="7292340" cy="571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20"/>
          </w:cols>
          <w:pgMar w:left="500" w:top="653" w:right="279" w:bottom="1440" w:gutter="0" w:footer="0" w:header="0"/>
        </w:sectPr>
      </w:pPr>
    </w:p>
    <w:bookmarkStart w:id="172" w:name="page173"/>
    <w:bookmarkEnd w:id="172"/>
    <w:p>
      <w:pPr>
        <w:ind w:left="280" w:right="40"/>
        <w:spacing w:after="0" w:line="276" w:lineRule="auto"/>
        <w:rPr>
          <w:sz w:val="20"/>
          <w:szCs w:val="20"/>
          <w:color w:val="auto"/>
        </w:rPr>
      </w:pPr>
      <w:r>
        <w:rPr>
          <w:rFonts w:ascii="Arial" w:cs="Arial" w:eastAsia="Arial" w:hAnsi="Arial"/>
          <w:sz w:val="12"/>
          <w:szCs w:val="12"/>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w w:val="89"/>
              </w:rPr>
              <w:t>2019</w:t>
            </w: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w w:val="76"/>
              </w:rPr>
              <w:t>2018</w:t>
            </w: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00" w:type="dxa"/>
            <w:vAlign w:val="bottom"/>
            <w:gridSpan w:val="2"/>
          </w:tcPr>
          <w:p>
            <w:pPr>
              <w:jc w:val="center"/>
              <w:ind w:right="220"/>
              <w:spacing w:after="0" w:line="70" w:lineRule="exact"/>
              <w:rPr>
                <w:sz w:val="20"/>
                <w:szCs w:val="20"/>
                <w:color w:val="auto"/>
              </w:rPr>
            </w:pPr>
            <w:r>
              <w:rPr>
                <w:rFonts w:ascii="Arial" w:cs="Arial" w:eastAsia="Arial" w:hAnsi="Arial"/>
                <w:sz w:val="7"/>
                <w:szCs w:val="7"/>
                <w:b w:val="1"/>
                <w:bCs w:val="1"/>
                <w:color w:val="auto"/>
                <w:w w:val="92"/>
              </w:rPr>
              <w:t>Up to a</w:t>
            </w:r>
          </w:p>
        </w:tc>
        <w:tc>
          <w:tcPr>
            <w:tcW w:w="820" w:type="dxa"/>
            <w:vAlign w:val="bottom"/>
            <w:gridSpan w:val="2"/>
          </w:tcPr>
          <w:p>
            <w:pPr>
              <w:jc w:val="center"/>
              <w:ind w:right="240"/>
              <w:spacing w:after="0" w:line="70" w:lineRule="exact"/>
              <w:rPr>
                <w:sz w:val="20"/>
                <w:szCs w:val="20"/>
                <w:color w:val="auto"/>
              </w:rPr>
            </w:pPr>
            <w:r>
              <w:rPr>
                <w:rFonts w:ascii="Arial" w:cs="Arial" w:eastAsia="Arial" w:hAnsi="Arial"/>
                <w:sz w:val="7"/>
                <w:szCs w:val="7"/>
                <w:b w:val="1"/>
                <w:bCs w:val="1"/>
                <w:color w:val="auto"/>
                <w:w w:val="93"/>
              </w:rPr>
              <w:t>From 1 to</w:t>
            </w:r>
          </w:p>
        </w:tc>
        <w:tc>
          <w:tcPr>
            <w:tcW w:w="600" w:type="dxa"/>
            <w:vAlign w:val="bottom"/>
            <w:gridSpan w:val="2"/>
          </w:tcPr>
          <w:p>
            <w:pPr>
              <w:jc w:val="center"/>
              <w:ind w:right="20"/>
              <w:spacing w:after="0" w:line="70" w:lineRule="exact"/>
              <w:rPr>
                <w:sz w:val="20"/>
                <w:szCs w:val="20"/>
                <w:color w:val="auto"/>
              </w:rPr>
            </w:pPr>
            <w:r>
              <w:rPr>
                <w:rFonts w:ascii="Arial" w:cs="Arial" w:eastAsia="Arial" w:hAnsi="Arial"/>
                <w:sz w:val="7"/>
                <w:szCs w:val="7"/>
                <w:b w:val="1"/>
                <w:bCs w:val="1"/>
                <w:color w:val="auto"/>
                <w:w w:val="93"/>
              </w:rPr>
              <w:t>From 3 to</w:t>
            </w:r>
          </w:p>
        </w:tc>
        <w:tc>
          <w:tcPr>
            <w:tcW w:w="200" w:type="dxa"/>
            <w:vAlign w:val="bottom"/>
          </w:tcPr>
          <w:p>
            <w:pPr>
              <w:spacing w:after="0"/>
              <w:rPr>
                <w:sz w:val="6"/>
                <w:szCs w:val="6"/>
                <w:color w:val="auto"/>
              </w:rPr>
            </w:pPr>
          </w:p>
        </w:tc>
        <w:tc>
          <w:tcPr>
            <w:tcW w:w="820" w:type="dxa"/>
            <w:vAlign w:val="bottom"/>
            <w:gridSpan w:val="2"/>
          </w:tcPr>
          <w:p>
            <w:pPr>
              <w:jc w:val="right"/>
              <w:ind w:right="380"/>
              <w:spacing w:after="0" w:line="70" w:lineRule="exact"/>
              <w:rPr>
                <w:sz w:val="20"/>
                <w:szCs w:val="20"/>
                <w:color w:val="auto"/>
              </w:rPr>
            </w:pPr>
            <w:r>
              <w:rPr>
                <w:rFonts w:ascii="Arial" w:cs="Arial" w:eastAsia="Arial" w:hAnsi="Arial"/>
                <w:sz w:val="7"/>
                <w:szCs w:val="7"/>
                <w:b w:val="1"/>
                <w:bCs w:val="1"/>
                <w:color w:val="auto"/>
              </w:rPr>
              <w:t>From 1 to</w:t>
            </w:r>
          </w:p>
        </w:tc>
        <w:tc>
          <w:tcPr>
            <w:tcW w:w="800" w:type="dxa"/>
            <w:vAlign w:val="bottom"/>
            <w:gridSpan w:val="2"/>
          </w:tcPr>
          <w:p>
            <w:pPr>
              <w:jc w:val="center"/>
              <w:ind w:right="220"/>
              <w:spacing w:after="0" w:line="70" w:lineRule="exact"/>
              <w:rPr>
                <w:sz w:val="20"/>
                <w:szCs w:val="20"/>
                <w:color w:val="auto"/>
              </w:rPr>
            </w:pPr>
            <w:r>
              <w:rPr>
                <w:rFonts w:ascii="Arial" w:cs="Arial" w:eastAsia="Arial" w:hAnsi="Arial"/>
                <w:sz w:val="7"/>
                <w:szCs w:val="7"/>
                <w:b w:val="1"/>
                <w:bCs w:val="1"/>
                <w:color w:val="auto"/>
              </w:rPr>
              <w:t>Over 5</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gridSpan w:val="2"/>
          </w:tcPr>
          <w:p>
            <w:pPr>
              <w:jc w:val="center"/>
              <w:ind w:right="220"/>
              <w:spacing w:after="0" w:line="70" w:lineRule="exact"/>
              <w:rPr>
                <w:sz w:val="20"/>
                <w:szCs w:val="20"/>
                <w:color w:val="auto"/>
              </w:rPr>
            </w:pPr>
            <w:r>
              <w:rPr>
                <w:rFonts w:ascii="Arial" w:cs="Arial" w:eastAsia="Arial" w:hAnsi="Arial"/>
                <w:sz w:val="7"/>
                <w:szCs w:val="7"/>
                <w:b w:val="1"/>
                <w:bCs w:val="1"/>
                <w:color w:val="auto"/>
                <w:w w:val="92"/>
              </w:rPr>
              <w:t>Up to a</w:t>
            </w:r>
          </w:p>
        </w:tc>
        <w:tc>
          <w:tcPr>
            <w:tcW w:w="820" w:type="dxa"/>
            <w:vAlign w:val="bottom"/>
            <w:gridSpan w:val="2"/>
          </w:tcPr>
          <w:p>
            <w:pPr>
              <w:jc w:val="center"/>
              <w:ind w:right="240"/>
              <w:spacing w:after="0" w:line="70" w:lineRule="exact"/>
              <w:rPr>
                <w:sz w:val="20"/>
                <w:szCs w:val="20"/>
                <w:color w:val="auto"/>
              </w:rPr>
            </w:pPr>
            <w:r>
              <w:rPr>
                <w:rFonts w:ascii="Arial" w:cs="Arial" w:eastAsia="Arial" w:hAnsi="Arial"/>
                <w:sz w:val="7"/>
                <w:szCs w:val="7"/>
                <w:b w:val="1"/>
                <w:bCs w:val="1"/>
                <w:color w:val="auto"/>
                <w:w w:val="93"/>
              </w:rPr>
              <w:t>From 1 to</w:t>
            </w:r>
          </w:p>
        </w:tc>
        <w:tc>
          <w:tcPr>
            <w:tcW w:w="580" w:type="dxa"/>
            <w:vAlign w:val="bottom"/>
          </w:tcPr>
          <w:p>
            <w:pPr>
              <w:jc w:val="center"/>
              <w:spacing w:after="0" w:line="70" w:lineRule="exact"/>
              <w:rPr>
                <w:sz w:val="20"/>
                <w:szCs w:val="20"/>
                <w:color w:val="auto"/>
              </w:rPr>
            </w:pPr>
            <w:r>
              <w:rPr>
                <w:rFonts w:ascii="Arial" w:cs="Arial" w:eastAsia="Arial" w:hAnsi="Arial"/>
                <w:sz w:val="7"/>
                <w:szCs w:val="7"/>
                <w:b w:val="1"/>
                <w:bCs w:val="1"/>
                <w:color w:val="auto"/>
                <w:w w:val="93"/>
              </w:rPr>
              <w:t>From 3 to</w:t>
            </w:r>
          </w:p>
        </w:tc>
        <w:tc>
          <w:tcPr>
            <w:tcW w:w="220" w:type="dxa"/>
            <w:vAlign w:val="bottom"/>
          </w:tcPr>
          <w:p>
            <w:pPr>
              <w:spacing w:after="0"/>
              <w:rPr>
                <w:sz w:val="6"/>
                <w:szCs w:val="6"/>
                <w:color w:val="auto"/>
              </w:rPr>
            </w:pPr>
          </w:p>
        </w:tc>
        <w:tc>
          <w:tcPr>
            <w:tcW w:w="780" w:type="dxa"/>
            <w:vAlign w:val="bottom"/>
            <w:gridSpan w:val="2"/>
          </w:tcPr>
          <w:p>
            <w:pPr>
              <w:jc w:val="right"/>
              <w:ind w:right="360"/>
              <w:spacing w:after="0" w:line="70" w:lineRule="exact"/>
              <w:rPr>
                <w:sz w:val="20"/>
                <w:szCs w:val="20"/>
                <w:color w:val="auto"/>
              </w:rPr>
            </w:pPr>
            <w:r>
              <w:rPr>
                <w:rFonts w:ascii="Arial" w:cs="Arial" w:eastAsia="Arial" w:hAnsi="Arial"/>
                <w:sz w:val="7"/>
                <w:szCs w:val="7"/>
                <w:b w:val="1"/>
                <w:bCs w:val="1"/>
                <w:color w:val="auto"/>
              </w:rPr>
              <w:t>From 1 to</w:t>
            </w:r>
          </w:p>
        </w:tc>
        <w:tc>
          <w:tcPr>
            <w:tcW w:w="780" w:type="dxa"/>
            <w:vAlign w:val="bottom"/>
            <w:gridSpan w:val="2"/>
          </w:tcPr>
          <w:p>
            <w:pPr>
              <w:jc w:val="center"/>
              <w:ind w:right="220"/>
              <w:spacing w:after="0" w:line="70" w:lineRule="exact"/>
              <w:rPr>
                <w:sz w:val="20"/>
                <w:szCs w:val="20"/>
                <w:color w:val="auto"/>
              </w:rPr>
            </w:pPr>
            <w:r>
              <w:rPr>
                <w:rFonts w:ascii="Arial" w:cs="Arial" w:eastAsia="Arial" w:hAnsi="Arial"/>
                <w:sz w:val="7"/>
                <w:szCs w:val="7"/>
                <w:b w:val="1"/>
                <w:bCs w:val="1"/>
                <w:color w:val="auto"/>
                <w:w w:val="91"/>
              </w:rPr>
              <w:t>Over 5</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7"/>
                <w:szCs w:val="7"/>
                <w:b w:val="1"/>
                <w:bCs w:val="1"/>
                <w:color w:val="auto"/>
                <w:w w:val="93"/>
              </w:rPr>
              <w:t>month</w:t>
            </w:r>
          </w:p>
        </w:tc>
        <w:tc>
          <w:tcPr>
            <w:tcW w:w="82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w w:val="89"/>
              </w:rPr>
              <w:t>3 months</w:t>
            </w:r>
          </w:p>
        </w:tc>
        <w:tc>
          <w:tcPr>
            <w:tcW w:w="60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w w:val="91"/>
              </w:rPr>
              <w:t>12 months</w:t>
            </w:r>
          </w:p>
        </w:tc>
        <w:tc>
          <w:tcPr>
            <w:tcW w:w="200" w:type="dxa"/>
            <w:vAlign w:val="bottom"/>
          </w:tcPr>
          <w:p>
            <w:pPr>
              <w:spacing w:after="0"/>
              <w:rPr>
                <w:sz w:val="7"/>
                <w:szCs w:val="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7"/>
                <w:szCs w:val="7"/>
                <w:b w:val="1"/>
                <w:bCs w:val="1"/>
                <w:color w:val="auto"/>
              </w:rPr>
              <w:t>5 years</w:t>
            </w:r>
          </w:p>
        </w:tc>
        <w:tc>
          <w:tcPr>
            <w:tcW w:w="80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w w:val="91"/>
              </w:rPr>
              <w:t>Year</w:t>
            </w:r>
          </w:p>
        </w:tc>
        <w:tc>
          <w:tcPr>
            <w:tcW w:w="820" w:type="dxa"/>
            <w:vAlign w:val="bottom"/>
            <w:gridSpan w:val="2"/>
          </w:tcPr>
          <w:p>
            <w:pPr>
              <w:jc w:val="right"/>
              <w:ind w:right="440"/>
              <w:spacing w:after="0"/>
              <w:rPr>
                <w:sz w:val="20"/>
                <w:szCs w:val="20"/>
                <w:color w:val="auto"/>
              </w:rPr>
            </w:pPr>
            <w:r>
              <w:rPr>
                <w:rFonts w:ascii="Arial" w:cs="Arial" w:eastAsia="Arial" w:hAnsi="Arial"/>
                <w:sz w:val="7"/>
                <w:szCs w:val="7"/>
                <w:b w:val="1"/>
                <w:bCs w:val="1"/>
                <w:color w:val="auto"/>
              </w:rPr>
              <w:t>Total</w:t>
            </w:r>
          </w:p>
        </w:tc>
        <w:tc>
          <w:tcPr>
            <w:tcW w:w="800" w:type="dxa"/>
            <w:vAlign w:val="bottom"/>
            <w:gridSpan w:val="2"/>
          </w:tcPr>
          <w:p>
            <w:pPr>
              <w:jc w:val="center"/>
              <w:ind w:right="240"/>
              <w:spacing w:after="0"/>
              <w:rPr>
                <w:sz w:val="20"/>
                <w:szCs w:val="20"/>
                <w:color w:val="auto"/>
              </w:rPr>
            </w:pPr>
            <w:r>
              <w:rPr>
                <w:rFonts w:ascii="Arial" w:cs="Arial" w:eastAsia="Arial" w:hAnsi="Arial"/>
                <w:sz w:val="7"/>
                <w:szCs w:val="7"/>
                <w:b w:val="1"/>
                <w:bCs w:val="1"/>
                <w:color w:val="auto"/>
                <w:w w:val="93"/>
              </w:rPr>
              <w:t>month</w:t>
            </w:r>
          </w:p>
        </w:tc>
        <w:tc>
          <w:tcPr>
            <w:tcW w:w="82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w w:val="89"/>
              </w:rPr>
              <w:t>3 months</w:t>
            </w:r>
          </w:p>
        </w:tc>
        <w:tc>
          <w:tcPr>
            <w:tcW w:w="580" w:type="dxa"/>
            <w:vAlign w:val="bottom"/>
          </w:tcPr>
          <w:p>
            <w:pPr>
              <w:jc w:val="center"/>
              <w:spacing w:after="0"/>
              <w:rPr>
                <w:sz w:val="20"/>
                <w:szCs w:val="20"/>
                <w:color w:val="auto"/>
              </w:rPr>
            </w:pPr>
            <w:r>
              <w:rPr>
                <w:rFonts w:ascii="Arial" w:cs="Arial" w:eastAsia="Arial" w:hAnsi="Arial"/>
                <w:sz w:val="7"/>
                <w:szCs w:val="7"/>
                <w:b w:val="1"/>
                <w:bCs w:val="1"/>
                <w:color w:val="auto"/>
                <w:w w:val="91"/>
              </w:rPr>
              <w:t>12 months</w:t>
            </w:r>
          </w:p>
        </w:tc>
        <w:tc>
          <w:tcPr>
            <w:tcW w:w="220" w:type="dxa"/>
            <w:vAlign w:val="bottom"/>
          </w:tcPr>
          <w:p>
            <w:pPr>
              <w:spacing w:after="0"/>
              <w:rPr>
                <w:sz w:val="7"/>
                <w:szCs w:val="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7"/>
                <w:szCs w:val="7"/>
                <w:b w:val="1"/>
                <w:bCs w:val="1"/>
                <w:color w:val="auto"/>
              </w:rPr>
              <w:t>5 years</w:t>
            </w:r>
          </w:p>
        </w:tc>
        <w:tc>
          <w:tcPr>
            <w:tcW w:w="780" w:type="dxa"/>
            <w:vAlign w:val="bottom"/>
            <w:gridSpan w:val="2"/>
          </w:tcPr>
          <w:p>
            <w:pPr>
              <w:jc w:val="center"/>
              <w:ind w:right="220"/>
              <w:spacing w:after="0"/>
              <w:rPr>
                <w:sz w:val="20"/>
                <w:szCs w:val="20"/>
                <w:color w:val="auto"/>
              </w:rPr>
            </w:pPr>
            <w:r>
              <w:rPr>
                <w:rFonts w:ascii="Arial" w:cs="Arial" w:eastAsia="Arial" w:hAnsi="Arial"/>
                <w:sz w:val="7"/>
                <w:szCs w:val="7"/>
                <w:b w:val="1"/>
                <w:bCs w:val="1"/>
                <w:color w:val="auto"/>
              </w:rPr>
              <w:t>Year</w:t>
            </w:r>
          </w:p>
        </w:tc>
        <w:tc>
          <w:tcPr>
            <w:tcW w:w="6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2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top w:val="single" w:sz="8" w:color="auto"/>
            </w:tcBorders>
          </w:tcPr>
          <w:p>
            <w:pPr>
              <w:jc w:val="right"/>
              <w:ind w:right="144"/>
              <w:spacing w:after="0" w:line="70" w:lineRule="exact"/>
              <w:rPr>
                <w:sz w:val="20"/>
                <w:szCs w:val="20"/>
                <w:color w:val="auto"/>
              </w:rPr>
            </w:pPr>
            <w:r>
              <w:rPr>
                <w:rFonts w:ascii="Arial" w:cs="Arial" w:eastAsia="Arial" w:hAnsi="Arial"/>
                <w:sz w:val="7"/>
                <w:szCs w:val="7"/>
                <w:b w:val="1"/>
                <w:bCs w:val="1"/>
                <w:color w:val="auto"/>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20" w:type="dxa"/>
            <w:vAlign w:val="bottom"/>
          </w:tcPr>
          <w:p>
            <w:pPr>
              <w:spacing w:after="0"/>
              <w:rPr>
                <w:sz w:val="6"/>
                <w:szCs w:val="6"/>
                <w:color w:val="auto"/>
              </w:rPr>
            </w:pPr>
          </w:p>
        </w:tc>
        <w:tc>
          <w:tcPr>
            <w:tcW w:w="580" w:type="dxa"/>
            <w:vAlign w:val="bottom"/>
            <w:tcBorders>
              <w:top w:val="single" w:sz="8" w:color="auto"/>
            </w:tcBorders>
          </w:tcPr>
          <w:p>
            <w:pPr>
              <w:jc w:val="right"/>
              <w:ind w:right="144"/>
              <w:spacing w:after="0" w:line="70" w:lineRule="exact"/>
              <w:rPr>
                <w:sz w:val="20"/>
                <w:szCs w:val="20"/>
                <w:color w:val="auto"/>
              </w:rPr>
            </w:pPr>
            <w:r>
              <w:rPr>
                <w:rFonts w:ascii="Arial" w:cs="Arial" w:eastAsia="Arial" w:hAnsi="Arial"/>
                <w:sz w:val="7"/>
                <w:szCs w:val="7"/>
                <w:b w:val="1"/>
                <w:bCs w:val="1"/>
                <w:color w:val="auto"/>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2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86"/>
              </w:rPr>
              <w:t>S/(000)</w:t>
            </w:r>
          </w:p>
        </w:tc>
        <w:tc>
          <w:tcPr>
            <w:tcW w:w="240" w:type="dxa"/>
            <w:vAlign w:val="bottom"/>
          </w:tcPr>
          <w:p>
            <w:pPr>
              <w:spacing w:after="0"/>
              <w:rPr>
                <w:sz w:val="6"/>
                <w:szCs w:val="6"/>
                <w:color w:val="auto"/>
              </w:rPr>
            </w:pPr>
          </w:p>
        </w:tc>
        <w:tc>
          <w:tcPr>
            <w:tcW w:w="58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95"/>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right"/>
              <w:ind w:right="144"/>
              <w:spacing w:after="0" w:line="70" w:lineRule="exact"/>
              <w:rPr>
                <w:sz w:val="20"/>
                <w:szCs w:val="20"/>
                <w:color w:val="auto"/>
              </w:rPr>
            </w:pPr>
            <w:r>
              <w:rPr>
                <w:rFonts w:ascii="Arial" w:cs="Arial" w:eastAsia="Arial" w:hAnsi="Arial"/>
                <w:sz w:val="7"/>
                <w:szCs w:val="7"/>
                <w:b w:val="1"/>
                <w:bCs w:val="1"/>
                <w:color w:val="auto"/>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7"/>
                <w:szCs w:val="7"/>
                <w:b w:val="1"/>
                <w:bCs w:val="1"/>
                <w:color w:val="auto"/>
                <w:w w:val="87"/>
              </w:rPr>
              <w:t>S/000</w:t>
            </w:r>
          </w:p>
        </w:tc>
        <w:tc>
          <w:tcPr>
            <w:tcW w:w="220" w:type="dxa"/>
            <w:vAlign w:val="bottom"/>
          </w:tcPr>
          <w:p>
            <w:pPr>
              <w:spacing w:after="0"/>
              <w:rPr>
                <w:sz w:val="6"/>
                <w:szCs w:val="6"/>
                <w:color w:val="auto"/>
              </w:rPr>
            </w:pPr>
          </w:p>
        </w:tc>
        <w:tc>
          <w:tcPr>
            <w:tcW w:w="560" w:type="dxa"/>
            <w:vAlign w:val="bottom"/>
            <w:tcBorders>
              <w:top w:val="single" w:sz="8" w:color="auto"/>
            </w:tcBorders>
          </w:tcPr>
          <w:p>
            <w:pPr>
              <w:jc w:val="right"/>
              <w:ind w:right="164"/>
              <w:spacing w:after="0" w:line="70" w:lineRule="exact"/>
              <w:rPr>
                <w:sz w:val="20"/>
                <w:szCs w:val="20"/>
                <w:color w:val="auto"/>
              </w:rPr>
            </w:pPr>
            <w:r>
              <w:rPr>
                <w:rFonts w:ascii="Arial" w:cs="Arial" w:eastAsia="Arial" w:hAnsi="Arial"/>
                <w:sz w:val="7"/>
                <w:szCs w:val="7"/>
                <w:b w:val="1"/>
                <w:bCs w:val="1"/>
                <w:color w:val="auto"/>
              </w:rPr>
              <w:t>S/000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vMerge w:val="continue"/>
          </w:tcPr>
          <w:p>
            <w:pPr>
              <w:spacing w:after="0"/>
              <w:rPr>
                <w:sz w:val="7"/>
                <w:szCs w:val="7"/>
                <w:color w:val="auto"/>
              </w:rPr>
            </w:pPr>
          </w:p>
        </w:tc>
        <w:tc>
          <w:tcPr>
            <w:tcW w:w="1940" w:type="dxa"/>
            <w:vAlign w:val="bottom"/>
          </w:tcPr>
          <w:p>
            <w:pPr>
              <w:spacing w:after="0"/>
              <w:rPr>
                <w:sz w:val="20"/>
                <w:szCs w:val="20"/>
                <w:color w:val="auto"/>
              </w:rPr>
            </w:pPr>
            <w:r>
              <w:rPr>
                <w:rFonts w:ascii="Arial" w:cs="Arial" w:eastAsia="Arial" w:hAnsi="Arial"/>
                <w:sz w:val="7"/>
                <w:szCs w:val="7"/>
                <w:b w:val="1"/>
                <w:bCs w:val="1"/>
                <w:color w:val="auto"/>
              </w:rPr>
              <w:t>Financial assets</w:t>
            </w:r>
          </w:p>
        </w:tc>
        <w:tc>
          <w:tcPr>
            <w:tcW w:w="580" w:type="dxa"/>
            <w:vAlign w:val="bottom"/>
          </w:tcPr>
          <w:p>
            <w:pPr>
              <w:jc w:val="right"/>
              <w:spacing w:after="0"/>
              <w:rPr>
                <w:sz w:val="20"/>
                <w:szCs w:val="20"/>
                <w:color w:val="auto"/>
              </w:rPr>
            </w:pPr>
            <w:r>
              <w:rPr>
                <w:rFonts w:ascii="Arial" w:cs="Arial" w:eastAsia="Arial" w:hAnsi="Arial"/>
                <w:sz w:val="7"/>
                <w:szCs w:val="7"/>
                <w:color w:val="auto"/>
              </w:rPr>
              <w:t>35,352,840</w:t>
            </w:r>
          </w:p>
        </w:tc>
        <w:tc>
          <w:tcPr>
            <w:tcW w:w="22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22,105,919</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49,635,736</w:t>
            </w:r>
          </w:p>
        </w:tc>
        <w:tc>
          <w:tcPr>
            <w:tcW w:w="20" w:type="dxa"/>
            <w:vAlign w:val="bottom"/>
          </w:tcPr>
          <w:p>
            <w:pPr>
              <w:spacing w:after="0"/>
              <w:rPr>
                <w:sz w:val="7"/>
                <w:szCs w:val="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7"/>
                <w:szCs w:val="7"/>
                <w:color w:val="auto"/>
              </w:rPr>
              <w:t>63,189,798</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42,676,791</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212,961,084</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29,543,745</w:t>
            </w:r>
          </w:p>
        </w:tc>
        <w:tc>
          <w:tcPr>
            <w:tcW w:w="580" w:type="dxa"/>
            <w:vAlign w:val="bottom"/>
          </w:tcPr>
          <w:p>
            <w:pPr>
              <w:jc w:val="right"/>
              <w:spacing w:after="0"/>
              <w:rPr>
                <w:sz w:val="20"/>
                <w:szCs w:val="20"/>
                <w:color w:val="auto"/>
              </w:rPr>
            </w:pPr>
            <w:r>
              <w:rPr>
                <w:rFonts w:ascii="Arial" w:cs="Arial" w:eastAsia="Arial" w:hAnsi="Arial"/>
                <w:sz w:val="7"/>
                <w:szCs w:val="7"/>
                <w:color w:val="auto"/>
              </w:rPr>
              <w:t>26,446,311</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42,823,710</w:t>
            </w:r>
          </w:p>
        </w:tc>
        <w:tc>
          <w:tcPr>
            <w:tcW w:w="780" w:type="dxa"/>
            <w:vAlign w:val="bottom"/>
            <w:gridSpan w:val="2"/>
          </w:tcPr>
          <w:p>
            <w:pPr>
              <w:jc w:val="right"/>
              <w:spacing w:after="0"/>
              <w:rPr>
                <w:sz w:val="20"/>
                <w:szCs w:val="20"/>
                <w:color w:val="auto"/>
              </w:rPr>
            </w:pPr>
            <w:r>
              <w:rPr>
                <w:rFonts w:ascii="Arial" w:cs="Arial" w:eastAsia="Arial" w:hAnsi="Arial"/>
                <w:sz w:val="7"/>
                <w:szCs w:val="7"/>
                <w:color w:val="auto"/>
              </w:rPr>
              <w:t>65,551,209</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36,941,247</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201,306,222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tcPr>
          <w:p>
            <w:pPr>
              <w:spacing w:after="0"/>
              <w:rPr>
                <w:sz w:val="20"/>
                <w:szCs w:val="20"/>
                <w:color w:val="auto"/>
              </w:rPr>
            </w:pPr>
            <w:r>
              <w:rPr>
                <w:rFonts w:ascii="Arial" w:cs="Arial" w:eastAsia="Arial" w:hAnsi="Arial"/>
                <w:sz w:val="7"/>
                <w:szCs w:val="7"/>
                <w:b w:val="1"/>
                <w:bCs w:val="1"/>
                <w:color w:val="auto"/>
              </w:rPr>
              <w:t>Financial liabilities by type -</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Deposits and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33,056,293</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10,879,383</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22,008,052</w:t>
            </w:r>
          </w:p>
        </w:tc>
        <w:tc>
          <w:tcPr>
            <w:tcW w:w="20" w:type="dxa"/>
            <w:vAlign w:val="bottom"/>
            <w:shd w:val="clear" w:color="auto" w:fill="CCEEFF"/>
          </w:tcPr>
          <w:p>
            <w:pPr>
              <w:spacing w:after="0"/>
              <w:rPr>
                <w:sz w:val="7"/>
                <w:szCs w:val="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42,265,306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9,820,049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118,029,083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30,659,602</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10,717,381</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20,100,704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38,903,924</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8,663,463</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109,045,074</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960" w:type="dxa"/>
            <w:vAlign w:val="bottom"/>
            <w:gridSpan w:val="2"/>
          </w:tcPr>
          <w:p>
            <w:pPr>
              <w:spacing w:after="0" w:line="74" w:lineRule="exact"/>
              <w:rPr>
                <w:sz w:val="20"/>
                <w:szCs w:val="20"/>
                <w:color w:val="auto"/>
              </w:rPr>
            </w:pPr>
            <w:r>
              <w:rPr>
                <w:rFonts w:ascii="Arial" w:cs="Arial" w:eastAsia="Arial" w:hAnsi="Arial"/>
                <w:sz w:val="7"/>
                <w:szCs w:val="7"/>
                <w:color w:val="auto"/>
              </w:rPr>
              <w:t>Payables from reverse purchase agreements and security</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40" w:type="dxa"/>
            <w:vAlign w:val="bottom"/>
          </w:tcPr>
          <w:p>
            <w:pPr>
              <w:ind w:left="60"/>
              <w:spacing w:after="0"/>
              <w:rPr>
                <w:sz w:val="20"/>
                <w:szCs w:val="20"/>
                <w:color w:val="auto"/>
              </w:rPr>
            </w:pPr>
            <w:r>
              <w:rPr>
                <w:rFonts w:ascii="Arial" w:cs="Arial" w:eastAsia="Arial" w:hAnsi="Arial"/>
                <w:sz w:val="7"/>
                <w:szCs w:val="7"/>
                <w:color w:val="auto"/>
              </w:rPr>
              <w:t>lendings and due to banks and correspondents</w:t>
            </w:r>
          </w:p>
        </w:tc>
        <w:tc>
          <w:tcPr>
            <w:tcW w:w="580" w:type="dxa"/>
            <w:vAlign w:val="bottom"/>
          </w:tcPr>
          <w:p>
            <w:pPr>
              <w:jc w:val="right"/>
              <w:spacing w:after="0"/>
              <w:rPr>
                <w:sz w:val="20"/>
                <w:szCs w:val="20"/>
                <w:color w:val="auto"/>
              </w:rPr>
            </w:pPr>
            <w:r>
              <w:rPr>
                <w:rFonts w:ascii="Arial" w:cs="Arial" w:eastAsia="Arial" w:hAnsi="Arial"/>
                <w:sz w:val="7"/>
                <w:szCs w:val="7"/>
                <w:color w:val="auto"/>
              </w:rPr>
              <w:t>3,880,781</w:t>
            </w:r>
          </w:p>
        </w:tc>
        <w:tc>
          <w:tcPr>
            <w:tcW w:w="22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1,810,265</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1,118,503</w:t>
            </w:r>
          </w:p>
        </w:tc>
        <w:tc>
          <w:tcPr>
            <w:tcW w:w="20" w:type="dxa"/>
            <w:vAlign w:val="bottom"/>
          </w:tcPr>
          <w:p>
            <w:pPr>
              <w:spacing w:after="0"/>
              <w:rPr>
                <w:sz w:val="7"/>
                <w:szCs w:val="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7"/>
                <w:szCs w:val="7"/>
                <w:color w:val="auto"/>
              </w:rPr>
              <w:t>1,933,857</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7,624,058</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16,367,464</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2,920,477</w:t>
            </w:r>
          </w:p>
        </w:tc>
        <w:tc>
          <w:tcPr>
            <w:tcW w:w="580" w:type="dxa"/>
            <w:vAlign w:val="bottom"/>
          </w:tcPr>
          <w:p>
            <w:pPr>
              <w:jc w:val="right"/>
              <w:spacing w:after="0"/>
              <w:rPr>
                <w:sz w:val="20"/>
                <w:szCs w:val="20"/>
                <w:color w:val="auto"/>
              </w:rPr>
            </w:pPr>
            <w:r>
              <w:rPr>
                <w:rFonts w:ascii="Arial" w:cs="Arial" w:eastAsia="Arial" w:hAnsi="Arial"/>
                <w:sz w:val="7"/>
                <w:szCs w:val="7"/>
                <w:color w:val="auto"/>
              </w:rPr>
              <w:t>3,995,758</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4,976,816</w:t>
            </w:r>
          </w:p>
        </w:tc>
        <w:tc>
          <w:tcPr>
            <w:tcW w:w="780" w:type="dxa"/>
            <w:vAlign w:val="bottom"/>
            <w:gridSpan w:val="2"/>
          </w:tcPr>
          <w:p>
            <w:pPr>
              <w:jc w:val="right"/>
              <w:spacing w:after="0"/>
              <w:rPr>
                <w:sz w:val="20"/>
                <w:szCs w:val="20"/>
                <w:color w:val="auto"/>
              </w:rPr>
            </w:pPr>
            <w:r>
              <w:rPr>
                <w:rFonts w:ascii="Arial" w:cs="Arial" w:eastAsia="Arial" w:hAnsi="Arial"/>
                <w:sz w:val="7"/>
                <w:szCs w:val="7"/>
                <w:color w:val="auto"/>
              </w:rPr>
              <w:t>4,639,124</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6,878,937</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23,411,112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Accounts payable to reinsurers and coinsurers</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45,702</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132,581</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25,590</w:t>
            </w:r>
          </w:p>
        </w:tc>
        <w:tc>
          <w:tcPr>
            <w:tcW w:w="20" w:type="dxa"/>
            <w:vAlign w:val="bottom"/>
            <w:shd w:val="clear" w:color="auto" w:fill="CCEEFF"/>
          </w:tcPr>
          <w:p>
            <w:pPr>
              <w:spacing w:after="0"/>
              <w:rPr>
                <w:sz w:val="7"/>
                <w:szCs w:val="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10,784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214,657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9,087</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290,214</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5,088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2,144</w:t>
            </w:r>
          </w:p>
        </w:tc>
        <w:tc>
          <w:tcPr>
            <w:tcW w:w="22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306,533</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960" w:type="dxa"/>
            <w:vAlign w:val="bottom"/>
            <w:gridSpan w:val="2"/>
          </w:tcPr>
          <w:p>
            <w:pPr>
              <w:spacing w:after="0" w:line="74" w:lineRule="exact"/>
              <w:rPr>
                <w:sz w:val="20"/>
                <w:szCs w:val="20"/>
                <w:color w:val="auto"/>
              </w:rPr>
            </w:pPr>
            <w:r>
              <w:rPr>
                <w:rFonts w:ascii="Arial" w:cs="Arial" w:eastAsia="Arial" w:hAnsi="Arial"/>
                <w:sz w:val="7"/>
                <w:szCs w:val="7"/>
                <w:color w:val="auto"/>
              </w:rPr>
              <w:t>Financial liabilities designated at fair value through profit or</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40" w:type="dxa"/>
            <w:vAlign w:val="bottom"/>
          </w:tcPr>
          <w:p>
            <w:pPr>
              <w:ind w:left="60"/>
              <w:spacing w:after="0"/>
              <w:rPr>
                <w:sz w:val="20"/>
                <w:szCs w:val="20"/>
                <w:color w:val="auto"/>
              </w:rPr>
            </w:pPr>
            <w:r>
              <w:rPr>
                <w:rFonts w:ascii="Arial" w:cs="Arial" w:eastAsia="Arial" w:hAnsi="Arial"/>
                <w:sz w:val="7"/>
                <w:szCs w:val="7"/>
                <w:color w:val="auto"/>
              </w:rPr>
              <w:t>loss</w:t>
            </w:r>
          </w:p>
        </w:tc>
        <w:tc>
          <w:tcPr>
            <w:tcW w:w="580" w:type="dxa"/>
            <w:vAlign w:val="bottom"/>
          </w:tcPr>
          <w:p>
            <w:pPr>
              <w:jc w:val="right"/>
              <w:spacing w:after="0"/>
              <w:rPr>
                <w:sz w:val="20"/>
                <w:szCs w:val="20"/>
                <w:color w:val="auto"/>
              </w:rPr>
            </w:pPr>
            <w:r>
              <w:rPr>
                <w:rFonts w:ascii="Arial" w:cs="Arial" w:eastAsia="Arial" w:hAnsi="Arial"/>
                <w:sz w:val="7"/>
                <w:szCs w:val="7"/>
                <w:color w:val="auto"/>
              </w:rPr>
              <w:t>493,700</w:t>
            </w:r>
          </w:p>
        </w:tc>
        <w:tc>
          <w:tcPr>
            <w:tcW w:w="220" w:type="dxa"/>
            <w:vAlign w:val="bottom"/>
          </w:tcPr>
          <w:p>
            <w:pPr>
              <w:spacing w:after="0"/>
              <w:rPr>
                <w:sz w:val="7"/>
                <w:szCs w:val="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493,700</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362,310</w:t>
            </w: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60" w:type="dxa"/>
            <w:vAlign w:val="bottom"/>
          </w:tcPr>
          <w:p>
            <w:pPr>
              <w:jc w:val="right"/>
              <w:spacing w:after="0"/>
              <w:rPr>
                <w:sz w:val="20"/>
                <w:szCs w:val="20"/>
                <w:color w:val="auto"/>
              </w:rPr>
            </w:pPr>
            <w:r>
              <w:rPr>
                <w:rFonts w:ascii="Arial" w:cs="Arial" w:eastAsia="Arial" w:hAnsi="Arial"/>
                <w:sz w:val="7"/>
                <w:szCs w:val="7"/>
                <w:color w:val="auto"/>
              </w:rPr>
              <w:t>362,310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Bonds and notes issued</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549,434</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149,009</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2,138,869</w:t>
            </w:r>
          </w:p>
        </w:tc>
        <w:tc>
          <w:tcPr>
            <w:tcW w:w="20" w:type="dxa"/>
            <w:vAlign w:val="bottom"/>
            <w:shd w:val="clear" w:color="auto" w:fill="CCEEFF"/>
          </w:tcPr>
          <w:p>
            <w:pPr>
              <w:spacing w:after="0"/>
              <w:rPr>
                <w:sz w:val="7"/>
                <w:szCs w:val="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11,255,465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2,709,880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16,802,657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71,272</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133,642</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3,062,572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13,316,127</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473,092</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17,056,705</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tcPr>
          <w:p>
            <w:pPr>
              <w:spacing w:after="0"/>
              <w:rPr>
                <w:sz w:val="20"/>
                <w:szCs w:val="20"/>
                <w:color w:val="auto"/>
              </w:rPr>
            </w:pPr>
            <w:r>
              <w:rPr>
                <w:rFonts w:ascii="Arial" w:cs="Arial" w:eastAsia="Arial" w:hAnsi="Arial"/>
                <w:sz w:val="7"/>
                <w:szCs w:val="7"/>
                <w:color w:val="auto"/>
              </w:rPr>
              <w:t>Lease liabilities</w:t>
            </w:r>
          </w:p>
        </w:tc>
        <w:tc>
          <w:tcPr>
            <w:tcW w:w="580" w:type="dxa"/>
            <w:vAlign w:val="bottom"/>
          </w:tcPr>
          <w:p>
            <w:pPr>
              <w:jc w:val="right"/>
              <w:spacing w:after="0"/>
              <w:rPr>
                <w:sz w:val="20"/>
                <w:szCs w:val="20"/>
                <w:color w:val="auto"/>
              </w:rPr>
            </w:pPr>
            <w:r>
              <w:rPr>
                <w:rFonts w:ascii="Arial" w:cs="Arial" w:eastAsia="Arial" w:hAnsi="Arial"/>
                <w:sz w:val="7"/>
                <w:szCs w:val="7"/>
                <w:color w:val="auto"/>
              </w:rPr>
              <w:t>10,857</w:t>
            </w:r>
          </w:p>
        </w:tc>
        <w:tc>
          <w:tcPr>
            <w:tcW w:w="22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21,751</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96,013</w:t>
            </w:r>
          </w:p>
        </w:tc>
        <w:tc>
          <w:tcPr>
            <w:tcW w:w="20" w:type="dxa"/>
            <w:vAlign w:val="bottom"/>
          </w:tcPr>
          <w:p>
            <w:pPr>
              <w:spacing w:after="0"/>
              <w:rPr>
                <w:sz w:val="7"/>
                <w:szCs w:val="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7"/>
                <w:szCs w:val="7"/>
                <w:color w:val="auto"/>
              </w:rPr>
              <w:t>434,797</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468,213</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1,031,631</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0"/>
        </w:trPr>
        <w:tc>
          <w:tcPr>
            <w:tcW w:w="19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Other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2,719,050</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285,956</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347,590</w:t>
            </w:r>
          </w:p>
        </w:tc>
        <w:tc>
          <w:tcPr>
            <w:tcW w:w="20" w:type="dxa"/>
            <w:vAlign w:val="bottom"/>
            <w:shd w:val="clear" w:color="auto" w:fill="CCEEFF"/>
          </w:tcPr>
          <w:p>
            <w:pPr>
              <w:spacing w:after="0"/>
              <w:rPr>
                <w:sz w:val="7"/>
                <w:szCs w:val="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217,701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1,200,736</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4,771,033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1,989,185</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332,555</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421,685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6,013</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1,315,576</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4,065,014</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960" w:type="dxa"/>
            <w:vAlign w:val="bottom"/>
            <w:tcBorders>
              <w:bottom w:val="single" w:sz="8" w:color="CCEEFF"/>
            </w:tcBorders>
            <w:gridSpan w:val="2"/>
          </w:tcPr>
          <w:p>
            <w:pPr>
              <w:spacing w:after="0" w:line="70" w:lineRule="exact"/>
              <w:rPr>
                <w:sz w:val="20"/>
                <w:szCs w:val="20"/>
                <w:color w:val="auto"/>
              </w:rPr>
            </w:pPr>
            <w:r>
              <w:rPr>
                <w:rFonts w:ascii="Arial" w:cs="Arial" w:eastAsia="Arial" w:hAnsi="Arial"/>
                <w:sz w:val="7"/>
                <w:szCs w:val="7"/>
                <w:b w:val="1"/>
                <w:bCs w:val="1"/>
                <w:color w:val="auto"/>
              </w:rPr>
              <w:t>Total liabilities</w:t>
            </w: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40,755,817</w:t>
            </w:r>
          </w:p>
        </w:tc>
        <w:tc>
          <w:tcPr>
            <w:tcW w:w="22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13,278,945</w:t>
            </w:r>
          </w:p>
        </w:tc>
        <w:tc>
          <w:tcPr>
            <w:tcW w:w="24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25,734,617</w:t>
            </w: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56,117,910</w:t>
            </w:r>
          </w:p>
        </w:tc>
        <w:tc>
          <w:tcPr>
            <w:tcW w:w="24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21,822,936</w:t>
            </w:r>
          </w:p>
        </w:tc>
        <w:tc>
          <w:tcPr>
            <w:tcW w:w="22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157,710,225</w:t>
            </w:r>
          </w:p>
        </w:tc>
        <w:tc>
          <w:tcPr>
            <w:tcW w:w="24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36,011,933</w:t>
            </w:r>
          </w:p>
        </w:tc>
        <w:tc>
          <w:tcPr>
            <w:tcW w:w="22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15,469,550</w:t>
            </w:r>
          </w:p>
        </w:tc>
        <w:tc>
          <w:tcPr>
            <w:tcW w:w="24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28,566,865</w:t>
            </w:r>
          </w:p>
        </w:tc>
        <w:tc>
          <w:tcPr>
            <w:tcW w:w="220" w:type="dxa"/>
            <w:vAlign w:val="bottom"/>
            <w:tcBorders>
              <w:bottom w:val="single" w:sz="8" w:color="CCEEFF"/>
            </w:tcBorders>
          </w:tcPr>
          <w:p>
            <w:pPr>
              <w:spacing w:after="0"/>
              <w:rPr>
                <w:sz w:val="6"/>
                <w:szCs w:val="6"/>
                <w:color w:val="auto"/>
              </w:rPr>
            </w:pPr>
          </w:p>
        </w:tc>
        <w:tc>
          <w:tcPr>
            <w:tcW w:w="56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56,867,332</w:t>
            </w:r>
          </w:p>
        </w:tc>
        <w:tc>
          <w:tcPr>
            <w:tcW w:w="220" w:type="dxa"/>
            <w:vAlign w:val="bottom"/>
            <w:tcBorders>
              <w:bottom w:val="single" w:sz="8" w:color="CCEEFF"/>
            </w:tcBorders>
          </w:tcPr>
          <w:p>
            <w:pPr>
              <w:spacing w:after="0"/>
              <w:rPr>
                <w:sz w:val="6"/>
                <w:szCs w:val="6"/>
                <w:color w:val="auto"/>
              </w:rPr>
            </w:pPr>
          </w:p>
        </w:tc>
        <w:tc>
          <w:tcPr>
            <w:tcW w:w="56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17,331,068</w:t>
            </w:r>
          </w:p>
        </w:tc>
        <w:tc>
          <w:tcPr>
            <w:tcW w:w="220" w:type="dxa"/>
            <w:vAlign w:val="bottom"/>
            <w:tcBorders>
              <w:bottom w:val="single" w:sz="8" w:color="CCEEFF"/>
            </w:tcBorders>
          </w:tcPr>
          <w:p>
            <w:pPr>
              <w:spacing w:after="0"/>
              <w:rPr>
                <w:sz w:val="6"/>
                <w:szCs w:val="6"/>
                <w:color w:val="auto"/>
              </w:rPr>
            </w:pPr>
          </w:p>
        </w:tc>
        <w:tc>
          <w:tcPr>
            <w:tcW w:w="560" w:type="dxa"/>
            <w:vAlign w:val="bottom"/>
            <w:tcBorders>
              <w:top w:val="single" w:sz="8" w:color="auto"/>
              <w:bottom w:val="single" w:sz="8" w:color="auto"/>
            </w:tcBorders>
          </w:tcPr>
          <w:p>
            <w:pPr>
              <w:jc w:val="right"/>
              <w:spacing w:after="0" w:line="70" w:lineRule="exact"/>
              <w:rPr>
                <w:sz w:val="20"/>
                <w:szCs w:val="20"/>
                <w:color w:val="auto"/>
              </w:rPr>
            </w:pPr>
            <w:r>
              <w:rPr>
                <w:rFonts w:ascii="Arial" w:cs="Arial" w:eastAsia="Arial" w:hAnsi="Arial"/>
                <w:sz w:val="7"/>
                <w:szCs w:val="7"/>
                <w:color w:val="auto"/>
              </w:rPr>
              <w:t>154,246,748</w:t>
            </w: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60" w:type="dxa"/>
            <w:vAlign w:val="bottom"/>
            <w:gridSpan w:val="2"/>
          </w:tcPr>
          <w:p>
            <w:pPr>
              <w:spacing w:after="0"/>
              <w:rPr>
                <w:sz w:val="20"/>
                <w:szCs w:val="20"/>
                <w:color w:val="auto"/>
              </w:rPr>
            </w:pPr>
            <w:r>
              <w:rPr>
                <w:rFonts w:ascii="Arial" w:cs="Arial" w:eastAsia="Arial" w:hAnsi="Arial"/>
                <w:sz w:val="7"/>
                <w:szCs w:val="7"/>
                <w:b w:val="1"/>
                <w:bCs w:val="1"/>
                <w:color w:val="auto"/>
              </w:rPr>
              <w:t>Derivative financial liabilities -</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Contractual amounts receivable (Inflows)</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921,774</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722,448</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1,244,120</w:t>
            </w:r>
          </w:p>
        </w:tc>
        <w:tc>
          <w:tcPr>
            <w:tcW w:w="20" w:type="dxa"/>
            <w:vAlign w:val="bottom"/>
            <w:shd w:val="clear" w:color="auto" w:fill="CCEEFF"/>
          </w:tcPr>
          <w:p>
            <w:pPr>
              <w:spacing w:after="0"/>
              <w:rPr>
                <w:sz w:val="7"/>
                <w:szCs w:val="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966,488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966,870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7"/>
                <w:szCs w:val="7"/>
                <w:color w:val="auto"/>
              </w:rPr>
              <w:t>4,821,700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7"/>
                <w:szCs w:val="7"/>
                <w:color w:val="auto"/>
              </w:rPr>
              <w:t>1,537,102</w:t>
            </w: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1,267,858</w:t>
            </w: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1,155,340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1,663,518</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1,058,385</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7"/>
                <w:szCs w:val="7"/>
                <w:color w:val="auto"/>
              </w:rPr>
              <w:t>6,682,203</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60" w:type="dxa"/>
            <w:vAlign w:val="bottom"/>
            <w:gridSpan w:val="2"/>
          </w:tcPr>
          <w:p>
            <w:pPr>
              <w:spacing w:after="0"/>
              <w:rPr>
                <w:sz w:val="20"/>
                <w:szCs w:val="20"/>
                <w:color w:val="auto"/>
              </w:rPr>
            </w:pPr>
            <w:r>
              <w:rPr>
                <w:rFonts w:ascii="Arial" w:cs="Arial" w:eastAsia="Arial" w:hAnsi="Arial"/>
                <w:sz w:val="7"/>
                <w:szCs w:val="7"/>
                <w:color w:val="auto"/>
              </w:rPr>
              <w:t>Contractual amounts payable (outflows)</w:t>
            </w:r>
          </w:p>
        </w:tc>
        <w:tc>
          <w:tcPr>
            <w:tcW w:w="580" w:type="dxa"/>
            <w:vAlign w:val="bottom"/>
          </w:tcPr>
          <w:p>
            <w:pPr>
              <w:jc w:val="right"/>
              <w:spacing w:after="0"/>
              <w:rPr>
                <w:sz w:val="20"/>
                <w:szCs w:val="20"/>
                <w:color w:val="auto"/>
              </w:rPr>
            </w:pPr>
            <w:r>
              <w:rPr>
                <w:rFonts w:ascii="Arial" w:cs="Arial" w:eastAsia="Arial" w:hAnsi="Arial"/>
                <w:sz w:val="7"/>
                <w:szCs w:val="7"/>
                <w:color w:val="auto"/>
              </w:rPr>
              <w:t>501,611</w:t>
            </w:r>
          </w:p>
        </w:tc>
        <w:tc>
          <w:tcPr>
            <w:tcW w:w="22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435,484</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787,985</w:t>
            </w:r>
          </w:p>
        </w:tc>
        <w:tc>
          <w:tcPr>
            <w:tcW w:w="20" w:type="dxa"/>
            <w:vAlign w:val="bottom"/>
          </w:tcPr>
          <w:p>
            <w:pPr>
              <w:spacing w:after="0"/>
              <w:rPr>
                <w:sz w:val="7"/>
                <w:szCs w:val="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7"/>
                <w:szCs w:val="7"/>
                <w:color w:val="auto"/>
              </w:rPr>
              <w:t>1,224,424</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983,394</w:t>
            </w:r>
          </w:p>
        </w:tc>
        <w:tc>
          <w:tcPr>
            <w:tcW w:w="820" w:type="dxa"/>
            <w:vAlign w:val="bottom"/>
            <w:gridSpan w:val="2"/>
          </w:tcPr>
          <w:p>
            <w:pPr>
              <w:jc w:val="right"/>
              <w:ind w:right="240"/>
              <w:spacing w:after="0"/>
              <w:rPr>
                <w:sz w:val="20"/>
                <w:szCs w:val="20"/>
                <w:color w:val="auto"/>
              </w:rPr>
            </w:pPr>
            <w:r>
              <w:rPr>
                <w:rFonts w:ascii="Arial" w:cs="Arial" w:eastAsia="Arial" w:hAnsi="Arial"/>
                <w:sz w:val="7"/>
                <w:szCs w:val="7"/>
                <w:color w:val="auto"/>
              </w:rPr>
              <w:t>3,932,898</w:t>
            </w:r>
          </w:p>
        </w:tc>
        <w:tc>
          <w:tcPr>
            <w:tcW w:w="800" w:type="dxa"/>
            <w:vAlign w:val="bottom"/>
            <w:gridSpan w:val="2"/>
          </w:tcPr>
          <w:p>
            <w:pPr>
              <w:jc w:val="right"/>
              <w:ind w:right="220"/>
              <w:spacing w:after="0"/>
              <w:rPr>
                <w:sz w:val="20"/>
                <w:szCs w:val="20"/>
                <w:color w:val="auto"/>
              </w:rPr>
            </w:pPr>
            <w:r>
              <w:rPr>
                <w:rFonts w:ascii="Arial" w:cs="Arial" w:eastAsia="Arial" w:hAnsi="Arial"/>
                <w:sz w:val="7"/>
                <w:szCs w:val="7"/>
                <w:color w:val="auto"/>
              </w:rPr>
              <w:t>556,987</w:t>
            </w:r>
          </w:p>
        </w:tc>
        <w:tc>
          <w:tcPr>
            <w:tcW w:w="580" w:type="dxa"/>
            <w:vAlign w:val="bottom"/>
          </w:tcPr>
          <w:p>
            <w:pPr>
              <w:jc w:val="right"/>
              <w:spacing w:after="0"/>
              <w:rPr>
                <w:sz w:val="20"/>
                <w:szCs w:val="20"/>
                <w:color w:val="auto"/>
              </w:rPr>
            </w:pPr>
            <w:r>
              <w:rPr>
                <w:rFonts w:ascii="Arial" w:cs="Arial" w:eastAsia="Arial" w:hAnsi="Arial"/>
                <w:sz w:val="7"/>
                <w:szCs w:val="7"/>
                <w:color w:val="auto"/>
              </w:rPr>
              <w:t>274,168</w:t>
            </w:r>
          </w:p>
        </w:tc>
        <w:tc>
          <w:tcPr>
            <w:tcW w:w="2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1,116,070</w:t>
            </w:r>
          </w:p>
        </w:tc>
        <w:tc>
          <w:tcPr>
            <w:tcW w:w="780" w:type="dxa"/>
            <w:vAlign w:val="bottom"/>
            <w:gridSpan w:val="2"/>
          </w:tcPr>
          <w:p>
            <w:pPr>
              <w:jc w:val="right"/>
              <w:spacing w:after="0"/>
              <w:rPr>
                <w:sz w:val="20"/>
                <w:szCs w:val="20"/>
                <w:color w:val="auto"/>
              </w:rPr>
            </w:pPr>
            <w:r>
              <w:rPr>
                <w:rFonts w:ascii="Arial" w:cs="Arial" w:eastAsia="Arial" w:hAnsi="Arial"/>
                <w:sz w:val="7"/>
                <w:szCs w:val="7"/>
                <w:color w:val="auto"/>
              </w:rPr>
              <w:t>1,882,494</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1,104,179</w:t>
            </w:r>
          </w:p>
        </w:tc>
        <w:tc>
          <w:tcPr>
            <w:tcW w:w="22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auto"/>
              </w:rPr>
              <w:t>4,933,898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960" w:type="dxa"/>
            <w:vAlign w:val="bottom"/>
            <w:tcBorders>
              <w:top w:val="single" w:sz="8" w:color="CCEEFF"/>
            </w:tcBorders>
            <w:gridSpan w:val="2"/>
            <w:shd w:val="clear" w:color="auto" w:fill="CCEEFF"/>
          </w:tcPr>
          <w:p>
            <w:pPr>
              <w:spacing w:after="0" w:line="70" w:lineRule="exact"/>
              <w:rPr>
                <w:sz w:val="20"/>
                <w:szCs w:val="20"/>
                <w:color w:val="auto"/>
              </w:rPr>
            </w:pPr>
            <w:r>
              <w:rPr>
                <w:rFonts w:ascii="Arial" w:cs="Arial" w:eastAsia="Arial" w:hAnsi="Arial"/>
                <w:sz w:val="7"/>
                <w:szCs w:val="7"/>
                <w:b w:val="1"/>
                <w:bCs w:val="1"/>
                <w:color w:val="auto"/>
              </w:rPr>
              <w:t>Total liabilities</w:t>
            </w: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420,163</w:t>
            </w:r>
          </w:p>
        </w:tc>
        <w:tc>
          <w:tcPr>
            <w:tcW w:w="2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286,964</w:t>
            </w: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456,135</w:t>
            </w: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(257,936)</w:t>
            </w: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(16,524)</w:t>
            </w:r>
          </w:p>
        </w:tc>
        <w:tc>
          <w:tcPr>
            <w:tcW w:w="2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888,802</w:t>
            </w: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980,115</w:t>
            </w:r>
          </w:p>
        </w:tc>
        <w:tc>
          <w:tcPr>
            <w:tcW w:w="2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993,690</w:t>
            </w: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39,270</w:t>
            </w: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(218,976)</w:t>
            </w: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(45,794)</w:t>
            </w: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1,748,305</w:t>
            </w: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53" w:right="199" w:bottom="1440" w:gutter="0" w:footer="0" w:header="0"/>
        </w:sectPr>
      </w:pPr>
    </w:p>
    <w:bookmarkStart w:id="173" w:name="page174"/>
    <w:bookmarkEnd w:id="173"/>
    <w:p>
      <w:pPr>
        <w:ind w:left="20"/>
        <w:spacing w:after="0"/>
        <w:rPr>
          <w:sz w:val="20"/>
          <w:szCs w:val="20"/>
          <w:color w:val="auto"/>
        </w:rPr>
      </w:pPr>
      <w:r>
        <w:rPr>
          <w:rFonts w:ascii="Arial" w:cs="Arial" w:eastAsia="Arial" w:hAnsi="Arial"/>
          <w:sz w:val="12"/>
          <w:szCs w:val="12"/>
          <w:b w:val="1"/>
          <w:bCs w:val="1"/>
          <w:color w:val="auto"/>
        </w:rPr>
        <w:t>34.4 Operational risk -</w:t>
      </w:r>
    </w:p>
    <w:p>
      <w:pPr>
        <w:spacing w:after="0" w:line="154" w:lineRule="exact"/>
        <w:rPr>
          <w:sz w:val="20"/>
          <w:szCs w:val="20"/>
          <w:color w:val="auto"/>
        </w:rPr>
      </w:pPr>
    </w:p>
    <w:p>
      <w:pPr>
        <w:ind w:left="280" w:right="180"/>
        <w:spacing w:after="0" w:line="380" w:lineRule="auto"/>
        <w:rPr>
          <w:sz w:val="20"/>
          <w:szCs w:val="20"/>
          <w:color w:val="auto"/>
        </w:rPr>
      </w:pPr>
      <w:r>
        <w:rPr>
          <w:rFonts w:ascii="Arial" w:cs="Arial" w:eastAsia="Arial" w:hAnsi="Arial"/>
          <w:sz w:val="10"/>
          <w:szCs w:val="10"/>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 (with the exception of companies under Colombian regulations, where reputational risk is included in operational risk).</w:t>
      </w:r>
    </w:p>
    <w:p>
      <w:pPr>
        <w:spacing w:after="0" w:line="68" w:lineRule="exact"/>
        <w:rPr>
          <w:sz w:val="20"/>
          <w:szCs w:val="20"/>
          <w:color w:val="auto"/>
        </w:rPr>
      </w:pPr>
    </w:p>
    <w:p>
      <w:pPr>
        <w:ind w:left="280"/>
        <w:spacing w:after="0" w:line="276" w:lineRule="auto"/>
        <w:rPr>
          <w:sz w:val="20"/>
          <w:szCs w:val="20"/>
          <w:color w:val="auto"/>
        </w:rPr>
      </w:pPr>
      <w:r>
        <w:rPr>
          <w:rFonts w:ascii="Arial" w:cs="Arial" w:eastAsia="Arial" w:hAnsi="Arial"/>
          <w:sz w:val="12"/>
          <w:szCs w:val="12"/>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15" w:lineRule="exact"/>
        <w:rPr>
          <w:sz w:val="20"/>
          <w:szCs w:val="20"/>
          <w:color w:val="auto"/>
        </w:rPr>
      </w:pPr>
    </w:p>
    <w:p>
      <w:pPr>
        <w:ind w:left="280" w:right="280"/>
        <w:spacing w:after="0" w:line="276" w:lineRule="auto"/>
        <w:rPr>
          <w:sz w:val="20"/>
          <w:szCs w:val="20"/>
          <w:color w:val="auto"/>
        </w:rPr>
      </w:pPr>
      <w:r>
        <w:rPr>
          <w:rFonts w:ascii="Arial" w:cs="Arial" w:eastAsia="Arial" w:hAnsi="Arial"/>
          <w:sz w:val="12"/>
          <w:szCs w:val="12"/>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Likewise carries out an active cybersecurity and fraud prevention management, aligned with the best international practices.</w:t>
      </w:r>
    </w:p>
    <w:p>
      <w:pPr>
        <w:spacing w:after="0" w:line="115" w:lineRule="exact"/>
        <w:rPr>
          <w:sz w:val="20"/>
          <w:szCs w:val="20"/>
          <w:color w:val="auto"/>
        </w:rPr>
      </w:pPr>
    </w:p>
    <w:p>
      <w:pPr>
        <w:ind w:left="280" w:right="260"/>
        <w:spacing w:after="0" w:line="323" w:lineRule="auto"/>
        <w:rPr>
          <w:sz w:val="20"/>
          <w:szCs w:val="20"/>
          <w:color w:val="auto"/>
        </w:rPr>
      </w:pPr>
      <w:r>
        <w:rPr>
          <w:rFonts w:ascii="Arial" w:cs="Arial" w:eastAsia="Arial" w:hAnsi="Arial"/>
          <w:sz w:val="11"/>
          <w:szCs w:val="11"/>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the management of operational risk, cybersecurity, fraud prevention and business continuity, corporate guidelines are used, and methodologies and best practices are shared among the Group's companies.</w:t>
      </w:r>
    </w:p>
    <w:p>
      <w:pPr>
        <w:spacing w:after="0" w:line="150" w:lineRule="exact"/>
        <w:rPr>
          <w:sz w:val="20"/>
          <w:szCs w:val="20"/>
          <w:color w:val="auto"/>
        </w:rPr>
      </w:pPr>
    </w:p>
    <w:p>
      <w:pPr>
        <w:ind w:left="280" w:right="400"/>
        <w:spacing w:after="0" w:line="276" w:lineRule="auto"/>
        <w:rPr>
          <w:sz w:val="20"/>
          <w:szCs w:val="20"/>
          <w:color w:val="auto"/>
        </w:rPr>
      </w:pPr>
      <w:r>
        <w:rPr>
          <w:rFonts w:ascii="Arial" w:cs="Arial" w:eastAsia="Arial" w:hAnsi="Arial"/>
          <w:sz w:val="12"/>
          <w:szCs w:val="12"/>
          <w:color w:val="auto"/>
        </w:rPr>
        <w:t>The management of information security is carried out through a systemic process, documented and known by the entire organization under the best practices and regulatory requirements. The Group designs and develops the guidelines described in the policy and procedures to have strategies for availability, privacy and integrity of the information assets of the organization.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34.5 Risk of the insurance activity -</w:t>
      </w:r>
    </w:p>
    <w:p>
      <w:pPr>
        <w:spacing w:after="0" w:line="154" w:lineRule="exact"/>
        <w:rPr>
          <w:sz w:val="20"/>
          <w:szCs w:val="20"/>
          <w:color w:val="auto"/>
        </w:rPr>
      </w:pPr>
    </w:p>
    <w:p>
      <w:pPr>
        <w:ind w:left="280" w:right="320"/>
        <w:spacing w:after="0" w:line="276" w:lineRule="auto"/>
        <w:rPr>
          <w:sz w:val="20"/>
          <w:szCs w:val="20"/>
          <w:color w:val="auto"/>
        </w:rPr>
      </w:pPr>
      <w:r>
        <w:rPr>
          <w:rFonts w:ascii="Arial" w:cs="Arial" w:eastAsia="Arial" w:hAnsi="Arial"/>
          <w:sz w:val="12"/>
          <w:szCs w:val="12"/>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15" w:lineRule="exact"/>
        <w:rPr>
          <w:sz w:val="20"/>
          <w:szCs w:val="20"/>
          <w:color w:val="auto"/>
        </w:rPr>
      </w:pPr>
    </w:p>
    <w:p>
      <w:pPr>
        <w:jc w:val="both"/>
        <w:ind w:left="280" w:right="120"/>
        <w:spacing w:after="0" w:line="263" w:lineRule="auto"/>
        <w:rPr>
          <w:sz w:val="20"/>
          <w:szCs w:val="20"/>
          <w:color w:val="auto"/>
        </w:rPr>
      </w:pPr>
      <w:r>
        <w:rPr>
          <w:rFonts w:ascii="Arial" w:cs="Arial" w:eastAsia="Arial" w:hAnsi="Arial"/>
          <w:sz w:val="12"/>
          <w:szCs w:val="12"/>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Life insurance contracts -</w:t>
      </w:r>
    </w:p>
    <w:p>
      <w:pPr>
        <w:spacing w:after="0" w:line="150" w:lineRule="exact"/>
        <w:rPr>
          <w:sz w:val="20"/>
          <w:szCs w:val="20"/>
          <w:color w:val="auto"/>
        </w:rPr>
      </w:pPr>
    </w:p>
    <w:p>
      <w:pPr>
        <w:ind w:left="280" w:right="160"/>
        <w:spacing w:after="0" w:line="276" w:lineRule="auto"/>
        <w:rPr>
          <w:sz w:val="20"/>
          <w:szCs w:val="20"/>
          <w:color w:val="auto"/>
        </w:rPr>
      </w:pPr>
      <w:r>
        <w:rPr>
          <w:rFonts w:ascii="Arial" w:cs="Arial" w:eastAsia="Arial" w:hAnsi="Arial"/>
          <w:sz w:val="12"/>
          <w:szCs w:val="12"/>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0"/>
          </w:cols>
          <w:pgMar w:left="220" w:top="793" w:right="239" w:bottom="1440" w:gutter="0" w:footer="0" w:header="0"/>
        </w:sectPr>
      </w:pPr>
    </w:p>
    <w:bookmarkStart w:id="174" w:name="page175"/>
    <w:bookmarkEnd w:id="174"/>
    <w:p>
      <w:pPr>
        <w:jc w:val="both"/>
        <w:ind w:right="60"/>
        <w:spacing w:after="0" w:line="340" w:lineRule="auto"/>
        <w:rPr>
          <w:sz w:val="20"/>
          <w:szCs w:val="20"/>
          <w:color w:val="auto"/>
        </w:rPr>
      </w:pPr>
      <w:r>
        <w:rPr>
          <w:rFonts w:ascii="Arial" w:cs="Arial" w:eastAsia="Arial" w:hAnsi="Arial"/>
          <w:sz w:val="10"/>
          <w:szCs w:val="10"/>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8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retirement, survival and disability annuities contracts, the most significant factor is continuing improvement in medical science and social conditions that increase longevity.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Management has performed a sensitivity analysis of the technical reserve estimates, Note 16(c).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Non-life insurance contracts (general insurance and healthcare) -</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Group mainly issues the following types of non-life general insurance contracts: automobile, technical branches, business and healthcare insurances. Healthcare contracts provide medical expense cover to policyholders. Risks under non-life insurance policies usually cover 12 months.</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Most of these risks do not vary significantly in relation to the location of the risk insured by the Group, type of risk insured or industry.</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 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Group has also limited its exposure by imposing maximum claim amounts on certain contracts as well as the use of reinsurance arrangements in order to limit its exposure to catastrophic events.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Credit risk of the insurance activity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Credit risk is the risk that one party to a financial instrument will cause a financial loss to the other party by failing to discharge the total obligation at maturity.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policies and procedures are in place to mitigate the Group’s exposure to credit risk:</w:t>
      </w:r>
    </w:p>
    <w:p>
      <w:pPr>
        <w:spacing w:after="0" w:line="150" w:lineRule="exact"/>
        <w:rPr>
          <w:sz w:val="20"/>
          <w:szCs w:val="20"/>
          <w:color w:val="auto"/>
        </w:rPr>
      </w:pPr>
    </w:p>
    <w:p>
      <w:pPr>
        <w:ind w:left="220" w:hanging="220"/>
        <w:spacing w:after="0"/>
        <w:tabs>
          <w:tab w:leader="none" w:pos="2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Group sets the maximum amounts and limits that may be granted to corporate counterparties according to their long- term credit ratings.</w:t>
      </w:r>
    </w:p>
    <w:p>
      <w:pPr>
        <w:spacing w:after="0" w:line="294" w:lineRule="exact"/>
        <w:rPr>
          <w:rFonts w:ascii="Arial" w:cs="Arial" w:eastAsia="Arial" w:hAnsi="Arial"/>
          <w:sz w:val="12"/>
          <w:szCs w:val="12"/>
          <w:color w:val="auto"/>
        </w:rPr>
      </w:pPr>
    </w:p>
    <w:p>
      <w:pPr>
        <w:ind w:left="5360" w:hanging="62"/>
        <w:spacing w:after="0"/>
        <w:tabs>
          <w:tab w:leader="none" w:pos="5360" w:val="left"/>
        </w:tabs>
        <w:numPr>
          <w:ilvl w:val="1"/>
          <w:numId w:val="190"/>
        </w:numPr>
        <w:rPr>
          <w:rFonts w:ascii="Arial" w:cs="Arial" w:eastAsia="Arial" w:hAnsi="Arial"/>
          <w:sz w:val="12"/>
          <w:szCs w:val="12"/>
          <w:color w:val="auto"/>
        </w:rPr>
      </w:pPr>
      <w:r>
        <w:rPr>
          <w:rFonts w:ascii="Arial" w:cs="Arial" w:eastAsia="Arial" w:hAnsi="Arial"/>
          <w:sz w:val="12"/>
          <w:szCs w:val="12"/>
          <w:color w:val="auto"/>
        </w:rPr>
        <w:t>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9525</wp:posOffset>
            </wp:positionV>
            <wp:extent cx="7292340" cy="571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00"/>
          </w:cols>
          <w:pgMar w:left="500" w:top="653" w:right="199" w:bottom="1440" w:gutter="0" w:footer="0" w:header="0"/>
        </w:sectPr>
      </w:pPr>
    </w:p>
    <w:bookmarkStart w:id="175" w:name="page176"/>
    <w:bookmarkEnd w:id="175"/>
    <w:p>
      <w:pPr>
        <w:ind w:left="420" w:right="620" w:hanging="140"/>
        <w:spacing w:after="0" w:line="276" w:lineRule="auto"/>
        <w:tabs>
          <w:tab w:leader="none" w:pos="42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Credit risk from customer balances related to non-payment of premiums or contributions,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14" w:lineRule="exact"/>
        <w:rPr>
          <w:rFonts w:ascii="Arial" w:cs="Arial" w:eastAsia="Arial" w:hAnsi="Arial"/>
          <w:sz w:val="12"/>
          <w:szCs w:val="12"/>
          <w:color w:val="auto"/>
        </w:rPr>
      </w:pPr>
    </w:p>
    <w:p>
      <w:pPr>
        <w:ind w:left="420" w:right="240" w:hanging="140"/>
        <w:spacing w:after="0" w:line="263" w:lineRule="auto"/>
        <w:tabs>
          <w:tab w:leader="none" w:pos="42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contracts strategy, determining whether the need exists to establish an allowance for impairment.</w:t>
      </w:r>
    </w:p>
    <w:p>
      <w:pPr>
        <w:spacing w:after="0" w:line="122" w:lineRule="exact"/>
        <w:rPr>
          <w:rFonts w:ascii="Arial" w:cs="Arial" w:eastAsia="Arial" w:hAnsi="Arial"/>
          <w:sz w:val="12"/>
          <w:szCs w:val="12"/>
          <w:color w:val="auto"/>
        </w:rPr>
      </w:pPr>
    </w:p>
    <w:p>
      <w:pPr>
        <w:ind w:left="420" w:right="40" w:hanging="140"/>
        <w:spacing w:after="0" w:line="276" w:lineRule="auto"/>
        <w:tabs>
          <w:tab w:leader="none" w:pos="42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14" w:lineRule="exact"/>
        <w:rPr>
          <w:rFonts w:ascii="Arial" w:cs="Arial" w:eastAsia="Arial" w:hAnsi="Arial"/>
          <w:sz w:val="12"/>
          <w:szCs w:val="12"/>
          <w:color w:val="auto"/>
        </w:rPr>
      </w:pPr>
    </w:p>
    <w:p>
      <w:pPr>
        <w:ind w:left="420" w:right="20" w:hanging="140"/>
        <w:spacing w:after="0" w:line="276" w:lineRule="auto"/>
        <w:tabs>
          <w:tab w:leader="none" w:pos="42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The Group issues Investment Link life insurance contracts whereby the policyholder bears the investment risk on the financial assets held in the Company’s investment portfolio as the policy benefits are directly linked to the value of the assets in the portfolio. Therefore, the Group has no material credit risk on Investment Link financial assets.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34.6 Capital management -</w:t>
      </w:r>
    </w:p>
    <w:p>
      <w:pPr>
        <w:spacing w:after="0" w:line="154" w:lineRule="exact"/>
        <w:rPr>
          <w:sz w:val="20"/>
          <w:szCs w:val="20"/>
          <w:color w:val="auto"/>
        </w:rPr>
      </w:pPr>
    </w:p>
    <w:p>
      <w:pPr>
        <w:ind w:left="280"/>
        <w:spacing w:after="0" w:line="298" w:lineRule="auto"/>
        <w:rPr>
          <w:sz w:val="20"/>
          <w:szCs w:val="20"/>
          <w:color w:val="auto"/>
        </w:rPr>
      </w:pPr>
      <w:r>
        <w:rPr>
          <w:rFonts w:ascii="Arial" w:cs="Arial" w:eastAsia="Arial" w:hAnsi="Arial"/>
          <w:sz w:val="11"/>
          <w:szCs w:val="11"/>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05" w:lineRule="exact"/>
        <w:rPr>
          <w:sz w:val="20"/>
          <w:szCs w:val="20"/>
          <w:color w:val="auto"/>
        </w:rPr>
      </w:pPr>
    </w:p>
    <w:p>
      <w:pPr>
        <w:ind w:left="280" w:right="160"/>
        <w:spacing w:after="0" w:line="263" w:lineRule="auto"/>
        <w:rPr>
          <w:sz w:val="20"/>
          <w:szCs w:val="20"/>
          <w:color w:val="auto"/>
        </w:rPr>
      </w:pPr>
      <w:r>
        <w:rPr>
          <w:rFonts w:ascii="Arial" w:cs="Arial" w:eastAsia="Arial" w:hAnsi="Arial"/>
          <w:sz w:val="12"/>
          <w:szCs w:val="12"/>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23" w:lineRule="exact"/>
        <w:rPr>
          <w:sz w:val="20"/>
          <w:szCs w:val="20"/>
          <w:color w:val="auto"/>
        </w:rPr>
      </w:pPr>
    </w:p>
    <w:p>
      <w:pPr>
        <w:jc w:val="both"/>
        <w:ind w:left="280" w:right="60"/>
        <w:spacing w:after="0" w:line="263" w:lineRule="auto"/>
        <w:rPr>
          <w:sz w:val="20"/>
          <w:szCs w:val="20"/>
          <w:color w:val="auto"/>
        </w:rPr>
      </w:pPr>
      <w:r>
        <w:rPr>
          <w:rFonts w:ascii="Arial" w:cs="Arial" w:eastAsia="Arial" w:hAnsi="Arial"/>
          <w:sz w:val="12"/>
          <w:szCs w:val="12"/>
          <w:color w:val="auto"/>
        </w:rPr>
        <w:t>As of December 31, 2019 and 2018, the regulatory capital for the subsidiaries engaged in financial and insurance activities amounted to approximately S/ 25,732.0 million and S/ 25,063.9 million, respectively. The regulatory capital has been determined in accordance with SBS regulations in force as of said dates. Under the SBS regulations, the Group’s regulatory capital exceeds by approximately S/ 4,151.6 million the minimum regulatory capital required as of December 31, 2019 (approximately S/ 4,658.1 million as of December 31, 2018).</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571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53" w:right="199" w:bottom="1440" w:gutter="0" w:footer="0" w:header="0"/>
        </w:sectPr>
      </w:pPr>
    </w:p>
    <w:bookmarkStart w:id="176" w:name="page177"/>
    <w:bookmarkEnd w:id="176"/>
    <w:p>
      <w:pPr>
        <w:spacing w:after="0"/>
        <w:rPr>
          <w:sz w:val="20"/>
          <w:szCs w:val="20"/>
          <w:color w:val="auto"/>
        </w:rPr>
      </w:pPr>
      <w:r>
        <w:rPr>
          <w:rFonts w:ascii="Arial" w:cs="Arial" w:eastAsia="Arial" w:hAnsi="Arial"/>
          <w:sz w:val="12"/>
          <w:szCs w:val="12"/>
          <w:b w:val="1"/>
          <w:bCs w:val="1"/>
          <w:color w:val="auto"/>
        </w:rPr>
        <w:t>34.7 Fair values -</w:t>
      </w:r>
    </w:p>
    <w:p>
      <w:pPr>
        <w:spacing w:after="0" w:line="154" w:lineRule="exact"/>
        <w:rPr>
          <w:sz w:val="20"/>
          <w:szCs w:val="20"/>
          <w:color w:val="auto"/>
        </w:rPr>
      </w:pPr>
    </w:p>
    <w:p>
      <w:pPr>
        <w:ind w:left="620" w:hanging="376"/>
        <w:spacing w:after="0"/>
        <w:tabs>
          <w:tab w:leader="none" w:pos="62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Financial instruments recorded at fair value and fair value hierarchy -</w:t>
      </w:r>
    </w:p>
    <w:p>
      <w:pPr>
        <w:spacing w:after="0" w:line="150" w:lineRule="exact"/>
        <w:rPr>
          <w:sz w:val="20"/>
          <w:szCs w:val="20"/>
          <w:color w:val="auto"/>
        </w:rPr>
      </w:pPr>
    </w:p>
    <w:p>
      <w:pPr>
        <w:ind w:left="640" w:right="40"/>
        <w:spacing w:after="0" w:line="258" w:lineRule="auto"/>
        <w:rPr>
          <w:sz w:val="20"/>
          <w:szCs w:val="20"/>
          <w:color w:val="auto"/>
        </w:rPr>
      </w:pPr>
      <w:r>
        <w:rPr>
          <w:rFonts w:ascii="Arial" w:cs="Arial" w:eastAsia="Arial" w:hAnsi="Arial"/>
          <w:sz w:val="12"/>
          <w:szCs w:val="12"/>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tbl>
      <w:tblPr>
        <w:tblLayout w:type="fixed"/>
        <w:tblInd w:w="0" w:type="dxa"/>
        <w:tblCellMar>
          <w:top w:w="0" w:type="dxa"/>
          <w:left w:w="0" w:type="dxa"/>
          <w:bottom w:w="0" w:type="dxa"/>
          <w:right w:w="0" w:type="dxa"/>
        </w:tblCellMar>
      </w:tblPr>
      <w:tr>
        <w:trPr>
          <w:trHeight w:val="153"/>
        </w:trPr>
        <w:tc>
          <w:tcPr>
            <w:tcW w:w="9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As of December 31, 2019</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As of December 31, 2018</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Note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Level 2</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640" w:type="dxa"/>
            <w:vAlign w:val="bottom"/>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1</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640" w:type="dxa"/>
            <w:vAlign w:val="bottom"/>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S/(000)</w:t>
            </w: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b w:val="1"/>
                <w:bCs w:val="1"/>
                <w:color w:val="auto"/>
              </w:rPr>
              <w:t>Financial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 financial instruments: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Currency swaps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411,656</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411,656</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354,432</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354,432</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swaps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269,219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269,219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165,172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165,172</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Foreign currency forwards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306,148</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306,148</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124,124</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124,124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Cross currency swaps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98,585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98,585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120,744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120,744</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Foreign exchange options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6,489</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6,489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1,281</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Futures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w:t>
            </w:r>
          </w:p>
        </w:tc>
        <w:tc>
          <w:tcPr>
            <w:tcW w:w="1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w:t>
            </w:r>
          </w:p>
        </w:tc>
        <w:tc>
          <w:tcPr>
            <w:tcW w:w="8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92"/>
              </w:rPr>
              <w:t>13(b)</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1,092,107</w:t>
            </w:r>
          </w:p>
        </w:tc>
        <w:tc>
          <w:tcPr>
            <w:tcW w:w="18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1,092,107</w:t>
            </w:r>
          </w:p>
        </w:tc>
        <w:tc>
          <w:tcPr>
            <w:tcW w:w="18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766,317</w:t>
            </w:r>
          </w:p>
        </w:tc>
        <w:tc>
          <w:tcPr>
            <w:tcW w:w="18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766,317</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vMerge w:val="continue"/>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Investments at fair value through profit of loss</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color w:val="auto"/>
                <w:w w:val="84"/>
              </w:rPr>
              <w:t>6(a)</w:t>
            </w:r>
          </w:p>
        </w:tc>
        <w:tc>
          <w:tcPr>
            <w:tcW w:w="640" w:type="dxa"/>
            <w:vAlign w:val="bottom"/>
          </w:tcPr>
          <w:p>
            <w:pPr>
              <w:jc w:val="right"/>
              <w:spacing w:after="0"/>
              <w:rPr>
                <w:sz w:val="20"/>
                <w:szCs w:val="20"/>
                <w:color w:val="auto"/>
              </w:rPr>
            </w:pPr>
            <w:r>
              <w:rPr>
                <w:rFonts w:ascii="Arial" w:cs="Arial" w:eastAsia="Arial" w:hAnsi="Arial"/>
                <w:sz w:val="12"/>
                <w:szCs w:val="12"/>
                <w:color w:val="auto"/>
              </w:rPr>
              <w:t>2,320,141</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786,477</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744,144</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3,850,762</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1,690,430</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1,012,801</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809,214</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3,512,445</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w w:val="97"/>
              </w:rPr>
              <w:t>Financial assets at fair value through profit of loss</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558,471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62,073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620,544</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470,112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51,074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521,186</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80" w:type="dxa"/>
            <w:vAlign w:val="bottom"/>
            <w:vMerge w:val="continue"/>
          </w:tcPr>
          <w:p>
            <w:pPr>
              <w:spacing w:after="0"/>
              <w:rPr>
                <w:sz w:val="11"/>
                <w:szCs w:val="11"/>
                <w:color w:val="auto"/>
              </w:rPr>
            </w:pPr>
          </w:p>
        </w:tc>
        <w:tc>
          <w:tcPr>
            <w:tcW w:w="260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Investments at fair value through other</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comprehensive income:</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Debt Instruments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3,171,451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5,621,363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8,793,753</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1,487,110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6,924,129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8,416,518</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Certificates of deposit BCRP</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8,665,272</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8,665,272</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9,829,584</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9,829,584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Government treasury bonds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6,194,116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620,465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6,814,581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4,587,264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681,282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5,268,546</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Securitization instruments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629,818</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629,818</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521,452</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521,452</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Negotiable certificates of deposit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377,296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377,296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289,148</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289,148</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Subordinated bonds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29,778</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135,609</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165,387</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9,972</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157,508</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167,480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instruments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177,417</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177,417</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53,637</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53,637</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Equity instruments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239,555</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320,579</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19,065</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579,199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235,566</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396,523</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17,381</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649,470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6(b)</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9,634,900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16,547,819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26,202,723</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6,319,912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18,853,263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22,660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25,195,835</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60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financial assets</w:t>
            </w: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12,513,512</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18,488,476</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764,148</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31,766,136</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8,480,454</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20,683,455</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831,874</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29,995,783</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vMerge w:val="continue"/>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Financial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Arial" w:cs="Arial" w:eastAsia="Arial" w:hAnsi="Arial"/>
                <w:sz w:val="12"/>
                <w:szCs w:val="12"/>
                <w:b w:val="1"/>
                <w:bCs w:val="1"/>
                <w:color w:val="auto"/>
              </w:rPr>
              <w:t>Derivatives financial instruments: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swaps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365,774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365,774</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153,560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153,560</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Currency swaps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366,545</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366,545</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401,856</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401,856</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forwards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246,960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246,960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101,548</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101,548</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Arial" w:cs="Arial" w:eastAsia="Arial" w:hAnsi="Arial"/>
                <w:sz w:val="12"/>
                <w:szCs w:val="12"/>
                <w:color w:val="auto"/>
              </w:rPr>
              <w:t>Cross currency swaps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54,775</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54,775</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55,454</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55,454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exchange options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w:t>
            </w:r>
          </w:p>
        </w:tc>
        <w:tc>
          <w:tcPr>
            <w:tcW w:w="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26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Futures</w:t>
            </w: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2,658</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2,658</w:t>
            </w:r>
          </w:p>
        </w:tc>
        <w:tc>
          <w:tcPr>
            <w:tcW w:w="80" w:type="dxa"/>
            <w:vAlign w:val="bottom"/>
            <w:tcBorders>
              <w:bottom w:val="single" w:sz="8" w:color="CCEEFF"/>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2"/>
                <w:szCs w:val="12"/>
                <w:color w:val="auto"/>
                <w:w w:val="92"/>
              </w:rPr>
              <w:t>13(b)</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1,040,282</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1,040,282</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715,804</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715,804</w:t>
            </w:r>
          </w:p>
        </w:tc>
        <w:tc>
          <w:tcPr>
            <w:tcW w:w="80" w:type="dxa"/>
            <w:vAlign w:val="bottom"/>
            <w:shd w:val="clear" w:color="auto" w:fill="CCEEFF"/>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2600" w:type="dxa"/>
            <w:vAlign w:val="bottom"/>
          </w:tcPr>
          <w:p>
            <w:pPr>
              <w:spacing w:after="0" w:line="136" w:lineRule="exact"/>
              <w:rPr>
                <w:sz w:val="20"/>
                <w:szCs w:val="20"/>
                <w:color w:val="auto"/>
              </w:rPr>
            </w:pPr>
            <w:r>
              <w:rPr>
                <w:rFonts w:ascii="Arial" w:cs="Arial" w:eastAsia="Arial" w:hAnsi="Arial"/>
                <w:sz w:val="12"/>
                <w:szCs w:val="12"/>
                <w:color w:val="auto"/>
              </w:rPr>
              <w:t>Financial liabilities at fair value through profit or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6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loss</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493,700</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493,700</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362,310</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362,310</w:t>
            </w:r>
          </w:p>
        </w:tc>
        <w:tc>
          <w:tcPr>
            <w:tcW w:w="80" w:type="dxa"/>
            <w:vAlign w:val="bottom"/>
            <w:tcBorders>
              <w:bottom w:val="single" w:sz="8" w:color="CCEEFF"/>
            </w:tcBorders>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financial liabilities</w:t>
            </w: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1,533,982</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1,533,982</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1,078,114</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1,078,114</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- 172 -</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49" w:right="199" w:bottom="1440" w:gutter="0" w:footer="0" w:header="0"/>
        </w:sectPr>
      </w:pPr>
    </w:p>
    <w:bookmarkStart w:id="177" w:name="page178"/>
    <w:bookmarkEnd w:id="177"/>
    <w:p>
      <w:pPr>
        <w:ind w:left="80" w:right="140"/>
        <w:spacing w:after="0" w:line="323" w:lineRule="auto"/>
        <w:rPr>
          <w:sz w:val="20"/>
          <w:szCs w:val="20"/>
          <w:color w:val="auto"/>
        </w:rPr>
      </w:pPr>
      <w:r>
        <w:rPr>
          <w:rFonts w:ascii="Arial" w:cs="Arial" w:eastAsia="Arial" w:hAnsi="Arial"/>
          <w:sz w:val="11"/>
          <w:szCs w:val="11"/>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92" w:lineRule="exact"/>
        <w:rPr>
          <w:sz w:val="20"/>
          <w:szCs w:val="20"/>
          <w:color w:val="auto"/>
        </w:rPr>
      </w:pPr>
    </w:p>
    <w:p>
      <w:pPr>
        <w:ind w:left="80" w:right="140"/>
        <w:spacing w:after="0" w:line="276" w:lineRule="auto"/>
        <w:rPr>
          <w:sz w:val="20"/>
          <w:szCs w:val="20"/>
          <w:color w:val="auto"/>
        </w:rPr>
      </w:pPr>
      <w:r>
        <w:rPr>
          <w:rFonts w:ascii="Arial" w:cs="Arial" w:eastAsia="Arial" w:hAnsi="Arial"/>
          <w:sz w:val="12"/>
          <w:szCs w:val="12"/>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15" w:lineRule="exact"/>
        <w:rPr>
          <w:sz w:val="20"/>
          <w:szCs w:val="20"/>
          <w:color w:val="auto"/>
        </w:rPr>
      </w:pPr>
    </w:p>
    <w:p>
      <w:pPr>
        <w:ind w:left="80" w:right="580"/>
        <w:spacing w:after="0" w:line="276" w:lineRule="auto"/>
        <w:rPr>
          <w:sz w:val="20"/>
          <w:szCs w:val="20"/>
          <w:color w:val="auto"/>
        </w:rPr>
      </w:pPr>
      <w:r>
        <w:rPr>
          <w:rFonts w:ascii="Arial" w:cs="Arial" w:eastAsia="Arial" w:hAnsi="Arial"/>
          <w:sz w:val="12"/>
          <w:szCs w:val="12"/>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15"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w:t>
        <w:tab/>
        <w:t>Valuation of derivative financial instruments -</w:t>
      </w:r>
    </w:p>
    <w:p>
      <w:pPr>
        <w:spacing w:after="0" w:line="150" w:lineRule="exact"/>
        <w:rPr>
          <w:sz w:val="20"/>
          <w:szCs w:val="20"/>
          <w:color w:val="auto"/>
        </w:rPr>
      </w:pPr>
    </w:p>
    <w:p>
      <w:pPr>
        <w:jc w:val="both"/>
        <w:ind w:left="220" w:right="160"/>
        <w:spacing w:after="0" w:line="263" w:lineRule="auto"/>
        <w:rPr>
          <w:sz w:val="20"/>
          <w:szCs w:val="20"/>
          <w:color w:val="auto"/>
        </w:rPr>
      </w:pPr>
      <w:r>
        <w:rPr>
          <w:rFonts w:ascii="Arial" w:cs="Arial" w:eastAsia="Arial" w:hAnsi="Arial"/>
          <w:sz w:val="12"/>
          <w:szCs w:val="12"/>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23" w:lineRule="exact"/>
        <w:rPr>
          <w:sz w:val="20"/>
          <w:szCs w:val="20"/>
          <w:color w:val="auto"/>
        </w:rPr>
      </w:pPr>
    </w:p>
    <w:p>
      <w:pPr>
        <w:ind w:left="220"/>
        <w:spacing w:after="0" w:line="263" w:lineRule="auto"/>
        <w:rPr>
          <w:sz w:val="20"/>
          <w:szCs w:val="20"/>
          <w:color w:val="auto"/>
        </w:rPr>
      </w:pPr>
      <w:r>
        <w:rPr>
          <w:rFonts w:ascii="Arial" w:cs="Arial" w:eastAsia="Arial" w:hAnsi="Arial"/>
          <w:sz w:val="12"/>
          <w:szCs w:val="12"/>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23" w:lineRule="exact"/>
        <w:rPr>
          <w:sz w:val="20"/>
          <w:szCs w:val="20"/>
          <w:color w:val="auto"/>
        </w:rPr>
      </w:pPr>
    </w:p>
    <w:p>
      <w:pPr>
        <w:ind w:left="220" w:right="160"/>
        <w:spacing w:after="0" w:line="276" w:lineRule="auto"/>
        <w:rPr>
          <w:sz w:val="20"/>
          <w:szCs w:val="20"/>
          <w:color w:val="auto"/>
        </w:rPr>
      </w:pPr>
      <w:r>
        <w:rPr>
          <w:rFonts w:ascii="Arial" w:cs="Arial" w:eastAsia="Arial" w:hAnsi="Arial"/>
          <w:sz w:val="12"/>
          <w:szCs w:val="12"/>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115" w:lineRule="exact"/>
        <w:rPr>
          <w:sz w:val="20"/>
          <w:szCs w:val="20"/>
          <w:color w:val="auto"/>
        </w:rPr>
      </w:pPr>
    </w:p>
    <w:p>
      <w:pPr>
        <w:ind w:left="220" w:right="20"/>
        <w:spacing w:after="0" w:line="259" w:lineRule="auto"/>
        <w:rPr>
          <w:sz w:val="20"/>
          <w:szCs w:val="20"/>
          <w:color w:val="auto"/>
        </w:rPr>
      </w:pPr>
      <w:r>
        <w:rPr>
          <w:rFonts w:ascii="Arial" w:cs="Arial" w:eastAsia="Arial" w:hAnsi="Arial"/>
          <w:sz w:val="12"/>
          <w:szCs w:val="12"/>
          <w:color w:val="auto"/>
        </w:rPr>
        <w:t>As of December 31, 2019, the balance of receivables and payables corresponding to derivatives amounted to S/ 1,092.1 million and S/ 1,040.3 million respectively, See Note 13(b), generating DVA and CVA adjustments for approximately S/ 12.6 million and S/ 14.0 million respectively. The net impact of both items in the consolidated statement of income amounted to S/ 3.2 million. As of December 31, 2018, the balance of receivables and payables corresponding to derivatives amounted to S/ 766.3 million and S/ 715.8 million, respectively, See Note 13(b), generating DVA and CVA adjustments for approximately S/ 15.4 million and S/ 17.1 million, respectively. Also, the net impact of both items in the consolidated statement of income amounted to S/0.2 million.</w:t>
      </w:r>
    </w:p>
    <w:p>
      <w:pPr>
        <w:spacing w:after="0" w:line="26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- 173 -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80"/>
          </w:cols>
          <w:pgMar w:left="420" w:top="653" w:right="199" w:bottom="1440" w:gutter="0" w:footer="0" w:header="0"/>
        </w:sectPr>
      </w:pPr>
    </w:p>
    <w:bookmarkStart w:id="178" w:name="page179"/>
    <w:bookmarkEnd w:id="178"/>
    <w:p>
      <w:pPr>
        <w:spacing w:after="0"/>
        <w:tabs>
          <w:tab w:leader="none" w:pos="200" w:val="left"/>
        </w:tabs>
        <w:rPr>
          <w:sz w:val="20"/>
          <w:szCs w:val="20"/>
          <w:color w:val="auto"/>
        </w:rPr>
      </w:pPr>
      <w:r>
        <w:rPr>
          <w:rFonts w:ascii="Arial" w:cs="Arial" w:eastAsia="Arial" w:hAnsi="Arial"/>
          <w:sz w:val="12"/>
          <w:szCs w:val="12"/>
          <w:color w:val="auto"/>
        </w:rPr>
        <w:t>-</w:t>
        <w:tab/>
        <w:t>Valuation of debt securities classified in the category “at fair value through other comprehensive income” and included in level 2 -</w:t>
      </w:r>
    </w:p>
    <w:p>
      <w:pPr>
        <w:spacing w:after="0" w:line="150" w:lineRule="exact"/>
        <w:rPr>
          <w:sz w:val="20"/>
          <w:szCs w:val="20"/>
          <w:color w:val="auto"/>
        </w:rPr>
      </w:pPr>
    </w:p>
    <w:p>
      <w:pPr>
        <w:ind w:left="220" w:right="220"/>
        <w:spacing w:after="0" w:line="276" w:lineRule="auto"/>
        <w:rPr>
          <w:sz w:val="20"/>
          <w:szCs w:val="20"/>
          <w:color w:val="auto"/>
        </w:rPr>
      </w:pPr>
      <w:r>
        <w:rPr>
          <w:rFonts w:ascii="Arial" w:cs="Arial" w:eastAsia="Arial" w:hAnsi="Arial"/>
          <w:sz w:val="12"/>
          <w:szCs w:val="12"/>
          <w:color w:val="auto"/>
        </w:rPr>
        <w:t>Valuation of certificates of deposit BCRP,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15"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15" w:lineRule="exact"/>
        <w:rPr>
          <w:sz w:val="20"/>
          <w:szCs w:val="20"/>
          <w:color w:val="auto"/>
        </w:rPr>
      </w:pPr>
    </w:p>
    <w:p>
      <w:pPr>
        <w:ind w:left="220" w:right="320"/>
        <w:spacing w:after="0" w:line="276" w:lineRule="auto"/>
        <w:rPr>
          <w:sz w:val="20"/>
          <w:szCs w:val="20"/>
          <w:color w:val="auto"/>
        </w:rPr>
      </w:pPr>
      <w:r>
        <w:rPr>
          <w:rFonts w:ascii="Arial" w:cs="Arial" w:eastAsia="Arial" w:hAnsi="Arial"/>
          <w:sz w:val="12"/>
          <w:szCs w:val="12"/>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15"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w:t>
        <w:tab/>
        <w:t>Valuation of financial instruments included in level 3 -</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These are measured using valuation techniques (internal models), based on assumptions that are not supported by transaction prices observable in the market for the same instrument, nor based on available market data.</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this regard, no significant differences were noted between the estimated fair values and the respective carrying amounts.</w:t>
      </w:r>
    </w:p>
    <w:p>
      <w:pPr>
        <w:spacing w:after="0" w:line="150" w:lineRule="exact"/>
        <w:rPr>
          <w:sz w:val="20"/>
          <w:szCs w:val="20"/>
          <w:color w:val="auto"/>
        </w:rPr>
      </w:pPr>
    </w:p>
    <w:p>
      <w:pPr>
        <w:ind w:left="220" w:right="140"/>
        <w:spacing w:after="0" w:line="323" w:lineRule="auto"/>
        <w:rPr>
          <w:sz w:val="20"/>
          <w:szCs w:val="20"/>
          <w:color w:val="auto"/>
        </w:rPr>
      </w:pPr>
      <w:r>
        <w:rPr>
          <w:rFonts w:ascii="Arial" w:cs="Arial" w:eastAsia="Arial" w:hAnsi="Arial"/>
          <w:sz w:val="11"/>
          <w:szCs w:val="11"/>
          <w:color w:val="auto"/>
        </w:rPr>
        <w:t>As of December 31, 2019 and 2018, the net unrealized loss of Level 3 financial instruments amounted to S/1.9 million and S/ 2.3 million, respectively. During 2019 and 2018, changes in the carrying amount of Level 3 financial instruments have not been significant since there were no purchases, issuances, settlements or any other significant movements or transfers from level 3 to Level 1 or Level 2 or vice versa.</w:t>
      </w: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- 174 -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260"/>
          </w:cols>
          <w:pgMar w:left="420" w:top="653" w:right="219" w:bottom="1440" w:gutter="0" w:footer="0" w:header="0"/>
        </w:sectPr>
      </w:pPr>
    </w:p>
    <w:bookmarkStart w:id="179" w:name="page180"/>
    <w:bookmarkEnd w:id="179"/>
    <w:p>
      <w:pPr>
        <w:spacing w:after="0"/>
        <w:tabs>
          <w:tab w:leader="none" w:pos="20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Financial instruments not measured at fair value -</w:t>
      </w:r>
    </w:p>
    <w:p>
      <w:pPr>
        <w:spacing w:after="0" w:line="150" w:lineRule="exact"/>
        <w:rPr>
          <w:sz w:val="20"/>
          <w:szCs w:val="20"/>
          <w:color w:val="auto"/>
        </w:rPr>
      </w:pPr>
    </w:p>
    <w:p>
      <w:pPr>
        <w:ind w:left="220"/>
        <w:spacing w:after="0" w:line="276" w:lineRule="auto"/>
        <w:rPr>
          <w:sz w:val="20"/>
          <w:szCs w:val="20"/>
          <w:color w:val="auto"/>
        </w:rPr>
      </w:pPr>
      <w:r>
        <w:rPr>
          <w:rFonts w:ascii="Arial" w:cs="Arial" w:eastAsia="Arial" w:hAnsi="Arial"/>
          <w:sz w:val="12"/>
          <w:szCs w:val="12"/>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17" w:lineRule="exact"/>
        <w:rPr>
          <w:sz w:val="20"/>
          <w:szCs w:val="20"/>
          <w:color w:val="auto"/>
        </w:rPr>
      </w:pPr>
    </w:p>
    <w:tbl>
      <w:tblPr>
        <w:tblLayout w:type="fixed"/>
        <w:tblInd w:w="7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0"/>
                <w:szCs w:val="10"/>
                <w:b w:val="1"/>
                <w:bCs w:val="1"/>
                <w:color w:val="auto"/>
              </w:rPr>
              <w:t>As of December 31, 2019</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6"/>
          </w:tcPr>
          <w:p>
            <w:pPr>
              <w:ind w:left="380"/>
              <w:spacing w:after="0"/>
              <w:rPr>
                <w:sz w:val="20"/>
                <w:szCs w:val="20"/>
                <w:color w:val="auto"/>
              </w:rPr>
            </w:pPr>
            <w:r>
              <w:rPr>
                <w:rFonts w:ascii="Arial" w:cs="Arial" w:eastAsia="Arial" w:hAnsi="Arial"/>
                <w:sz w:val="10"/>
                <w:szCs w:val="10"/>
                <w:b w:val="1"/>
                <w:bCs w:val="1"/>
                <w:color w:val="auto"/>
              </w:rPr>
              <w:t>As of December 31, 2018</w:t>
            </w: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80" w:type="dxa"/>
            <w:vAlign w:val="bottom"/>
            <w:gridSpan w:val="2"/>
          </w:tcPr>
          <w:p>
            <w:pPr>
              <w:ind w:left="80"/>
              <w:spacing w:after="0" w:line="97" w:lineRule="exact"/>
              <w:rPr>
                <w:sz w:val="20"/>
                <w:szCs w:val="20"/>
                <w:color w:val="auto"/>
              </w:rPr>
            </w:pPr>
            <w:r>
              <w:rPr>
                <w:rFonts w:ascii="Arial" w:cs="Arial" w:eastAsia="Arial" w:hAnsi="Arial"/>
                <w:sz w:val="10"/>
                <w:szCs w:val="10"/>
                <w:b w:val="1"/>
                <w:bCs w:val="1"/>
                <w:color w:val="auto"/>
              </w:rPr>
              <w:t>Level 1</w:t>
            </w:r>
          </w:p>
        </w:tc>
        <w:tc>
          <w:tcPr>
            <w:tcW w:w="540" w:type="dxa"/>
            <w:vAlign w:val="bottom"/>
          </w:tcPr>
          <w:p>
            <w:pPr>
              <w:jc w:val="right"/>
              <w:ind w:right="72"/>
              <w:spacing w:after="0" w:line="97" w:lineRule="exact"/>
              <w:rPr>
                <w:sz w:val="20"/>
                <w:szCs w:val="20"/>
                <w:color w:val="auto"/>
              </w:rPr>
            </w:pPr>
            <w:r>
              <w:rPr>
                <w:rFonts w:ascii="Arial" w:cs="Arial" w:eastAsia="Arial" w:hAnsi="Arial"/>
                <w:sz w:val="10"/>
                <w:szCs w:val="10"/>
                <w:b w:val="1"/>
                <w:bCs w:val="1"/>
                <w:color w:val="auto"/>
              </w:rPr>
              <w:t>Level 2</w:t>
            </w:r>
          </w:p>
        </w:tc>
        <w:tc>
          <w:tcPr>
            <w:tcW w:w="560" w:type="dxa"/>
            <w:vAlign w:val="bottom"/>
            <w:gridSpan w:val="3"/>
          </w:tcPr>
          <w:p>
            <w:pPr>
              <w:ind w:left="120"/>
              <w:spacing w:after="0" w:line="97" w:lineRule="exact"/>
              <w:rPr>
                <w:sz w:val="20"/>
                <w:szCs w:val="20"/>
                <w:color w:val="auto"/>
              </w:rPr>
            </w:pPr>
            <w:r>
              <w:rPr>
                <w:rFonts w:ascii="Arial" w:cs="Arial" w:eastAsia="Arial" w:hAnsi="Arial"/>
                <w:sz w:val="10"/>
                <w:szCs w:val="10"/>
                <w:b w:val="1"/>
                <w:bCs w:val="1"/>
                <w:color w:val="auto"/>
              </w:rPr>
              <w:t>Level 3</w:t>
            </w:r>
          </w:p>
        </w:tc>
        <w:tc>
          <w:tcPr>
            <w:tcW w:w="540" w:type="dxa"/>
            <w:vAlign w:val="bottom"/>
          </w:tcPr>
          <w:p>
            <w:pPr>
              <w:jc w:val="right"/>
              <w:ind w:right="12"/>
              <w:spacing w:after="0" w:line="97" w:lineRule="exact"/>
              <w:rPr>
                <w:sz w:val="20"/>
                <w:szCs w:val="20"/>
                <w:color w:val="auto"/>
              </w:rPr>
            </w:pPr>
            <w:r>
              <w:rPr>
                <w:rFonts w:ascii="Arial" w:cs="Arial" w:eastAsia="Arial" w:hAnsi="Arial"/>
                <w:sz w:val="10"/>
                <w:szCs w:val="10"/>
                <w:b w:val="1"/>
                <w:bCs w:val="1"/>
                <w:color w:val="auto"/>
                <w:w w:val="98"/>
              </w:rPr>
              <w:t>Fair value</w:t>
            </w:r>
          </w:p>
        </w:tc>
        <w:tc>
          <w:tcPr>
            <w:tcW w:w="200" w:type="dxa"/>
            <w:vAlign w:val="bottom"/>
          </w:tcPr>
          <w:p>
            <w:pPr>
              <w:spacing w:after="0"/>
              <w:rPr>
                <w:sz w:val="8"/>
                <w:szCs w:val="8"/>
                <w:color w:val="auto"/>
              </w:rPr>
            </w:pPr>
          </w:p>
        </w:tc>
        <w:tc>
          <w:tcPr>
            <w:tcW w:w="480" w:type="dxa"/>
            <w:vAlign w:val="bottom"/>
          </w:tcPr>
          <w:p>
            <w:pPr>
              <w:jc w:val="right"/>
              <w:ind w:right="12"/>
              <w:spacing w:after="0" w:line="97" w:lineRule="exact"/>
              <w:rPr>
                <w:sz w:val="20"/>
                <w:szCs w:val="20"/>
                <w:color w:val="auto"/>
              </w:rPr>
            </w:pPr>
            <w:r>
              <w:rPr>
                <w:rFonts w:ascii="Arial" w:cs="Arial" w:eastAsia="Arial" w:hAnsi="Arial"/>
                <w:sz w:val="10"/>
                <w:szCs w:val="10"/>
                <w:b w:val="1"/>
                <w:bCs w:val="1"/>
                <w:color w:val="auto"/>
                <w:w w:val="74"/>
              </w:rPr>
              <w:t>Book value</w:t>
            </w:r>
          </w:p>
        </w:tc>
        <w:tc>
          <w:tcPr>
            <w:tcW w:w="120" w:type="dxa"/>
            <w:vAlign w:val="bottom"/>
          </w:tcPr>
          <w:p>
            <w:pPr>
              <w:spacing w:after="0"/>
              <w:rPr>
                <w:sz w:val="8"/>
                <w:szCs w:val="8"/>
                <w:color w:val="auto"/>
              </w:rPr>
            </w:pPr>
          </w:p>
        </w:tc>
        <w:tc>
          <w:tcPr>
            <w:tcW w:w="580" w:type="dxa"/>
            <w:vAlign w:val="bottom"/>
            <w:gridSpan w:val="2"/>
          </w:tcPr>
          <w:p>
            <w:pPr>
              <w:ind w:left="80"/>
              <w:spacing w:after="0" w:line="97" w:lineRule="exact"/>
              <w:rPr>
                <w:sz w:val="20"/>
                <w:szCs w:val="20"/>
                <w:color w:val="auto"/>
              </w:rPr>
            </w:pPr>
            <w:r>
              <w:rPr>
                <w:rFonts w:ascii="Arial" w:cs="Arial" w:eastAsia="Arial" w:hAnsi="Arial"/>
                <w:sz w:val="10"/>
                <w:szCs w:val="10"/>
                <w:b w:val="1"/>
                <w:bCs w:val="1"/>
                <w:color w:val="auto"/>
              </w:rPr>
              <w:t>Level 1</w:t>
            </w:r>
          </w:p>
        </w:tc>
        <w:tc>
          <w:tcPr>
            <w:tcW w:w="560" w:type="dxa"/>
            <w:vAlign w:val="bottom"/>
          </w:tcPr>
          <w:p>
            <w:pPr>
              <w:jc w:val="right"/>
              <w:ind w:right="92"/>
              <w:spacing w:after="0" w:line="97" w:lineRule="exact"/>
              <w:rPr>
                <w:sz w:val="20"/>
                <w:szCs w:val="20"/>
                <w:color w:val="auto"/>
              </w:rPr>
            </w:pPr>
            <w:r>
              <w:rPr>
                <w:rFonts w:ascii="Arial" w:cs="Arial" w:eastAsia="Arial" w:hAnsi="Arial"/>
                <w:sz w:val="10"/>
                <w:szCs w:val="10"/>
                <w:b w:val="1"/>
                <w:bCs w:val="1"/>
                <w:color w:val="auto"/>
              </w:rPr>
              <w:t>Level 2</w:t>
            </w:r>
          </w:p>
        </w:tc>
        <w:tc>
          <w:tcPr>
            <w:tcW w:w="540" w:type="dxa"/>
            <w:vAlign w:val="bottom"/>
            <w:gridSpan w:val="3"/>
          </w:tcPr>
          <w:p>
            <w:pPr>
              <w:jc w:val="right"/>
              <w:ind w:right="120"/>
              <w:spacing w:after="0" w:line="97" w:lineRule="exact"/>
              <w:rPr>
                <w:sz w:val="20"/>
                <w:szCs w:val="20"/>
                <w:color w:val="auto"/>
              </w:rPr>
            </w:pPr>
            <w:r>
              <w:rPr>
                <w:rFonts w:ascii="Arial" w:cs="Arial" w:eastAsia="Arial" w:hAnsi="Arial"/>
                <w:sz w:val="10"/>
                <w:szCs w:val="10"/>
                <w:b w:val="1"/>
                <w:bCs w:val="1"/>
                <w:color w:val="auto"/>
              </w:rPr>
              <w:t>Level 3</w:t>
            </w:r>
          </w:p>
        </w:tc>
        <w:tc>
          <w:tcPr>
            <w:tcW w:w="700" w:type="dxa"/>
            <w:vAlign w:val="bottom"/>
            <w:gridSpan w:val="2"/>
          </w:tcPr>
          <w:p>
            <w:pPr>
              <w:ind w:left="60"/>
              <w:spacing w:after="0" w:line="97" w:lineRule="exact"/>
              <w:rPr>
                <w:sz w:val="20"/>
                <w:szCs w:val="20"/>
                <w:color w:val="auto"/>
              </w:rPr>
            </w:pPr>
            <w:r>
              <w:rPr>
                <w:rFonts w:ascii="Arial" w:cs="Arial" w:eastAsia="Arial" w:hAnsi="Arial"/>
                <w:sz w:val="10"/>
                <w:szCs w:val="10"/>
                <w:b w:val="1"/>
                <w:bCs w:val="1"/>
                <w:color w:val="auto"/>
              </w:rPr>
              <w:t>Fair value</w:t>
            </w:r>
          </w:p>
        </w:tc>
        <w:tc>
          <w:tcPr>
            <w:tcW w:w="560" w:type="dxa"/>
            <w:vAlign w:val="bottom"/>
          </w:tcPr>
          <w:p>
            <w:pPr>
              <w:jc w:val="right"/>
              <w:ind w:right="12"/>
              <w:spacing w:after="0" w:line="97" w:lineRule="exact"/>
              <w:rPr>
                <w:sz w:val="20"/>
                <w:szCs w:val="20"/>
                <w:color w:val="auto"/>
              </w:rPr>
            </w:pPr>
            <w:r>
              <w:rPr>
                <w:rFonts w:ascii="Arial" w:cs="Arial" w:eastAsia="Arial" w:hAnsi="Arial"/>
                <w:sz w:val="10"/>
                <w:szCs w:val="10"/>
                <w:b w:val="1"/>
                <w:bCs w:val="1"/>
                <w:color w:val="auto"/>
                <w:w w:val="89"/>
              </w:rPr>
              <w:t>Book value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46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540" w:type="dxa"/>
            <w:vAlign w:val="bottom"/>
            <w:tcBorders>
              <w:top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2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9"/>
              </w:rPr>
              <w:t>S/(000)</w:t>
            </w:r>
          </w:p>
        </w:tc>
        <w:tc>
          <w:tcPr>
            <w:tcW w:w="140" w:type="dxa"/>
            <w:vAlign w:val="bottom"/>
          </w:tcPr>
          <w:p>
            <w:pPr>
              <w:spacing w:after="0"/>
              <w:rPr>
                <w:sz w:val="7"/>
                <w:szCs w:val="7"/>
                <w:color w:val="auto"/>
              </w:rPr>
            </w:pPr>
          </w:p>
        </w:tc>
        <w:tc>
          <w:tcPr>
            <w:tcW w:w="540" w:type="dxa"/>
            <w:vAlign w:val="bottom"/>
            <w:tcBorders>
              <w:top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48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w w:val="97"/>
              </w:rPr>
              <w:t>S/(000)</w:t>
            </w:r>
          </w:p>
        </w:tc>
        <w:tc>
          <w:tcPr>
            <w:tcW w:w="120" w:type="dxa"/>
            <w:vAlign w:val="bottom"/>
          </w:tcPr>
          <w:p>
            <w:pPr>
              <w:spacing w:after="0"/>
              <w:rPr>
                <w:sz w:val="7"/>
                <w:szCs w:val="7"/>
                <w:color w:val="auto"/>
              </w:rPr>
            </w:pPr>
          </w:p>
        </w:tc>
        <w:tc>
          <w:tcPr>
            <w:tcW w:w="46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9"/>
              </w:rPr>
              <w:t>S/(000)</w:t>
            </w:r>
          </w:p>
        </w:tc>
        <w:tc>
          <w:tcPr>
            <w:tcW w:w="12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5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rPr>
              <w:t>S/(000)</w:t>
            </w: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b w:val="1"/>
                <w:bCs w:val="1"/>
                <w:color w:val="auto"/>
              </w:rPr>
              <w:t>Assets</w:t>
            </w: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80" w:type="dxa"/>
            <w:vAlign w:val="bottom"/>
            <w:gridSpan w:val="2"/>
          </w:tcPr>
          <w:p>
            <w:pPr>
              <w:spacing w:after="0" w:line="99" w:lineRule="exact"/>
              <w:rPr>
                <w:sz w:val="20"/>
                <w:szCs w:val="20"/>
                <w:color w:val="auto"/>
              </w:rPr>
            </w:pPr>
            <w:r>
              <w:rPr>
                <w:rFonts w:ascii="Arial" w:cs="Arial" w:eastAsia="Arial" w:hAnsi="Arial"/>
                <w:sz w:val="10"/>
                <w:szCs w:val="10"/>
                <w:color w:val="auto"/>
              </w:rPr>
              <w:t>Cash and due from banks</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25,986,762</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25,986,762</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25,986,762</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22,168,516</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22,168,516</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22,168,516</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5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Cash collateral, reverse repurchase agreements</w:t>
            </w: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and securities borrowing</w:t>
            </w:r>
          </w:p>
        </w:tc>
        <w:tc>
          <w:tcPr>
            <w:tcW w:w="4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4,288,524</w:t>
            </w:r>
          </w:p>
        </w:tc>
        <w:tc>
          <w:tcPr>
            <w:tcW w:w="4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4,288,524</w:t>
            </w:r>
          </w:p>
        </w:tc>
        <w:tc>
          <w:tcPr>
            <w:tcW w:w="6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4,288,524</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4,082,942</w:t>
            </w:r>
          </w:p>
        </w:tc>
        <w:tc>
          <w:tcPr>
            <w:tcW w:w="4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4,082,942</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4,082,942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spacing w:after="0" w:line="99" w:lineRule="exact"/>
              <w:rPr>
                <w:sz w:val="20"/>
                <w:szCs w:val="20"/>
                <w:color w:val="auto"/>
              </w:rPr>
            </w:pPr>
            <w:r>
              <w:rPr>
                <w:rFonts w:ascii="Arial" w:cs="Arial" w:eastAsia="Arial" w:hAnsi="Arial"/>
                <w:sz w:val="10"/>
                <w:szCs w:val="10"/>
                <w:color w:val="auto"/>
              </w:rPr>
              <w:t>Investments at amortized cost</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w w:val="94"/>
              </w:rPr>
              <w:t>3,772,509</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124,222</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3,896,731</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3,477,046</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w w:val="98"/>
              </w:rPr>
              <w:t>3,815,301</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337,821</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4,153,122</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4,154,838</w:t>
            </w: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Loans, net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110,485,717</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110,485,717</w:t>
            </w:r>
          </w:p>
        </w:tc>
        <w:tc>
          <w:tcPr>
            <w:tcW w:w="6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110,485,717</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105,806,998</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105,806,998</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105,806,998</w:t>
            </w:r>
          </w:p>
        </w:tc>
        <w:tc>
          <w:tcPr>
            <w:tcW w:w="0" w:type="dxa"/>
            <w:vAlign w:val="bottom"/>
          </w:tcPr>
          <w:p>
            <w:pPr>
              <w:spacing w:after="0"/>
              <w:rPr>
                <w:sz w:val="1"/>
                <w:szCs w:val="1"/>
                <w:color w:val="auto"/>
              </w:rPr>
            </w:pPr>
          </w:p>
        </w:tc>
      </w:tr>
      <w:tr>
        <w:trPr>
          <w:trHeight w:val="99"/>
        </w:trPr>
        <w:tc>
          <w:tcPr>
            <w:tcW w:w="3580" w:type="dxa"/>
            <w:vAlign w:val="bottom"/>
            <w:gridSpan w:val="2"/>
          </w:tcPr>
          <w:p>
            <w:pPr>
              <w:spacing w:after="0" w:line="99" w:lineRule="exact"/>
              <w:rPr>
                <w:sz w:val="20"/>
                <w:szCs w:val="20"/>
                <w:color w:val="auto"/>
              </w:rPr>
            </w:pPr>
            <w:r>
              <w:rPr>
                <w:rFonts w:ascii="Arial" w:cs="Arial" w:eastAsia="Arial" w:hAnsi="Arial"/>
                <w:sz w:val="10"/>
                <w:szCs w:val="10"/>
                <w:color w:val="auto"/>
              </w:rPr>
              <w:t>Premiums and other policies receivable</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838,731</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838,731</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838,731</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887,273</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887,273</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887,273</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5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Accounts receivable from reinsurers and</w:t>
            </w: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coinsurers</w:t>
            </w:r>
          </w:p>
        </w:tc>
        <w:tc>
          <w:tcPr>
            <w:tcW w:w="4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791,704</w:t>
            </w:r>
          </w:p>
        </w:tc>
        <w:tc>
          <w:tcPr>
            <w:tcW w:w="4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791,704</w:t>
            </w:r>
          </w:p>
        </w:tc>
        <w:tc>
          <w:tcPr>
            <w:tcW w:w="6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791,704</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842,043</w:t>
            </w:r>
          </w:p>
        </w:tc>
        <w:tc>
          <w:tcPr>
            <w:tcW w:w="4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842,043</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842,043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spacing w:after="0" w:line="99" w:lineRule="exact"/>
              <w:rPr>
                <w:sz w:val="20"/>
                <w:szCs w:val="20"/>
                <w:color w:val="auto"/>
              </w:rPr>
            </w:pPr>
            <w:r>
              <w:rPr>
                <w:rFonts w:ascii="Arial" w:cs="Arial" w:eastAsia="Arial" w:hAnsi="Arial"/>
                <w:sz w:val="10"/>
                <w:szCs w:val="10"/>
                <w:color w:val="auto"/>
              </w:rPr>
              <w:t>Due from customers on acceptances</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535,222</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535,222</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535,222</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1,700,861</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1,700,861</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1,700,861</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2,306,460</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2,306,460</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2,306,460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b w:val="1"/>
                <w:bCs w:val="1"/>
                <w:color w:val="auto"/>
              </w:rPr>
              <w:t>Total</w:t>
            </w: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4"/>
              </w:rPr>
              <w:t>3,772,509</w:t>
            </w:r>
          </w:p>
        </w:tc>
        <w:tc>
          <w:tcPr>
            <w:tcW w:w="12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3"/>
              </w:rPr>
              <w:t>144,751,743</w:t>
            </w:r>
          </w:p>
        </w:tc>
        <w:tc>
          <w:tcPr>
            <w:tcW w:w="140" w:type="dxa"/>
            <w:vAlign w:val="bottom"/>
            <w:tcBorders>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3"/>
              </w:rPr>
              <w:t>148,524,252</w:t>
            </w:r>
          </w:p>
        </w:tc>
        <w:tc>
          <w:tcPr>
            <w:tcW w:w="200" w:type="dxa"/>
            <w:vAlign w:val="bottom"/>
            <w:tcBorders>
              <w:bottom w:val="single" w:sz="8" w:color="CCEEFF"/>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82"/>
              </w:rPr>
              <w:t>148,104,567</w:t>
            </w:r>
          </w:p>
        </w:tc>
        <w:tc>
          <w:tcPr>
            <w:tcW w:w="12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8"/>
              </w:rPr>
              <w:t>3,815,301</w:t>
            </w:r>
          </w:p>
        </w:tc>
        <w:tc>
          <w:tcPr>
            <w:tcW w:w="12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3"/>
              </w:rPr>
              <w:t>137,400,021</w:t>
            </w:r>
          </w:p>
        </w:tc>
        <w:tc>
          <w:tcPr>
            <w:tcW w:w="120" w:type="dxa"/>
            <w:vAlign w:val="bottom"/>
            <w:tcBorders>
              <w:bottom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7"/>
              </w:rPr>
              <w:t>141,215,322</w:t>
            </w:r>
          </w:p>
        </w:tc>
        <w:tc>
          <w:tcPr>
            <w:tcW w:w="14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7"/>
              </w:rPr>
              <w:t>141,217,038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560" w:type="dxa"/>
            <w:vAlign w:val="bottom"/>
          </w:tcPr>
          <w:p>
            <w:pPr>
              <w:spacing w:after="0" w:line="99" w:lineRule="exact"/>
              <w:rPr>
                <w:sz w:val="20"/>
                <w:szCs w:val="20"/>
                <w:color w:val="auto"/>
              </w:rPr>
            </w:pPr>
            <w:r>
              <w:rPr>
                <w:rFonts w:ascii="Arial" w:cs="Arial" w:eastAsia="Arial" w:hAnsi="Arial"/>
                <w:sz w:val="10"/>
                <w:szCs w:val="10"/>
                <w:b w:val="1"/>
                <w:bCs w:val="1"/>
                <w:color w:val="auto"/>
              </w:rPr>
              <w:t>Liabilities</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Deposits and obligations</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112,005,385</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112,005,385</w:t>
            </w:r>
          </w:p>
        </w:tc>
        <w:tc>
          <w:tcPr>
            <w:tcW w:w="6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112,005,385</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3"/>
              </w:rPr>
              <w:t>104,551,310</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104,551,310</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104,551,310</w:t>
            </w:r>
          </w:p>
        </w:tc>
        <w:tc>
          <w:tcPr>
            <w:tcW w:w="0" w:type="dxa"/>
            <w:vAlign w:val="bottom"/>
          </w:tcPr>
          <w:p>
            <w:pPr>
              <w:spacing w:after="0"/>
              <w:rPr>
                <w:sz w:val="1"/>
                <w:szCs w:val="1"/>
                <w:color w:val="auto"/>
              </w:rPr>
            </w:pPr>
          </w:p>
        </w:tc>
      </w:tr>
      <w:tr>
        <w:trPr>
          <w:trHeight w:val="87"/>
        </w:trPr>
        <w:tc>
          <w:tcPr>
            <w:tcW w:w="3580" w:type="dxa"/>
            <w:vAlign w:val="bottom"/>
            <w:gridSpan w:val="2"/>
          </w:tcPr>
          <w:p>
            <w:pPr>
              <w:spacing w:after="0" w:line="87" w:lineRule="exact"/>
              <w:rPr>
                <w:sz w:val="20"/>
                <w:szCs w:val="20"/>
                <w:color w:val="auto"/>
              </w:rPr>
            </w:pPr>
            <w:r>
              <w:rPr>
                <w:rFonts w:ascii="Arial" w:cs="Arial" w:eastAsia="Arial" w:hAnsi="Arial"/>
                <w:sz w:val="10"/>
                <w:szCs w:val="10"/>
                <w:color w:val="auto"/>
              </w:rPr>
              <w:t>Payables on repurchase agreements and</w:t>
            </w: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ind w:left="100"/>
              <w:spacing w:after="0" w:line="112" w:lineRule="exact"/>
              <w:rPr>
                <w:sz w:val="20"/>
                <w:szCs w:val="20"/>
                <w:color w:val="auto"/>
              </w:rPr>
            </w:pPr>
            <w:r>
              <w:rPr>
                <w:rFonts w:ascii="Arial" w:cs="Arial" w:eastAsia="Arial" w:hAnsi="Arial"/>
                <w:sz w:val="10"/>
                <w:szCs w:val="10"/>
                <w:color w:val="auto"/>
              </w:rPr>
              <w:t>securities lending</w:t>
            </w:r>
          </w:p>
        </w:tc>
        <w:tc>
          <w:tcPr>
            <w:tcW w:w="4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0"/>
                <w:szCs w:val="10"/>
                <w:color w:val="auto"/>
              </w:rPr>
              <w:t>7,678,016</w:t>
            </w:r>
          </w:p>
        </w:tc>
        <w:tc>
          <w:tcPr>
            <w:tcW w:w="4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0"/>
                <w:szCs w:val="10"/>
                <w:color w:val="auto"/>
              </w:rPr>
              <w:t>7,678,016</w:t>
            </w:r>
          </w:p>
        </w:tc>
        <w:tc>
          <w:tcPr>
            <w:tcW w:w="68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7,678,016</w:t>
            </w:r>
          </w:p>
        </w:tc>
        <w:tc>
          <w:tcPr>
            <w:tcW w:w="120" w:type="dxa"/>
            <w:vAlign w:val="bottom"/>
          </w:tcPr>
          <w:p>
            <w:pPr>
              <w:spacing w:after="0"/>
              <w:rPr>
                <w:sz w:val="9"/>
                <w:szCs w:val="9"/>
                <w:color w:val="auto"/>
              </w:rPr>
            </w:pPr>
          </w:p>
        </w:tc>
        <w:tc>
          <w:tcPr>
            <w:tcW w:w="4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9,415,357</w:t>
            </w:r>
          </w:p>
        </w:tc>
        <w:tc>
          <w:tcPr>
            <w:tcW w:w="4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9,415,357</w:t>
            </w: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9,415,357</w:t>
            </w: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Due to Banks and correspondents and other entities</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9,032,177</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9,032,177</w:t>
            </w:r>
          </w:p>
        </w:tc>
        <w:tc>
          <w:tcPr>
            <w:tcW w:w="6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8,841,732</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8,520,401</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8,520,401</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8,448,140</w:t>
            </w:r>
          </w:p>
        </w:tc>
        <w:tc>
          <w:tcPr>
            <w:tcW w:w="0" w:type="dxa"/>
            <w:vAlign w:val="bottom"/>
          </w:tcPr>
          <w:p>
            <w:pPr>
              <w:spacing w:after="0"/>
              <w:rPr>
                <w:sz w:val="1"/>
                <w:szCs w:val="1"/>
                <w:color w:val="auto"/>
              </w:rPr>
            </w:pPr>
          </w:p>
        </w:tc>
      </w:tr>
      <w:tr>
        <w:trPr>
          <w:trHeight w:val="99"/>
        </w:trPr>
        <w:tc>
          <w:tcPr>
            <w:tcW w:w="3580" w:type="dxa"/>
            <w:vAlign w:val="bottom"/>
            <w:gridSpan w:val="2"/>
          </w:tcPr>
          <w:p>
            <w:pPr>
              <w:spacing w:after="0" w:line="99" w:lineRule="exact"/>
              <w:rPr>
                <w:sz w:val="20"/>
                <w:szCs w:val="20"/>
                <w:color w:val="auto"/>
              </w:rPr>
            </w:pPr>
            <w:r>
              <w:rPr>
                <w:rFonts w:ascii="Arial" w:cs="Arial" w:eastAsia="Arial" w:hAnsi="Arial"/>
                <w:sz w:val="10"/>
                <w:szCs w:val="10"/>
                <w:color w:val="auto"/>
              </w:rPr>
              <w:t>Banker’s acceptances outstanding</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535,222</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535,222</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535,222</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967,968</w:t>
            </w: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Payable to reinsurers and coinsurers</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216,734</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216,734</w:t>
            </w:r>
          </w:p>
        </w:tc>
        <w:tc>
          <w:tcPr>
            <w:tcW w:w="6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216,734</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291,693</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291,693</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291,693</w:t>
            </w:r>
          </w:p>
        </w:tc>
        <w:tc>
          <w:tcPr>
            <w:tcW w:w="0" w:type="dxa"/>
            <w:vAlign w:val="bottom"/>
          </w:tcPr>
          <w:p>
            <w:pPr>
              <w:spacing w:after="0"/>
              <w:rPr>
                <w:sz w:val="1"/>
                <w:szCs w:val="1"/>
                <w:color w:val="auto"/>
              </w:rPr>
            </w:pPr>
          </w:p>
        </w:tc>
      </w:tr>
      <w:tr>
        <w:trPr>
          <w:trHeight w:val="99"/>
        </w:trPr>
        <w:tc>
          <w:tcPr>
            <w:tcW w:w="3580" w:type="dxa"/>
            <w:vAlign w:val="bottom"/>
            <w:gridSpan w:val="2"/>
          </w:tcPr>
          <w:p>
            <w:pPr>
              <w:spacing w:after="0" w:line="99" w:lineRule="exact"/>
              <w:rPr>
                <w:sz w:val="20"/>
                <w:szCs w:val="20"/>
                <w:color w:val="auto"/>
              </w:rPr>
            </w:pPr>
            <w:r>
              <w:rPr>
                <w:rFonts w:ascii="Arial" w:cs="Arial" w:eastAsia="Arial" w:hAnsi="Arial"/>
                <w:sz w:val="10"/>
                <w:szCs w:val="10"/>
                <w:color w:val="auto"/>
              </w:rPr>
              <w:t>Lease liabilities</w:t>
            </w: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847,504</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0"/>
                <w:szCs w:val="10"/>
                <w:color w:val="auto"/>
              </w:rPr>
              <w:t>847,504</w:t>
            </w:r>
          </w:p>
        </w:tc>
        <w:tc>
          <w:tcPr>
            <w:tcW w:w="6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847,504</w:t>
            </w:r>
          </w:p>
        </w:tc>
        <w:tc>
          <w:tcPr>
            <w:tcW w:w="12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3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Bond and notes issued</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15,638,835</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15,638,835</w:t>
            </w:r>
          </w:p>
        </w:tc>
        <w:tc>
          <w:tcPr>
            <w:tcW w:w="6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14,946,363</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15,928,607</w:t>
            </w:r>
          </w:p>
        </w:tc>
        <w:tc>
          <w:tcPr>
            <w:tcW w:w="4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15,928,607</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15,457,540</w:t>
            </w:r>
          </w:p>
        </w:tc>
        <w:tc>
          <w:tcPr>
            <w:tcW w:w="0" w:type="dxa"/>
            <w:vAlign w:val="bottom"/>
          </w:tcPr>
          <w:p>
            <w:pPr>
              <w:spacing w:after="0"/>
              <w:rPr>
                <w:sz w:val="1"/>
                <w:szCs w:val="1"/>
                <w:color w:val="auto"/>
              </w:rPr>
            </w:pPr>
          </w:p>
        </w:tc>
      </w:tr>
      <w:tr>
        <w:trPr>
          <w:trHeight w:val="122"/>
        </w:trPr>
        <w:tc>
          <w:tcPr>
            <w:tcW w:w="358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3,206,544</w:t>
            </w:r>
          </w:p>
        </w:tc>
        <w:tc>
          <w:tcPr>
            <w:tcW w:w="140" w:type="dxa"/>
            <w:vAlign w:val="bottom"/>
            <w:vMerge w:val="restart"/>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3,206,544</w:t>
            </w:r>
          </w:p>
        </w:tc>
        <w:tc>
          <w:tcPr>
            <w:tcW w:w="200" w:type="dxa"/>
            <w:vAlign w:val="bottom"/>
            <w:vMerge w:val="restart"/>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3,206,544</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2,978,514</w:t>
            </w:r>
          </w:p>
        </w:tc>
        <w:tc>
          <w:tcPr>
            <w:tcW w:w="120" w:type="dxa"/>
            <w:vAlign w:val="bottom"/>
            <w:vMerge w:val="restart"/>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2,978,514</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2,978,514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5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CCEEFF"/>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60" w:type="dxa"/>
            <w:vAlign w:val="bottom"/>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rPr>
              <w:t>149,160,417</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rPr>
              <w:t>149,160,417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148,277,500</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rPr>
              <w:t>142,653,850</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142,653,850</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142,110,522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- 175 -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292340" cy="571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120"/>
          </w:cols>
          <w:pgMar w:left="420" w:top="653" w:right="359" w:bottom="1440" w:gutter="0" w:footer="0" w:header="0"/>
        </w:sectPr>
      </w:pPr>
    </w:p>
    <w:bookmarkStart w:id="180" w:name="page181"/>
    <w:bookmarkEnd w:id="180"/>
    <w:p>
      <w:pPr>
        <w:ind w:left="420"/>
        <w:spacing w:after="0"/>
        <w:rPr>
          <w:sz w:val="20"/>
          <w:szCs w:val="20"/>
          <w:color w:val="auto"/>
        </w:rPr>
      </w:pPr>
      <w:r>
        <w:rPr>
          <w:rFonts w:ascii="Arial" w:cs="Arial" w:eastAsia="Arial" w:hAnsi="Arial"/>
          <w:sz w:val="12"/>
          <w:szCs w:val="12"/>
          <w:color w:val="auto"/>
        </w:rPr>
        <w:t>The methodologies and assumptions used by the Group to determine fair values depend on the terms and risk characteristics of the various financial instruments and include the following:</w:t>
      </w:r>
    </w:p>
    <w:p>
      <w:pPr>
        <w:spacing w:after="0" w:line="150" w:lineRule="exact"/>
        <w:rPr>
          <w:sz w:val="20"/>
          <w:szCs w:val="20"/>
          <w:color w:val="auto"/>
        </w:rPr>
      </w:pPr>
    </w:p>
    <w:p>
      <w:pPr>
        <w:ind w:left="640" w:right="40" w:hanging="216"/>
        <w:spacing w:after="0" w:line="263" w:lineRule="auto"/>
        <w:tabs>
          <w:tab w:leader="none" w:pos="6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2019 and 2018, the carrying amounts of loans, net of allowances, were not materially different from their calculated fair values.</w:t>
      </w:r>
    </w:p>
    <w:p>
      <w:pPr>
        <w:spacing w:after="0" w:line="122" w:lineRule="exact"/>
        <w:rPr>
          <w:rFonts w:ascii="Arial" w:cs="Arial" w:eastAsia="Arial" w:hAnsi="Arial"/>
          <w:sz w:val="12"/>
          <w:szCs w:val="12"/>
          <w:color w:val="auto"/>
        </w:rPr>
      </w:pPr>
    </w:p>
    <w:p>
      <w:pPr>
        <w:ind w:left="640" w:right="540" w:hanging="216"/>
        <w:spacing w:after="0" w:line="276" w:lineRule="auto"/>
        <w:tabs>
          <w:tab w:leader="none" w:pos="6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14" w:lineRule="exact"/>
        <w:rPr>
          <w:rFonts w:ascii="Arial" w:cs="Arial" w:eastAsia="Arial" w:hAnsi="Arial"/>
          <w:sz w:val="12"/>
          <w:szCs w:val="12"/>
          <w:color w:val="auto"/>
        </w:rPr>
      </w:pPr>
    </w:p>
    <w:p>
      <w:pPr>
        <w:ind w:left="640" w:right="100" w:hanging="216"/>
        <w:spacing w:after="0" w:line="259" w:lineRule="auto"/>
        <w:tabs>
          <w:tab w:leader="none" w:pos="6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34.8 Fiduciary activities, management of funds and pension funds -</w:t>
      </w:r>
    </w:p>
    <w:p>
      <w:pPr>
        <w:spacing w:after="0" w:line="154" w:lineRule="exact"/>
        <w:rPr>
          <w:sz w:val="20"/>
          <w:szCs w:val="20"/>
          <w:color w:val="auto"/>
        </w:rPr>
      </w:pPr>
    </w:p>
    <w:p>
      <w:pPr>
        <w:ind w:left="280" w:right="120"/>
        <w:spacing w:after="0" w:line="323" w:lineRule="auto"/>
        <w:rPr>
          <w:sz w:val="20"/>
          <w:szCs w:val="20"/>
          <w:color w:val="auto"/>
        </w:rPr>
      </w:pPr>
      <w:r>
        <w:rPr>
          <w:rFonts w:ascii="Arial" w:cs="Arial" w:eastAsia="Arial" w:hAnsi="Arial"/>
          <w:sz w:val="11"/>
          <w:szCs w:val="11"/>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80" w:type="dxa"/>
            <w:vAlign w:val="bottom"/>
            <w:gridSpan w:val="2"/>
          </w:tcPr>
          <w:p>
            <w:pPr>
              <w:ind w:left="280"/>
              <w:spacing w:after="0"/>
              <w:rPr>
                <w:sz w:val="20"/>
                <w:szCs w:val="20"/>
                <w:color w:val="auto"/>
              </w:rPr>
            </w:pPr>
            <w:r>
              <w:rPr>
                <w:rFonts w:ascii="Arial" w:cs="Arial" w:eastAsia="Arial" w:hAnsi="Arial"/>
                <w:sz w:val="12"/>
                <w:szCs w:val="12"/>
                <w:color w:val="auto"/>
              </w:rPr>
              <w:t>As of December 31, 2019 and 2018, the value of the net assets under administration off the balance sheet (in millions of soles) is as follows: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97"/>
        </w:trPr>
        <w:tc>
          <w:tcPr>
            <w:tcW w:w="8680" w:type="dxa"/>
            <w:vAlign w:val="bottom"/>
            <w:gridSpan w:val="2"/>
          </w:tcPr>
          <w:p>
            <w:pPr>
              <w:ind w:left="8400"/>
              <w:spacing w:after="0"/>
              <w:rPr>
                <w:sz w:val="20"/>
                <w:szCs w:val="20"/>
                <w:color w:val="auto"/>
              </w:rPr>
            </w:pPr>
            <w:r>
              <w:rPr>
                <w:rFonts w:ascii="Arial" w:cs="Arial" w:eastAsia="Arial" w:hAnsi="Arial"/>
                <w:sz w:val="12"/>
                <w:szCs w:val="12"/>
                <w:b w:val="1"/>
                <w:bCs w:val="1"/>
                <w:color w:val="auto"/>
                <w:w w:val="97"/>
              </w:rPr>
              <w:t>2019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3"/>
        </w:trPr>
        <w:tc>
          <w:tcPr>
            <w:tcW w:w="79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Pension funds</w:t>
            </w: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53,912</w:t>
            </w:r>
          </w:p>
        </w:tc>
        <w:tc>
          <w:tcPr>
            <w:tcW w:w="2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47,452</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8680" w:type="dxa"/>
            <w:vAlign w:val="bottom"/>
            <w:gridSpan w:val="2"/>
          </w:tcPr>
          <w:p>
            <w:pPr>
              <w:spacing w:after="0"/>
              <w:rPr>
                <w:sz w:val="20"/>
                <w:szCs w:val="20"/>
                <w:color w:val="auto"/>
              </w:rPr>
            </w:pPr>
            <w:r>
              <w:rPr>
                <w:rFonts w:ascii="Arial" w:cs="Arial" w:eastAsia="Arial" w:hAnsi="Arial"/>
                <w:sz w:val="12"/>
                <w:szCs w:val="12"/>
                <w:color w:val="auto"/>
              </w:rPr>
              <w:t>Investment funds and mutual funds</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43,635</w:t>
            </w:r>
          </w:p>
        </w:tc>
        <w:tc>
          <w:tcPr>
            <w:tcW w:w="1260" w:type="dxa"/>
            <w:vAlign w:val="bottom"/>
            <w:gridSpan w:val="2"/>
          </w:tcPr>
          <w:p>
            <w:pPr>
              <w:jc w:val="right"/>
              <w:ind w:right="100"/>
              <w:spacing w:after="0"/>
              <w:rPr>
                <w:sz w:val="20"/>
                <w:szCs w:val="20"/>
                <w:color w:val="auto"/>
              </w:rPr>
            </w:pPr>
            <w:r>
              <w:rPr>
                <w:rFonts w:ascii="Arial" w:cs="Arial" w:eastAsia="Arial" w:hAnsi="Arial"/>
                <w:sz w:val="12"/>
                <w:szCs w:val="12"/>
                <w:color w:val="auto"/>
              </w:rPr>
              <w:t>40,186</w:t>
            </w:r>
          </w:p>
        </w:tc>
        <w:tc>
          <w:tcPr>
            <w:tcW w:w="920" w:type="dxa"/>
            <w:vAlign w:val="bottom"/>
          </w:tcPr>
          <w:p>
            <w:pPr>
              <w:spacing w:after="0"/>
              <w:rPr>
                <w:sz w:val="12"/>
                <w:szCs w:val="12"/>
                <w:color w:val="auto"/>
              </w:rPr>
            </w:pPr>
          </w:p>
        </w:tc>
      </w:tr>
      <w:tr>
        <w:trPr>
          <w:trHeight w:val="144"/>
        </w:trPr>
        <w:tc>
          <w:tcPr>
            <w:tcW w:w="8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managed</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18,387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15,397</w:t>
            </w:r>
          </w:p>
        </w:tc>
        <w:tc>
          <w:tcPr>
            <w:tcW w:w="920" w:type="dxa"/>
            <w:vAlign w:val="bottom"/>
          </w:tcPr>
          <w:p>
            <w:pPr>
              <w:spacing w:after="0"/>
              <w:rPr>
                <w:sz w:val="12"/>
                <w:szCs w:val="12"/>
                <w:color w:val="auto"/>
              </w:rPr>
            </w:pPr>
          </w:p>
        </w:tc>
      </w:tr>
      <w:tr>
        <w:trPr>
          <w:trHeight w:val="153"/>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Bank trusts</w:t>
            </w: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4,834</w:t>
            </w:r>
          </w:p>
        </w:tc>
        <w:tc>
          <w:tcPr>
            <w:tcW w:w="2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4,608</w:t>
            </w:r>
          </w:p>
        </w:tc>
        <w:tc>
          <w:tcPr>
            <w:tcW w:w="100" w:type="dxa"/>
            <w:vAlign w:val="bottom"/>
            <w:tcBorders>
              <w:bottom w:val="single" w:sz="8" w:color="CCEEFF"/>
            </w:tcBorders>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7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120,768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107,643</w:t>
            </w:r>
          </w:p>
        </w:tc>
        <w:tc>
          <w:tcPr>
            <w:tcW w:w="920" w:type="dxa"/>
            <w:vAlign w:val="bottom"/>
          </w:tcPr>
          <w:p>
            <w:pPr>
              <w:spacing w:after="0"/>
              <w:rPr>
                <w:sz w:val="15"/>
                <w:szCs w:val="15"/>
                <w:color w:val="auto"/>
              </w:rPr>
            </w:pPr>
          </w:p>
        </w:tc>
      </w:tr>
      <w:tr>
        <w:trPr>
          <w:trHeight w:val="419"/>
        </w:trPr>
        <w:tc>
          <w:tcPr>
            <w:tcW w:w="7920" w:type="dxa"/>
            <w:vAlign w:val="bottom"/>
            <w:tcBorders>
              <w:top w:val="single" w:sz="8" w:color="CCEEFF"/>
              <w:bottom w:val="single" w:sz="8" w:color="auto"/>
            </w:tcBorders>
          </w:tcPr>
          <w:p>
            <w:pPr>
              <w:ind w:left="5580"/>
              <w:spacing w:after="0"/>
              <w:rPr>
                <w:sz w:val="20"/>
                <w:szCs w:val="20"/>
                <w:color w:val="auto"/>
              </w:rPr>
            </w:pPr>
            <w:r>
              <w:rPr>
                <w:rFonts w:ascii="Arial" w:cs="Arial" w:eastAsia="Arial" w:hAnsi="Arial"/>
                <w:sz w:val="12"/>
                <w:szCs w:val="12"/>
                <w:color w:val="auto"/>
              </w:rPr>
              <w:t>- 176 -</w:t>
            </w:r>
          </w:p>
        </w:tc>
        <w:tc>
          <w:tcPr>
            <w:tcW w:w="7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3" w:right="199" w:bottom="1440" w:gutter="0" w:footer="0" w:header="0"/>
        </w:sectPr>
      </w:pPr>
    </w:p>
    <w:bookmarkStart w:id="181" w:name="page182"/>
    <w:bookmarkEnd w:id="181"/>
    <w:p>
      <w:pPr>
        <w:ind w:left="428" w:right="8740" w:hanging="428"/>
        <w:spacing w:after="0" w:line="504" w:lineRule="auto"/>
        <w:tabs>
          <w:tab w:leader="none" w:pos="428"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color w:val="auto"/>
        </w:rPr>
        <w:t>Legal claim contingencies -</w:t>
      </w:r>
    </w:p>
    <w:p>
      <w:pPr>
        <w:ind w:left="648" w:hanging="216"/>
        <w:spacing w:after="0"/>
        <w:tabs>
          <w:tab w:leader="none" w:pos="648" w:val="left"/>
        </w:tabs>
        <w:numPr>
          <w:ilvl w:val="1"/>
          <w:numId w:val="194"/>
        </w:numPr>
        <w:rPr>
          <w:rFonts w:ascii="Arial" w:cs="Arial" w:eastAsia="Arial" w:hAnsi="Arial"/>
          <w:sz w:val="12"/>
          <w:szCs w:val="12"/>
          <w:color w:val="auto"/>
        </w:rPr>
      </w:pPr>
      <w:r>
        <w:rPr>
          <w:rFonts w:ascii="Arial" w:cs="Arial" w:eastAsia="Arial" w:hAnsi="Arial"/>
          <w:sz w:val="12"/>
          <w:szCs w:val="12"/>
          <w:color w:val="auto"/>
        </w:rPr>
        <w:t>Madoff Trustee Litigation -</w:t>
      </w:r>
    </w:p>
    <w:p>
      <w:pPr>
        <w:spacing w:after="0" w:line="150" w:lineRule="exact"/>
        <w:rPr>
          <w:rFonts w:ascii="Arial" w:cs="Arial" w:eastAsia="Arial" w:hAnsi="Arial"/>
          <w:sz w:val="12"/>
          <w:szCs w:val="12"/>
          <w:color w:val="auto"/>
        </w:rPr>
      </w:pPr>
    </w:p>
    <w:p>
      <w:pPr>
        <w:ind w:left="648" w:right="40"/>
        <w:spacing w:after="0" w:line="298" w:lineRule="auto"/>
        <w:rPr>
          <w:rFonts w:ascii="Arial" w:cs="Arial" w:eastAsia="Arial" w:hAnsi="Arial"/>
          <w:sz w:val="12"/>
          <w:szCs w:val="12"/>
          <w:color w:val="auto"/>
        </w:rPr>
      </w:pPr>
      <w:r>
        <w:rPr>
          <w:rFonts w:ascii="Arial" w:cs="Arial" w:eastAsia="Arial" w:hAnsi="Arial"/>
          <w:sz w:val="11"/>
          <w:szCs w:val="11"/>
          <w:color w:val="auto"/>
        </w:rPr>
        <w:t>On September 22, 2011, the Trustee for the liquidations of Bernard L. Madoff Investment Securities LLC (BLMIS), (“the Madoff Trustee”) filed a complaint against Credicorp’s subsidiary Atlantic Security Bank (ASB) in U.S. Bankruptcy Court Southern District of New York, for an amount of approximately US$120.0 million (“the Complaint”), equivalent to approximately S/397.7 million, which corresponds to the funds that ASB managed in Atlantic US Blue Chip Fund and that were redeemed between the end of 2004 and the beginning of 2005 from Fairfield Sentry Limited Fund in Liquidation (hereafter “Fairfield”), a fund that invested in BLMIS.</w:t>
      </w:r>
    </w:p>
    <w:p>
      <w:pPr>
        <w:spacing w:after="0" w:line="105" w:lineRule="exact"/>
        <w:rPr>
          <w:rFonts w:ascii="Arial" w:cs="Arial" w:eastAsia="Arial" w:hAnsi="Arial"/>
          <w:sz w:val="12"/>
          <w:szCs w:val="12"/>
          <w:color w:val="auto"/>
        </w:rPr>
      </w:pPr>
    </w:p>
    <w:p>
      <w:pPr>
        <w:ind w:left="648" w:right="160"/>
        <w:spacing w:after="0" w:line="259" w:lineRule="auto"/>
        <w:rPr>
          <w:rFonts w:ascii="Arial" w:cs="Arial" w:eastAsia="Arial" w:hAnsi="Arial"/>
          <w:sz w:val="12"/>
          <w:szCs w:val="12"/>
          <w:color w:val="auto"/>
        </w:rPr>
      </w:pPr>
      <w:r>
        <w:rPr>
          <w:rFonts w:ascii="Arial" w:cs="Arial" w:eastAsia="Arial" w:hAnsi="Arial"/>
          <w:sz w:val="12"/>
          <w:szCs w:val="12"/>
          <w:color w:val="auto"/>
        </w:rPr>
        <w:t>The Complaint further alleges that the Madoff Trustee filed an adversary proceeding against Fairfield, seeking to avoid and recover the initial transfers of money from BLMIS to Fairfield; that on June 7 and 10, 2011, the Bankruptcy Court approved a settlement between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in and redeemed funds from BLMIS.</w:t>
      </w:r>
    </w:p>
    <w:p>
      <w:pPr>
        <w:spacing w:after="0" w:line="124" w:lineRule="exact"/>
        <w:rPr>
          <w:rFonts w:ascii="Arial" w:cs="Arial" w:eastAsia="Arial" w:hAnsi="Arial"/>
          <w:sz w:val="12"/>
          <w:szCs w:val="12"/>
          <w:color w:val="auto"/>
        </w:rPr>
      </w:pPr>
    </w:p>
    <w:p>
      <w:pPr>
        <w:ind w:left="648" w:right="140"/>
        <w:spacing w:after="0" w:line="298" w:lineRule="auto"/>
        <w:rPr>
          <w:rFonts w:ascii="Arial" w:cs="Arial" w:eastAsia="Arial" w:hAnsi="Arial"/>
          <w:sz w:val="12"/>
          <w:szCs w:val="12"/>
          <w:color w:val="auto"/>
        </w:rPr>
      </w:pPr>
      <w:r>
        <w:rPr>
          <w:rFonts w:ascii="Arial" w:cs="Arial" w:eastAsia="Arial" w:hAnsi="Arial"/>
          <w:sz w:val="11"/>
          <w:szCs w:val="11"/>
          <w:color w:val="auto"/>
        </w:rPr>
        <w:t>On July 7, 2014, the District Court of New York issued an opinion indicating that the Bankruptcy Laws of the United States are not applicable extraterritorially to permit the recovery of subsequent transfers made outside of the United States, between foreign entities. Furthermore, the District Court returned the case to the Bankruptcy Court, which, on November 22, 2016, issued a verdict establishing that certain subsequent transfers made overseas could not be recovered under the Bankruptcy Laws of the United States and rejected the demands presented by the Trustee of Madoff against the foreign entities; among them, the ASB.</w:t>
      </w:r>
    </w:p>
    <w:p>
      <w:pPr>
        <w:spacing w:after="0" w:line="105" w:lineRule="exact"/>
        <w:rPr>
          <w:rFonts w:ascii="Arial" w:cs="Arial" w:eastAsia="Arial" w:hAnsi="Arial"/>
          <w:sz w:val="12"/>
          <w:szCs w:val="12"/>
          <w:color w:val="auto"/>
        </w:rPr>
      </w:pPr>
    </w:p>
    <w:p>
      <w:pPr>
        <w:jc w:val="both"/>
        <w:ind w:left="648" w:right="340"/>
        <w:spacing w:after="0" w:line="263" w:lineRule="auto"/>
        <w:rPr>
          <w:rFonts w:ascii="Arial" w:cs="Arial" w:eastAsia="Arial" w:hAnsi="Arial"/>
          <w:sz w:val="12"/>
          <w:szCs w:val="12"/>
          <w:color w:val="auto"/>
        </w:rPr>
      </w:pPr>
      <w:r>
        <w:rPr>
          <w:rFonts w:ascii="Arial" w:cs="Arial" w:eastAsia="Arial" w:hAnsi="Arial"/>
          <w:sz w:val="12"/>
          <w:szCs w:val="12"/>
          <w:color w:val="auto"/>
        </w:rPr>
        <w:t>On March 16, 2017, the Trustee appealed this decision, additionally seeking that the appeal be heard be heard before the Second Circuit of the Court of Appeal of the United States. On September 27, 2017, the Court of Appeals admitted the hearing of the Trustee’s appeal directly before said Court. On January 10, 2018, the Trustee presented to the Court the written arguments that support his appeal. Dated April 18 and May 9 of 2018, respectively, ASB and the Trustee have submitted additional written arguments supporting their respective positions on the subject.</w:t>
      </w:r>
    </w:p>
    <w:p>
      <w:pPr>
        <w:spacing w:after="0" w:line="122" w:lineRule="exact"/>
        <w:rPr>
          <w:rFonts w:ascii="Arial" w:cs="Arial" w:eastAsia="Arial" w:hAnsi="Arial"/>
          <w:sz w:val="12"/>
          <w:szCs w:val="12"/>
          <w:color w:val="auto"/>
        </w:rPr>
      </w:pPr>
    </w:p>
    <w:p>
      <w:pPr>
        <w:ind w:left="648"/>
        <w:spacing w:after="0" w:line="259" w:lineRule="auto"/>
        <w:rPr>
          <w:rFonts w:ascii="Arial" w:cs="Arial" w:eastAsia="Arial" w:hAnsi="Arial"/>
          <w:sz w:val="12"/>
          <w:szCs w:val="12"/>
          <w:color w:val="auto"/>
        </w:rPr>
      </w:pPr>
      <w:r>
        <w:rPr>
          <w:rFonts w:ascii="Arial" w:cs="Arial" w:eastAsia="Arial" w:hAnsi="Arial"/>
          <w:sz w:val="12"/>
          <w:szCs w:val="12"/>
          <w:color w:val="auto"/>
        </w:rPr>
        <w:t>The Court of Appeals held an oral hearing on the case on November 16, 2018; the Court listened to the arguments of both parties. On February 25, 2019, the Court of Appeals issued its resolution whereby it has revoked the resolution of the Bankruptcy Court and ordered the case to return to the Bankruptcy to the Court. On August 29, 2019 ASB contested the Order of the Court of Appeals, so that it may be reviewed by the Supreme Court; which has the discretionary prerogative to see or not the case. On October 30, 2019, the Trustee presented his allegations of the case. The Supreme Court has invited the General Counsel of the United States in order to express the state’s opinion on the case. The case remains pending to review by the Supreme Court.</w:t>
      </w:r>
    </w:p>
    <w:p>
      <w:pPr>
        <w:spacing w:after="0" w:line="124" w:lineRule="exact"/>
        <w:rPr>
          <w:rFonts w:ascii="Arial" w:cs="Arial" w:eastAsia="Arial" w:hAnsi="Arial"/>
          <w:sz w:val="12"/>
          <w:szCs w:val="12"/>
          <w:color w:val="auto"/>
        </w:rPr>
      </w:pPr>
    </w:p>
    <w:p>
      <w:pPr>
        <w:ind w:left="648" w:right="240"/>
        <w:spacing w:after="0" w:line="276" w:lineRule="auto"/>
        <w:rPr>
          <w:rFonts w:ascii="Arial" w:cs="Arial" w:eastAsia="Arial" w:hAnsi="Arial"/>
          <w:sz w:val="12"/>
          <w:szCs w:val="12"/>
          <w:color w:val="auto"/>
        </w:rPr>
      </w:pPr>
      <w:r>
        <w:rPr>
          <w:rFonts w:ascii="Arial" w:cs="Arial" w:eastAsia="Arial" w:hAnsi="Arial"/>
          <w:sz w:val="12"/>
          <w:szCs w:val="12"/>
          <w:color w:val="auto"/>
        </w:rPr>
        <w:t>If the Supreme Court decides not to hear the case, the Resolution of the Court of Appeals keeps as before, and the case returns to the Bankruptcy Court, where there will be a “Discovery” step (obtaining evidence), to then discuss the pending issues or legal aspects.</w:t>
      </w:r>
    </w:p>
    <w:p>
      <w:pPr>
        <w:spacing w:after="0" w:line="114" w:lineRule="exact"/>
        <w:rPr>
          <w:rFonts w:ascii="Arial" w:cs="Arial" w:eastAsia="Arial" w:hAnsi="Arial"/>
          <w:sz w:val="12"/>
          <w:szCs w:val="12"/>
          <w:color w:val="auto"/>
        </w:rPr>
      </w:pPr>
    </w:p>
    <w:p>
      <w:pPr>
        <w:ind w:left="648" w:right="100"/>
        <w:spacing w:after="0" w:line="276" w:lineRule="auto"/>
        <w:rPr>
          <w:rFonts w:ascii="Arial" w:cs="Arial" w:eastAsia="Arial" w:hAnsi="Arial"/>
          <w:sz w:val="12"/>
          <w:szCs w:val="12"/>
          <w:color w:val="auto"/>
        </w:rPr>
      </w:pPr>
      <w:r>
        <w:rPr>
          <w:rFonts w:ascii="Arial" w:cs="Arial" w:eastAsia="Arial" w:hAnsi="Arial"/>
          <w:sz w:val="12"/>
          <w:szCs w:val="12"/>
          <w:color w:val="auto"/>
        </w:rPr>
        <w:t>It is important to mentioned that although the Order of the Court of Appeals of February 25, 2019 is an adverse result in the process, does not mean a definitive result in the trial but that leaves aside a procedural defense that we had.</w:t>
      </w:r>
    </w:p>
    <w:p>
      <w:pPr>
        <w:spacing w:after="0" w:line="259" w:lineRule="exact"/>
        <w:rPr>
          <w:rFonts w:ascii="Arial" w:cs="Arial" w:eastAsia="Arial" w:hAnsi="Arial"/>
          <w:sz w:val="12"/>
          <w:szCs w:val="12"/>
          <w:color w:val="auto"/>
        </w:rPr>
      </w:pPr>
    </w:p>
    <w:p>
      <w:pPr>
        <w:ind w:left="5648" w:hanging="62"/>
        <w:spacing w:after="0"/>
        <w:tabs>
          <w:tab w:leader="none" w:pos="5648" w:val="left"/>
        </w:tabs>
        <w:numPr>
          <w:ilvl w:val="2"/>
          <w:numId w:val="194"/>
        </w:numPr>
        <w:rPr>
          <w:rFonts w:ascii="Arial" w:cs="Arial" w:eastAsia="Arial" w:hAnsi="Arial"/>
          <w:sz w:val="12"/>
          <w:szCs w:val="12"/>
          <w:color w:val="auto"/>
        </w:rPr>
      </w:pPr>
      <w:r>
        <w:rPr>
          <w:rFonts w:ascii="Arial" w:cs="Arial" w:eastAsia="Arial" w:hAnsi="Arial"/>
          <w:sz w:val="12"/>
          <w:szCs w:val="12"/>
          <w:color w:val="auto"/>
        </w:rPr>
        <w:t>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649" w:right="219" w:bottom="1440" w:gutter="0" w:footer="0" w:header="0"/>
        </w:sectPr>
      </w:pPr>
    </w:p>
    <w:bookmarkStart w:id="182" w:name="page183"/>
    <w:bookmarkEnd w:id="182"/>
    <w:p>
      <w:pPr>
        <w:ind w:left="648" w:right="240"/>
        <w:spacing w:after="0" w:line="259" w:lineRule="auto"/>
        <w:rPr>
          <w:sz w:val="20"/>
          <w:szCs w:val="20"/>
          <w:color w:val="auto"/>
        </w:rPr>
      </w:pPr>
      <w:r>
        <w:rPr>
          <w:rFonts w:ascii="Arial" w:cs="Arial" w:eastAsia="Arial" w:hAnsi="Arial"/>
          <w:sz w:val="12"/>
          <w:szCs w:val="12"/>
          <w:color w:val="auto"/>
        </w:rPr>
        <w:t>Management believes that, nevertheless the resolution of the Court of Appeals, ASB has other valid defense arguments against the Madoff Trustee's claims presented in the Complaint and intends to answer the Claim.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resulting in a net loss in the funds that ASB managed on behalf of its costumers for approximately US$78.0 million (equivalent to approximately S/258.5 million) as of December, 2008.</w:t>
      </w:r>
    </w:p>
    <w:p>
      <w:pPr>
        <w:spacing w:after="0" w:line="125" w:lineRule="exact"/>
        <w:rPr>
          <w:sz w:val="20"/>
          <w:szCs w:val="20"/>
          <w:color w:val="auto"/>
        </w:rPr>
      </w:pPr>
    </w:p>
    <w:p>
      <w:pPr>
        <w:ind w:left="648" w:hanging="216"/>
        <w:spacing w:after="0"/>
        <w:tabs>
          <w:tab w:leader="none" w:pos="64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Fairfield Liquidator Litigation -</w:t>
      </w:r>
    </w:p>
    <w:p>
      <w:pPr>
        <w:spacing w:after="0" w:line="150" w:lineRule="exact"/>
        <w:rPr>
          <w:rFonts w:ascii="Arial" w:cs="Arial" w:eastAsia="Arial" w:hAnsi="Arial"/>
          <w:sz w:val="12"/>
          <w:szCs w:val="12"/>
          <w:color w:val="auto"/>
        </w:rPr>
      </w:pPr>
    </w:p>
    <w:p>
      <w:pPr>
        <w:ind w:left="648" w:right="40"/>
        <w:spacing w:after="0" w:line="259" w:lineRule="auto"/>
        <w:rPr>
          <w:rFonts w:ascii="Arial" w:cs="Arial" w:eastAsia="Arial" w:hAnsi="Arial"/>
          <w:sz w:val="12"/>
          <w:szCs w:val="12"/>
          <w:color w:val="auto"/>
        </w:rPr>
      </w:pPr>
      <w:r>
        <w:rPr>
          <w:rFonts w:ascii="Arial" w:cs="Arial" w:eastAsia="Arial" w:hAnsi="Arial"/>
          <w:sz w:val="12"/>
          <w:szCs w:val="12"/>
          <w:color w:val="auto"/>
        </w:rPr>
        <w:t>On April 13, 2012, Fairfield and its representative, Kenneth Krys (the “Fairfield Liquidator”), filed an adversary proceeding against ASB pursuant to Chapter 15 of the U.S. Bankruptcy Code, in the U.S Bankruptcy Court for the Southern District of New York, styled as Fairfield Sentry Limited (In Liquidation) against Atlantic Security Bank, Adv. Pro. N° 12-01550 (BRL) (Bankr. S.D.N.Y.) (“Fairfield v. ASB Adversary Proceeding”). The complaint sought to recover the amount of approximately US$115.0 million (equivalent to approximately S/381.1 million), reflecting ASB’s redemptions of certain investments in Fairfield Sentry Limited, together with investment returns thereon. These are essentially the same moneys that the Madoff Trustee seeks to recover in the Madoff Litigation described above.</w:t>
      </w:r>
    </w:p>
    <w:p>
      <w:pPr>
        <w:spacing w:after="0" w:line="124" w:lineRule="exact"/>
        <w:rPr>
          <w:rFonts w:ascii="Arial" w:cs="Arial" w:eastAsia="Arial" w:hAnsi="Arial"/>
          <w:sz w:val="12"/>
          <w:szCs w:val="12"/>
          <w:color w:val="auto"/>
        </w:rPr>
      </w:pPr>
    </w:p>
    <w:p>
      <w:pPr>
        <w:ind w:left="648"/>
        <w:spacing w:after="0" w:line="286" w:lineRule="auto"/>
        <w:rPr>
          <w:rFonts w:ascii="Arial" w:cs="Arial" w:eastAsia="Arial" w:hAnsi="Arial"/>
          <w:sz w:val="12"/>
          <w:szCs w:val="12"/>
          <w:color w:val="auto"/>
        </w:rPr>
      </w:pPr>
      <w:r>
        <w:rPr>
          <w:rFonts w:ascii="Arial" w:cs="Arial" w:eastAsia="Arial" w:hAnsi="Arial"/>
          <w:sz w:val="11"/>
          <w:szCs w:val="11"/>
          <w:color w:val="auto"/>
        </w:rPr>
        <w:t>Thereafter, the Fairfield v. ASB Adversary Proceeding was procedurally consolidated by the Bankruptcy Court with other adversary actions by the Fairfield Liquidator against former investors in Fairfield Sentry. Pursuant to that consolidation, and by consent of the parties, the Bankruptcy Court decreed the suspension of all proceedings in the Fairfield Liquidator adversary actions (except for the filing of amended complaints) in the light of the pending litigation in the British Virgin Island courts (BVI litigation) calling into question the Fairfield Liquidator’s ability to seek recovery of funds invested with and redeemed from Fairfield Sentry. This suspension has been lifted, and on September 18, 2016, the Fairfield Liquidator filed a New Complaint (the modified original Complaint) against ASB. On January 13, 2017, ASB has presented, together with other defendants, a procedural motion/defense for the Complaint to be dismissed. On January 25, 2018, a hearing was held in which the parties have orally presented their arguments in support of each of their positions.</w:t>
      </w:r>
    </w:p>
    <w:p>
      <w:pPr>
        <w:spacing w:after="0" w:line="111" w:lineRule="exact"/>
        <w:rPr>
          <w:rFonts w:ascii="Arial" w:cs="Arial" w:eastAsia="Arial" w:hAnsi="Arial"/>
          <w:sz w:val="12"/>
          <w:szCs w:val="12"/>
          <w:color w:val="auto"/>
        </w:rPr>
      </w:pPr>
    </w:p>
    <w:p>
      <w:pPr>
        <w:ind w:left="648" w:right="40"/>
        <w:spacing w:after="0" w:line="323" w:lineRule="auto"/>
        <w:rPr>
          <w:rFonts w:ascii="Arial" w:cs="Arial" w:eastAsia="Arial" w:hAnsi="Arial"/>
          <w:sz w:val="12"/>
          <w:szCs w:val="12"/>
          <w:color w:val="auto"/>
        </w:rPr>
      </w:pPr>
      <w:r>
        <w:rPr>
          <w:rFonts w:ascii="Arial" w:cs="Arial" w:eastAsia="Arial" w:hAnsi="Arial"/>
          <w:sz w:val="11"/>
          <w:szCs w:val="11"/>
          <w:color w:val="auto"/>
        </w:rPr>
        <w:t>On August 6, 2018 the Bankruptcy Court issued a resolution stating that it has jurisdiction over the matter being sued, but that it will still have to determine whether the complaint has sufficient substantive grounds (merits) to be protected and also whether the Court has jurisdiction regarding each of the defendants. The latter will have to be determined case by case based on an analysis of the facts referred to each one of the defendants.</w:t>
      </w:r>
    </w:p>
    <w:p>
      <w:pPr>
        <w:spacing w:after="0" w:line="91" w:lineRule="exact"/>
        <w:rPr>
          <w:rFonts w:ascii="Arial" w:cs="Arial" w:eastAsia="Arial" w:hAnsi="Arial"/>
          <w:sz w:val="12"/>
          <w:szCs w:val="12"/>
          <w:color w:val="auto"/>
        </w:rPr>
      </w:pPr>
    </w:p>
    <w:p>
      <w:pPr>
        <w:ind w:left="648" w:right="20"/>
        <w:spacing w:after="0" w:line="276" w:lineRule="auto"/>
        <w:rPr>
          <w:rFonts w:ascii="Arial" w:cs="Arial" w:eastAsia="Arial" w:hAnsi="Arial"/>
          <w:sz w:val="12"/>
          <w:szCs w:val="12"/>
          <w:color w:val="auto"/>
        </w:rPr>
      </w:pPr>
      <w:r>
        <w:rPr>
          <w:rFonts w:ascii="Arial" w:cs="Arial" w:eastAsia="Arial" w:hAnsi="Arial"/>
          <w:sz w:val="12"/>
          <w:szCs w:val="12"/>
          <w:color w:val="auto"/>
        </w:rPr>
        <w:t>Subsequently, ASB in coordination with other defendants and Claimant itself have presented to the Court an agreement authorizing the Court to decide on the viability of the demand, but reserving the parties the possibility of presenting arguments in relation to the Jurisdiction of the Court with respect to each individual defendant.</w:t>
      </w:r>
    </w:p>
    <w:p>
      <w:pPr>
        <w:spacing w:after="0" w:line="115" w:lineRule="exact"/>
        <w:rPr>
          <w:sz w:val="20"/>
          <w:szCs w:val="20"/>
          <w:color w:val="auto"/>
        </w:rPr>
      </w:pPr>
    </w:p>
    <w:p>
      <w:pPr>
        <w:ind w:left="648" w:right="320"/>
        <w:spacing w:after="0" w:line="276" w:lineRule="auto"/>
        <w:rPr>
          <w:sz w:val="20"/>
          <w:szCs w:val="20"/>
          <w:color w:val="auto"/>
        </w:rPr>
      </w:pPr>
      <w:r>
        <w:rPr>
          <w:rFonts w:ascii="Arial" w:cs="Arial" w:eastAsia="Arial" w:hAnsi="Arial"/>
          <w:sz w:val="12"/>
          <w:szCs w:val="12"/>
          <w:color w:val="auto"/>
        </w:rPr>
        <w:t>On September 11,2019 the Court has resolved to consolidate all 238 cases in one (1) case against foreign defendants (entities located outside the United States). On December 12, 2019 the Liquidator presented its initial arguments on the Appeal. The defendants have until March 11, 2020 approximately to present all the arguments supporting the opposite.</w:t>
      </w:r>
    </w:p>
    <w:p>
      <w:pPr>
        <w:spacing w:after="0" w:line="11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Management considers that ASB has substantial defenses against the Fairfield Liquidator’s claims alleged in the Amended Complaint and intends to contest these claims vigorously.</w:t>
      </w:r>
    </w:p>
    <w:p>
      <w:pPr>
        <w:spacing w:after="0" w:line="146" w:lineRule="exact"/>
        <w:rPr>
          <w:sz w:val="20"/>
          <w:szCs w:val="20"/>
          <w:color w:val="auto"/>
        </w:rPr>
      </w:pPr>
    </w:p>
    <w:p>
      <w:pPr>
        <w:ind w:left="428" w:hanging="428"/>
        <w:spacing w:after="0"/>
        <w:tabs>
          <w:tab w:leader="none" w:pos="428"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EVENTS OCURRED AFTER THE REPORT PERIOD</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From December 31, 2019 until the date of this report, no significant event has ocurred which affects the consolidated financial statements.</w:t>
      </w:r>
    </w:p>
    <w:p>
      <w:pPr>
        <w:spacing w:after="0" w:line="294" w:lineRule="exact"/>
        <w:rPr>
          <w:rFonts w:ascii="Arial" w:cs="Arial" w:eastAsia="Arial" w:hAnsi="Arial"/>
          <w:sz w:val="12"/>
          <w:szCs w:val="12"/>
          <w:b w:val="1"/>
          <w:bCs w:val="1"/>
          <w:color w:val="auto"/>
        </w:rPr>
      </w:pPr>
    </w:p>
    <w:p>
      <w:pPr>
        <w:ind w:left="5648" w:hanging="62"/>
        <w:spacing w:after="0"/>
        <w:tabs>
          <w:tab w:leader="none" w:pos="5648" w:val="left"/>
        </w:tabs>
        <w:numPr>
          <w:ilvl w:val="1"/>
          <w:numId w:val="196"/>
        </w:numPr>
        <w:rPr>
          <w:rFonts w:ascii="Arial" w:cs="Arial" w:eastAsia="Arial" w:hAnsi="Arial"/>
          <w:sz w:val="12"/>
          <w:szCs w:val="12"/>
          <w:color w:val="auto"/>
        </w:rPr>
      </w:pPr>
      <w:r>
        <w:rPr>
          <w:rFonts w:ascii="Arial" w:cs="Arial" w:eastAsia="Arial" w:hAnsi="Arial"/>
          <w:sz w:val="12"/>
          <w:szCs w:val="12"/>
          <w:color w:val="auto"/>
        </w:rPr>
        <w:t>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sectPr>
      <w:pgSz w:w="11900" w:h="16838" w:orient="portrait"/>
      <w:cols w:equalWidth="0" w:num="1">
        <w:col w:w="11448"/>
      </w:cols>
      <w:pgMar w:left="212" w:top="6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lvl w:ilvl="1">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1"/>
      <w:numFmt w:val="bullet"/>
      <w:start w:val="1"/>
    </w:lvl>
  </w:abstractNum>
  <w:abstractNum w:abstractNumId="8">
    <w:nsid w:val="555C55B5"/>
    <w:multiLevelType w:val="hybridMultilevel"/>
    <w:lvl w:ilvl="0">
      <w:lvlJc w:val="left"/>
      <w:lvlText w:val="2"/>
      <w:numFmt w:val="bullet"/>
      <w:start w:val="1"/>
    </w:lvl>
    <w:lvl w:ilvl="1">
      <w:lvlJc w:val="left"/>
      <w:lvlText w:val="%2)"/>
      <w:numFmt w:val="lowerLetter"/>
      <w:start w:val="1"/>
    </w:lvl>
    <w:lvl w:ilvl="2">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1)"/>
      <w:numFmt w:val="lowerLetter"/>
      <w:start w:val="2"/>
    </w:lvl>
    <w:lvl w:ilvl="1">
      <w:lvlJc w:val="left"/>
      <w:lvlText w:val="-"/>
      <w:numFmt w:val="bullet"/>
      <w:start w:val="1"/>
    </w:lvl>
  </w:abstractNum>
  <w:abstractNum w:abstractNumId="11">
    <w:nsid w:val="6A3DD3E8"/>
    <w:multiLevelType w:val="hybridMultilevel"/>
    <w:lvl w:ilvl="0">
      <w:lvlJc w:val="left"/>
      <w:lvlText w:val="3"/>
      <w:numFmt w:val="bullet"/>
      <w:start w:val="1"/>
    </w:lvl>
  </w:abstractNum>
  <w:abstractNum w:abstractNumId="12">
    <w:nsid w:val="71C91298"/>
    <w:multiLevelType w:val="hybridMultilevel"/>
    <w:lvl w:ilvl="0">
      <w:lvlJc w:val="left"/>
      <w:lvlText w:val="%1)"/>
      <w:numFmt w:val="lowerLetter"/>
      <w:start w:val="1"/>
    </w:lvl>
  </w:abstractNum>
  <w:abstractNum w:abstractNumId="13">
    <w:nsid w:val="9DAF632"/>
    <w:multiLevelType w:val="hybridMultilevel"/>
    <w:lvl w:ilvl="0">
      <w:lvlJc w:val="left"/>
      <w:lvlText w:val="(%1)"/>
      <w:numFmt w:val="lowerRoman"/>
      <w:start w:val="1"/>
    </w:lvl>
    <w:lvl w:ilvl="1">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lowerRoman"/>
      <w:start w:val="2"/>
    </w:lvl>
    <w:lvl w:ilvl="1">
      <w:lvlJc w:val="left"/>
      <w:lvlText w:val="-"/>
      <w:numFmt w:val="bullet"/>
      <w:start w:val="1"/>
    </w:lvl>
  </w:abstractNum>
  <w:abstractNum w:abstractNumId="16">
    <w:nsid w:val="5092CA79"/>
    <w:multiLevelType w:val="hybridMultilevel"/>
    <w:lvl w:ilvl="0">
      <w:lvlJc w:val="left"/>
      <w:lvlText w:val="(%1)"/>
      <w:numFmt w:val="lowerRoman"/>
      <w:start w:val="3"/>
    </w:lvl>
    <w:lvl w:ilvl="1">
      <w:lvlJc w:val="left"/>
      <w:lvlText w:val="-"/>
      <w:numFmt w:val="bullet"/>
      <w:start w:val="1"/>
    </w:lvl>
  </w:abstractNum>
  <w:abstractNum w:abstractNumId="17">
    <w:nsid w:val="1D545C4D"/>
    <w:multiLevelType w:val="hybridMultilevel"/>
    <w:lvl w:ilvl="0">
      <w:lvlJc w:val="left"/>
      <w:lvlText w:val="(%1)"/>
      <w:numFmt w:val="lowerRoman"/>
      <w:start w:val="6"/>
    </w:lvl>
    <w:lvl w:ilvl="1">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1)"/>
      <w:numFmt w:val="lowerRoman"/>
      <w:start w:val="9"/>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1)"/>
      <w:numFmt w:val="lowerLetter"/>
      <w:start w:val="2"/>
    </w:lvl>
    <w:lvl w:ilvl="1">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1)"/>
      <w:numFmt w:val="lowerRoman"/>
      <w:start w:val="1"/>
    </w:lvl>
  </w:abstractNum>
  <w:abstractNum w:abstractNumId="27">
    <w:nsid w:val="7C58FD05"/>
    <w:multiLevelType w:val="hybridMultilevel"/>
    <w:lvl w:ilvl="0">
      <w:lvlJc w:val="left"/>
      <w:lvlText w:val="%1)"/>
      <w:numFmt w:val="lowerLetter"/>
      <w:start w:val="1"/>
    </w:lvl>
    <w:lvl w:ilvl="1">
      <w:lvlJc w:val="left"/>
      <w:lvlText w:val="-"/>
      <w:numFmt w:val="bullet"/>
      <w:start w:val="1"/>
    </w:lvl>
  </w:abstractNum>
  <w:abstractNum w:abstractNumId="28">
    <w:nsid w:val="23D86AAC"/>
    <w:multiLevelType w:val="hybridMultilevel"/>
    <w:lvl w:ilvl="0">
      <w:lvlJc w:val="left"/>
      <w:lvlText w:val="%1"/>
      <w:numFmt w:val="lowerRoman"/>
      <w:start w:val="1"/>
    </w:lvl>
    <w:lvl w:ilvl="1">
      <w:lvlJc w:val="left"/>
      <w:lvlText w:val="%2)"/>
      <w:numFmt w:val="lowerLetter"/>
      <w:start w:val="2"/>
    </w:lvl>
  </w:abstractNum>
  <w:abstractNum w:abstractNumId="29">
    <w:nsid w:val="45E6D486"/>
    <w:multiLevelType w:val="hybridMultilevel"/>
    <w:lvl w:ilvl="0">
      <w:lvlJc w:val="left"/>
      <w:lvlText w:val="(%1)"/>
      <w:numFmt w:val="lowerRoman"/>
      <w:start w:val="2"/>
    </w:lvl>
    <w:lvl w:ilvl="1">
      <w:lvlJc w:val="left"/>
      <w:lvlText w:val="%2"/>
      <w:numFmt w:val="lowerLetter"/>
      <w:start w:val="1"/>
    </w:lvl>
  </w:abstractNum>
  <w:abstractNum w:abstractNumId="30">
    <w:nsid w:val="5C10FE21"/>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1">
    <w:nsid w:val="E7FFA2B"/>
    <w:multiLevelType w:val="hybridMultilevel"/>
    <w:lvl w:ilvl="0">
      <w:lvlJc w:val="left"/>
      <w:lvlText w:val="(%1)"/>
      <w:numFmt w:val="lowerRoman"/>
      <w:start w:val="5"/>
    </w:lvl>
    <w:lvl w:ilvl="1">
      <w:lvlJc w:val="left"/>
      <w:lvlText w:val="%2"/>
      <w:numFmt w:val="lowerLetter"/>
      <w:start w:val="1"/>
    </w:lvl>
    <w:lvl w:ilvl="2">
      <w:lvlJc w:val="left"/>
      <w:lvlText w:val="-"/>
      <w:numFmt w:val="bullet"/>
      <w:start w:val="1"/>
    </w:lvl>
  </w:abstractNum>
  <w:abstractNum w:abstractNumId="32">
    <w:nsid w:val="3C5991A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3">
    <w:nsid w:val="4BD8591A"/>
    <w:multiLevelType w:val="hybridMultilevel"/>
    <w:lvl w:ilvl="0">
      <w:lvlJc w:val="left"/>
      <w:lvlText w:val="%1)"/>
      <w:numFmt w:val="lowerLetter"/>
      <w:start w:val="4"/>
    </w:lvl>
    <w:lvl w:ilvl="1">
      <w:lvlJc w:val="left"/>
      <w:lvlText w:val="-"/>
      <w:numFmt w:val="bullet"/>
      <w:start w:val="1"/>
    </w:lvl>
  </w:abstractNum>
  <w:abstractNum w:abstractNumId="34">
    <w:nsid w:val="78DF6A55"/>
    <w:multiLevelType w:val="hybridMultilevel"/>
    <w:lvl w:ilvl="0">
      <w:lvlJc w:val="left"/>
      <w:lvlText w:val="%1)"/>
      <w:numFmt w:val="lowerLetter"/>
      <w:start w:val="5"/>
    </w:lvl>
    <w:lvl w:ilvl="1">
      <w:lvlJc w:val="left"/>
      <w:lvlText w:val="-"/>
      <w:numFmt w:val="bullet"/>
      <w:start w:val="1"/>
    </w:lvl>
  </w:abstractNum>
  <w:abstractNum w:abstractNumId="35">
    <w:nsid w:val="39B7AAA2"/>
    <w:multiLevelType w:val="hybridMultilevel"/>
    <w:lvl w:ilvl="0">
      <w:lvlJc w:val="left"/>
      <w:lvlText w:val="(%1)"/>
      <w:numFmt w:val="lowerRoman"/>
      <w:start w:val="1"/>
    </w:lvl>
    <w:lvl w:ilvl="1">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1)"/>
      <w:numFmt w:val="lowerRoman"/>
      <w:start w:val="2"/>
    </w:lvl>
    <w:lvl w:ilvl="1">
      <w:lvlJc w:val="left"/>
      <w:lvlText w:val="-"/>
      <w:numFmt w:val="bullet"/>
      <w:start w:val="1"/>
    </w:lvl>
  </w:abstractNum>
  <w:abstractNum w:abstractNumId="38">
    <w:nsid w:val="379E21B5"/>
    <w:multiLevelType w:val="hybridMultilevel"/>
    <w:lvl w:ilvl="0">
      <w:lvlJc w:val="left"/>
      <w:lvlText w:val="(%1)"/>
      <w:numFmt w:val="lowerRoman"/>
      <w:start w:val="1"/>
    </w:lvl>
  </w:abstractNum>
  <w:abstractNum w:abstractNumId="39">
    <w:nsid w:val="69E373"/>
    <w:multiLevelType w:val="hybridMultilevel"/>
    <w:lvl w:ilvl="0">
      <w:lvlJc w:val="left"/>
      <w:lvlText w:val="(%1)"/>
      <w:numFmt w:val="lowerRoman"/>
      <w:start w:val="1"/>
    </w:lvl>
    <w:lvl w:ilvl="1">
      <w:lvlJc w:val="left"/>
      <w:lvlText w:val="-"/>
      <w:numFmt w:val="bullet"/>
      <w:start w:val="1"/>
    </w:lvl>
  </w:abstractNum>
  <w:abstractNum w:abstractNumId="40">
    <w:nsid w:val="2C27173B"/>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1">
    <w:nsid w:val="4C9B0904"/>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1)"/>
      <w:numFmt w:val="lowerRoman"/>
      <w:start w:val="1"/>
    </w:lvl>
    <w:lvl w:ilvl="1">
      <w:lvlJc w:val="left"/>
      <w:lvlText w:val="-"/>
      <w:numFmt w:val="bullet"/>
      <w:start w:val="1"/>
    </w:lvl>
  </w:abstractNum>
  <w:abstractNum w:abstractNumId="44">
    <w:nsid w:val="5675FF36"/>
    <w:multiLevelType w:val="hybridMultilevel"/>
    <w:lvl w:ilvl="0">
      <w:lvlJc w:val="left"/>
      <w:lvlText w:val="(%1)"/>
      <w:numFmt w:val="lowerRoman"/>
      <w:start w:val="2"/>
    </w:lvl>
    <w:lvl w:ilvl="1">
      <w:lvlJc w:val="left"/>
      <w:lvlText w:val="-"/>
      <w:numFmt w:val="bullet"/>
      <w:start w:val="1"/>
    </w:lvl>
  </w:abstractNum>
  <w:abstractNum w:abstractNumId="45">
    <w:nsid w:val="3DD15094"/>
    <w:multiLevelType w:val="hybridMultilevel"/>
    <w:lvl w:ilvl="0">
      <w:lvlJc w:val="left"/>
      <w:lvlText w:val="-"/>
      <w:numFmt w:val="bullet"/>
      <w:start w:val="1"/>
    </w:lvl>
  </w:abstractNum>
  <w:abstractNum w:abstractNumId="46">
    <w:nsid w:val="3DB012B3"/>
    <w:multiLevelType w:val="hybridMultilevel"/>
    <w:lvl w:ilvl="0">
      <w:lvlJc w:val="left"/>
      <w:lvlText w:val="(%1)"/>
      <w:numFmt w:val="lowerRoman"/>
      <w:start w:val="3"/>
    </w:lvl>
  </w:abstractNum>
  <w:abstractNum w:abstractNumId="47">
    <w:nsid w:val="2708C9AF"/>
    <w:multiLevelType w:val="hybridMultilevel"/>
    <w:lvl w:ilvl="0">
      <w:lvlJc w:val="left"/>
      <w:lvlText w:val="-"/>
      <w:numFmt w:val="bullet"/>
      <w:start w:val="1"/>
    </w:lvl>
    <w:lvl w:ilvl="1">
      <w:lvlJc w:val="left"/>
      <w:lvlText w:val="-"/>
      <w:numFmt w:val="bullet"/>
      <w:start w:val="1"/>
    </w:lvl>
  </w:abstractNum>
  <w:abstractNum w:abstractNumId="48">
    <w:nsid w:val="5B25ACE2"/>
    <w:multiLevelType w:val="hybridMultilevel"/>
    <w:lvl w:ilvl="0">
      <w:lvlJc w:val="left"/>
      <w:lvlText w:val="(%1)"/>
      <w:numFmt w:val="lowerRoman"/>
      <w:start w:val="5"/>
    </w:lvl>
    <w:lvl w:ilvl="1">
      <w:lvlJc w:val="left"/>
      <w:lvlText w:val="-"/>
      <w:numFmt w:val="bullet"/>
      <w:start w:val="1"/>
    </w:lvl>
    <w:lvl w:ilvl="2">
      <w:lvlJc w:val="left"/>
      <w:lvlText w:val="-"/>
      <w:numFmt w:val="bullet"/>
      <w:start w:val="1"/>
    </w:lvl>
  </w:abstractNum>
  <w:abstractNum w:abstractNumId="49">
    <w:nsid w:val="175DFCF0"/>
    <w:multiLevelType w:val="hybridMultilevel"/>
    <w:lvl w:ilvl="0">
      <w:lvlJc w:val="left"/>
      <w:lvlText w:val="(%1)"/>
      <w:numFmt w:val="lowerRoman"/>
      <w:start w:val="6"/>
    </w:lvl>
  </w:abstractNum>
  <w:abstractNum w:abstractNumId="50">
    <w:nsid w:val="4F97E3E4"/>
    <w:multiLevelType w:val="hybridMultilevel"/>
    <w:lvl w:ilvl="0">
      <w:lvlJc w:val="left"/>
      <w:lvlText w:val="(%1)"/>
      <w:numFmt w:val="lowerRoman"/>
      <w:start w:val="8"/>
    </w:lvl>
    <w:lvl w:ilvl="1">
      <w:lvlJc w:val="left"/>
      <w:lvlText w:val="-"/>
      <w:numFmt w:val="bullet"/>
      <w:start w:val="1"/>
    </w:lvl>
  </w:abstractNum>
  <w:abstractNum w:abstractNumId="51">
    <w:nsid w:val="53B0A9E"/>
    <w:multiLevelType w:val="hybridMultilevel"/>
    <w:lvl w:ilvl="0">
      <w:lvlJc w:val="left"/>
      <w:lvlText w:val="%1"/>
      <w:numFmt w:val="lowerLetter"/>
      <w:start w:val="1"/>
    </w:lvl>
    <w:lvl w:ilvl="1">
      <w:lvlJc w:val="left"/>
      <w:lvlText w:val="(%2)"/>
      <w:numFmt w:val="lowerRoman"/>
      <w:start w:val="10"/>
    </w:lvl>
    <w:lvl w:ilvl="2">
      <w:lvlJc w:val="left"/>
      <w:lvlText w:val="-"/>
      <w:numFmt w:val="bullet"/>
      <w:start w:val="1"/>
    </w:lvl>
  </w:abstractNum>
  <w:abstractNum w:abstractNumId="52">
    <w:nsid w:val="34FD6B4F"/>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53">
    <w:nsid w:val="5915FF32"/>
    <w:multiLevelType w:val="hybridMultilevel"/>
    <w:lvl w:ilvl="0">
      <w:lvlJc w:val="left"/>
      <w:lvlText w:val="%1)"/>
      <w:numFmt w:val="lowerLetter"/>
      <w:start w:val="8"/>
    </w:lvl>
    <w:lvl w:ilvl="1">
      <w:lvlJc w:val="left"/>
      <w:lvlText w:val="-"/>
      <w:numFmt w:val="bullet"/>
      <w:start w:val="1"/>
    </w:lvl>
  </w:abstractNum>
  <w:abstractNum w:abstractNumId="54">
    <w:nsid w:val="56438D15"/>
    <w:multiLevelType w:val="hybridMultilevel"/>
    <w:lvl w:ilvl="0">
      <w:lvlJc w:val="left"/>
      <w:lvlText w:val="-"/>
      <w:numFmt w:val="bullet"/>
      <w:start w:val="1"/>
    </w:lvl>
    <w:lvl w:ilvl="1">
      <w:lvlJc w:val="left"/>
      <w:lvlText w:val="-"/>
      <w:numFmt w:val="bullet"/>
      <w:start w:val="1"/>
    </w:lvl>
  </w:abstractNum>
  <w:abstractNum w:abstractNumId="55">
    <w:nsid w:val="519E3149"/>
    <w:multiLevelType w:val="hybridMultilevel"/>
    <w:lvl w:ilvl="0">
      <w:lvlJc w:val="left"/>
      <w:lvlText w:val="-"/>
      <w:numFmt w:val="bullet"/>
      <w:start w:val="1"/>
    </w:lvl>
  </w:abstractNum>
  <w:abstractNum w:abstractNumId="56">
    <w:nsid w:val="2C6E4AFD"/>
    <w:multiLevelType w:val="hybridMultilevel"/>
    <w:lvl w:ilvl="0">
      <w:lvlJc w:val="left"/>
      <w:lvlText w:val="-"/>
      <w:numFmt w:val="bullet"/>
      <w:start w:val="1"/>
    </w:lvl>
  </w:abstractNum>
  <w:abstractNum w:abstractNumId="57">
    <w:nsid w:val="17A1B582"/>
    <w:multiLevelType w:val="hybridMultilevel"/>
    <w:lvl w:ilvl="0">
      <w:lvlJc w:val="left"/>
      <w:lvlText w:val="-"/>
      <w:numFmt w:val="bullet"/>
      <w:start w:val="1"/>
    </w:lvl>
  </w:abstractNum>
  <w:abstractNum w:abstractNumId="58">
    <w:nsid w:val="4DF72E4E"/>
    <w:multiLevelType w:val="hybridMultilevel"/>
    <w:lvl w:ilvl="0">
      <w:lvlJc w:val="left"/>
      <w:lvlText w:val="(%1)"/>
      <w:numFmt w:val="lowerRoman"/>
      <w:start w:val="1"/>
    </w:lvl>
    <w:lvl w:ilvl="1">
      <w:lvlJc w:val="left"/>
      <w:lvlText w:val="-"/>
      <w:numFmt w:val="bullet"/>
      <w:start w:val="1"/>
    </w:lvl>
  </w:abstractNum>
  <w:abstractNum w:abstractNumId="59">
    <w:nsid w:val="5046B5A9"/>
    <w:multiLevelType w:val="hybridMultilevel"/>
    <w:lvl w:ilvl="0">
      <w:lvlJc w:val="left"/>
      <w:lvlText w:val="(%1)"/>
      <w:numFmt w:val="lowerRoman"/>
      <w:start w:val="2"/>
    </w:lvl>
    <w:lvl w:ilvl="1">
      <w:lvlJc w:val="left"/>
      <w:lvlText w:val="-"/>
      <w:numFmt w:val="bullet"/>
      <w:start w:val="1"/>
    </w:lvl>
  </w:abstractNum>
  <w:abstractNum w:abstractNumId="60">
    <w:nsid w:val="5D888A08"/>
    <w:multiLevelType w:val="hybridMultilevel"/>
    <w:lvl w:ilvl="0">
      <w:lvlJc w:val="left"/>
      <w:lvlText w:val="%1)"/>
      <w:numFmt w:val="lowerLetter"/>
      <w:start w:val="10"/>
    </w:lvl>
    <w:lvl w:ilvl="1">
      <w:lvlJc w:val="left"/>
      <w:lvlText w:val="-"/>
      <w:numFmt w:val="bullet"/>
      <w:start w:val="1"/>
    </w:lvl>
  </w:abstractNum>
  <w:abstractNum w:abstractNumId="61">
    <w:nsid w:val="2A082C70"/>
    <w:multiLevelType w:val="hybridMultilevel"/>
    <w:lvl w:ilvl="0">
      <w:lvlJc w:val="left"/>
      <w:lvlText w:val="-"/>
      <w:numFmt w:val="bullet"/>
      <w:start w:val="1"/>
    </w:lvl>
  </w:abstractNum>
  <w:abstractNum w:abstractNumId="62">
    <w:nsid w:val="5EC6AFD4"/>
    <w:multiLevelType w:val="hybridMultilevel"/>
    <w:lvl w:ilvl="0">
      <w:lvlJc w:val="left"/>
      <w:lvlText w:val="%1)"/>
      <w:numFmt w:val="lowerLetter"/>
      <w:start w:val="11"/>
    </w:lvl>
  </w:abstractNum>
  <w:abstractNum w:abstractNumId="63">
    <w:nsid w:val="19E21BB2"/>
    <w:multiLevelType w:val="hybridMultilevel"/>
    <w:lvl w:ilvl="0">
      <w:lvlJc w:val="left"/>
      <w:lvlText w:val="%1)"/>
      <w:numFmt w:val="lowerLetter"/>
      <w:start w:val="12"/>
    </w:lvl>
    <w:lvl w:ilvl="1">
      <w:lvlJc w:val="left"/>
      <w:lvlText w:val="-"/>
      <w:numFmt w:val="bullet"/>
      <w:start w:val="1"/>
    </w:lvl>
  </w:abstractNum>
  <w:abstractNum w:abstractNumId="64">
    <w:nsid w:val="75E0858A"/>
    <w:multiLevelType w:val="hybridMultilevel"/>
    <w:lvl w:ilvl="0">
      <w:lvlJc w:val="left"/>
      <w:lvlText w:val="%1)"/>
      <w:numFmt w:val="lowerLetter"/>
      <w:start w:val="13"/>
    </w:lvl>
    <w:lvl w:ilvl="1">
      <w:lvlJc w:val="left"/>
      <w:lvlText w:val="-"/>
      <w:numFmt w:val="bullet"/>
      <w:start w:val="1"/>
    </w:lvl>
  </w:abstractNum>
  <w:abstractNum w:abstractNumId="65">
    <w:nsid w:val="57A61A29"/>
    <w:multiLevelType w:val="hybridMultilevel"/>
    <w:lvl w:ilvl="0">
      <w:lvlJc w:val="left"/>
      <w:lvlText w:val="%1)"/>
      <w:numFmt w:val="lowerLetter"/>
      <w:start w:val="15"/>
    </w:lvl>
  </w:abstractNum>
  <w:abstractNum w:abstractNumId="66">
    <w:nsid w:val="5399C654"/>
    <w:multiLevelType w:val="hybridMultilevel"/>
    <w:lvl w:ilvl="0">
      <w:lvlJc w:val="left"/>
      <w:lvlText w:val="%1)"/>
      <w:numFmt w:val="lowerLetter"/>
      <w:start w:val="16"/>
    </w:lvl>
    <w:lvl w:ilvl="1">
      <w:lvlJc w:val="left"/>
      <w:lvlText w:val="-"/>
      <w:numFmt w:val="bullet"/>
      <w:start w:val="1"/>
    </w:lvl>
  </w:abstractNum>
  <w:abstractNum w:abstractNumId="67">
    <w:nsid w:val="20EE1348"/>
    <w:multiLevelType w:val="hybridMultilevel"/>
    <w:lvl w:ilvl="0">
      <w:lvlJc w:val="left"/>
      <w:lvlText w:val="%1)"/>
      <w:numFmt w:val="lowerLetter"/>
      <w:start w:val="17"/>
    </w:lvl>
    <w:lvl w:ilvl="1">
      <w:lvlJc w:val="left"/>
      <w:lvlText w:val="-"/>
      <w:numFmt w:val="bullet"/>
      <w:start w:val="1"/>
    </w:lvl>
  </w:abstractNum>
  <w:abstractNum w:abstractNumId="68">
    <w:nsid w:val="4427069A"/>
    <w:multiLevelType w:val="hybridMultilevel"/>
    <w:lvl w:ilvl="0">
      <w:lvlJc w:val="left"/>
      <w:lvlText w:val="%1)"/>
      <w:numFmt w:val="lowerLetter"/>
      <w:start w:val="20"/>
    </w:lvl>
    <w:lvl w:ilvl="1">
      <w:lvlJc w:val="left"/>
      <w:lvlText w:val="-"/>
      <w:numFmt w:val="bullet"/>
      <w:start w:val="1"/>
    </w:lvl>
  </w:abstractNum>
  <w:abstractNum w:abstractNumId="69">
    <w:nsid w:val="B37E80A"/>
    <w:multiLevelType w:val="hybridMultilevel"/>
    <w:lvl w:ilvl="0">
      <w:lvlJc w:val="left"/>
      <w:lvlText w:val="%1)"/>
      <w:numFmt w:val="lowerLetter"/>
      <w:start w:val="23"/>
    </w:lvl>
    <w:lvl w:ilvl="1">
      <w:lvlJc w:val="left"/>
      <w:lvlText w:val="-"/>
      <w:numFmt w:val="bullet"/>
      <w:start w:val="1"/>
    </w:lvl>
  </w:abstractNum>
  <w:abstractNum w:abstractNumId="70">
    <w:nsid w:val="2157F6BC"/>
    <w:multiLevelType w:val="hybridMultilevel"/>
    <w:lvl w:ilvl="0">
      <w:lvlJc w:val="left"/>
      <w:lvlText w:val="-"/>
      <w:numFmt w:val="bullet"/>
      <w:start w:val="1"/>
    </w:lvl>
    <w:lvl w:ilvl="1">
      <w:lvlJc w:val="left"/>
      <w:lvlText w:val="-"/>
      <w:numFmt w:val="bullet"/>
      <w:start w:val="1"/>
    </w:lvl>
  </w:abstractNum>
  <w:abstractNum w:abstractNumId="71">
    <w:nsid w:val="704E1DD5"/>
    <w:multiLevelType w:val="hybridMultilevel"/>
    <w:lvl w:ilvl="0">
      <w:lvlJc w:val="left"/>
      <w:lvlText w:val="%1)"/>
      <w:numFmt w:val="lowerRoman"/>
      <w:start w:val="1"/>
    </w:lvl>
    <w:lvl w:ilvl="1">
      <w:lvlJc w:val="left"/>
      <w:lvlText w:val="-"/>
      <w:numFmt w:val="bullet"/>
      <w:start w:val="1"/>
    </w:lvl>
  </w:abstractNum>
  <w:abstractNum w:abstractNumId="72">
    <w:nsid w:val="57D2F10E"/>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73">
    <w:nsid w:val="BFFAE18"/>
    <w:multiLevelType w:val="hybridMultilevel"/>
    <w:lvl w:ilvl="0">
      <w:lvlJc w:val="left"/>
      <w:lvlText w:val="%1)"/>
      <w:numFmt w:val="lowerLetter"/>
      <w:start w:val="26"/>
    </w:lvl>
    <w:lvl w:ilvl="1">
      <w:lvlJc w:val="left"/>
      <w:lvlText w:val="%2"/>
      <w:numFmt w:val="lowerLetter"/>
      <w:start w:val="1"/>
    </w:lvl>
    <w:lvl w:ilvl="2">
      <w:lvlJc w:val="left"/>
      <w:lvlText w:val="-"/>
      <w:numFmt w:val="bullet"/>
      <w:start w:val="1"/>
    </w:lvl>
  </w:abstractNum>
  <w:abstractNum w:abstractNumId="74">
    <w:nsid w:val="E3E47A8"/>
    <w:multiLevelType w:val="hybridMultilevel"/>
    <w:lvl w:ilvl="0">
      <w:lvlJc w:val="left"/>
      <w:lvlText w:val="-"/>
      <w:numFmt w:val="bullet"/>
      <w:start w:val="1"/>
    </w:lvl>
  </w:abstractNum>
  <w:abstractNum w:abstractNumId="75">
    <w:nsid w:val="2E48F044"/>
    <w:multiLevelType w:val="hybridMultilevel"/>
    <w:lvl w:ilvl="0">
      <w:lvlJc w:val="left"/>
      <w:lvlText w:val="%1)"/>
      <w:numFmt w:val="lowerLetter"/>
      <w:start w:val="27"/>
    </w:lvl>
  </w:abstractNum>
  <w:abstractNum w:abstractNumId="76">
    <w:nsid w:val="49D0FEAC"/>
    <w:multiLevelType w:val="hybridMultilevel"/>
    <w:lvl w:ilvl="0">
      <w:lvlJc w:val="left"/>
      <w:lvlText w:val="(%1)"/>
      <w:numFmt w:val="lowerRoman"/>
      <w:start w:val="1"/>
    </w:lvl>
    <w:lvl w:ilvl="1">
      <w:lvlJc w:val="left"/>
      <w:lvlText w:val="-"/>
      <w:numFmt w:val="bullet"/>
      <w:start w:val="1"/>
    </w:lvl>
  </w:abstractNum>
  <w:abstractNum w:abstractNumId="77">
    <w:nsid w:val="4BEE5A5B"/>
    <w:multiLevelType w:val="hybridMultilevel"/>
    <w:lvl w:ilvl="0">
      <w:lvlJc w:val="left"/>
      <w:lvlText w:val="(%1)"/>
      <w:numFmt w:val="lowerRoman"/>
      <w:start w:val="2"/>
    </w:lvl>
    <w:lvl w:ilvl="1">
      <w:lvlJc w:val="left"/>
      <w:lvlText w:val="-"/>
      <w:numFmt w:val="bullet"/>
      <w:start w:val="1"/>
    </w:lvl>
  </w:abstractNum>
  <w:abstractNum w:abstractNumId="78">
    <w:nsid w:val="5551B9F3"/>
    <w:multiLevelType w:val="hybridMultilevel"/>
    <w:lvl w:ilvl="0">
      <w:lvlJc w:val="left"/>
      <w:lvlText w:val="(%1)"/>
      <w:numFmt w:val="lowerRoman"/>
      <w:start w:val="3"/>
    </w:lvl>
    <w:lvl w:ilvl="1">
      <w:lvlJc w:val="left"/>
      <w:lvlText w:val="-"/>
      <w:numFmt w:val="bullet"/>
      <w:start w:val="1"/>
    </w:lvl>
    <w:lvl w:ilvl="2">
      <w:lvlJc w:val="left"/>
      <w:lvlText w:val="-"/>
      <w:numFmt w:val="bullet"/>
      <w:start w:val="1"/>
    </w:lvl>
  </w:abstractNum>
  <w:abstractNum w:abstractNumId="79">
    <w:nsid w:val="24F6AB8E"/>
    <w:multiLevelType w:val="hybridMultilevel"/>
    <w:lvl w:ilvl="0">
      <w:lvlJc w:val="left"/>
      <w:lvlText w:val="(%1)"/>
      <w:numFmt w:val="lowerRoman"/>
      <w:start w:val="5"/>
    </w:lvl>
  </w:abstractNum>
  <w:abstractNum w:abstractNumId="80">
    <w:nsid w:val="634C574C"/>
    <w:multiLevelType w:val="hybridMultilevel"/>
    <w:lvl w:ilvl="0">
      <w:lvlJc w:val="left"/>
      <w:lvlText w:val="%1)"/>
      <w:numFmt w:val="lowerLetter"/>
      <w:start w:val="2"/>
    </w:lvl>
  </w:abstractNum>
  <w:abstractNum w:abstractNumId="81">
    <w:nsid w:val="24E99DD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2A31B62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3">
    <w:nsid w:val="1849C29B"/>
    <w:multiLevelType w:val="hybridMultilevel"/>
    <w:lvl w:ilvl="0">
      <w:lvlJc w:val="left"/>
      <w:lvlText w:val="5"/>
      <w:numFmt w:val="bullet"/>
      <w:start w:val="1"/>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Roman"/>
      <w:start w:val="1"/>
    </w:lvl>
    <w:lvl w:ilvl="1">
      <w:lvlJc w:val="left"/>
      <w:lvlText w:val="-"/>
      <w:numFmt w:val="bullet"/>
      <w:start w:val="1"/>
    </w:lvl>
  </w:abstractNum>
  <w:abstractNum w:abstractNumId="86">
    <w:nsid w:val="69E7F3E5"/>
    <w:multiLevelType w:val="hybridMultilevel"/>
    <w:lvl w:ilvl="0">
      <w:lvlJc w:val="left"/>
      <w:lvlText w:val="(%1)"/>
      <w:numFmt w:val="lowerRoman"/>
      <w:start w:val="2"/>
    </w:lvl>
  </w:abstractNum>
  <w:abstractNum w:abstractNumId="87">
    <w:nsid w:val="2A6DE806"/>
    <w:multiLevelType w:val="hybridMultilevel"/>
    <w:lvl w:ilvl="0">
      <w:lvlJc w:val="left"/>
      <w:lvlText w:val="%1)"/>
      <w:numFmt w:val="lowerLetter"/>
      <w:start w:val="2"/>
    </w:lvl>
  </w:abstractNum>
  <w:abstractNum w:abstractNumId="88">
    <w:nsid w:val="1816F8C4"/>
    <w:multiLevelType w:val="hybridMultilevel"/>
    <w:lvl w:ilvl="0">
      <w:lvlJc w:val="left"/>
      <w:lvlText w:val="%1)"/>
      <w:numFmt w:val="lowerLetter"/>
      <w:start w:val="3"/>
    </w:lvl>
  </w:abstractNum>
  <w:abstractNum w:abstractNumId="89">
    <w:nsid w:val="37DF2233"/>
    <w:multiLevelType w:val="hybridMultilevel"/>
    <w:lvl w:ilvl="0">
      <w:lvlJc w:val="left"/>
      <w:lvlText w:val="(%1)"/>
      <w:numFmt w:val="lowerRoman"/>
      <w:start w:val="1"/>
    </w:lvl>
    <w:lvl w:ilvl="1">
      <w:lvlJc w:val="left"/>
      <w:lvlText w:val="-"/>
      <w:numFmt w:val="bullet"/>
      <w:start w:val="1"/>
    </w:lvl>
  </w:abstractNum>
  <w:abstractNum w:abstractNumId="90">
    <w:nsid w:val="7AB49DAF"/>
    <w:multiLevelType w:val="hybridMultilevel"/>
    <w:lvl w:ilvl="0">
      <w:lvlJc w:val="left"/>
      <w:lvlText w:val="6"/>
      <w:numFmt w:val="bullet"/>
      <w:start w:val="1"/>
    </w:lvl>
    <w:lvl w:ilvl="1">
      <w:lvlJc w:val="left"/>
      <w:lvlText w:val="%2)"/>
      <w:numFmt w:val="lowerLetter"/>
      <w:start w:val="1"/>
    </w:lvl>
  </w:abstractNum>
  <w:abstractNum w:abstractNumId="91">
    <w:nsid w:val="759F82CD"/>
    <w:multiLevelType w:val="hybridMultilevel"/>
    <w:lvl w:ilvl="0">
      <w:lvlJc w:val="left"/>
      <w:lvlText w:val="(%1)"/>
      <w:numFmt w:val="lowerRoman"/>
      <w:start w:val="1"/>
    </w:lvl>
  </w:abstractNum>
  <w:abstractNum w:abstractNumId="92">
    <w:nsid w:val="61E74EA3"/>
    <w:multiLevelType w:val="hybridMultilevel"/>
    <w:lvl w:ilvl="0">
      <w:lvlJc w:val="left"/>
      <w:lvlText w:val="(%1)"/>
      <w:numFmt w:val="lowerRoman"/>
      <w:start w:val="2"/>
    </w:lvl>
    <w:lvl w:ilvl="1">
      <w:lvlJc w:val="left"/>
      <w:lvlText w:val="-"/>
      <w:numFmt w:val="bullet"/>
      <w:start w:val="1"/>
    </w:lvl>
  </w:abstractNum>
  <w:abstractNum w:abstractNumId="93">
    <w:nsid w:val="597B4D84"/>
    <w:multiLevelType w:val="hybridMultilevel"/>
    <w:lvl w:ilvl="0">
      <w:lvlJc w:val="left"/>
      <w:lvlText w:val="(%1)"/>
      <w:numFmt w:val="lowerRoman"/>
      <w:start w:val="4"/>
    </w:lvl>
    <w:lvl w:ilvl="1">
      <w:lvlJc w:val="left"/>
      <w:lvlText w:val="-"/>
      <w:numFmt w:val="bullet"/>
      <w:start w:val="1"/>
    </w:lvl>
  </w:abstractNum>
  <w:abstractNum w:abstractNumId="94">
    <w:nsid w:val="F819E7F"/>
    <w:multiLevelType w:val="hybridMultilevel"/>
    <w:lvl w:ilvl="0">
      <w:lvlJc w:val="left"/>
      <w:lvlText w:val="(%1)"/>
      <w:numFmt w:val="lowerRoman"/>
      <w:start w:val="1"/>
    </w:lvl>
  </w:abstractNum>
  <w:abstractNum w:abstractNumId="95">
    <w:nsid w:val="57C7D42D"/>
    <w:multiLevelType w:val="hybridMultilevel"/>
    <w:lvl w:ilvl="0">
      <w:lvlJc w:val="left"/>
      <w:lvlText w:val="(%1)"/>
      <w:numFmt w:val="lowerRoman"/>
      <w:start w:val="1"/>
    </w:lvl>
    <w:lvl w:ilvl="1">
      <w:lvlJc w:val="left"/>
      <w:lvlText w:val="-"/>
      <w:numFmt w:val="bullet"/>
      <w:start w:val="1"/>
    </w:lvl>
  </w:abstractNum>
  <w:abstractNum w:abstractNumId="96">
    <w:nsid w:val="312167AD"/>
    <w:multiLevelType w:val="hybridMultilevel"/>
    <w:lvl w:ilvl="0">
      <w:lvlJc w:val="left"/>
      <w:lvlText w:val="(%1)"/>
      <w:numFmt w:val="lowerRoman"/>
      <w:start w:val="2"/>
    </w:lvl>
  </w:abstractNum>
  <w:abstractNum w:abstractNumId="97">
    <w:nsid w:val="631B64D4"/>
    <w:multiLevelType w:val="hybridMultilevel"/>
    <w:lvl w:ilvl="0">
      <w:lvlJc w:val="left"/>
      <w:lvlText w:val="%1)"/>
      <w:numFmt w:val="lowerLetter"/>
      <w:start w:val="2"/>
    </w:lvl>
  </w:abstractNum>
  <w:abstractNum w:abstractNumId="98">
    <w:nsid w:val="78B5E776"/>
    <w:multiLevelType w:val="hybridMultilevel"/>
    <w:lvl w:ilvl="0">
      <w:lvlJc w:val="left"/>
      <w:lvlText w:val="%1)"/>
      <w:numFmt w:val="lowerLetter"/>
      <w:start w:val="3"/>
    </w:lvl>
  </w:abstractNum>
  <w:abstractNum w:abstractNumId="99">
    <w:nsid w:val="75486E47"/>
    <w:multiLevelType w:val="hybridMultilevel"/>
    <w:lvl w:ilvl="0">
      <w:lvlJc w:val="left"/>
      <w:lvlText w:val="(*)"/>
      <w:numFmt w:val="bullet"/>
      <w:start w:val="1"/>
    </w:lvl>
    <w:lvl w:ilvl="1">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1)"/>
      <w:numFmt w:val="lowerLetter"/>
      <w:start w:val="4"/>
    </w:lvl>
    <w:lvl w:ilvl="1">
      <w:lvlJc w:val="left"/>
      <w:lvlText w:val="-"/>
      <w:numFmt w:val="bullet"/>
      <w:start w:val="1"/>
    </w:lvl>
  </w:abstractNum>
  <w:abstractNum w:abstractNumId="102">
    <w:nsid w:val="65968C1C"/>
    <w:multiLevelType w:val="hybridMultilevel"/>
    <w:lvl w:ilvl="0">
      <w:lvlJc w:val="left"/>
      <w:lvlText w:val="%1)"/>
      <w:numFmt w:val="lowerLetter"/>
      <w:start w:val="5"/>
    </w:lvl>
  </w:abstractNum>
  <w:abstractNum w:abstractNumId="103">
    <w:nsid w:val="46263DEC"/>
    <w:multiLevelType w:val="hybridMultilevel"/>
    <w:lvl w:ilvl="0">
      <w:lvlJc w:val="left"/>
      <w:lvlText w:val="8"/>
      <w:numFmt w:val="bullet"/>
      <w:start w:val="1"/>
    </w:lvl>
  </w:abstractNum>
  <w:abstractNum w:abstractNumId="104">
    <w:nsid w:val="260D8C4A"/>
    <w:multiLevelType w:val="hybridMultilevel"/>
    <w:lvl w:ilvl="0">
      <w:lvlJc w:val="left"/>
      <w:lvlText w:val="9"/>
      <w:numFmt w:val="bullet"/>
      <w:start w:val="1"/>
    </w:lvl>
    <w:lvl w:ilvl="1">
      <w:lvlJc w:val="left"/>
      <w:lvlText w:val="%2)"/>
      <w:numFmt w:val="lowerLetter"/>
      <w:start w:val="1"/>
    </w:lvl>
    <w:lvl w:ilvl="2">
      <w:lvlJc w:val="left"/>
      <w:lvlText w:val="-"/>
      <w:numFmt w:val="bullet"/>
      <w:start w:val="1"/>
    </w:lvl>
  </w:abstractNum>
  <w:abstractNum w:abstractNumId="105">
    <w:nsid w:val="73D4D3C4"/>
    <w:multiLevelType w:val="hybridMultilevel"/>
    <w:lvl w:ilvl="0">
      <w:lvlJc w:val="left"/>
      <w:lvlText w:val="%1)"/>
      <w:numFmt w:val="lowerLetter"/>
      <w:start w:val="2"/>
    </w:lvl>
  </w:abstractNum>
  <w:abstractNum w:abstractNumId="106">
    <w:nsid w:val="746F2E30"/>
    <w:multiLevelType w:val="hybridMultilevel"/>
    <w:lvl w:ilvl="0">
      <w:lvlJc w:val="left"/>
      <w:lvlText w:val="%1"/>
      <w:numFmt w:val="decimal"/>
      <w:start w:val="10"/>
    </w:lvl>
    <w:lvl w:ilvl="1">
      <w:lvlJc w:val="left"/>
      <w:lvlText w:val="%2)"/>
      <w:numFmt w:val="lowerLetter"/>
      <w:start w:val="1"/>
    </w:lvl>
  </w:abstractNum>
  <w:abstractNum w:abstractNumId="107">
    <w:nsid w:val="6FDE8AF6"/>
    <w:multiLevelType w:val="hybridMultilevel"/>
    <w:lvl w:ilvl="0">
      <w:lvlJc w:val="left"/>
      <w:lvlText w:val="%1"/>
      <w:numFmt w:val="decimal"/>
      <w:start w:val="11"/>
    </w:lvl>
    <w:lvl w:ilvl="1">
      <w:lvlJc w:val="left"/>
      <w:lvlText w:val="%2)"/>
      <w:numFmt w:val="lowerLetter"/>
      <w:start w:val="1"/>
    </w:lvl>
  </w:abstractNum>
  <w:abstractNum w:abstractNumId="108">
    <w:nsid w:val="3FC32E20"/>
    <w:multiLevelType w:val="hybridMultilevel"/>
    <w:lvl w:ilvl="0">
      <w:lvlJc w:val="left"/>
      <w:lvlText w:val="%1)"/>
      <w:numFmt w:val="lowerLetter"/>
      <w:start w:val="2"/>
    </w:lvl>
  </w:abstractNum>
  <w:abstractNum w:abstractNumId="109">
    <w:nsid w:val="49C0E823"/>
    <w:multiLevelType w:val="hybridMultilevel"/>
    <w:lvl w:ilvl="0">
      <w:lvlJc w:val="left"/>
      <w:lvlText w:val="%1"/>
      <w:numFmt w:val="decimal"/>
      <w:start w:val="12"/>
    </w:lvl>
    <w:lvl w:ilvl="1">
      <w:lvlJc w:val="left"/>
      <w:lvlText w:val="%2)"/>
      <w:numFmt w:val="lowerLetter"/>
      <w:start w:val="1"/>
    </w:lvl>
  </w:abstractNum>
  <w:abstractNum w:abstractNumId="110">
    <w:nsid w:val="14D53685"/>
    <w:multiLevelType w:val="hybridMultilevel"/>
    <w:lvl w:ilvl="0">
      <w:lvlJc w:val="left"/>
      <w:lvlText w:val="%1)"/>
      <w:numFmt w:val="lowerLetter"/>
      <w:start w:val="2"/>
    </w:lvl>
    <w:lvl w:ilvl="1">
      <w:lvlJc w:val="left"/>
      <w:lvlText w:val="-"/>
      <w:numFmt w:val="bullet"/>
      <w:start w:val="1"/>
    </w:lvl>
  </w:abstractNum>
  <w:abstractNum w:abstractNumId="111">
    <w:nsid w:val="230F856C"/>
    <w:multiLevelType w:val="hybridMultilevel"/>
    <w:lvl w:ilvl="0">
      <w:lvlJc w:val="left"/>
      <w:lvlText w:val="%1"/>
      <w:numFmt w:val="decimal"/>
      <w:start w:val="13"/>
    </w:lvl>
    <w:lvl w:ilvl="1">
      <w:lvlJc w:val="left"/>
      <w:lvlText w:val="%2)"/>
      <w:numFmt w:val="lowerLetter"/>
      <w:start w:val="1"/>
    </w:lvl>
  </w:abstractNum>
  <w:abstractNum w:abstractNumId="112">
    <w:nsid w:val="6EAA85FB"/>
    <w:multiLevelType w:val="hybridMultilevel"/>
    <w:lvl w:ilvl="0">
      <w:lvlJc w:val="left"/>
      <w:lvlText w:val="(*)"/>
      <w:numFmt w:val="bullet"/>
      <w:start w:val="1"/>
    </w:lvl>
    <w:lvl w:ilvl="1">
      <w:lvlJc w:val="left"/>
      <w:lvlText w:val="-"/>
      <w:numFmt w:val="bullet"/>
      <w:start w:val="1"/>
    </w:lvl>
  </w:abstractNum>
  <w:abstractNum w:abstractNumId="113">
    <w:nsid w:val="3F06ECB2"/>
    <w:multiLevelType w:val="hybridMultilevel"/>
    <w:lvl w:ilvl="0">
      <w:lvlJc w:val="left"/>
      <w:lvlText w:val="(%1)"/>
      <w:numFmt w:val="lowerRoman"/>
      <w:start w:val="1"/>
    </w:lvl>
  </w:abstractNum>
  <w:abstractNum w:abstractNumId="114">
    <w:nsid w:val="3B594807"/>
    <w:multiLevelType w:val="hybridMultilevel"/>
    <w:lvl w:ilvl="0">
      <w:lvlJc w:val="left"/>
      <w:lvlText w:val="(%1)"/>
      <w:numFmt w:val="lowerRoman"/>
      <w:start w:val="2"/>
    </w:lvl>
  </w:abstractNum>
  <w:abstractNum w:abstractNumId="115">
    <w:nsid w:val="6CAA2304"/>
    <w:multiLevelType w:val="hybridMultilevel"/>
    <w:lvl w:ilvl="0">
      <w:lvlJc w:val="left"/>
      <w:lvlText w:val="%1)"/>
      <w:numFmt w:val="lowerLetter"/>
      <w:start w:val="3"/>
    </w:lvl>
  </w:abstractNum>
  <w:abstractNum w:abstractNumId="116">
    <w:nsid w:val="3F7C2FF4"/>
    <w:multiLevelType w:val="hybridMultilevel"/>
    <w:lvl w:ilvl="0">
      <w:lvlJc w:val="left"/>
      <w:lvlText w:val="(%1)"/>
      <w:numFmt w:val="lowerRoman"/>
      <w:start w:val="1"/>
    </w:lvl>
    <w:lvl w:ilvl="1">
      <w:lvlJc w:val="left"/>
      <w:lvlText w:val="-"/>
      <w:numFmt w:val="bullet"/>
      <w:start w:val="1"/>
    </w:lvl>
  </w:abstractNum>
  <w:abstractNum w:abstractNumId="117">
    <w:nsid w:val="25413BEC"/>
    <w:multiLevelType w:val="hybridMultilevel"/>
    <w:lvl w:ilvl="0">
      <w:lvlJc w:val="left"/>
      <w:lvlText w:val="(%1)"/>
      <w:numFmt w:val="lowerRoman"/>
      <w:start w:val="3"/>
    </w:lvl>
  </w:abstractNum>
  <w:abstractNum w:abstractNumId="118">
    <w:nsid w:val="17180B0B"/>
    <w:multiLevelType w:val="hybridMultilevel"/>
    <w:lvl w:ilvl="0">
      <w:lvlJc w:val="left"/>
      <w:lvlText w:val="%1)"/>
      <w:numFmt w:val="lowerLetter"/>
      <w:start w:val="7"/>
    </w:lvl>
  </w:abstractNum>
  <w:abstractNum w:abstractNumId="119">
    <w:nsid w:val="579328B9"/>
    <w:multiLevelType w:val="hybridMultilevel"/>
    <w:lvl w:ilvl="0">
      <w:lvlJc w:val="left"/>
      <w:lvlText w:val="%1"/>
      <w:numFmt w:val="decimal"/>
      <w:start w:val="14"/>
    </w:lvl>
    <w:lvl w:ilvl="1">
      <w:lvlJc w:val="left"/>
      <w:lvlText w:val="%2)"/>
      <w:numFmt w:val="lowerLetter"/>
      <w:start w:val="1"/>
    </w:lvl>
  </w:abstractNum>
  <w:abstractNum w:abstractNumId="120">
    <w:nsid w:val="5D205E20"/>
    <w:multiLevelType w:val="hybridMultilevel"/>
    <w:lvl w:ilvl="0">
      <w:lvlJc w:val="left"/>
      <w:lvlText w:val="(%1)"/>
      <w:numFmt w:val="lowerRoman"/>
      <w:start w:val="1"/>
    </w:lvl>
    <w:lvl w:ilvl="1">
      <w:lvlJc w:val="left"/>
      <w:lvlText w:val="-"/>
      <w:numFmt w:val="bullet"/>
      <w:start w:val="1"/>
    </w:lvl>
  </w:abstractNum>
  <w:abstractNum w:abstractNumId="121">
    <w:nsid w:val="11CCA8BA"/>
    <w:multiLevelType w:val="hybridMultilevel"/>
    <w:lvl w:ilvl="0">
      <w:lvlJc w:val="left"/>
      <w:lvlText w:val="(%1)"/>
      <w:numFmt w:val="lowerRoman"/>
      <w:start w:val="6"/>
    </w:lvl>
  </w:abstractNum>
  <w:abstractNum w:abstractNumId="122">
    <w:nsid w:val="4D32AB86"/>
    <w:multiLevelType w:val="hybridMultilevel"/>
    <w:lvl w:ilvl="0">
      <w:lvlJc w:val="left"/>
      <w:lvlText w:val="%1)"/>
      <w:numFmt w:val="lowerLetter"/>
      <w:start w:val="3"/>
    </w:lvl>
  </w:abstractNum>
  <w:abstractNum w:abstractNumId="123">
    <w:nsid w:val="3F07ACC3"/>
    <w:multiLevelType w:val="hybridMultilevel"/>
    <w:lvl w:ilvl="0">
      <w:lvlJc w:val="left"/>
      <w:lvlText w:val="%1)"/>
      <w:numFmt w:val="lowerLetter"/>
      <w:start w:val="5"/>
    </w:lvl>
    <w:lvl w:ilvl="1">
      <w:lvlJc w:val="left"/>
      <w:lvlText w:val="-"/>
      <w:numFmt w:val="bullet"/>
      <w:start w:val="1"/>
    </w:lvl>
  </w:abstractNum>
  <w:abstractNum w:abstractNumId="124">
    <w:nsid w:val="6B47F63E"/>
    <w:multiLevelType w:val="hybridMultilevel"/>
    <w:lvl w:ilvl="0">
      <w:lvlJc w:val="left"/>
      <w:lvlText w:val="%1"/>
      <w:numFmt w:val="decimal"/>
      <w:start w:val="16"/>
    </w:lvl>
    <w:lvl w:ilvl="1">
      <w:lvlJc w:val="left"/>
      <w:lvlText w:val="%2)"/>
      <w:numFmt w:val="lowerLetter"/>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1"/>
      <w:numFmt w:val="decimal"/>
      <w:start w:val="17"/>
    </w:lvl>
    <w:lvl w:ilvl="1">
      <w:lvlJc w:val="left"/>
      <w:lvlText w:val="%2)"/>
      <w:numFmt w:val="lowerLetter"/>
      <w:start w:val="1"/>
    </w:lvl>
  </w:abstractNum>
  <w:abstractNum w:abstractNumId="127">
    <w:nsid w:val="1C695DEC"/>
    <w:multiLevelType w:val="hybridMultilevel"/>
    <w:lvl w:ilvl="0">
      <w:lvlJc w:val="left"/>
      <w:lvlText w:val="(%1)"/>
      <w:numFmt w:val="lowerRoman"/>
      <w:start w:val="1"/>
    </w:lvl>
    <w:lvl w:ilvl="1">
      <w:lvlJc w:val="left"/>
      <w:lvlText w:val="-"/>
      <w:numFmt w:val="bullet"/>
      <w:start w:val="1"/>
    </w:lvl>
  </w:abstractNum>
  <w:abstractNum w:abstractNumId="128">
    <w:nsid w:val="3FCFAED9"/>
    <w:multiLevelType w:val="hybridMultilevel"/>
    <w:lvl w:ilvl="0">
      <w:lvlJc w:val="left"/>
      <w:lvlText w:val="(%1)"/>
      <w:numFmt w:val="lowerRoman"/>
      <w:start w:val="4"/>
    </w:lvl>
  </w:abstractNum>
  <w:abstractNum w:abstractNumId="129">
    <w:nsid w:val="F856867"/>
    <w:multiLevelType w:val="hybridMultilevel"/>
    <w:lvl w:ilvl="0">
      <w:lvlJc w:val="left"/>
      <w:lvlText w:val="(%1)"/>
      <w:numFmt w:val="lowerRoman"/>
      <w:start w:val="9"/>
    </w:lvl>
    <w:lvl w:ilvl="1">
      <w:lvlJc w:val="left"/>
      <w:lvlText w:val="-"/>
      <w:numFmt w:val="bullet"/>
      <w:start w:val="1"/>
    </w:lvl>
  </w:abstractNum>
  <w:abstractNum w:abstractNumId="130">
    <w:nsid w:val="11B1CC33"/>
    <w:multiLevelType w:val="hybridMultilevel"/>
    <w:lvl w:ilvl="0">
      <w:lvlJc w:val="left"/>
      <w:lvlText w:val="%1)"/>
      <w:numFmt w:val="lowerLetter"/>
      <w:start w:val="1"/>
    </w:lvl>
  </w:abstractNum>
  <w:abstractNum w:abstractNumId="131">
    <w:nsid w:val="2E22FBB7"/>
    <w:multiLevelType w:val="hybridMultilevel"/>
    <w:lvl w:ilvl="0">
      <w:lvlJc w:val="left"/>
      <w:lvlText w:val="%1)"/>
      <w:numFmt w:val="lowerLetter"/>
      <w:start w:val="2"/>
    </w:lvl>
  </w:abstractNum>
  <w:abstractNum w:abstractNumId="132">
    <w:nsid w:val="29934699"/>
    <w:multiLevelType w:val="hybridMultilevel"/>
    <w:lvl w:ilvl="0">
      <w:lvlJc w:val="left"/>
      <w:lvlText w:val="%1)"/>
      <w:numFmt w:val="lowerLetter"/>
      <w:start w:val="3"/>
    </w:lvl>
  </w:abstractNum>
  <w:abstractNum w:abstractNumId="133">
    <w:nsid w:val="77485850"/>
    <w:multiLevelType w:val="hybridMultilevel"/>
    <w:lvl w:ilvl="0">
      <w:lvlJc w:val="left"/>
      <w:lvlText w:val="%1)"/>
      <w:numFmt w:val="lowerLetter"/>
      <w:start w:val="5"/>
    </w:lvl>
  </w:abstractNum>
  <w:abstractNum w:abstractNumId="134">
    <w:nsid w:val="744939A3"/>
    <w:multiLevelType w:val="hybridMultilevel"/>
    <w:lvl w:ilvl="0">
      <w:lvlJc w:val="left"/>
      <w:lvlText w:val="%1)"/>
      <w:numFmt w:val="lowerLetter"/>
      <w:start w:val="6"/>
    </w:lvl>
    <w:lvl w:ilvl="1">
      <w:lvlJc w:val="left"/>
      <w:lvlText w:val="-"/>
      <w:numFmt w:val="bullet"/>
      <w:start w:val="1"/>
    </w:lvl>
  </w:abstractNum>
  <w:abstractNum w:abstractNumId="135">
    <w:nsid w:val="4FA0D2E3"/>
    <w:multiLevelType w:val="hybridMultilevel"/>
    <w:lvl w:ilvl="0">
      <w:lvlJc w:val="left"/>
      <w:lvlText w:val="%1)"/>
      <w:numFmt w:val="lowerLetter"/>
      <w:start w:val="1"/>
    </w:lvl>
  </w:abstractNum>
  <w:abstractNum w:abstractNumId="136">
    <w:nsid w:val="6B1D2C14"/>
    <w:multiLevelType w:val="hybridMultilevel"/>
    <w:lvl w:ilvl="0">
      <w:lvlJc w:val="left"/>
      <w:lvlText w:val="(*)"/>
      <w:numFmt w:val="bullet"/>
      <w:start w:val="1"/>
    </w:lvl>
  </w:abstractNum>
  <w:abstractNum w:abstractNumId="137">
    <w:nsid w:val="68B867D3"/>
    <w:multiLevelType w:val="hybridMultilevel"/>
    <w:lvl w:ilvl="0">
      <w:lvlJc w:val="left"/>
      <w:lvlText w:val="%1)"/>
      <w:numFmt w:val="lowerLetter"/>
      <w:start w:val="4"/>
    </w:lvl>
  </w:abstractNum>
  <w:abstractNum w:abstractNumId="138">
    <w:nsid w:val="3F7F5DD9"/>
    <w:multiLevelType w:val="hybridMultilevel"/>
    <w:lvl w:ilvl="0">
      <w:lvlJc w:val="left"/>
      <w:lvlText w:val="%1"/>
      <w:numFmt w:val="decimal"/>
      <w:start w:val="20"/>
    </w:lvl>
    <w:lvl w:ilvl="1">
      <w:lvlJc w:val="left"/>
      <w:lvlText w:val="-"/>
      <w:numFmt w:val="bullet"/>
      <w:start w:val="1"/>
    </w:lvl>
  </w:abstractNum>
  <w:abstractNum w:abstractNumId="139">
    <w:nsid w:val="2AE05A34"/>
    <w:multiLevelType w:val="hybridMultilevel"/>
    <w:lvl w:ilvl="0">
      <w:lvlJc w:val="left"/>
      <w:lvlText w:val="%1)"/>
      <w:numFmt w:val="lowerLetter"/>
      <w:start w:val="2"/>
    </w:lvl>
    <w:lvl w:ilvl="1">
      <w:lvlJc w:val="left"/>
      <w:lvlText w:val="-"/>
      <w:numFmt w:val="bullet"/>
      <w:start w:val="1"/>
    </w:lvl>
  </w:abstractNum>
  <w:abstractNum w:abstractNumId="140">
    <w:nsid w:val="32794FF7"/>
    <w:multiLevelType w:val="hybridMultilevel"/>
    <w:lvl w:ilvl="0">
      <w:lvlJc w:val="left"/>
      <w:lvlText w:val="(*)"/>
      <w:numFmt w:val="bullet"/>
      <w:start w:val="1"/>
    </w:lvl>
    <w:lvl w:ilvl="1">
      <w:lvlJc w:val="left"/>
      <w:lvlText w:val="-"/>
      <w:numFmt w:val="bullet"/>
      <w:start w:val="1"/>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1)"/>
      <w:numFmt w:val="lowerRoman"/>
      <w:start w:val="1"/>
    </w:lvl>
  </w:abstractNum>
  <w:abstractNum w:abstractNumId="143">
    <w:nsid w:val="2123D5F2"/>
    <w:multiLevelType w:val="hybridMultilevel"/>
    <w:lvl w:ilvl="0">
      <w:lvlJc w:val="left"/>
      <w:lvlText w:val="(%1)"/>
      <w:numFmt w:val="lowerRoman"/>
      <w:start w:val="1"/>
    </w:lvl>
    <w:lvl w:ilvl="1">
      <w:lvlJc w:val="left"/>
      <w:lvlText w:val="(*)"/>
      <w:numFmt w:val="bullet"/>
      <w:start w:val="1"/>
    </w:lvl>
  </w:abstractNum>
  <w:abstractNum w:abstractNumId="144">
    <w:nsid w:val="135B8110"/>
    <w:multiLevelType w:val="hybridMultilevel"/>
    <w:lvl w:ilvl="0">
      <w:lvlJc w:val="left"/>
      <w:lvlText w:val="(*)"/>
      <w:numFmt w:val="bullet"/>
      <w:start w:val="1"/>
    </w:lvl>
    <w:lvl w:ilvl="1">
      <w:lvlJc w:val="left"/>
      <w:lvlText w:val="-"/>
      <w:numFmt w:val="bullet"/>
      <w:start w:val="1"/>
    </w:lvl>
  </w:abstractNum>
  <w:abstractNum w:abstractNumId="145">
    <w:nsid w:val="94927A8"/>
    <w:multiLevelType w:val="hybridMultilevel"/>
    <w:lvl w:ilvl="0">
      <w:lvlJc w:val="left"/>
      <w:lvlText w:val="%1"/>
      <w:numFmt w:val="decimal"/>
      <w:start w:val="26"/>
    </w:lvl>
  </w:abstractNum>
  <w:abstractNum w:abstractNumId="146">
    <w:nsid w:val="DCDF8F6"/>
    <w:multiLevelType w:val="hybridMultilevel"/>
    <w:lvl w:ilvl="0">
      <w:lvlJc w:val="left"/>
      <w:lvlText w:val="(*)"/>
      <w:numFmt w:val="bullet"/>
      <w:start w:val="1"/>
    </w:lvl>
  </w:abstractNum>
  <w:abstractNum w:abstractNumId="147">
    <w:nsid w:val="52D7B105"/>
    <w:multiLevelType w:val="hybridMultilevel"/>
    <w:lvl w:ilvl="0">
      <w:lvlJc w:val="left"/>
      <w:lvlText w:val="(**)"/>
      <w:numFmt w:val="bullet"/>
      <w:start w:val="1"/>
    </w:lvl>
    <w:lvl w:ilvl="1">
      <w:lvlJc w:val="left"/>
      <w:lvlText w:val="-"/>
      <w:numFmt w:val="bullet"/>
      <w:start w:val="1"/>
    </w:lvl>
  </w:abstractNum>
  <w:abstractNum w:abstractNumId="148">
    <w:nsid w:val="2E8A6394"/>
    <w:multiLevelType w:val="hybridMultilevel"/>
    <w:lvl w:ilvl="0">
      <w:lvlJc w:val="left"/>
      <w:lvlText w:val="(*)"/>
      <w:numFmt w:val="bullet"/>
      <w:start w:val="1"/>
    </w:lvl>
    <w:lvl w:ilvl="1">
      <w:lvlJc w:val="left"/>
      <w:lvlText w:val="-"/>
      <w:numFmt w:val="bullet"/>
      <w:start w:val="1"/>
    </w:lvl>
  </w:abstractNum>
  <w:abstractNum w:abstractNumId="149">
    <w:nsid w:val="24E60401"/>
    <w:multiLevelType w:val="hybridMultilevel"/>
    <w:lvl w:ilvl="0">
      <w:lvlJc w:val="left"/>
      <w:lvlText w:val="%1"/>
      <w:numFmt w:val="decimal"/>
      <w:start w:val="3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50">
    <w:nsid w:val="2A6AD9BE"/>
    <w:multiLevelType w:val="hybridMultilevel"/>
    <w:lvl w:ilvl="0">
      <w:lvlJc w:val="left"/>
      <w:lvlText w:val="(*)"/>
      <w:numFmt w:val="bullet"/>
      <w:start w:val="1"/>
    </w:lvl>
  </w:abstractNum>
  <w:abstractNum w:abstractNumId="151">
    <w:nsid w:val="BAAC1B4"/>
    <w:multiLevelType w:val="hybridMultilevel"/>
    <w:lvl w:ilvl="0">
      <w:lvlJc w:val="left"/>
      <w:lvlText w:val="(***)"/>
      <w:numFmt w:val="bullet"/>
      <w:start w:val="1"/>
    </w:lvl>
    <w:lvl w:ilvl="1">
      <w:lvlJc w:val="left"/>
      <w:lvlText w:val="-"/>
      <w:numFmt w:val="bullet"/>
      <w:start w:val="1"/>
    </w:lvl>
  </w:abstractNum>
  <w:abstractNum w:abstractNumId="152">
    <w:nsid w:val="36B2ACBC"/>
    <w:multiLevelType w:val="hybridMultilevel"/>
    <w:lvl w:ilvl="0">
      <w:lvlJc w:val="left"/>
      <w:lvlText w:val="(*)"/>
      <w:numFmt w:val="bullet"/>
      <w:start w:val="1"/>
    </w:lvl>
  </w:abstractNum>
  <w:abstractNum w:abstractNumId="153">
    <w:nsid w:val="779D8544"/>
    <w:multiLevelType w:val="hybridMultilevel"/>
    <w:lvl w:ilvl="0">
      <w:lvlJc w:val="left"/>
      <w:lvlText w:val="(%1)"/>
      <w:numFmt w:val="lowerRoman"/>
      <w:start w:val="1"/>
    </w:lvl>
    <w:lvl w:ilvl="1">
      <w:lvlJc w:val="left"/>
      <w:lvlText w:val="(**)"/>
      <w:numFmt w:val="bullet"/>
      <w:start w:val="1"/>
    </w:lvl>
  </w:abstractNum>
  <w:abstractNum w:abstractNumId="154">
    <w:nsid w:val="4AB26E78"/>
    <w:multiLevelType w:val="hybridMultilevel"/>
    <w:lvl w:ilvl="0">
      <w:lvlJc w:val="left"/>
      <w:lvlText w:val="(*)"/>
      <w:numFmt w:val="bullet"/>
      <w:start w:val="1"/>
    </w:lvl>
  </w:abstractNum>
  <w:abstractNum w:abstractNumId="155">
    <w:nsid w:val="21FAA2FA"/>
    <w:multiLevelType w:val="hybridMultilevel"/>
    <w:lvl w:ilvl="0">
      <w:lvlJc w:val="left"/>
      <w:lvlText w:val="(**)"/>
      <w:numFmt w:val="bullet"/>
      <w:start w:val="1"/>
    </w:lvl>
    <w:lvl w:ilvl="1">
      <w:lvlJc w:val="left"/>
      <w:lvlText w:val="-"/>
      <w:numFmt w:val="bullet"/>
      <w:start w:val="1"/>
    </w:lvl>
  </w:abstractNum>
  <w:abstractNum w:abstractNumId="156">
    <w:nsid w:val="5451CF49"/>
    <w:multiLevelType w:val="hybridMultilevel"/>
    <w:lvl w:ilvl="0">
      <w:lvlJc w:val="left"/>
      <w:lvlText w:val="%1"/>
      <w:numFmt w:val="decimal"/>
      <w:start w:val="32"/>
    </w:lvl>
    <w:lvl w:ilvl="1">
      <w:lvlJc w:val="left"/>
      <w:lvlText w:val="%2)"/>
      <w:numFmt w:val="lowerLetter"/>
      <w:start w:val="1"/>
    </w:lvl>
  </w:abstractNum>
  <w:abstractNum w:abstractNumId="157">
    <w:nsid w:val="6181EF69"/>
    <w:multiLevelType w:val="hybridMultilevel"/>
    <w:lvl w:ilvl="0">
      <w:lvlJc w:val="left"/>
      <w:lvlText w:val="%1)"/>
      <w:numFmt w:val="lowerLetter"/>
      <w:start w:val="3"/>
    </w:lvl>
    <w:lvl w:ilvl="1">
      <w:lvlJc w:val="left"/>
      <w:lvlText w:val="-"/>
      <w:numFmt w:val="bullet"/>
      <w:start w:val="1"/>
    </w:lvl>
  </w:abstractNum>
  <w:abstractNum w:abstractNumId="158">
    <w:nsid w:val="3E6400E6"/>
    <w:multiLevelType w:val="hybridMultilevel"/>
    <w:lvl w:ilvl="0">
      <w:lvlJc w:val="left"/>
      <w:lvlText w:val="%1)"/>
      <w:numFmt w:val="lowerLetter"/>
      <w:start w:val="5"/>
    </w:lvl>
  </w:abstractNum>
  <w:abstractNum w:abstractNumId="159">
    <w:nsid w:val="14217E23"/>
    <w:multiLevelType w:val="hybridMultilevel"/>
    <w:lvl w:ilvl="0">
      <w:lvlJc w:val="left"/>
      <w:lvlText w:val="%1)"/>
      <w:numFmt w:val="lowerLetter"/>
      <w:start w:val="6"/>
    </w:lvl>
  </w:abstractNum>
  <w:abstractNum w:abstractNumId="160">
    <w:nsid w:val="710757D0"/>
    <w:multiLevelType w:val="hybridMultilevel"/>
    <w:lvl w:ilvl="0">
      <w:lvlJc w:val="left"/>
      <w:lvlText w:val="%1"/>
      <w:numFmt w:val="decimal"/>
      <w:start w:val="34"/>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lowerRoman"/>
      <w:start w:val="1"/>
    </w:lvl>
    <w:lvl w:ilvl="1">
      <w:lvlJc w:val="left"/>
      <w:lvlText w:val="-"/>
      <w:numFmt w:val="bullet"/>
      <w:start w:val="1"/>
    </w:lvl>
  </w:abstractNum>
  <w:abstractNum w:abstractNumId="163">
    <w:nsid w:val="1A9A9E69"/>
    <w:multiLevelType w:val="hybridMultilevel"/>
    <w:lvl w:ilvl="0">
      <w:lvlJc w:val="left"/>
      <w:lvlText w:val="(%1)"/>
      <w:numFmt w:val="lowerRoman"/>
      <w:start w:val="3"/>
    </w:lvl>
    <w:lvl w:ilvl="1">
      <w:lvlJc w:val="left"/>
      <w:lvlText w:val="-"/>
      <w:numFmt w:val="bullet"/>
      <w:start w:val="1"/>
    </w:lvl>
  </w:abstractNum>
  <w:abstractNum w:abstractNumId="164">
    <w:nsid w:val="475E256A"/>
    <w:multiLevelType w:val="hybridMultilevel"/>
    <w:lvl w:ilvl="0">
      <w:lvlJc w:val="left"/>
      <w:lvlText w:val="(%1)"/>
      <w:numFmt w:val="lowerRoman"/>
      <w:start w:val="4"/>
    </w:lvl>
    <w:lvl w:ilvl="1">
      <w:lvlJc w:val="left"/>
      <w:lvlText w:val="-"/>
      <w:numFmt w:val="bullet"/>
      <w:start w:val="1"/>
    </w:lvl>
  </w:abstractNum>
  <w:abstractNum w:abstractNumId="165">
    <w:nsid w:val="368DB37E"/>
    <w:multiLevelType w:val="hybridMultilevel"/>
    <w:lvl w:ilvl="0">
      <w:lvlJc w:val="left"/>
      <w:lvlText w:val="%1)"/>
      <w:numFmt w:val="lowerLetter"/>
      <w:start w:val="2"/>
    </w:lvl>
    <w:lvl w:ilvl="1">
      <w:lvlJc w:val="left"/>
      <w:lvlText w:val="-"/>
      <w:numFmt w:val="bullet"/>
      <w:start w:val="1"/>
    </w:lvl>
  </w:abstractNum>
  <w:abstractNum w:abstractNumId="166">
    <w:nsid w:val="6A3B714C"/>
    <w:multiLevelType w:val="hybridMultilevel"/>
    <w:lvl w:ilvl="0">
      <w:lvlJc w:val="left"/>
      <w:lvlText w:val="%1)"/>
      <w:numFmt w:val="lowerLetter"/>
      <w:start w:val="5"/>
    </w:lvl>
  </w:abstractNum>
  <w:abstractNum w:abstractNumId="167">
    <w:nsid w:val="327B51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168">
    <w:nsid w:val="1F461B51"/>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lvl w:ilvl="3">
      <w:lvlJc w:val="left"/>
      <w:lvlText w:val="-"/>
      <w:numFmt w:val="bullet"/>
      <w:start w:val="1"/>
    </w:lvl>
  </w:abstractNum>
  <w:abstractNum w:abstractNumId="169">
    <w:nsid w:val="29BACF2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170">
    <w:nsid w:val="5D5BABB3"/>
    <w:multiLevelType w:val="hybridMultilevel"/>
    <w:lvl w:ilvl="0">
      <w:lvlJc w:val="left"/>
      <w:lvlText w:val="-"/>
      <w:numFmt w:val="bullet"/>
      <w:start w:val="1"/>
    </w:lvl>
    <w:lvl w:ilvl="1">
      <w:lvlJc w:val="left"/>
      <w:lvlText w:val="-"/>
      <w:numFmt w:val="bullet"/>
      <w:start w:val="1"/>
    </w:lvl>
  </w:abstractNum>
  <w:abstractNum w:abstractNumId="171">
    <w:nsid w:val="51BF6B48"/>
    <w:multiLevelType w:val="hybridMultilevel"/>
    <w:lvl w:ilvl="0">
      <w:lvlJc w:val="left"/>
      <w:lvlText w:val="-"/>
      <w:numFmt w:val="bullet"/>
      <w:start w:val="1"/>
    </w:lvl>
  </w:abstractNum>
  <w:abstractNum w:abstractNumId="172">
    <w:nsid w:val="7E0F638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73">
    <w:nsid w:val="2B4B8B53"/>
    <w:multiLevelType w:val="hybridMultilevel"/>
    <w:lvl w:ilvl="0">
      <w:lvlJc w:val="left"/>
      <w:lvlText w:val="-"/>
      <w:numFmt w:val="bullet"/>
      <w:start w:val="1"/>
    </w:lvl>
  </w:abstractNum>
  <w:abstractNum w:abstractNumId="174">
    <w:nsid w:val="72E3413A"/>
    <w:multiLevelType w:val="hybridMultilevel"/>
    <w:lvl w:ilvl="0">
      <w:lvlJc w:val="left"/>
      <w:lvlText w:val="-"/>
      <w:numFmt w:val="bullet"/>
      <w:start w:val="1"/>
    </w:lvl>
  </w:abstractNum>
  <w:abstractNum w:abstractNumId="175">
    <w:nsid w:val="116AE494"/>
    <w:multiLevelType w:val="hybridMultilevel"/>
    <w:lvl w:ilvl="0">
      <w:lvlJc w:val="left"/>
      <w:lvlText w:val="(%1)"/>
      <w:numFmt w:val="lowerRoman"/>
      <w:start w:val="1"/>
    </w:lvl>
  </w:abstractNum>
  <w:abstractNum w:abstractNumId="176">
    <w:nsid w:val="3494B2FB"/>
    <w:multiLevelType w:val="hybridMultilevel"/>
    <w:lvl w:ilvl="0">
      <w:lvlJc w:val="left"/>
      <w:lvlText w:val="(%1)"/>
      <w:numFmt w:val="lowerRoman"/>
      <w:start w:val="1"/>
    </w:lvl>
  </w:abstractNum>
  <w:abstractNum w:abstractNumId="177">
    <w:nsid w:val="B13A31"/>
    <w:multiLevelType w:val="hybridMultilevel"/>
    <w:lvl w:ilvl="0">
      <w:lvlJc w:val="left"/>
      <w:lvlText w:val="%1)"/>
      <w:numFmt w:val="lowerLetter"/>
      <w:start w:val="4"/>
    </w:lvl>
  </w:abstractNum>
  <w:abstractNum w:abstractNumId="178">
    <w:nsid w:val="64429599"/>
    <w:multiLevelType w:val="hybridMultilevel"/>
    <w:lvl w:ilvl="0">
      <w:lvlJc w:val="left"/>
      <w:lvlText w:val="%1)"/>
      <w:numFmt w:val="lowerLetter"/>
      <w:start w:val="6"/>
    </w:lvl>
  </w:abstractNum>
  <w:abstractNum w:abstractNumId="179">
    <w:nsid w:val="631F1690"/>
    <w:multiLevelType w:val="hybridMultilevel"/>
    <w:lvl w:ilvl="0">
      <w:lvlJc w:val="left"/>
      <w:lvlText w:val="%1)"/>
      <w:numFmt w:val="lowerLetter"/>
      <w:start w:val="7"/>
    </w:lvl>
    <w:lvl w:ilvl="1">
      <w:lvlJc w:val="left"/>
      <w:lvlText w:val="-"/>
      <w:numFmt w:val="bullet"/>
      <w:start w:val="1"/>
    </w:lvl>
  </w:abstractNum>
  <w:abstractNum w:abstractNumId="180">
    <w:nsid w:val="25973E32"/>
    <w:multiLevelType w:val="hybridMultilevel"/>
    <w:lvl w:ilvl="0">
      <w:lvlJc w:val="left"/>
      <w:lvlText w:val="-"/>
      <w:numFmt w:val="bullet"/>
      <w:start w:val="1"/>
    </w:lvl>
  </w:abstractNum>
  <w:abstractNum w:abstractNumId="181">
    <w:nsid w:val="EAD6F57"/>
    <w:multiLevelType w:val="hybridMultilevel"/>
    <w:lvl w:ilvl="0">
      <w:lvlJc w:val="left"/>
      <w:lvlText w:val="-"/>
      <w:numFmt w:val="bullet"/>
      <w:start w:val="1"/>
    </w:lvl>
  </w:abstractNum>
  <w:abstractNum w:abstractNumId="182">
    <w:nsid w:val="6EC9D844"/>
    <w:multiLevelType w:val="hybridMultilevel"/>
    <w:lvl w:ilvl="0">
      <w:lvlJc w:val="left"/>
      <w:lvlText w:val="%1)"/>
      <w:numFmt w:val="lowerLetter"/>
      <w:start w:val="1"/>
    </w:lvl>
  </w:abstractNum>
  <w:abstractNum w:abstractNumId="183">
    <w:nsid w:val="5C49EAEE"/>
    <w:multiLevelType w:val="hybridMultilevel"/>
    <w:lvl w:ilvl="0">
      <w:lvlJc w:val="left"/>
      <w:lvlText w:val="(%1)"/>
      <w:numFmt w:val="lowerRoman"/>
      <w:start w:val="1"/>
    </w:lvl>
    <w:lvl w:ilvl="1">
      <w:lvlJc w:val="left"/>
      <w:lvlText w:val="-"/>
      <w:numFmt w:val="bullet"/>
      <w:start w:val="1"/>
    </w:lvl>
  </w:abstractNum>
  <w:abstractNum w:abstractNumId="184">
    <w:nsid w:val="64AF49B"/>
    <w:multiLevelType w:val="hybridMultilevel"/>
    <w:lvl w:ilvl="0">
      <w:lvlJc w:val="left"/>
      <w:lvlText w:val="%1)"/>
      <w:numFmt w:val="lowerLetter"/>
      <w:start w:val="2"/>
    </w:lvl>
    <w:lvl w:ilvl="1">
      <w:lvlJc w:val="left"/>
      <w:lvlText w:val="-"/>
      <w:numFmt w:val="bullet"/>
      <w:start w:val="1"/>
    </w:lvl>
  </w:abstractNum>
  <w:abstractNum w:abstractNumId="185">
    <w:nsid w:val="397C46BC"/>
    <w:multiLevelType w:val="hybridMultilevel"/>
    <w:lvl w:ilvl="0">
      <w:lvlJc w:val="left"/>
      <w:lvlText w:val="(%1)"/>
      <w:numFmt w:val="lowerRoman"/>
      <w:start w:val="1"/>
    </w:lvl>
    <w:lvl w:ilvl="1">
      <w:lvlJc w:val="left"/>
      <w:lvlText w:val="-"/>
      <w:numFmt w:val="bullet"/>
      <w:start w:val="1"/>
    </w:lvl>
  </w:abstractNum>
  <w:abstractNum w:abstractNumId="186">
    <w:nsid w:val="7E448DE9"/>
    <w:multiLevelType w:val="hybridMultilevel"/>
    <w:lvl w:ilvl="0">
      <w:lvlJc w:val="left"/>
      <w:lvlText w:val="(*)"/>
      <w:numFmt w:val="bullet"/>
      <w:start w:val="1"/>
    </w:lvl>
  </w:abstractNum>
  <w:abstractNum w:abstractNumId="187">
    <w:nsid w:val="5A9CC3E5"/>
    <w:multiLevelType w:val="hybridMultilevel"/>
    <w:lvl w:ilvl="0">
      <w:lvlJc w:val="left"/>
      <w:lvlText w:val="(*)"/>
      <w:numFmt w:val="bullet"/>
      <w:start w:val="1"/>
    </w:lvl>
  </w:abstractNum>
  <w:abstractNum w:abstractNumId="188">
    <w:nsid w:val="1AFE3625"/>
    <w:multiLevelType w:val="hybridMultilevel"/>
    <w:lvl w:ilvl="0">
      <w:lvlJc w:val="left"/>
      <w:lvlText w:val="(%1)"/>
      <w:numFmt w:val="lowerRoman"/>
      <w:start w:val="2"/>
    </w:lvl>
    <w:lvl w:ilvl="1">
      <w:lvlJc w:val="left"/>
      <w:lvlText w:val="-"/>
      <w:numFmt w:val="bullet"/>
      <w:start w:val="1"/>
    </w:lvl>
  </w:abstractNum>
  <w:abstractNum w:abstractNumId="189">
    <w:nsid w:val="3CA88ECF"/>
    <w:multiLevelType w:val="hybridMultilevel"/>
    <w:lvl w:ilvl="0">
      <w:lvlJc w:val="left"/>
      <w:lvlText w:val="-"/>
      <w:numFmt w:val="bullet"/>
      <w:start w:val="1"/>
    </w:lvl>
    <w:lvl w:ilvl="1">
      <w:lvlJc w:val="left"/>
      <w:lvlText w:val="-"/>
      <w:numFmt w:val="bullet"/>
      <w:start w:val="1"/>
    </w:lvl>
  </w:abstractNum>
  <w:abstractNum w:abstractNumId="190">
    <w:nsid w:val="6EBE4208"/>
    <w:multiLevelType w:val="hybridMultilevel"/>
    <w:lvl w:ilvl="0">
      <w:lvlJc w:val="left"/>
      <w:lvlText w:val="-"/>
      <w:numFmt w:val="bullet"/>
      <w:start w:val="1"/>
    </w:lvl>
  </w:abstractNum>
  <w:abstractNum w:abstractNumId="191">
    <w:nsid w:val="C058DF5"/>
    <w:multiLevelType w:val="hybridMultilevel"/>
    <w:lvl w:ilvl="0">
      <w:lvlJc w:val="left"/>
      <w:lvlText w:val="%1)"/>
      <w:numFmt w:val="lowerLetter"/>
      <w:start w:val="1"/>
    </w:lvl>
  </w:abstractNum>
  <w:abstractNum w:abstractNumId="192">
    <w:nsid w:val="CBE5BE9"/>
    <w:multiLevelType w:val="hybridMultilevel"/>
    <w:lvl w:ilvl="0">
      <w:lvlJc w:val="left"/>
      <w:lvlText w:val="(%1)"/>
      <w:numFmt w:val="lowerRoman"/>
      <w:start w:val="1"/>
    </w:lvl>
  </w:abstractNum>
  <w:abstractNum w:abstractNumId="193">
    <w:nsid w:val="3102BBE2"/>
    <w:multiLevelType w:val="hybridMultilevel"/>
    <w:lvl w:ilvl="0">
      <w:lvlJc w:val="left"/>
      <w:lvlText w:val="%1"/>
      <w:numFmt w:val="decimal"/>
      <w:start w:val="35"/>
    </w:lvl>
    <w:lvl w:ilvl="1">
      <w:lvlJc w:val="left"/>
      <w:lvlText w:val="%2)"/>
      <w:numFmt w:val="lowerRoman"/>
      <w:start w:val="1"/>
    </w:lvl>
    <w:lvl w:ilvl="2">
      <w:lvlJc w:val="left"/>
      <w:lvlText w:val="-"/>
      <w:numFmt w:val="bullet"/>
      <w:start w:val="1"/>
    </w:lvl>
  </w:abstractNum>
  <w:abstractNum w:abstractNumId="194">
    <w:nsid w:val="26A02C5E"/>
    <w:multiLevelType w:val="hybridMultilevel"/>
    <w:lvl w:ilvl="0">
      <w:lvlJc w:val="left"/>
      <w:lvlText w:val="%1)"/>
      <w:numFmt w:val="lowerRoman"/>
      <w:start w:val="2"/>
    </w:lvl>
  </w:abstractNum>
  <w:abstractNum w:abstractNumId="195">
    <w:nsid w:val="541C8153"/>
    <w:multiLevelType w:val="hybridMultilevel"/>
    <w:lvl w:ilvl="0">
      <w:lvlJc w:val="left"/>
      <w:lvlText w:val="%1"/>
      <w:numFmt w:val="decimal"/>
      <w:start w:val="3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2020-03-03T16:30:42Z</dcterms:created>
  <dcterms:modified xsi:type="dcterms:W3CDTF">2020-03-03T16:30:42Z</dcterms:modified>
</cp:coreProperties>
</file>