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 the month of December 2017</w:t>
      </w:r>
    </w:p>
    <w:p>
      <w:pPr>
        <w:spacing w:after="0" w:line="22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CREDICORP LTD.</w:t>
      </w:r>
    </w:p>
    <w:p>
      <w:pPr>
        <w:spacing w:after="0" w:line="40"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6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172085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488950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53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article 28° of the Capital Markets Law approved by Law N° 093-2002-EF and SMV Resolution for Material Events and Reserved Information and Other Communications N° 005-2014-SMV-01, Credicorp Ltd. complies with notifying you of the following Material Event:</w:t>
      </w:r>
    </w:p>
    <w:p>
      <w:pPr>
        <w:spacing w:after="0" w:line="166"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18"/>
          <w:szCs w:val="18"/>
          <w:color w:val="auto"/>
        </w:rPr>
        <w:t>To enhance the management of Credicorp’s subsidiaries, the Board of Directors unanimously resolved, at its meeting held on Wednesday, December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2017:</w:t>
      </w:r>
    </w:p>
    <w:p>
      <w:pPr>
        <w:spacing w:after="0" w:line="200" w:lineRule="exact"/>
        <w:rPr>
          <w:sz w:val="20"/>
          <w:szCs w:val="20"/>
          <w:color w:val="auto"/>
        </w:rPr>
      </w:pPr>
    </w:p>
    <w:p>
      <w:pPr>
        <w:ind w:left="620" w:hanging="61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organize Credicorp’s subsidiaries in four Lines of Business:</w:t>
      </w:r>
    </w:p>
    <w:p>
      <w:pPr>
        <w:spacing w:after="0" w:line="22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Banking, which will include Banco de Credito del Peru-BCP and Banco de Credito de Bolivia</w:t>
      </w:r>
    </w:p>
    <w:p>
      <w:pPr>
        <w:spacing w:after="0" w:line="22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and Pensions, which will include Grupo Pacifico and Prima AFP</w:t>
      </w:r>
    </w:p>
    <w:p>
      <w:pPr>
        <w:spacing w:after="0" w:line="22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Microfinance, which will include MiBanco and Encumbra</w:t>
      </w:r>
    </w:p>
    <w:p>
      <w:pPr>
        <w:spacing w:after="0" w:line="22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Banking &amp; Wealth Management, which will include Credicorp Capital, Wealth Management of BCP, and Atlantic Security Bank.</w:t>
      </w:r>
    </w:p>
    <w:p>
      <w:pPr>
        <w:spacing w:after="0" w:line="225"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w:t>
      </w:r>
    </w:p>
    <w:p>
      <w:pPr>
        <w:spacing w:after="0" w:line="225" w:lineRule="exact"/>
        <w:rPr>
          <w:rFonts w:ascii="Times New Roman" w:cs="Times New Roman" w:eastAsia="Times New Roman" w:hAnsi="Times New Roman"/>
          <w:sz w:val="18"/>
          <w:szCs w:val="18"/>
          <w:color w:val="auto"/>
        </w:rPr>
      </w:pPr>
    </w:p>
    <w:p>
      <w:pPr>
        <w:ind w:left="960" w:hanging="317"/>
        <w:spacing w:after="0" w:line="282" w:lineRule="auto"/>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Walter Bayly as Credicorp’s Chief Executive Officer (CEO). Mr. Dionisio Romero Paoletti will continue as Executive Chairman of Credicorp.</w:t>
      </w:r>
    </w:p>
    <w:p>
      <w:pPr>
        <w:spacing w:after="0" w:line="161" w:lineRule="exact"/>
        <w:rPr>
          <w:rFonts w:ascii="Times New Roman" w:cs="Times New Roman" w:eastAsia="Times New Roman" w:hAnsi="Times New Roman"/>
          <w:sz w:val="18"/>
          <w:szCs w:val="18"/>
          <w:color w:val="auto"/>
        </w:rPr>
      </w:pPr>
    </w:p>
    <w:p>
      <w:pPr>
        <w:ind w:left="960" w:hanging="317"/>
        <w:spacing w:after="0" w:line="282" w:lineRule="auto"/>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Gianfranco Ferrari as Deputy CEO of Credicorp and Head of Universal Banking, who will report to the CEO of Credicorp. Mr. Ferrari has also been appointed as CEO of BCP.</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Alvaro Correa as Deputy CEO of Credicorp and Head of Insurance and Pensions, who will report to the CEO of Credicorp. Mr. Correa will continue as CEO of Grupo Pacifico. Mr. Renzo Ricci will continue as CEO of Prima AFP reporting to Alvaro Correa.</w:t>
      </w:r>
    </w:p>
    <w:p>
      <w:pPr>
        <w:spacing w:after="0" w:line="161"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Javier Ichazo as Head of Microfinance, who will report to the CEO of Credicorp. Mr. Ichazo will continue as CEO of Mibanco.</w:t>
      </w:r>
    </w:p>
    <w:p>
      <w:pPr>
        <w:spacing w:after="0" w:line="225" w:lineRule="exact"/>
        <w:rPr>
          <w:rFonts w:ascii="Times New Roman" w:cs="Times New Roman" w:eastAsia="Times New Roman" w:hAnsi="Times New Roman"/>
          <w:sz w:val="18"/>
          <w:szCs w:val="18"/>
          <w:color w:val="auto"/>
        </w:rPr>
      </w:pPr>
    </w:p>
    <w:p>
      <w:pPr>
        <w:ind w:left="960" w:hanging="317"/>
        <w:spacing w:after="0" w:line="282" w:lineRule="auto"/>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Christian Laub as Head of Investment Banking &amp; Wealth Management, who will report to Mr. Alvaro Correa as Deputy CEO of Credicorp. Mr. Laub will continue as CEO of Credicorp Capital.</w:t>
      </w:r>
    </w:p>
    <w:p>
      <w:pPr>
        <w:spacing w:after="0" w:line="161"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Guillermo Morales as Head of Legal and Mr. Bernardo Sambra as Chief Human Resources Officer, both reporting to the CEO of Credicorp.</w:t>
      </w:r>
    </w:p>
    <w:p>
      <w:pPr>
        <w:spacing w:after="0" w:line="22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Ursula Alvarez as Head of Talent Management at Credicorp, reporting to the CEO of Credicorp.</w:t>
      </w:r>
    </w:p>
    <w:p>
      <w:pPr>
        <w:spacing w:after="0" w:line="225"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Marco Roca as Head of Strategy and Business Development and Mr. Enrique Pasquel as Head of Corporate Affairs at Credicorp, both reporting to the Executive Chairman of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All the aforementioned resolutions are shown in the chart below and shall be effective as from April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90170</wp:posOffset>
            </wp:positionV>
            <wp:extent cx="5051425" cy="3687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1425"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December 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2017</w:t>
      </w:r>
    </w:p>
    <w:p>
      <w:pPr>
        <w:spacing w:after="0" w:line="124"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By: /s/ Miriam Bottger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221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2019-12-06T02:52:12Z</dcterms:created>
  <dcterms:modified xsi:type="dcterms:W3CDTF">2019-12-06T02:52:12Z</dcterms:modified>
</cp:coreProperties>
</file>