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80" w:lineRule="exact"/>
        <w:rPr>
          <w:sz w:val="24"/>
          <w:szCs w:val="24"/>
          <w:color w:val="auto"/>
        </w:rPr>
      </w:pPr>
    </w:p>
    <w:p>
      <w:pPr>
        <w:jc w:val="center"/>
        <w:ind w:left="260" w:right="279"/>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43180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137795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274955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08555" cy="1354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0855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January 29, 2026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Credicorp Ltd. (‘Credicorp’) notifies you as a Material Event that, in its session held on January 29, 2026, Credicorp’s Board of Directors unanimously agreed on the following:</w:t>
      </w:r>
    </w:p>
    <w:p>
      <w:pPr>
        <w:spacing w:after="0" w:line="127" w:lineRule="exact"/>
        <w:rPr>
          <w:sz w:val="20"/>
          <w:szCs w:val="20"/>
          <w:color w:val="auto"/>
        </w:rPr>
      </w:pPr>
    </w:p>
    <w:p>
      <w:pPr>
        <w:jc w:val="both"/>
        <w:ind w:left="340" w:hanging="332"/>
        <w:spacing w:after="0" w:line="25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set the date for the Annual General Meeting of Shareholders for Tuesday, March 31, 2026, at 3:00 p. m. (Peru time), in a pure virtual meeting through a web portal. In accordance with Credicorp’s Bye-Laws, if the required quorum is not met in the first instance, the meeting will be postponed until Tuesday, April 7, 2026, at the same place (web portal) and time.</w:t>
      </w:r>
    </w:p>
    <w:p>
      <w:pPr>
        <w:spacing w:after="0" w:line="141" w:lineRule="exact"/>
        <w:rPr>
          <w:rFonts w:ascii="Arial" w:cs="Arial" w:eastAsia="Arial" w:hAnsi="Arial"/>
          <w:sz w:val="18"/>
          <w:szCs w:val="18"/>
          <w:color w:val="auto"/>
        </w:rPr>
      </w:pPr>
    </w:p>
    <w:p>
      <w:pPr>
        <w:ind w:left="340"/>
        <w:spacing w:after="0" w:line="271" w:lineRule="auto"/>
        <w:rPr>
          <w:rFonts w:ascii="Arial" w:cs="Arial" w:eastAsia="Arial" w:hAnsi="Arial"/>
          <w:sz w:val="18"/>
          <w:szCs w:val="18"/>
          <w:color w:val="auto"/>
        </w:rPr>
      </w:pPr>
      <w:r>
        <w:rPr>
          <w:rFonts w:ascii="Arial" w:cs="Arial" w:eastAsia="Arial" w:hAnsi="Arial"/>
          <w:sz w:val="18"/>
          <w:szCs w:val="18"/>
          <w:color w:val="auto"/>
        </w:rPr>
        <w:t>The Board has established that those shareholders who are officially registered as shareholders of Credicorp as of Friday, February 13, 2026 (‘Record Date’) will be entitled to attend and vote in the above-mentioned meeting.</w:t>
      </w:r>
    </w:p>
    <w:p>
      <w:pPr>
        <w:spacing w:after="0" w:line="12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Agenda defined for such Annual General Meeting of Shareholders will address the following matters:</w:t>
      </w:r>
    </w:p>
    <w:p>
      <w:pPr>
        <w:spacing w:after="0" w:line="184" w:lineRule="exact"/>
        <w:rPr>
          <w:rFonts w:ascii="Arial" w:cs="Arial" w:eastAsia="Arial" w:hAnsi="Arial"/>
          <w:sz w:val="18"/>
          <w:szCs w:val="18"/>
          <w:color w:val="auto"/>
        </w:rPr>
      </w:pPr>
    </w:p>
    <w:p>
      <w:pPr>
        <w:ind w:left="660" w:hanging="328"/>
        <w:spacing w:after="0" w:line="245"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Presentation by the Chairman of the Board of the Annual and Sustainability Report of Credicorp for the financial year ended December 31, 2025</w:t>
      </w:r>
    </w:p>
    <w:p>
      <w:pPr>
        <w:jc w:val="both"/>
        <w:ind w:left="660" w:hanging="328"/>
        <w:spacing w:after="0" w:line="248" w:lineRule="auto"/>
        <w:tabs>
          <w:tab w:leader="none" w:pos="660" w:val="left"/>
        </w:tabs>
        <w:numPr>
          <w:ilvl w:val="1"/>
          <w:numId w:val="1"/>
        </w:numPr>
        <w:rPr>
          <w:rFonts w:ascii="Arial" w:cs="Arial" w:eastAsia="Arial" w:hAnsi="Arial"/>
          <w:sz w:val="17"/>
          <w:szCs w:val="17"/>
          <w:color w:val="auto"/>
        </w:rPr>
      </w:pPr>
      <w:r>
        <w:rPr>
          <w:rFonts w:ascii="Arial" w:cs="Arial" w:eastAsia="Arial" w:hAnsi="Arial"/>
          <w:sz w:val="17"/>
          <w:szCs w:val="17"/>
          <w:color w:val="auto"/>
        </w:rPr>
        <w:t>Presentation by the Chairman of the Board of the audited individual (standalone) and consolidated financial statements of Credicorp and its subsidiaries for the financial year ended December 31, 2025, including the report of the external auditors of Credicorp thereon</w:t>
      </w:r>
    </w:p>
    <w:p>
      <w:pPr>
        <w:spacing w:after="0" w:line="1" w:lineRule="exact"/>
        <w:rPr>
          <w:rFonts w:ascii="Arial" w:cs="Arial" w:eastAsia="Arial" w:hAnsi="Arial"/>
          <w:sz w:val="17"/>
          <w:szCs w:val="17"/>
          <w:color w:val="auto"/>
        </w:rPr>
      </w:pPr>
    </w:p>
    <w:p>
      <w:pPr>
        <w:ind w:left="660" w:hanging="328"/>
        <w:spacing w:after="0" w:line="234"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Appointment of Directors</w:t>
      </w:r>
    </w:p>
    <w:p>
      <w:pPr>
        <w:ind w:left="660" w:hanging="328"/>
        <w:spacing w:after="0" w:line="234"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Determination of the remuneration of the Board of Directors and its committees</w:t>
      </w:r>
    </w:p>
    <w:p>
      <w:pPr>
        <w:ind w:left="660" w:hanging="328"/>
        <w:spacing w:after="0" w:line="250"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Appointment of the external auditors of Credicorp to perform such services for the 2026 financial year and delegation of the power to set and approve fees for such audit services to the Board of Directors (for further delegation to the Audit Committee thereof.)</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Guillermo Morales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January 29, 2026</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18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3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-125095</wp:posOffset>
            </wp:positionV>
            <wp:extent cx="2297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2026-01-29T16:40:42Z</dcterms:created>
  <dcterms:modified xsi:type="dcterms:W3CDTF">2026-01-29T16:40:42Z</dcterms:modified>
</cp:coreProperties>
</file>