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359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3429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276225</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November 2022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The information in this Form 6-K (including any </w:t>
      </w:r>
      <w:r>
        <w:rPr>
          <w:rFonts w:ascii="Times New Roman" w:cs="Times New Roman" w:eastAsia="Times New Roman" w:hAnsi="Times New Roman"/>
          <w:sz w:val="18"/>
          <w:szCs w:val="18"/>
          <w:u w:val="single" w:color="auto"/>
          <w:color w:val="0000EE"/>
        </w:rPr>
        <w:t>exhibit</w:t>
      </w:r>
      <w:r>
        <w:rPr>
          <w:rFonts w:ascii="Times New Roman" w:cs="Times New Roman" w:eastAsia="Times New Roman" w:hAnsi="Times New Roman"/>
          <w:sz w:val="18"/>
          <w:szCs w:val="18"/>
          <w:color w:val="auto"/>
        </w:rPr>
        <w:t xml:space="preserve">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183515</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276860</wp:posOffset>
            </wp:positionV>
            <wp:extent cx="71335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412750</wp:posOffset>
            </wp:positionV>
            <wp:extent cx="71335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 w:name="page2"/>
    <w:bookmarkEnd w:id="1"/>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5" w:lineRule="exact"/>
        <w:rPr>
          <w:sz w:val="20"/>
          <w:szCs w:val="20"/>
          <w:color w:val="auto"/>
        </w:rPr>
      </w:pPr>
    </w:p>
    <w:p>
      <w:pPr>
        <w:ind w:firstLine="530"/>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2022</w:t>
      </w:r>
    </w:p>
    <w:p>
      <w:pPr>
        <w:spacing w:after="0" w:line="10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CREDICORP LTD.</w:t>
      </w:r>
    </w:p>
    <w:p>
      <w:pPr>
        <w:spacing w:after="0" w:line="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16510</wp:posOffset>
            </wp:positionV>
            <wp:extent cx="2653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53030" cy="17145"/>
                    </a:xfrm>
                    <a:prstGeom prst="rect">
                      <a:avLst/>
                    </a:prstGeom>
                    <a:noFill/>
                  </pic:spPr>
                </pic:pic>
              </a:graphicData>
            </a:graphic>
          </wp:anchor>
        </w:drawing>
      </w:r>
    </w:p>
    <w:p>
      <w:pPr>
        <w:spacing w:after="0" w:line="1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335915</wp:posOffset>
            </wp:positionV>
            <wp:extent cx="71335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0720"/>
          </w:cols>
          <w:pgMar w:left="320" w:top="117" w:right="859" w:bottom="1440" w:gutter="0" w:footer="0" w:header="0"/>
        </w:sectPr>
      </w:pPr>
    </w:p>
    <w:bookmarkStart w:id="2" w:name="page3"/>
    <w:bookmarkEnd w:id="2"/>
    <w:p>
      <w:pPr>
        <w:ind w:left="90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359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172720</wp:posOffset>
            </wp:positionV>
            <wp:extent cx="7133590" cy="6010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6010910"/>
                    </a:xfrm>
                    <a:prstGeom prst="rect">
                      <a:avLst/>
                    </a:prstGeom>
                    <a:noFill/>
                  </pic:spPr>
                </pic:pic>
              </a:graphicData>
            </a:graphic>
          </wp:anchor>
        </w:drawing>
      </w:r>
    </w:p>
    <w:p>
      <w:pPr>
        <w:sectPr>
          <w:pgSz w:w="11900" w:h="16838" w:orient="portrait"/>
          <w:cols w:equalWidth="0" w:num="1">
            <w:col w:w="10120"/>
          </w:cols>
          <w:pgMar w:left="1440" w:top="269" w:right="339" w:bottom="1440" w:gutter="0" w:footer="0" w:header="0"/>
        </w:sectPr>
      </w:pPr>
    </w:p>
    <w:bookmarkStart w:id="3" w:name="page4"/>
    <w:bookmarkEnd w:id="3"/>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48"/>
          <w:szCs w:val="48"/>
          <w:b w:val="1"/>
          <w:bCs w:val="1"/>
          <w:color w:val="2AD2C9"/>
        </w:rPr>
        <w:t>Table of Contents</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296"/>
        </w:trPr>
        <w:tc>
          <w:tcPr>
            <w:tcW w:w="7700" w:type="dxa"/>
            <w:vAlign w:val="bottom"/>
          </w:tcPr>
          <w:p>
            <w:pPr>
              <w:spacing w:after="0"/>
              <w:rPr>
                <w:sz w:val="20"/>
                <w:szCs w:val="20"/>
                <w:color w:val="auto"/>
              </w:rPr>
            </w:pPr>
            <w:r>
              <w:rPr>
                <w:rFonts w:ascii="Arial" w:cs="Arial" w:eastAsia="Arial" w:hAnsi="Arial"/>
                <w:sz w:val="21"/>
                <w:szCs w:val="21"/>
                <w:b w:val="1"/>
                <w:bCs w:val="1"/>
                <w:color w:val="A6A6A6"/>
              </w:rPr>
              <w:t>Operating and Financial Highlights</w:t>
            </w:r>
          </w:p>
        </w:tc>
        <w:tc>
          <w:tcPr>
            <w:tcW w:w="29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428"/>
        </w:trPr>
        <w:tc>
          <w:tcPr>
            <w:tcW w:w="7700" w:type="dxa"/>
            <w:vAlign w:val="bottom"/>
          </w:tcPr>
          <w:p>
            <w:pPr>
              <w:spacing w:after="0"/>
              <w:rPr>
                <w:sz w:val="20"/>
                <w:szCs w:val="20"/>
                <w:color w:val="auto"/>
              </w:rPr>
            </w:pPr>
            <w:r>
              <w:rPr>
                <w:rFonts w:ascii="Arial" w:cs="Arial" w:eastAsia="Arial" w:hAnsi="Arial"/>
                <w:sz w:val="21"/>
                <w:szCs w:val="21"/>
                <w:b w:val="1"/>
                <w:bCs w:val="1"/>
                <w:color w:val="A6A6A6"/>
              </w:rPr>
              <w:t>Senior Management Quotes</w:t>
            </w:r>
          </w:p>
        </w:tc>
        <w:tc>
          <w:tcPr>
            <w:tcW w:w="298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428"/>
        </w:trPr>
        <w:tc>
          <w:tcPr>
            <w:tcW w:w="7700" w:type="dxa"/>
            <w:vAlign w:val="bottom"/>
          </w:tcPr>
          <w:p>
            <w:pPr>
              <w:spacing w:after="0"/>
              <w:rPr>
                <w:sz w:val="20"/>
                <w:szCs w:val="20"/>
                <w:color w:val="auto"/>
              </w:rPr>
            </w:pPr>
            <w:r>
              <w:rPr>
                <w:rFonts w:ascii="Arial" w:cs="Arial" w:eastAsia="Arial" w:hAnsi="Arial"/>
                <w:sz w:val="21"/>
                <w:szCs w:val="21"/>
                <w:b w:val="1"/>
                <w:bCs w:val="1"/>
                <w:color w:val="A6A6A6"/>
              </w:rPr>
              <w:t>Third Quarter 2022 Earnings Conference Call</w:t>
            </w:r>
          </w:p>
        </w:tc>
        <w:tc>
          <w:tcPr>
            <w:tcW w:w="29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428"/>
        </w:trPr>
        <w:tc>
          <w:tcPr>
            <w:tcW w:w="7700" w:type="dxa"/>
            <w:vAlign w:val="bottom"/>
          </w:tcPr>
          <w:p>
            <w:pPr>
              <w:spacing w:after="0"/>
              <w:rPr>
                <w:sz w:val="20"/>
                <w:szCs w:val="20"/>
                <w:color w:val="auto"/>
              </w:rPr>
            </w:pPr>
            <w:r>
              <w:rPr>
                <w:rFonts w:ascii="Arial" w:cs="Arial" w:eastAsia="Arial" w:hAnsi="Arial"/>
                <w:sz w:val="21"/>
                <w:szCs w:val="21"/>
                <w:b w:val="1"/>
                <w:bCs w:val="1"/>
                <w:color w:val="A6A6A6"/>
              </w:rPr>
              <w:t>Summary of Financial Performance and Outlook</w:t>
            </w:r>
          </w:p>
        </w:tc>
        <w:tc>
          <w:tcPr>
            <w:tcW w:w="29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428"/>
        </w:trPr>
        <w:tc>
          <w:tcPr>
            <w:tcW w:w="7700" w:type="dxa"/>
            <w:vAlign w:val="bottom"/>
          </w:tcPr>
          <w:p>
            <w:pPr>
              <w:spacing w:after="0"/>
              <w:rPr>
                <w:sz w:val="20"/>
                <w:szCs w:val="20"/>
                <w:color w:val="auto"/>
              </w:rPr>
            </w:pPr>
            <w:r>
              <w:rPr>
                <w:rFonts w:ascii="Arial" w:cs="Arial" w:eastAsia="Arial" w:hAnsi="Arial"/>
                <w:sz w:val="21"/>
                <w:szCs w:val="21"/>
                <w:b w:val="1"/>
                <w:bCs w:val="1"/>
                <w:color w:val="A6A6A6"/>
              </w:rPr>
              <w:t>Financial Overview</w:t>
            </w:r>
          </w:p>
        </w:tc>
        <w:tc>
          <w:tcPr>
            <w:tcW w:w="298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428"/>
        </w:trPr>
        <w:tc>
          <w:tcPr>
            <w:tcW w:w="7700" w:type="dxa"/>
            <w:vAlign w:val="bottom"/>
          </w:tcPr>
          <w:p>
            <w:pPr>
              <w:spacing w:after="0"/>
              <w:rPr>
                <w:sz w:val="20"/>
                <w:szCs w:val="20"/>
                <w:color w:val="auto"/>
              </w:rPr>
            </w:pPr>
            <w:r>
              <w:rPr>
                <w:rFonts w:ascii="Arial" w:cs="Arial" w:eastAsia="Arial" w:hAnsi="Arial"/>
                <w:sz w:val="21"/>
                <w:szCs w:val="21"/>
                <w:b w:val="1"/>
                <w:bCs w:val="1"/>
                <w:color w:val="A6A6A6"/>
              </w:rPr>
              <w:t>Credicorp’s Strategy Update</w:t>
            </w:r>
          </w:p>
        </w:tc>
        <w:tc>
          <w:tcPr>
            <w:tcW w:w="29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442"/>
        </w:trPr>
        <w:tc>
          <w:tcPr>
            <w:tcW w:w="7700" w:type="dxa"/>
            <w:vAlign w:val="bottom"/>
          </w:tcPr>
          <w:p>
            <w:pPr>
              <w:spacing w:after="0"/>
              <w:rPr>
                <w:sz w:val="20"/>
                <w:szCs w:val="20"/>
                <w:color w:val="auto"/>
              </w:rPr>
            </w:pPr>
            <w:r>
              <w:rPr>
                <w:rFonts w:ascii="Arial" w:cs="Arial" w:eastAsia="Arial" w:hAnsi="Arial"/>
                <w:sz w:val="21"/>
                <w:szCs w:val="21"/>
                <w:b w:val="1"/>
                <w:bCs w:val="1"/>
                <w:color w:val="A6A6A6"/>
              </w:rPr>
              <w:t>Analysis of 3Q22 Consolidated Results</w:t>
            </w:r>
          </w:p>
        </w:tc>
        <w:tc>
          <w:tcPr>
            <w:tcW w:w="2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-1810385</wp:posOffset>
            </wp:positionV>
            <wp:extent cx="135890" cy="153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58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-1537970</wp:posOffset>
            </wp:positionV>
            <wp:extent cx="135890" cy="153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58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-1266190</wp:posOffset>
            </wp:positionV>
            <wp:extent cx="135890" cy="153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8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-993775</wp:posOffset>
            </wp:positionV>
            <wp:extent cx="135890" cy="153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8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-721995</wp:posOffset>
            </wp:positionV>
            <wp:extent cx="135890" cy="153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890" cy="153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-449580</wp:posOffset>
            </wp:positionV>
            <wp:extent cx="135890" cy="153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890" cy="1530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-177800</wp:posOffset>
            </wp:positionV>
            <wp:extent cx="135890" cy="153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890" cy="15303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p>
      <w:pPr>
        <w:spacing w:after="0" w:line="198"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01</w:t>
      </w:r>
    </w:p>
    <w:p>
      <w:pPr>
        <w:spacing w:after="0" w:line="45"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02</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03</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04</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05</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06</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07</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08</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09</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10</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11</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43"/>
          <w:szCs w:val="43"/>
          <w:b w:val="1"/>
          <w:bCs w:val="1"/>
          <w:color w:val="E93CAC"/>
        </w:rPr>
        <w:t>12</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9"/>
        </w:trPr>
        <w:tc>
          <w:tcPr>
            <w:tcW w:w="6420" w:type="dxa"/>
            <w:vAlign w:val="bottom"/>
          </w:tcPr>
          <w:p>
            <w:pPr>
              <w:spacing w:after="0"/>
              <w:rPr>
                <w:sz w:val="20"/>
                <w:szCs w:val="20"/>
                <w:color w:val="auto"/>
              </w:rPr>
            </w:pPr>
            <w:r>
              <w:rPr>
                <w:rFonts w:ascii="Arial" w:cs="Arial" w:eastAsia="Arial" w:hAnsi="Arial"/>
                <w:sz w:val="21"/>
                <w:szCs w:val="21"/>
                <w:color w:val="E93CAC"/>
              </w:rPr>
              <w:t>Loan Portfolio</w:t>
            </w:r>
          </w:p>
        </w:tc>
        <w:tc>
          <w:tcPr>
            <w:tcW w:w="31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Deposits</w:t>
            </w:r>
          </w:p>
        </w:tc>
        <w:tc>
          <w:tcPr>
            <w:tcW w:w="31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Interest Earning Assets and Funding</w:t>
            </w:r>
          </w:p>
        </w:tc>
        <w:tc>
          <w:tcPr>
            <w:tcW w:w="31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Net Interest Income</w:t>
            </w:r>
          </w:p>
        </w:tc>
        <w:tc>
          <w:tcPr>
            <w:tcW w:w="312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Provisions</w:t>
            </w:r>
          </w:p>
        </w:tc>
        <w:tc>
          <w:tcPr>
            <w:tcW w:w="312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Other Income</w:t>
            </w:r>
          </w:p>
        </w:tc>
        <w:tc>
          <w:tcPr>
            <w:tcW w:w="31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Insurance Technical Results</w:t>
            </w:r>
          </w:p>
        </w:tc>
        <w:tc>
          <w:tcPr>
            <w:tcW w:w="31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Operating Expenses</w:t>
            </w:r>
          </w:p>
        </w:tc>
        <w:tc>
          <w:tcPr>
            <w:tcW w:w="31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Operating Efficiency</w:t>
            </w:r>
          </w:p>
        </w:tc>
        <w:tc>
          <w:tcPr>
            <w:tcW w:w="312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Regulatory Capital</w:t>
            </w:r>
          </w:p>
        </w:tc>
        <w:tc>
          <w:tcPr>
            <w:tcW w:w="31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Economic Outlook</w:t>
            </w:r>
          </w:p>
        </w:tc>
        <w:tc>
          <w:tcPr>
            <w:tcW w:w="31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495"/>
        </w:trPr>
        <w:tc>
          <w:tcPr>
            <w:tcW w:w="6420" w:type="dxa"/>
            <w:vAlign w:val="bottom"/>
          </w:tcPr>
          <w:p>
            <w:pPr>
              <w:spacing w:after="0"/>
              <w:rPr>
                <w:sz w:val="20"/>
                <w:szCs w:val="20"/>
                <w:color w:val="auto"/>
              </w:rPr>
            </w:pPr>
            <w:r>
              <w:rPr>
                <w:rFonts w:ascii="Arial" w:cs="Arial" w:eastAsia="Arial" w:hAnsi="Arial"/>
                <w:sz w:val="21"/>
                <w:szCs w:val="21"/>
                <w:color w:val="E93CAC"/>
              </w:rPr>
              <w:t>Appendix</w:t>
            </w:r>
          </w:p>
        </w:tc>
        <w:tc>
          <w:tcPr>
            <w:tcW w:w="3120" w:type="dxa"/>
            <w:vAlign w:val="bottom"/>
          </w:tcPr>
          <w:p>
            <w:pPr>
              <w:jc w:val="right"/>
              <w:spacing w:after="0"/>
              <w:rPr>
                <w:sz w:val="20"/>
                <w:szCs w:val="20"/>
                <w:color w:val="auto"/>
              </w:rPr>
            </w:pPr>
            <w:r>
              <w:rPr>
                <w:rFonts w:ascii="Arial" w:cs="Arial" w:eastAsia="Arial" w:hAnsi="Arial"/>
                <w:sz w:val="16"/>
                <w:szCs w:val="16"/>
                <w:color w:val="auto"/>
              </w:rPr>
              <w:t>44</w:t>
            </w:r>
          </w:p>
        </w:tc>
      </w:tr>
    </w:tbl>
    <w:p>
      <w:pPr>
        <w:spacing w:after="0" w:line="348" w:lineRule="exact"/>
        <w:rPr>
          <w:sz w:val="20"/>
          <w:szCs w:val="20"/>
          <w:color w:val="auto"/>
        </w:rPr>
      </w:pPr>
    </w:p>
    <w:p>
      <w:pPr>
        <w:sectPr>
          <w:pgSz w:w="11900" w:h="16838" w:orient="portrait"/>
          <w:cols w:equalWidth="0" w:num="2">
            <w:col w:w="1040" w:space="660"/>
            <w:col w:w="9540"/>
          </w:cols>
          <w:pgMar w:left="320" w:top="469" w:right="339" w:bottom="1440" w:gutter="0" w:footer="0" w:header="0"/>
          <w:type w:val="continuous"/>
        </w:sectPr>
      </w:pPr>
    </w:p>
    <w:p>
      <w:pPr>
        <w:spacing w:after="0" w:line="179"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type w:val="continuous"/>
        </w:sectPr>
      </w:pPr>
    </w:p>
    <w:bookmarkStart w:id="4" w:name="page5"/>
    <w:bookmarkEnd w:id="4"/>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Operating and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Credicorp Ltd. Reports Third Quarter 2022 Financial and Operating Results</w:t>
      </w:r>
    </w:p>
    <w:p>
      <w:pPr>
        <w:spacing w:after="0" w:line="2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ROAE of 19.6% Driven by Growth Across Our Four Businesses Lines</w:t>
      </w:r>
    </w:p>
    <w:p>
      <w:pPr>
        <w:spacing w:after="0" w:line="1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Delivering on Our Commitment to Drive Sustainable, Profitable Growth, Accelerating Investments in Our Digital Transformation, and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Strengthening Ability to Attract and Retain the Best Talent</w:t>
      </w:r>
    </w:p>
    <w:p>
      <w:pPr>
        <w:spacing w:after="0" w:line="11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b w:val="1"/>
          <w:bCs w:val="1"/>
          <w:color w:val="auto"/>
        </w:rPr>
        <w:t>Lima, Peru – November 03, 2022 – Credicorp Ltd. (“Credicorp” or “the Company”) (NYSE: BAP | BVL: BAP)</w:t>
      </w:r>
      <w:r>
        <w:rPr>
          <w:rFonts w:ascii="Times New Roman" w:cs="Times New Roman" w:eastAsia="Times New Roman" w:hAnsi="Times New Roman"/>
          <w:sz w:val="20"/>
          <w:szCs w:val="20"/>
          <w:color w:val="auto"/>
        </w:rPr>
        <w:t>, the leading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services holding company in Peru with presence in Chile, Colombia, Bolivia and Panama reported its unaudited results for the quarter ended September 30, 2022, today. Financial results are expressed in Soles and are presented in accordance with International Financial Reporting Standards (IFRS).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3Q22 OPERATING AND FINANCIAL HIGHLIGHTS</w:t>
      </w:r>
    </w:p>
    <w:p>
      <w:pPr>
        <w:spacing w:after="0" w:line="242" w:lineRule="exact"/>
        <w:rPr>
          <w:sz w:val="20"/>
          <w:szCs w:val="20"/>
          <w:color w:val="auto"/>
        </w:rPr>
      </w:pPr>
    </w:p>
    <w:p>
      <w:pPr>
        <w:jc w:val="both"/>
        <w:ind w:left="640" w:hanging="312"/>
        <w:spacing w:after="0" w:line="280" w:lineRule="auto"/>
        <w:tabs>
          <w:tab w:leader="none" w:pos="64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 xml:space="preserve">Net Income </w:t>
      </w:r>
      <w:r>
        <w:rPr>
          <w:rFonts w:ascii="Arial" w:cs="Arial" w:eastAsia="Arial" w:hAnsi="Arial"/>
          <w:sz w:val="19"/>
          <w:szCs w:val="19"/>
          <w:color w:val="auto"/>
        </w:rPr>
        <w:t>attributable to Credicorp increased 16.1% QoQ and 11.9% YoY to S/1,302 million driven by growth across</w:t>
      </w:r>
      <w:r>
        <w:rPr>
          <w:rFonts w:ascii="Arial" w:cs="Arial" w:eastAsia="Arial" w:hAnsi="Arial"/>
          <w:sz w:val="19"/>
          <w:szCs w:val="19"/>
          <w:b w:val="1"/>
          <w:bCs w:val="1"/>
          <w:color w:val="auto"/>
        </w:rPr>
        <w:t xml:space="preserve"> </w:t>
      </w:r>
      <w:r>
        <w:rPr>
          <w:rFonts w:ascii="Arial" w:cs="Arial" w:eastAsia="Arial" w:hAnsi="Arial"/>
          <w:sz w:val="19"/>
          <w:szCs w:val="19"/>
          <w:color w:val="auto"/>
        </w:rPr>
        <w:t>our four business lines. ROAE increased to 19.6% over the quarter, up from 18.5% in 3Q21, and reaching 17.7% in 9M22.</w:t>
      </w:r>
    </w:p>
    <w:p>
      <w:pPr>
        <w:spacing w:after="0" w:line="52" w:lineRule="exact"/>
        <w:rPr>
          <w:rFonts w:ascii="Arial" w:cs="Arial" w:eastAsia="Arial" w:hAnsi="Arial"/>
          <w:sz w:val="19"/>
          <w:szCs w:val="19"/>
          <w:color w:val="auto"/>
        </w:rPr>
      </w:pPr>
    </w:p>
    <w:p>
      <w:pPr>
        <w:ind w:left="640" w:hanging="312"/>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Structural Loans </w:t>
      </w:r>
      <w:r>
        <w:rPr>
          <w:rFonts w:ascii="Arial" w:cs="Arial" w:eastAsia="Arial" w:hAnsi="Arial"/>
          <w:sz w:val="20"/>
          <w:szCs w:val="20"/>
          <w:color w:val="auto"/>
        </w:rPr>
        <w:t>up 5.2% QoQ (+4.3% FX Neutral) and 10.3% YoY (+12.6% FX Neutral) in average daily balances.</w:t>
      </w:r>
    </w:p>
    <w:p>
      <w:pPr>
        <w:spacing w:after="0" w:line="131" w:lineRule="exact"/>
        <w:rPr>
          <w:rFonts w:ascii="Arial" w:cs="Arial" w:eastAsia="Arial" w:hAnsi="Arial"/>
          <w:sz w:val="20"/>
          <w:szCs w:val="20"/>
          <w:color w:val="auto"/>
        </w:rPr>
      </w:pPr>
    </w:p>
    <w:p>
      <w:pPr>
        <w:jc w:val="both"/>
        <w:ind w:left="640" w:hanging="312"/>
        <w:spacing w:after="0" w:line="244"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Total Deposits </w:t>
      </w:r>
      <w:r>
        <w:rPr>
          <w:rFonts w:ascii="Arial" w:cs="Arial" w:eastAsia="Arial" w:hAnsi="Arial"/>
          <w:sz w:val="20"/>
          <w:szCs w:val="20"/>
          <w:color w:val="auto"/>
        </w:rPr>
        <w:t>reached S/152,792 million reflecting an increase of 1.6% QoQ and 2.1% YoY on an FX Neutral basis,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driven mainly by growth in Time Deposits in a context of high interest rates, and by focus on bolstering the share of Deposits in our funding structure. </w:t>
      </w:r>
      <w:r>
        <w:rPr>
          <w:rFonts w:ascii="Arial" w:cs="Arial" w:eastAsia="Arial" w:hAnsi="Arial"/>
          <w:sz w:val="20"/>
          <w:szCs w:val="20"/>
          <w:b w:val="1"/>
          <w:bCs w:val="1"/>
          <w:color w:val="auto"/>
        </w:rPr>
        <w:t>Low-cost Deposits</w:t>
      </w:r>
      <w:r>
        <w:rPr>
          <w:rFonts w:ascii="Arial" w:cs="Arial" w:eastAsia="Arial" w:hAnsi="Arial"/>
          <w:sz w:val="20"/>
          <w:szCs w:val="20"/>
          <w:color w:val="auto"/>
        </w:rPr>
        <w:t xml:space="preserve"> accounted for 55.9% of Total Funding.</w:t>
      </w:r>
    </w:p>
    <w:p>
      <w:pPr>
        <w:spacing w:after="0" w:line="88" w:lineRule="exact"/>
        <w:rPr>
          <w:rFonts w:ascii="Arial" w:cs="Arial" w:eastAsia="Arial" w:hAnsi="Arial"/>
          <w:sz w:val="20"/>
          <w:szCs w:val="20"/>
          <w:color w:val="auto"/>
        </w:rPr>
      </w:pPr>
    </w:p>
    <w:p>
      <w:pPr>
        <w:ind w:left="640" w:hanging="312"/>
        <w:spacing w:after="0" w:line="254"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Structural NPL ratio</w:t>
      </w:r>
      <w:r>
        <w:rPr>
          <w:rFonts w:ascii="Arial" w:cs="Arial" w:eastAsia="Arial" w:hAnsi="Arial"/>
          <w:sz w:val="20"/>
          <w:szCs w:val="20"/>
          <w:color w:val="auto"/>
        </w:rPr>
        <w:t xml:space="preserve"> decreased 13bps to 4.92% QoQ, reflecting the increase in structural loans and the drop in the NPL resulting from higher write-off during the quarter.</w:t>
      </w:r>
    </w:p>
    <w:p>
      <w:pPr>
        <w:spacing w:after="0" w:line="182" w:lineRule="exact"/>
        <w:rPr>
          <w:rFonts w:ascii="Arial" w:cs="Arial" w:eastAsia="Arial" w:hAnsi="Arial"/>
          <w:sz w:val="20"/>
          <w:szCs w:val="20"/>
          <w:color w:val="auto"/>
        </w:rPr>
      </w:pPr>
    </w:p>
    <w:p>
      <w:pPr>
        <w:jc w:val="both"/>
        <w:ind w:left="640" w:hanging="312"/>
        <w:spacing w:after="0" w:line="233"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Structural Provisions </w:t>
      </w:r>
      <w:r>
        <w:rPr>
          <w:rFonts w:ascii="Arial" w:cs="Arial" w:eastAsia="Arial" w:hAnsi="Arial"/>
          <w:sz w:val="20"/>
          <w:szCs w:val="20"/>
          <w:color w:val="auto"/>
        </w:rPr>
        <w:t>rose 35.1% QoQ over an unusually low base. This reflects an increase in our incursion in higher</w:t>
      </w:r>
      <w:r>
        <w:rPr>
          <w:rFonts w:ascii="Arial" w:cs="Arial" w:eastAsia="Arial" w:hAnsi="Arial"/>
          <w:sz w:val="20"/>
          <w:szCs w:val="20"/>
          <w:b w:val="1"/>
          <w:bCs w:val="1"/>
          <w:color w:val="auto"/>
        </w:rPr>
        <w:t xml:space="preserve"> </w:t>
      </w:r>
      <w:r>
        <w:rPr>
          <w:rFonts w:ascii="Arial" w:cs="Arial" w:eastAsia="Arial" w:hAnsi="Arial"/>
          <w:sz w:val="20"/>
          <w:szCs w:val="20"/>
          <w:color w:val="auto"/>
        </w:rPr>
        <w:t>yield segments at BCP, and in SME-Pymes in particular. The aforementioned was partially offset by lower provisions at Mibanco which reflected one-time methodological improvements</w:t>
      </w:r>
      <w:r>
        <w:rPr>
          <w:rFonts w:ascii="Arial" w:cs="Arial" w:eastAsia="Arial" w:hAnsi="Arial"/>
          <w:sz w:val="16"/>
          <w:szCs w:val="16"/>
          <w:color w:val="auto"/>
        </w:rPr>
        <w:t>.</w:t>
      </w:r>
      <w:r>
        <w:rPr>
          <w:rFonts w:ascii="Arial" w:cs="Arial" w:eastAsia="Arial" w:hAnsi="Arial"/>
          <w:sz w:val="20"/>
          <w:szCs w:val="20"/>
          <w:color w:val="auto"/>
        </w:rPr>
        <w:t xml:space="preserve"> The </w:t>
      </w:r>
      <w:r>
        <w:rPr>
          <w:rFonts w:ascii="Arial" w:cs="Arial" w:eastAsia="Arial" w:hAnsi="Arial"/>
          <w:sz w:val="20"/>
          <w:szCs w:val="20"/>
          <w:b w:val="1"/>
          <w:bCs w:val="1"/>
          <w:color w:val="auto"/>
        </w:rPr>
        <w:t>Structural Cost of Risk</w:t>
      </w:r>
      <w:r>
        <w:rPr>
          <w:rFonts w:ascii="Arial" w:cs="Arial" w:eastAsia="Arial" w:hAnsi="Arial"/>
          <w:sz w:val="20"/>
          <w:szCs w:val="20"/>
          <w:color w:val="auto"/>
        </w:rPr>
        <w:t xml:space="preserve"> stood at 1.44%. The Structural Allowance for Loan Losses accounted for 5.6% of Structural Loans while </w:t>
      </w:r>
      <w:r>
        <w:rPr>
          <w:rFonts w:ascii="Arial" w:cs="Arial" w:eastAsia="Arial" w:hAnsi="Arial"/>
          <w:sz w:val="20"/>
          <w:szCs w:val="20"/>
          <w:b w:val="1"/>
          <w:bCs w:val="1"/>
          <w:color w:val="auto"/>
        </w:rPr>
        <w:t>Structural NPL Coverage</w:t>
      </w:r>
      <w:r>
        <w:rPr>
          <w:rFonts w:ascii="Arial" w:cs="Arial" w:eastAsia="Arial" w:hAnsi="Arial"/>
          <w:sz w:val="20"/>
          <w:szCs w:val="20"/>
          <w:color w:val="auto"/>
        </w:rPr>
        <w:t xml:space="preserve"> stood at 113.3%; both continue to trend downward towards pre-pandemic levels.</w:t>
      </w:r>
    </w:p>
    <w:p>
      <w:pPr>
        <w:spacing w:after="0" w:line="88" w:lineRule="exact"/>
        <w:rPr>
          <w:rFonts w:ascii="Arial" w:cs="Arial" w:eastAsia="Arial" w:hAnsi="Arial"/>
          <w:sz w:val="20"/>
          <w:szCs w:val="20"/>
          <w:color w:val="auto"/>
        </w:rPr>
      </w:pPr>
    </w:p>
    <w:p>
      <w:pPr>
        <w:jc w:val="both"/>
        <w:ind w:left="640" w:hanging="312"/>
        <w:spacing w:after="0" w:line="235"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Core Income </w:t>
      </w:r>
      <w:r>
        <w:rPr>
          <w:rFonts w:ascii="Arial" w:cs="Arial" w:eastAsia="Arial" w:hAnsi="Arial"/>
          <w:sz w:val="20"/>
          <w:szCs w:val="20"/>
          <w:color w:val="auto"/>
        </w:rPr>
        <w:t>rose 17.5% YoY, driven mainly by increases of 22.5% in Net Interest Income (NII), 6.6% in Fees, and 6.3%</w:t>
      </w:r>
      <w:r>
        <w:rPr>
          <w:rFonts w:ascii="Arial" w:cs="Arial" w:eastAsia="Arial" w:hAnsi="Arial"/>
          <w:sz w:val="20"/>
          <w:szCs w:val="20"/>
          <w:b w:val="1"/>
          <w:bCs w:val="1"/>
          <w:color w:val="auto"/>
        </w:rPr>
        <w:t xml:space="preserve"> </w:t>
      </w:r>
      <w:r>
        <w:rPr>
          <w:rFonts w:ascii="Arial" w:cs="Arial" w:eastAsia="Arial" w:hAnsi="Arial"/>
          <w:sz w:val="20"/>
          <w:szCs w:val="20"/>
          <w:color w:val="auto"/>
        </w:rPr>
        <w:t>in Gains on FX Transactions. On a quarter-over quarter basis, Core Income increased 6.8%, supported by growth of 9.5% in Net Interest Income (NII) and 1.5% in Fees; this evolution was partially offset by a 2.6% drop in Gains on FX Transactions.</w:t>
      </w:r>
    </w:p>
    <w:p>
      <w:pPr>
        <w:spacing w:after="0" w:line="103" w:lineRule="exact"/>
        <w:rPr>
          <w:rFonts w:ascii="Arial" w:cs="Arial" w:eastAsia="Arial" w:hAnsi="Arial"/>
          <w:sz w:val="20"/>
          <w:szCs w:val="20"/>
          <w:color w:val="auto"/>
        </w:rPr>
      </w:pPr>
    </w:p>
    <w:p>
      <w:pPr>
        <w:ind w:left="640" w:hanging="312"/>
        <w:spacing w:after="0" w:line="254"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Insurance Underwriting Result</w:t>
      </w:r>
      <w:r>
        <w:rPr>
          <w:rFonts w:ascii="Arial" w:cs="Arial" w:eastAsia="Arial" w:hAnsi="Arial"/>
          <w:sz w:val="20"/>
          <w:szCs w:val="20"/>
          <w:color w:val="auto"/>
        </w:rPr>
        <w:t xml:space="preserve"> increased 45.1% QoQ and 183.2% AaA. This evolution was driven by an increase in net earned premiums and a decrease in claims in the Life business</w:t>
      </w:r>
    </w:p>
    <w:p>
      <w:pPr>
        <w:spacing w:after="0" w:line="88" w:lineRule="exact"/>
        <w:rPr>
          <w:rFonts w:ascii="Arial" w:cs="Arial" w:eastAsia="Arial" w:hAnsi="Arial"/>
          <w:sz w:val="20"/>
          <w:szCs w:val="20"/>
          <w:color w:val="auto"/>
        </w:rPr>
      </w:pPr>
    </w:p>
    <w:p>
      <w:pPr>
        <w:jc w:val="both"/>
        <w:ind w:left="640" w:hanging="312"/>
        <w:spacing w:after="0" w:line="239"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 xml:space="preserve">Efficiency Ratio </w:t>
      </w:r>
      <w:r>
        <w:rPr>
          <w:rFonts w:ascii="Arial" w:cs="Arial" w:eastAsia="Arial" w:hAnsi="Arial"/>
          <w:sz w:val="20"/>
          <w:szCs w:val="20"/>
          <w:color w:val="auto"/>
        </w:rPr>
        <w:t>improved 80bps YTD and stood at 43.9% in September. Growth in core income at BCP Stand-alone and</w:t>
      </w:r>
      <w:r>
        <w:rPr>
          <w:rFonts w:ascii="Arial" w:cs="Arial" w:eastAsia="Arial" w:hAnsi="Arial"/>
          <w:sz w:val="20"/>
          <w:szCs w:val="20"/>
          <w:b w:val="1"/>
          <w:bCs w:val="1"/>
          <w:color w:val="auto"/>
        </w:rPr>
        <w:t xml:space="preserve"> </w:t>
      </w:r>
      <w:r>
        <w:rPr>
          <w:rFonts w:ascii="Arial" w:cs="Arial" w:eastAsia="Arial" w:hAnsi="Arial"/>
          <w:sz w:val="20"/>
          <w:szCs w:val="20"/>
          <w:color w:val="auto"/>
        </w:rPr>
        <w:t>Mibanco, offset the higher expenses related to personnel, IT, transactional costs, and investments in digital transformation and disruptive initiatives.</w:t>
      </w:r>
    </w:p>
    <w:p>
      <w:pPr>
        <w:spacing w:after="0" w:line="89" w:lineRule="exact"/>
        <w:rPr>
          <w:rFonts w:ascii="Arial" w:cs="Arial" w:eastAsia="Arial" w:hAnsi="Arial"/>
          <w:sz w:val="20"/>
          <w:szCs w:val="20"/>
          <w:color w:val="auto"/>
        </w:rPr>
      </w:pPr>
    </w:p>
    <w:p>
      <w:pPr>
        <w:ind w:left="640" w:hanging="312"/>
        <w:spacing w:after="0" w:line="254"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xml:space="preserve">Solid Capital base, with the </w:t>
      </w:r>
      <w:r>
        <w:rPr>
          <w:rFonts w:ascii="Arial" w:cs="Arial" w:eastAsia="Arial" w:hAnsi="Arial"/>
          <w:sz w:val="20"/>
          <w:szCs w:val="20"/>
          <w:b w:val="1"/>
          <w:bCs w:val="1"/>
          <w:color w:val="auto"/>
        </w:rPr>
        <w:t>CET1 Ratio</w:t>
      </w:r>
      <w:r>
        <w:rPr>
          <w:rFonts w:ascii="Arial" w:cs="Arial" w:eastAsia="Arial" w:hAnsi="Arial"/>
          <w:sz w:val="20"/>
          <w:szCs w:val="20"/>
          <w:color w:val="auto"/>
        </w:rPr>
        <w:t xml:space="preserve"> increasing YoY by 63bps to 11.8% at BCP Stand Alone, and 90bps to 16.0% at Mibanco. At BAP, Regulatory Capital stood at 1.45 times the regulatory requirement.</w:t>
      </w:r>
    </w:p>
    <w:p>
      <w:pPr>
        <w:spacing w:after="0" w:line="88" w:lineRule="exact"/>
        <w:rPr>
          <w:rFonts w:ascii="Arial" w:cs="Arial" w:eastAsia="Arial" w:hAnsi="Arial"/>
          <w:sz w:val="20"/>
          <w:szCs w:val="20"/>
          <w:color w:val="auto"/>
        </w:rPr>
      </w:pPr>
    </w:p>
    <w:p>
      <w:pPr>
        <w:jc w:val="both"/>
        <w:ind w:left="640" w:hanging="312"/>
        <w:spacing w:after="0" w:line="239" w:lineRule="auto"/>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xml:space="preserve">Sustained Progress Executing Against </w:t>
      </w:r>
      <w:r>
        <w:rPr>
          <w:rFonts w:ascii="Arial" w:cs="Arial" w:eastAsia="Arial" w:hAnsi="Arial"/>
          <w:sz w:val="20"/>
          <w:szCs w:val="20"/>
          <w:b w:val="1"/>
          <w:bCs w:val="1"/>
          <w:color w:val="auto"/>
        </w:rPr>
        <w:t>Strategic Initiatives:</w:t>
      </w:r>
      <w:r>
        <w:rPr>
          <w:rFonts w:ascii="Arial" w:cs="Arial" w:eastAsia="Arial" w:hAnsi="Arial"/>
          <w:sz w:val="20"/>
          <w:szCs w:val="20"/>
          <w:color w:val="auto"/>
        </w:rPr>
        <w:t xml:space="preserve"> i) BCP Stand-alone digital clients accounted for 63% of total BCP retail clients at quarter-end, up from 58% as of June 2022; and ii) over 247 thousand individuals were financially included through Yape in 3Q22.</w:t>
      </w: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5" w:name="page6"/>
    <w:bookmarkEnd w:id="5"/>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168275</wp:posOffset>
            </wp:positionV>
            <wp:extent cx="6087745" cy="5636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87745" cy="563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6" w:name="page7"/>
    <w:bookmarkEnd w:id="6"/>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Third Quarter 2022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2022 EARNINGS CONFERENCE CALL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21212"/>
        </w:rPr>
        <w:t xml:space="preserve">Date: </w:t>
      </w:r>
      <w:r>
        <w:rPr>
          <w:rFonts w:ascii="Times New Roman" w:cs="Times New Roman" w:eastAsia="Times New Roman" w:hAnsi="Times New Roman"/>
          <w:sz w:val="18"/>
          <w:szCs w:val="18"/>
          <w:color w:val="121212"/>
        </w:rPr>
        <w:t>Friday November 04,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21212"/>
        </w:rPr>
        <w:t xml:space="preserve">Time: </w:t>
      </w:r>
      <w:r>
        <w:rPr>
          <w:rFonts w:ascii="Times New Roman" w:cs="Times New Roman" w:eastAsia="Times New Roman" w:hAnsi="Times New Roman"/>
          <w:sz w:val="18"/>
          <w:szCs w:val="18"/>
          <w:color w:val="121212"/>
        </w:rPr>
        <w:t>10:30 am ET (9:30 am Lima, Peru time)</w:t>
      </w:r>
    </w:p>
    <w:p>
      <w:pPr>
        <w:spacing w:after="0" w:line="221"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b w:val="1"/>
          <w:bCs w:val="1"/>
          <w:color w:val="121212"/>
        </w:rPr>
        <w:t xml:space="preserve">Hosts: </w:t>
      </w:r>
      <w:r>
        <w:rPr>
          <w:rFonts w:ascii="Times New Roman" w:cs="Times New Roman" w:eastAsia="Times New Roman" w:hAnsi="Times New Roman"/>
          <w:sz w:val="18"/>
          <w:szCs w:val="18"/>
          <w:color w:val="121212"/>
        </w:rPr>
        <w:t>Gianfranco Ferrari - CEO, Cesar Rios - Chief Financial Officer, Francesca Raffo – Chief Innovation Officer, Reynaldo Llosa - Chief Risk Officer,</w:t>
      </w:r>
      <w:r>
        <w:rPr>
          <w:rFonts w:ascii="Times New Roman" w:cs="Times New Roman" w:eastAsia="Times New Roman" w:hAnsi="Times New Roman"/>
          <w:sz w:val="18"/>
          <w:szCs w:val="18"/>
          <w:b w:val="1"/>
          <w:bCs w:val="1"/>
          <w:color w:val="121212"/>
        </w:rPr>
        <w:t xml:space="preserve"> </w:t>
      </w:r>
      <w:r>
        <w:rPr>
          <w:rFonts w:ascii="Times New Roman" w:cs="Times New Roman" w:eastAsia="Times New Roman" w:hAnsi="Times New Roman"/>
          <w:sz w:val="18"/>
          <w:szCs w:val="18"/>
          <w:color w:val="121212"/>
        </w:rPr>
        <w:t>Diego Cavero - Head of Universal Banking, Cesar Rivera - Head of Insurance and Pensions, and the Investor Relations Team.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To pre-register for the listen-only webcast presentation use the following link:</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https://dpregister.com/sreg/10172107/f4c46417bc</w:t>
      </w:r>
    </w:p>
    <w:p>
      <w:pPr>
        <w:spacing w:after="0" w:line="203"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Those unable to pre-register may dial in by calling: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1 844 435 0321 (U.S. toll free)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1 412 317 5615 (International)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21212"/>
        </w:rPr>
        <w:t>Conference ID: Credicorp Conference Call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The webcast will be archived for one year on our investor relations website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https://credicorp.gcs-web.com/events-and-presentations/upcoming-events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21212"/>
        </w:rPr>
        <w:t>For a full version of Credicorp´s Second Quarter 2022 Earnings Release, please visit: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https://credicorp.gcs-web.com/financial-information/quarterly-results</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7" w:name="page8"/>
    <w:bookmarkEnd w:id="7"/>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AD2C9"/>
        </w:rPr>
        <w:t>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-164465</wp:posOffset>
            </wp:positionV>
            <wp:extent cx="2992755" cy="2066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92755" cy="2066290"/>
                    </a:xfrm>
                    <a:prstGeom prst="rect">
                      <a:avLst/>
                    </a:prstGeom>
                    <a:noFill/>
                  </pic:spPr>
                </pic:pic>
              </a:graphicData>
            </a:graphic>
          </wp:anchor>
        </w:drawing>
      </w:r>
    </w:p>
    <w:p>
      <w:pPr>
        <w:spacing w:after="0" w:line="103" w:lineRule="exact"/>
        <w:rPr>
          <w:sz w:val="20"/>
          <w:szCs w:val="20"/>
          <w:color w:val="auto"/>
        </w:rPr>
      </w:pPr>
    </w:p>
    <w:p>
      <w:pPr>
        <w:jc w:val="both"/>
        <w:ind w:right="5840"/>
        <w:spacing w:after="0" w:line="255" w:lineRule="auto"/>
        <w:rPr>
          <w:sz w:val="20"/>
          <w:szCs w:val="20"/>
          <w:color w:val="auto"/>
        </w:rPr>
      </w:pPr>
      <w:r>
        <w:rPr>
          <w:rFonts w:ascii="Times New Roman" w:cs="Times New Roman" w:eastAsia="Times New Roman" w:hAnsi="Times New Roman"/>
          <w:sz w:val="18"/>
          <w:szCs w:val="18"/>
          <w:color w:val="auto"/>
        </w:rPr>
        <w:t>Structural loans, measured in ADB, rose 5.2% QoQ (4.3% FX neutral) to stand at S/137,298 million. This evolution was driven primarily by Wholesale Banking and Consumer at BCP. The quarterly result was also positively affected by Mibanco, as sales through relationship managers registered higher levels of productivity.</w:t>
      </w:r>
    </w:p>
    <w:p>
      <w:pPr>
        <w:spacing w:after="0" w:line="119" w:lineRule="exact"/>
        <w:rPr>
          <w:sz w:val="20"/>
          <w:szCs w:val="20"/>
          <w:color w:val="auto"/>
        </w:rPr>
      </w:pPr>
    </w:p>
    <w:p>
      <w:pPr>
        <w:jc w:val="both"/>
        <w:ind w:right="5840"/>
        <w:spacing w:after="0" w:line="258" w:lineRule="auto"/>
        <w:rPr>
          <w:sz w:val="20"/>
          <w:szCs w:val="20"/>
          <w:color w:val="auto"/>
        </w:rPr>
      </w:pPr>
      <w:r>
        <w:rPr>
          <w:rFonts w:ascii="Times New Roman" w:cs="Times New Roman" w:eastAsia="Times New Roman" w:hAnsi="Times New Roman"/>
          <w:sz w:val="18"/>
          <w:szCs w:val="18"/>
          <w:color w:val="auto"/>
        </w:rPr>
        <w:t>YoY, structural growth stood at 10.3% (12.6% FX neutral). This trajectory was primarily driven by Consumer and SME-Pyme, in line with an uptick in consumption in a context of economic reactivation, and by Mibanco, due to improvements through the hybrid model.</w:t>
      </w:r>
    </w:p>
    <w:p>
      <w:pPr>
        <w:spacing w:after="0" w:line="101" w:lineRule="exact"/>
        <w:rPr>
          <w:sz w:val="20"/>
          <w:szCs w:val="20"/>
          <w:color w:val="auto"/>
        </w:rPr>
      </w:pPr>
    </w:p>
    <w:p>
      <w:pPr>
        <w:jc w:val="both"/>
        <w:ind w:right="5840"/>
        <w:spacing w:after="0" w:line="278" w:lineRule="auto"/>
        <w:rPr>
          <w:sz w:val="20"/>
          <w:szCs w:val="20"/>
          <w:color w:val="auto"/>
        </w:rPr>
      </w:pPr>
      <w:r>
        <w:rPr>
          <w:rFonts w:ascii="Times New Roman" w:cs="Times New Roman" w:eastAsia="Times New Roman" w:hAnsi="Times New Roman"/>
          <w:sz w:val="18"/>
          <w:szCs w:val="18"/>
          <w:color w:val="auto"/>
        </w:rPr>
        <w:t>As of the 3Q22, government program loans (GP) represent 9% of the total portfolio measured in average daily balances (8% at quarter-end).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AD2C9"/>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-11430</wp:posOffset>
            </wp:positionV>
            <wp:extent cx="3112135" cy="41744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12135" cy="4174490"/>
                    </a:xfrm>
                    <a:prstGeom prst="rect">
                      <a:avLst/>
                    </a:prstGeom>
                    <a:noFill/>
                  </pic:spPr>
                </pic:pic>
              </a:graphicData>
            </a:graphic>
          </wp:anchor>
        </w:drawing>
      </w:r>
    </w:p>
    <w:p>
      <w:pPr>
        <w:spacing w:after="0" w:line="143" w:lineRule="exact"/>
        <w:rPr>
          <w:sz w:val="20"/>
          <w:szCs w:val="20"/>
          <w:color w:val="auto"/>
        </w:rPr>
      </w:pPr>
    </w:p>
    <w:p>
      <w:pPr>
        <w:jc w:val="both"/>
        <w:ind w:right="5840"/>
        <w:spacing w:after="0" w:line="255" w:lineRule="auto"/>
        <w:rPr>
          <w:sz w:val="20"/>
          <w:szCs w:val="20"/>
          <w:color w:val="auto"/>
        </w:rPr>
      </w:pPr>
      <w:r>
        <w:rPr>
          <w:rFonts w:ascii="Times New Roman" w:cs="Times New Roman" w:eastAsia="Times New Roman" w:hAnsi="Times New Roman"/>
          <w:sz w:val="18"/>
          <w:szCs w:val="18"/>
          <w:color w:val="auto"/>
        </w:rPr>
        <w:t>Our deposit base measured in quarter-end balances rose 1.6% QoQ (FX Neutral). Growth was driven primarily by an uptick in Time Deposits at BCP Stand-alone, mainly in FC, in a context marked by rising rates and exchange rate uncertainty. This result was also impacted by growth in Time Deposits in LC at BCP.</w:t>
      </w:r>
    </w:p>
    <w:p>
      <w:pPr>
        <w:spacing w:after="0" w:line="119" w:lineRule="exact"/>
        <w:rPr>
          <w:sz w:val="20"/>
          <w:szCs w:val="20"/>
          <w:color w:val="auto"/>
        </w:rPr>
      </w:pPr>
    </w:p>
    <w:p>
      <w:pPr>
        <w:jc w:val="both"/>
        <w:ind w:right="5840"/>
        <w:spacing w:after="0" w:line="254" w:lineRule="auto"/>
        <w:rPr>
          <w:sz w:val="20"/>
          <w:szCs w:val="20"/>
          <w:color w:val="auto"/>
        </w:rPr>
      </w:pPr>
      <w:r>
        <w:rPr>
          <w:rFonts w:ascii="Times New Roman" w:cs="Times New Roman" w:eastAsia="Times New Roman" w:hAnsi="Times New Roman"/>
          <w:sz w:val="18"/>
          <w:szCs w:val="18"/>
          <w:color w:val="auto"/>
        </w:rPr>
        <w:t>In the YoY comparison, the deposit base increased 2.1% (FX Neutral). Growth was fueled mainly by an upswing in Time Deposit volumes, which reflected fund migration from low-cost deposits to Time Deposits at BCP in a framework of rising rates. ASB, which reported an increase in fund flows from Peru due to the political-economic juncture, also contributed to this dynamic.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AD2C9"/>
        </w:rPr>
        <w:t>Net interest income (NII) and Margin (NIM)</w:t>
      </w:r>
    </w:p>
    <w:p>
      <w:pPr>
        <w:spacing w:after="0" w:line="150" w:lineRule="exact"/>
        <w:rPr>
          <w:sz w:val="20"/>
          <w:szCs w:val="20"/>
          <w:color w:val="auto"/>
        </w:rPr>
      </w:pPr>
    </w:p>
    <w:p>
      <w:pPr>
        <w:jc w:val="both"/>
        <w:ind w:right="5840"/>
        <w:spacing w:after="0" w:line="255" w:lineRule="auto"/>
        <w:rPr>
          <w:sz w:val="20"/>
          <w:szCs w:val="20"/>
          <w:color w:val="auto"/>
        </w:rPr>
      </w:pPr>
      <w:r>
        <w:rPr>
          <w:rFonts w:ascii="Times New Roman" w:cs="Times New Roman" w:eastAsia="Times New Roman" w:hAnsi="Times New Roman"/>
          <w:sz w:val="18"/>
          <w:szCs w:val="18"/>
          <w:color w:val="auto"/>
        </w:rPr>
        <w:t>NII rose 9.5% to S/3,001 million, driven by an uptick in the margin. This evolution reflected the fact that growth in our IEA yield outpaced the upswing in the funding cost (both in LC and FC). NIM rose 41bps to stand at 5.3%. The result this quarter was also impacted by growth in average IEA (+1.2%).</w:t>
      </w:r>
    </w:p>
    <w:p>
      <w:pPr>
        <w:spacing w:after="0" w:line="79" w:lineRule="exact"/>
        <w:rPr>
          <w:sz w:val="20"/>
          <w:szCs w:val="20"/>
          <w:color w:val="auto"/>
        </w:rPr>
      </w:pPr>
    </w:p>
    <w:p>
      <w:pPr>
        <w:jc w:val="both"/>
        <w:ind w:right="5860"/>
        <w:spacing w:after="0" w:line="278" w:lineRule="auto"/>
        <w:rPr>
          <w:sz w:val="20"/>
          <w:szCs w:val="20"/>
          <w:color w:val="auto"/>
        </w:rPr>
      </w:pPr>
      <w:r>
        <w:rPr>
          <w:rFonts w:ascii="Times New Roman" w:cs="Times New Roman" w:eastAsia="Times New Roman" w:hAnsi="Times New Roman"/>
          <w:sz w:val="18"/>
          <w:szCs w:val="18"/>
          <w:color w:val="auto"/>
        </w:rPr>
        <w:t>YoY, NII rose 22.5%, driven by strong growth in structural loans and by a context marked by higher rates in both LC and 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8" w:name="page9"/>
    <w:bookmarkEnd w:id="8"/>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22" w:lineRule="exact"/>
        <w:rPr>
          <w:sz w:val="20"/>
          <w:szCs w:val="20"/>
          <w:color w:val="auto"/>
        </w:rPr>
      </w:pPr>
    </w:p>
    <w:p>
      <w:pPr>
        <w:jc w:val="both"/>
        <w:ind w:right="5840"/>
        <w:spacing w:after="0" w:line="281" w:lineRule="auto"/>
        <w:rPr>
          <w:sz w:val="20"/>
          <w:szCs w:val="20"/>
          <w:color w:val="auto"/>
        </w:rPr>
      </w:pPr>
      <w:r>
        <w:rPr>
          <w:rFonts w:ascii="Times New Roman" w:cs="Times New Roman" w:eastAsia="Times New Roman" w:hAnsi="Times New Roman"/>
          <w:sz w:val="25"/>
          <w:szCs w:val="25"/>
          <w:b w:val="1"/>
          <w:bCs w:val="1"/>
          <w:color w:val="2AD2C9"/>
        </w:rPr>
        <w:t>Structural Portfolio Quality and Cost of Risk (CofR)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3822065</wp:posOffset>
            </wp:positionH>
            <wp:positionV relativeFrom="paragraph">
              <wp:posOffset>-409575</wp:posOffset>
            </wp:positionV>
            <wp:extent cx="3213735" cy="2091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13735" cy="2091690"/>
                    </a:xfrm>
                    <a:prstGeom prst="rect">
                      <a:avLst/>
                    </a:prstGeom>
                    <a:noFill/>
                  </pic:spPr>
                </pic:pic>
              </a:graphicData>
            </a:graphic>
          </wp:anchor>
        </w:drawing>
      </w:r>
    </w:p>
    <w:p>
      <w:pPr>
        <w:spacing w:after="0" w:line="12" w:lineRule="exact"/>
        <w:rPr>
          <w:sz w:val="20"/>
          <w:szCs w:val="20"/>
          <w:color w:val="auto"/>
        </w:rPr>
      </w:pPr>
    </w:p>
    <w:p>
      <w:pPr>
        <w:jc w:val="both"/>
        <w:ind w:right="5840"/>
        <w:spacing w:after="0" w:line="267" w:lineRule="auto"/>
        <w:rPr>
          <w:sz w:val="20"/>
          <w:szCs w:val="20"/>
          <w:color w:val="auto"/>
        </w:rPr>
      </w:pPr>
      <w:r>
        <w:rPr>
          <w:rFonts w:ascii="Times New Roman" w:cs="Times New Roman" w:eastAsia="Times New Roman" w:hAnsi="Times New Roman"/>
          <w:sz w:val="17"/>
          <w:szCs w:val="17"/>
          <w:color w:val="auto"/>
        </w:rPr>
        <w:t>QoQ, the balance of structural NPL loans fell 0.1% after the volume of write-offs outstripped the volume registered for new entrants to the NPL portfolio. The volume of new entrants to the NPL portfolio was concentrated in the following segments: (i) SMEs-Pyme, due to penetration of higher risk segments, (ii) Individuals, mainly in consumer loans, and</w:t>
      </w:r>
    </w:p>
    <w:p>
      <w:pPr>
        <w:spacing w:after="0" w:line="3" w:lineRule="exact"/>
        <w:rPr>
          <w:sz w:val="20"/>
          <w:szCs w:val="20"/>
          <w:color w:val="auto"/>
        </w:rPr>
      </w:pPr>
    </w:p>
    <w:p>
      <w:pPr>
        <w:jc w:val="both"/>
        <w:ind w:right="5840" w:firstLine="7"/>
        <w:spacing w:after="0" w:line="252" w:lineRule="auto"/>
        <w:tabs>
          <w:tab w:leader="none" w:pos="36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Wholesale Banking, due to refinancing in the retail and tourism sectors. The structural NPL ratio stood at 4.92% (-13bps) at the end of 3Q22.</w:t>
      </w:r>
    </w:p>
    <w:p>
      <w:pPr>
        <w:spacing w:after="0" w:line="119" w:lineRule="exact"/>
        <w:rPr>
          <w:sz w:val="20"/>
          <w:szCs w:val="20"/>
          <w:color w:val="auto"/>
        </w:rPr>
      </w:pPr>
    </w:p>
    <w:p>
      <w:pPr>
        <w:jc w:val="both"/>
        <w:ind w:right="5840"/>
        <w:spacing w:after="0" w:line="258" w:lineRule="auto"/>
        <w:rPr>
          <w:sz w:val="20"/>
          <w:szCs w:val="20"/>
          <w:color w:val="auto"/>
        </w:rPr>
      </w:pPr>
      <w:r>
        <w:rPr>
          <w:rFonts w:ascii="Times New Roman" w:cs="Times New Roman" w:eastAsia="Times New Roman" w:hAnsi="Times New Roman"/>
          <w:sz w:val="18"/>
          <w:szCs w:val="18"/>
          <w:color w:val="auto"/>
        </w:rPr>
        <w:t>YoY, the structural NPL portfolio increased 4.6%, driven by the aforementioned dynamics in the SME-Pyme and Wholesale Banking segments at BCP. It is important to note that growth in the NPL portfolio at BCP was attenuated by a drop in NPL volumes at Mibanco.</w:t>
      </w:r>
    </w:p>
    <w:p>
      <w:pPr>
        <w:spacing w:after="0" w:line="101" w:lineRule="exact"/>
        <w:rPr>
          <w:sz w:val="20"/>
          <w:szCs w:val="20"/>
          <w:color w:val="auto"/>
        </w:rPr>
      </w:pPr>
    </w:p>
    <w:p>
      <w:pPr>
        <w:jc w:val="both"/>
        <w:ind w:right="5840"/>
        <w:spacing w:after="0" w:line="255" w:lineRule="auto"/>
        <w:rPr>
          <w:sz w:val="20"/>
          <w:szCs w:val="20"/>
          <w:color w:val="auto"/>
        </w:rPr>
      </w:pPr>
      <w:r>
        <w:rPr>
          <w:rFonts w:ascii="Times New Roman" w:cs="Times New Roman" w:eastAsia="Times New Roman" w:hAnsi="Times New Roman"/>
          <w:sz w:val="18"/>
          <w:szCs w:val="18"/>
          <w:color w:val="auto"/>
        </w:rPr>
        <w:t>The structural CofR rose 35bps QoQ. This result was spurred by an uptick in provisions driven by: (i) the growth in penetration of higher yield and higher risk SME-Pyme segments; and (ii) a low base effect, particularly within the SME-Pyme segment. The structural CofR stood at 1.44% this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-694690</wp:posOffset>
            </wp:positionV>
            <wp:extent cx="3128645" cy="17341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28645" cy="1734185"/>
                    </a:xfrm>
                    <a:prstGeom prst="rect">
                      <a:avLst/>
                    </a:prstGeom>
                    <a:noFill/>
                  </pic:spPr>
                </pic:pic>
              </a:graphicData>
            </a:graphic>
          </wp:anchor>
        </w:drawing>
      </w:r>
    </w:p>
    <w:p>
      <w:pPr>
        <w:spacing w:after="0" w:line="99" w:lineRule="exact"/>
        <w:rPr>
          <w:sz w:val="20"/>
          <w:szCs w:val="20"/>
          <w:color w:val="auto"/>
        </w:rPr>
      </w:pPr>
    </w:p>
    <w:p>
      <w:pPr>
        <w:jc w:val="both"/>
        <w:ind w:right="5840"/>
        <w:spacing w:after="0" w:line="255" w:lineRule="auto"/>
        <w:rPr>
          <w:sz w:val="20"/>
          <w:szCs w:val="20"/>
          <w:color w:val="auto"/>
        </w:rPr>
      </w:pPr>
      <w:r>
        <w:rPr>
          <w:rFonts w:ascii="Times New Roman" w:cs="Times New Roman" w:eastAsia="Times New Roman" w:hAnsi="Times New Roman"/>
          <w:sz w:val="18"/>
          <w:szCs w:val="18"/>
          <w:color w:val="auto"/>
        </w:rPr>
        <w:t>YoY, a significant increase was reported in the structural CofR (+90bps) given that the provisions level registered in 3Q21 was extraordinarily low. Growth in provisions for Consumer Loans, Wholesale Banking and SME-Pyme was noteworthy. YTD, the CofR remained relatively stable, standing at 0.95%.</w:t>
      </w:r>
    </w:p>
    <w:p>
      <w:pPr>
        <w:spacing w:after="0" w:line="119" w:lineRule="exact"/>
        <w:rPr>
          <w:sz w:val="20"/>
          <w:szCs w:val="20"/>
          <w:color w:val="auto"/>
        </w:rPr>
      </w:pPr>
    </w:p>
    <w:p>
      <w:pPr>
        <w:jc w:val="both"/>
        <w:ind w:right="5840"/>
        <w:spacing w:after="0" w:line="278" w:lineRule="auto"/>
        <w:rPr>
          <w:sz w:val="20"/>
          <w:szCs w:val="20"/>
          <w:color w:val="auto"/>
        </w:rPr>
      </w:pPr>
      <w:r>
        <w:rPr>
          <w:rFonts w:ascii="Times New Roman" w:cs="Times New Roman" w:eastAsia="Times New Roman" w:hAnsi="Times New Roman"/>
          <w:sz w:val="18"/>
          <w:szCs w:val="18"/>
          <w:color w:val="auto"/>
        </w:rPr>
        <w:t>The structural NPL coverage ratio continues to trend back to pre-pandemic levels and stood at 113%.</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9" w:name="page10"/>
    <w:bookmarkEnd w:id="9"/>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AD2C9"/>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4025900</wp:posOffset>
            </wp:positionH>
            <wp:positionV relativeFrom="paragraph">
              <wp:posOffset>-164465</wp:posOffset>
            </wp:positionV>
            <wp:extent cx="2806065" cy="2099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06065" cy="2099945"/>
                    </a:xfrm>
                    <a:prstGeom prst="rect">
                      <a:avLst/>
                    </a:prstGeom>
                    <a:noFill/>
                  </pic:spPr>
                </pic:pic>
              </a:graphicData>
            </a:graphic>
          </wp:anchor>
        </w:drawing>
      </w:r>
    </w:p>
    <w:p>
      <w:pPr>
        <w:spacing w:after="0" w:line="143" w:lineRule="exact"/>
        <w:rPr>
          <w:sz w:val="20"/>
          <w:szCs w:val="20"/>
          <w:color w:val="auto"/>
        </w:rPr>
      </w:pPr>
    </w:p>
    <w:p>
      <w:pPr>
        <w:jc w:val="both"/>
        <w:ind w:right="5840"/>
        <w:spacing w:after="0" w:line="258" w:lineRule="auto"/>
        <w:rPr>
          <w:sz w:val="20"/>
          <w:szCs w:val="20"/>
          <w:color w:val="auto"/>
        </w:rPr>
      </w:pPr>
      <w:r>
        <w:rPr>
          <w:rFonts w:ascii="Times New Roman" w:cs="Times New Roman" w:eastAsia="Times New Roman" w:hAnsi="Times New Roman"/>
          <w:sz w:val="18"/>
          <w:szCs w:val="18"/>
          <w:color w:val="auto"/>
        </w:rPr>
        <w:t>Other Core income (Fees + Gains on FX transactions) increased 0.6% QoQ and 6.5% YoY. This evolution was driven by growth in fee income at BCP, which was associated with an uptick in transactions through digital venues and POS.</w:t>
      </w:r>
    </w:p>
    <w:p>
      <w:pPr>
        <w:spacing w:after="0" w:line="101" w:lineRule="exact"/>
        <w:rPr>
          <w:sz w:val="20"/>
          <w:szCs w:val="20"/>
          <w:color w:val="auto"/>
        </w:rPr>
      </w:pPr>
    </w:p>
    <w:p>
      <w:pPr>
        <w:jc w:val="both"/>
        <w:ind w:right="5840"/>
        <w:spacing w:after="0" w:line="255" w:lineRule="auto"/>
        <w:rPr>
          <w:sz w:val="20"/>
          <w:szCs w:val="20"/>
          <w:color w:val="auto"/>
        </w:rPr>
      </w:pPr>
      <w:r>
        <w:rPr>
          <w:rFonts w:ascii="Times New Roman" w:cs="Times New Roman" w:eastAsia="Times New Roman" w:hAnsi="Times New Roman"/>
          <w:sz w:val="18"/>
          <w:szCs w:val="18"/>
          <w:color w:val="auto"/>
        </w:rPr>
        <w:t>Other non-core income increased significantly QoQ due to a drop in the Net Loss on Securities. In YoY terms, the drop in Other Non-Core Income was associated with Net Losses on Securities due to the devaluation of the fixed income portfolio at different subsidiaries (which reflects rising interest rates).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AD2C9"/>
        </w:rPr>
        <w:t>Insurance Underwriting Result</w:t>
      </w:r>
    </w:p>
    <w:p>
      <w:pPr>
        <w:spacing w:after="0" w:line="163" w:lineRule="exact"/>
        <w:rPr>
          <w:sz w:val="20"/>
          <w:szCs w:val="20"/>
          <w:color w:val="auto"/>
        </w:rPr>
      </w:pPr>
    </w:p>
    <w:p>
      <w:pPr>
        <w:jc w:val="both"/>
        <w:ind w:right="5840"/>
        <w:spacing w:after="0" w:line="272" w:lineRule="auto"/>
        <w:rPr>
          <w:sz w:val="20"/>
          <w:szCs w:val="20"/>
          <w:color w:val="auto"/>
        </w:rPr>
      </w:pPr>
      <w:r>
        <w:rPr>
          <w:rFonts w:ascii="Times New Roman" w:cs="Times New Roman" w:eastAsia="Times New Roman" w:hAnsi="Times New Roman"/>
          <w:sz w:val="17"/>
          <w:szCs w:val="17"/>
          <w:color w:val="auto"/>
        </w:rPr>
        <w:t>The insurance underwriting result increased 45.1% QoQ. This evolution was driven by an increase in net earned premiums in the Life business, which was led by Credit Life and Group Life. The result was also impacted by the decrease registered in Life claims following an improvement in sanitary conditions. In YoY terms the insurance underwriting result rose 183.2%, spurred by the same dynamics responsible for the QoQ evolution.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AD2C9"/>
        </w:rPr>
        <w:t>Efficiency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Efficiency Ratio improved 180bps QoQ and 330bps YoY to stand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42.8%. This evolution as in line with solid growth in core income at BCP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Stand-alone and Mibanco. YTD, the efficiency ratio stood at 43.9%, which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an improvement of 80bps with regard to the figure reported for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9 months of last year. If we exclude expenses related to disruptive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initiatives, the YoY improvement in the YTD efficiency ratio is 200bps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 at 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4060190</wp:posOffset>
            </wp:positionH>
            <wp:positionV relativeFrom="paragraph">
              <wp:posOffset>531495</wp:posOffset>
            </wp:positionV>
            <wp:extent cx="2737485" cy="2074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3748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0" w:name="page11"/>
    <w:bookmarkEnd w:id="10"/>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2AD2C9"/>
        </w:rPr>
        <w:t>Net earnings attributable to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-164465</wp:posOffset>
            </wp:positionV>
            <wp:extent cx="3112135" cy="18961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135" cy="189611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earnings attributable to Credicorp stood at S/1,302 million, up 16.1%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QoQ and +11.9% YoY. With these results, net shareholders’ equity was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S/27,109 million (+3.6% QoQ). In this context, ROAE stood at 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2AD2C9"/>
        </w:rPr>
        <w:t>Contributions* and ROE by subsidiary in 3Q22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2AD2C9"/>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95250</wp:posOffset>
            </wp:positionV>
            <wp:extent cx="5857875" cy="2473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57875" cy="2473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*Contributions to Credicorp reflect the eliminations for consolidation purposes (eliminations for transactions among Credicorp’s subsidiaries or between Credicorp and its subsidiaries).</w:t>
      </w:r>
    </w:p>
    <w:p>
      <w:pPr>
        <w:spacing w:after="0" w:line="6" w:lineRule="exact"/>
        <w:rPr>
          <w:sz w:val="20"/>
          <w:szCs w:val="20"/>
          <w:color w:val="auto"/>
        </w:rPr>
      </w:pPr>
    </w:p>
    <w:p>
      <w:pPr>
        <w:ind w:left="80" w:hanging="73"/>
        <w:spacing w:after="0"/>
        <w:tabs>
          <w:tab w:leader="none" w:pos="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figure is lower than the net income of BCP Stand Alone as contribution do not consider investments in other Credicorp subsidiaries (Mibanco).</w:t>
      </w:r>
    </w:p>
    <w:p>
      <w:pPr>
        <w:ind w:left="80" w:hanging="73"/>
        <w:spacing w:after="0" w:line="232" w:lineRule="auto"/>
        <w:tabs>
          <w:tab w:leader="none" w:pos="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figure is lower than the net income of Mibanco as Credicorp owns 99.924% of Mibanco (directly and indirectly).</w:t>
      </w:r>
    </w:p>
    <w:p>
      <w:pPr>
        <w:ind w:left="80" w:hanging="73"/>
        <w:spacing w:after="0" w:line="232" w:lineRule="auto"/>
        <w:tabs>
          <w:tab w:leader="none" w:pos="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contribution is higher than Grupo Pacifico’s net income because Credicorp owns 65.20% directly, and 33.66% through Grupo Credito.</w:t>
      </w:r>
    </w:p>
    <w:p>
      <w:pPr>
        <w:ind w:left="80" w:hanging="73"/>
        <w:spacing w:after="0"/>
        <w:tabs>
          <w:tab w:leader="none" w:pos="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Grupo Credito excluding Prima, others of Atlantic Security Holding Corporation and others of Credicorp Ltd.</w:t>
      </w: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1" w:name="page12"/>
    <w:bookmarkEnd w:id="11"/>
    <w:p>
      <w:pPr>
        <w:ind w:left="2980"/>
        <w:spacing w:after="0"/>
        <w:rPr>
          <w:sz w:val="20"/>
          <w:szCs w:val="20"/>
          <w:color w:val="auto"/>
        </w:rPr>
      </w:pPr>
      <w:r>
        <w:rPr>
          <w:rFonts w:ascii="Arial" w:cs="Arial" w:eastAsia="Arial" w:hAnsi="Arial"/>
          <w:sz w:val="18"/>
          <w:szCs w:val="18"/>
          <w:color w:val="A5A5A5"/>
        </w:rPr>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3418205" cy="3314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18205" cy="331470"/>
                    </a:xfrm>
                    <a:prstGeom prst="rect">
                      <a:avLst/>
                    </a:prstGeom>
                    <a:noFill/>
                  </pic:spPr>
                </pic:pic>
              </a:graphicData>
            </a:graphic>
          </wp:anchor>
        </w:drawing>
      </w:r>
    </w:p>
    <w:p>
      <w:pPr>
        <w:spacing w:after="0" w:line="368" w:lineRule="exact"/>
        <w:rPr>
          <w:sz w:val="20"/>
          <w:szCs w:val="20"/>
          <w:color w:val="auto"/>
        </w:rPr>
      </w:pPr>
    </w:p>
    <w:p>
      <w:pPr>
        <w:ind w:left="1760"/>
        <w:spacing w:after="0"/>
        <w:rPr>
          <w:sz w:val="20"/>
          <w:szCs w:val="20"/>
          <w:color w:val="auto"/>
        </w:rPr>
      </w:pPr>
      <w:r>
        <w:rPr>
          <w:rFonts w:ascii="Arial" w:cs="Arial" w:eastAsia="Arial" w:hAnsi="Arial"/>
          <w:sz w:val="21"/>
          <w:szCs w:val="21"/>
          <w:b w:val="1"/>
          <w:bCs w:val="1"/>
          <w:color w:val="FFFFFF"/>
        </w:rPr>
        <w:t>Universal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3422015" cy="845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2015" cy="8458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left="140" w:right="20"/>
        <w:spacing w:after="0" w:line="232" w:lineRule="auto"/>
        <w:rPr>
          <w:sz w:val="20"/>
          <w:szCs w:val="20"/>
          <w:color w:val="auto"/>
        </w:rPr>
      </w:pPr>
      <w:r>
        <w:rPr>
          <w:rFonts w:ascii="Arial" w:cs="Arial" w:eastAsia="Arial" w:hAnsi="Arial"/>
          <w:sz w:val="20"/>
          <w:szCs w:val="20"/>
          <w:color w:val="auto"/>
        </w:rPr>
        <w:t>The improvement in YoY profitability at BCP was driven by Core Income, specifically Net Interest Income. Strong</w:t>
      </w:r>
    </w:p>
    <w:p>
      <w:pPr>
        <w:spacing w:after="0" w:line="2" w:lineRule="exact"/>
        <w:rPr>
          <w:sz w:val="20"/>
          <w:szCs w:val="20"/>
          <w:color w:val="auto"/>
        </w:rPr>
      </w:pPr>
    </w:p>
    <w:p>
      <w:pPr>
        <w:jc w:val="center"/>
        <w:ind w:left="140"/>
        <w:spacing w:after="0" w:line="232" w:lineRule="auto"/>
        <w:rPr>
          <w:sz w:val="20"/>
          <w:szCs w:val="20"/>
          <w:color w:val="auto"/>
        </w:rPr>
      </w:pPr>
      <w:r>
        <w:rPr>
          <w:rFonts w:ascii="Arial" w:cs="Arial" w:eastAsia="Arial" w:hAnsi="Arial"/>
          <w:sz w:val="20"/>
          <w:szCs w:val="20"/>
          <w:color w:val="auto"/>
        </w:rPr>
        <w:t>structural loan origination, along with a disciplined repricing strategy, spurred this growth. This evolution was partially offset by an uptick in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267335</wp:posOffset>
            </wp:positionV>
            <wp:extent cx="3418205" cy="331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18205" cy="331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80"/>
        <w:spacing w:after="0"/>
        <w:rPr>
          <w:sz w:val="20"/>
          <w:szCs w:val="20"/>
          <w:color w:val="auto"/>
        </w:rPr>
      </w:pPr>
      <w:r>
        <w:rPr>
          <w:rFonts w:ascii="Arial" w:cs="Arial" w:eastAsia="Arial" w:hAnsi="Arial"/>
          <w:sz w:val="21"/>
          <w:szCs w:val="21"/>
          <w:b w:val="1"/>
          <w:bCs w:val="1"/>
          <w:color w:val="FFFFFF"/>
        </w:rPr>
        <w:t>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-534035</wp:posOffset>
            </wp:positionV>
            <wp:extent cx="7133590" cy="153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-227965</wp:posOffset>
            </wp:positionV>
            <wp:extent cx="3418205" cy="3314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18205" cy="331470"/>
                    </a:xfrm>
                    <a:prstGeom prst="rect">
                      <a:avLst/>
                    </a:prstGeom>
                    <a:noFill/>
                  </pic:spPr>
                </pic:pic>
              </a:graphicData>
            </a:graphic>
          </wp:anchor>
        </w:drawing>
        <w:drawing>
          <wp:anchor simplePos="0" relativeHeight="251657728" behindDoc="1" locked="0" layoutInCell="0" allowOverlap="1">
            <wp:simplePos x="0" y="0"/>
            <wp:positionH relativeFrom="column">
              <wp:posOffset>-74295</wp:posOffset>
            </wp:positionH>
            <wp:positionV relativeFrom="paragraph">
              <wp:posOffset>254000</wp:posOffset>
            </wp:positionV>
            <wp:extent cx="3422015" cy="8458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2015" cy="845820"/>
                    </a:xfrm>
                    <a:prstGeom prst="rect">
                      <a:avLst/>
                    </a:prstGeom>
                    <a:noFill/>
                  </pic:spPr>
                </pic:pic>
              </a:graphicData>
            </a:graphic>
          </wp:anchor>
        </w:drawing>
        <w:drawing>
          <wp:anchor simplePos="0" relativeHeight="251657728" behindDoc="1" locked="0" layoutInCell="0" allowOverlap="1">
            <wp:simplePos x="0" y="0"/>
            <wp:positionH relativeFrom="column">
              <wp:posOffset>-3779520</wp:posOffset>
            </wp:positionH>
            <wp:positionV relativeFrom="paragraph">
              <wp:posOffset>-1205865</wp:posOffset>
            </wp:positionV>
            <wp:extent cx="7133590" cy="569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56959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Mibanco continued to register solid performance. This</w:t>
      </w:r>
    </w:p>
    <w:p>
      <w:pPr>
        <w:spacing w:after="0" w:line="2" w:lineRule="exact"/>
        <w:rPr>
          <w:sz w:val="20"/>
          <w:szCs w:val="20"/>
          <w:color w:val="auto"/>
        </w:rPr>
      </w:pPr>
    </w:p>
    <w:p>
      <w:pPr>
        <w:jc w:val="center"/>
        <w:ind w:right="140"/>
        <w:spacing w:after="0" w:line="230" w:lineRule="auto"/>
        <w:rPr>
          <w:sz w:val="20"/>
          <w:szCs w:val="20"/>
          <w:color w:val="auto"/>
        </w:rPr>
      </w:pPr>
      <w:r>
        <w:rPr>
          <w:rFonts w:ascii="Arial" w:cs="Arial" w:eastAsia="Arial" w:hAnsi="Arial"/>
          <w:sz w:val="20"/>
          <w:szCs w:val="20"/>
          <w:color w:val="auto"/>
        </w:rPr>
        <w:t>trajectory was fueled by the positive dynamics of NII, which reflected effective pricing policies, and by lower provisions. The hybrid model continued to generate improvements in our relationship managers’ productivity.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267335</wp:posOffset>
            </wp:positionV>
            <wp:extent cx="3418205" cy="416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18205" cy="416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00"/>
            <w:col w:w="5280"/>
          </w:cols>
          <w:pgMar w:left="320" w:top="469" w:right="339" w:bottom="1440" w:gutter="0" w:footer="0" w:header="0"/>
        </w:sectPr>
      </w:pPr>
    </w:p>
    <w:p>
      <w:pPr>
        <w:spacing w:after="0" w:line="340" w:lineRule="exact"/>
        <w:rPr>
          <w:sz w:val="20"/>
          <w:szCs w:val="20"/>
          <w:color w:val="auto"/>
        </w:rPr>
      </w:pPr>
    </w:p>
    <w:p>
      <w:pPr>
        <w:ind w:left="1460"/>
        <w:spacing w:after="0"/>
        <w:rPr>
          <w:sz w:val="20"/>
          <w:szCs w:val="20"/>
          <w:color w:val="auto"/>
        </w:rPr>
      </w:pPr>
      <w:r>
        <w:rPr>
          <w:rFonts w:ascii="Arial" w:cs="Arial" w:eastAsia="Arial" w:hAnsi="Arial"/>
          <w:sz w:val="21"/>
          <w:szCs w:val="21"/>
          <w:b w:val="1"/>
          <w:bCs w:val="1"/>
          <w:color w:val="FFFFFF"/>
        </w:rPr>
        <w:t>Insurance and Pensions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3422015" cy="8458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2015" cy="8458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left="80"/>
        <w:spacing w:after="0" w:line="232" w:lineRule="auto"/>
        <w:rPr>
          <w:sz w:val="20"/>
          <w:szCs w:val="20"/>
          <w:color w:val="auto"/>
        </w:rPr>
      </w:pPr>
      <w:r>
        <w:rPr>
          <w:rFonts w:ascii="Arial" w:cs="Arial" w:eastAsia="Arial" w:hAnsi="Arial"/>
          <w:sz w:val="20"/>
          <w:szCs w:val="20"/>
          <w:color w:val="auto"/>
        </w:rPr>
        <w:t>Pacifico Seguros reported a substantial improvement in profitability due to growth in net earned premiums, which was driven primarily by the Bancassurance channel, and to a drop in claims in Life, which reflects an improvement in the sanitary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1136015</wp:posOffset>
            </wp:positionV>
            <wp:extent cx="7133590" cy="3314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3314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FFFFFF"/>
        </w:rPr>
        <w:t>Investment Banking and</w:t>
      </w:r>
    </w:p>
    <w:p>
      <w:pPr>
        <w:spacing w:after="0" w:line="22" w:lineRule="exact"/>
        <w:rPr>
          <w:sz w:val="20"/>
          <w:szCs w:val="20"/>
          <w:color w:val="auto"/>
        </w:rPr>
      </w:pPr>
    </w:p>
    <w:p>
      <w:pPr>
        <w:ind w:left="1520"/>
        <w:spacing w:after="0"/>
        <w:rPr>
          <w:sz w:val="20"/>
          <w:szCs w:val="20"/>
          <w:color w:val="auto"/>
        </w:rPr>
      </w:pPr>
      <w:r>
        <w:rPr>
          <w:rFonts w:ascii="Arial" w:cs="Arial" w:eastAsia="Arial" w:hAnsi="Arial"/>
          <w:sz w:val="21"/>
          <w:szCs w:val="21"/>
          <w:b w:val="1"/>
          <w:bCs w:val="1"/>
          <w:color w:val="FFFFFF"/>
        </w:rPr>
        <w:t>Wealth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205740</wp:posOffset>
            </wp:positionV>
            <wp:extent cx="3422015" cy="7099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2015" cy="709930"/>
                    </a:xfrm>
                    <a:prstGeom prst="rect">
                      <a:avLst/>
                    </a:prstGeom>
                    <a:noFill/>
                  </pic:spPr>
                </pic:pic>
              </a:graphicData>
            </a:graphic>
          </wp:anchor>
        </w:drawing>
      </w:r>
    </w:p>
    <w:p>
      <w:pPr>
        <w:spacing w:after="0" w:line="339" w:lineRule="exact"/>
        <w:rPr>
          <w:sz w:val="20"/>
          <w:szCs w:val="20"/>
          <w:color w:val="auto"/>
        </w:rPr>
      </w:pPr>
    </w:p>
    <w:p>
      <w:pPr>
        <w:jc w:val="center"/>
        <w:ind w:right="200"/>
        <w:spacing w:after="0" w:line="234" w:lineRule="auto"/>
        <w:rPr>
          <w:sz w:val="20"/>
          <w:szCs w:val="20"/>
          <w:color w:val="auto"/>
        </w:rPr>
      </w:pPr>
      <w:r>
        <w:rPr>
          <w:rFonts w:ascii="Arial" w:cs="Arial" w:eastAsia="Arial" w:hAnsi="Arial"/>
          <w:sz w:val="20"/>
          <w:szCs w:val="20"/>
          <w:color w:val="auto"/>
        </w:rPr>
        <w:t>This business continued to be challenged by the current context. Asset Management and Wealth Management continued to feel the effects generated by fund outflows in 2021</w:t>
      </w:r>
    </w:p>
    <w:p>
      <w:pPr>
        <w:spacing w:after="0" w:line="280" w:lineRule="exact"/>
        <w:rPr>
          <w:sz w:val="20"/>
          <w:szCs w:val="20"/>
          <w:color w:val="auto"/>
        </w:rPr>
      </w:pPr>
    </w:p>
    <w:p>
      <w:pPr>
        <w:sectPr>
          <w:pgSz w:w="11900" w:h="16838" w:orient="portrait"/>
          <w:cols w:equalWidth="0" w:num="2">
            <w:col w:w="5320" w:space="720"/>
            <w:col w:w="5200"/>
          </w:cols>
          <w:pgMar w:left="320" w:top="4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FFFFFF"/>
        </w:rPr>
        <w:t>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254000</wp:posOffset>
            </wp:positionV>
            <wp:extent cx="7137400" cy="5740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7400" cy="57404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left="240" w:right="120"/>
        <w:spacing w:after="0" w:line="238" w:lineRule="auto"/>
        <w:rPr>
          <w:sz w:val="20"/>
          <w:szCs w:val="20"/>
          <w:color w:val="auto"/>
        </w:rPr>
      </w:pPr>
      <w:r>
        <w:rPr>
          <w:rFonts w:ascii="Arial" w:cs="Arial" w:eastAsia="Arial" w:hAnsi="Arial"/>
          <w:sz w:val="20"/>
          <w:szCs w:val="20"/>
          <w:color w:val="auto"/>
        </w:rPr>
        <w:t>We continue to expect a ROE around 17.5% for the full year figure. Current loan dynamics in a context of high inflation and interest rate hikes lead us to expect that the Net Interest Margin and Cost of Risk figures will situate near the upper end of the guidance range.</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type w:val="continuous"/>
        </w:sectPr>
      </w:pPr>
    </w:p>
    <w:bookmarkStart w:id="12" w:name="page13"/>
    <w:bookmarkEnd w:id="12"/>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92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Credicorp Ltd.</w:t>
            </w:r>
          </w:p>
        </w:tc>
        <w:tc>
          <w:tcPr>
            <w:tcW w:w="1260" w:type="dxa"/>
            <w:vAlign w:val="bottom"/>
            <w:tcBorders>
              <w:top w:val="single" w:sz="8" w:color="auto"/>
            </w:tcBorders>
            <w:shd w:val="clear" w:color="auto" w:fill="2AD2C9"/>
          </w:tcPr>
          <w:p>
            <w:pPr>
              <w:spacing w:after="0"/>
              <w:rPr>
                <w:sz w:val="16"/>
                <w:szCs w:val="16"/>
                <w:color w:val="auto"/>
              </w:rPr>
            </w:pPr>
          </w:p>
        </w:tc>
        <w:tc>
          <w:tcPr>
            <w:tcW w:w="1140" w:type="dxa"/>
            <w:vAlign w:val="bottom"/>
            <w:tcBorders>
              <w:top w:val="single" w:sz="8" w:color="auto"/>
            </w:tcBorders>
            <w:shd w:val="clear" w:color="auto" w:fill="2AD2C9"/>
          </w:tcPr>
          <w:p>
            <w:pPr>
              <w:jc w:val="right"/>
              <w:ind w:right="389"/>
              <w:spacing w:after="0"/>
              <w:rPr>
                <w:sz w:val="20"/>
                <w:szCs w:val="20"/>
                <w:color w:val="auto"/>
              </w:rPr>
            </w:pPr>
            <w:r>
              <w:rPr>
                <w:rFonts w:ascii="Arial" w:cs="Arial" w:eastAsia="Arial" w:hAnsi="Arial"/>
                <w:sz w:val="14"/>
                <w:szCs w:val="14"/>
                <w:b w:val="1"/>
                <w:bCs w:val="1"/>
                <w:color w:val="FFFFFF"/>
              </w:rPr>
              <w:t>Quarter</w:t>
            </w:r>
          </w:p>
        </w:tc>
        <w:tc>
          <w:tcPr>
            <w:tcW w:w="1000" w:type="dxa"/>
            <w:vAlign w:val="bottom"/>
            <w:tcBorders>
              <w:top w:val="single" w:sz="8" w:color="auto"/>
              <w:right w:val="single" w:sz="8" w:color="auto"/>
            </w:tcBorders>
            <w:shd w:val="clear" w:color="auto" w:fill="2AD2C9"/>
          </w:tcPr>
          <w:p>
            <w:pPr>
              <w:spacing w:after="0"/>
              <w:rPr>
                <w:sz w:val="16"/>
                <w:szCs w:val="16"/>
                <w:color w:val="auto"/>
              </w:rPr>
            </w:pPr>
          </w:p>
        </w:tc>
        <w:tc>
          <w:tcPr>
            <w:tcW w:w="1580" w:type="dxa"/>
            <w:vAlign w:val="bottom"/>
            <w:tcBorders>
              <w:top w:val="single" w:sz="8" w:color="auto"/>
              <w:right w:val="single" w:sz="8" w:color="auto"/>
            </w:tcBorders>
            <w:gridSpan w:val="2"/>
            <w:shd w:val="clear" w:color="auto" w:fill="2AD2C9"/>
          </w:tcPr>
          <w:p>
            <w:pPr>
              <w:ind w:left="440"/>
              <w:spacing w:after="0"/>
              <w:rPr>
                <w:sz w:val="20"/>
                <w:szCs w:val="20"/>
                <w:color w:val="auto"/>
              </w:rPr>
            </w:pPr>
            <w:r>
              <w:rPr>
                <w:rFonts w:ascii="Arial" w:cs="Arial" w:eastAsia="Arial" w:hAnsi="Arial"/>
                <w:sz w:val="14"/>
                <w:szCs w:val="14"/>
                <w:b w:val="1"/>
                <w:bCs w:val="1"/>
                <w:color w:val="FFFFFF"/>
              </w:rPr>
              <w:t>% change</w:t>
            </w:r>
          </w:p>
        </w:tc>
        <w:tc>
          <w:tcPr>
            <w:tcW w:w="1380" w:type="dxa"/>
            <w:vAlign w:val="bottom"/>
            <w:tcBorders>
              <w:top w:val="single" w:sz="8" w:color="auto"/>
            </w:tcBorders>
            <w:shd w:val="clear" w:color="auto" w:fill="2AD2C9"/>
          </w:tcPr>
          <w:p>
            <w:pPr>
              <w:jc w:val="right"/>
              <w:ind w:right="9"/>
              <w:spacing w:after="0"/>
              <w:rPr>
                <w:sz w:val="20"/>
                <w:szCs w:val="20"/>
                <w:color w:val="auto"/>
              </w:rPr>
            </w:pPr>
            <w:r>
              <w:rPr>
                <w:rFonts w:ascii="Arial" w:cs="Arial" w:eastAsia="Arial" w:hAnsi="Arial"/>
                <w:sz w:val="14"/>
                <w:szCs w:val="14"/>
                <w:b w:val="1"/>
                <w:bCs w:val="1"/>
                <w:color w:val="FFFFFF"/>
              </w:rPr>
              <w:t>As of</w:t>
            </w:r>
          </w:p>
        </w:tc>
        <w:tc>
          <w:tcPr>
            <w:tcW w:w="880" w:type="dxa"/>
            <w:vAlign w:val="bottom"/>
            <w:tcBorders>
              <w:top w:val="single" w:sz="8" w:color="auto"/>
              <w:right w:val="single" w:sz="8" w:color="auto"/>
            </w:tcBorders>
            <w:shd w:val="clear" w:color="auto" w:fill="2AD2C9"/>
          </w:tcPr>
          <w:p>
            <w:pPr>
              <w:spacing w:after="0"/>
              <w:rPr>
                <w:sz w:val="16"/>
                <w:szCs w:val="16"/>
                <w:color w:val="auto"/>
              </w:rPr>
            </w:pPr>
          </w:p>
        </w:tc>
        <w:tc>
          <w:tcPr>
            <w:tcW w:w="108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67"/>
        </w:trPr>
        <w:tc>
          <w:tcPr>
            <w:tcW w:w="292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S/ 000</w:t>
            </w:r>
          </w:p>
        </w:tc>
        <w:tc>
          <w:tcPr>
            <w:tcW w:w="1260" w:type="dxa"/>
            <w:vAlign w:val="bottom"/>
            <w:tcBorders>
              <w:bottom w:val="single" w:sz="8" w:color="auto"/>
            </w:tcBorders>
            <w:shd w:val="clear" w:color="auto" w:fill="2AD2C9"/>
          </w:tcPr>
          <w:p>
            <w:pPr>
              <w:jc w:val="right"/>
              <w:ind w:right="89"/>
              <w:spacing w:after="0"/>
              <w:rPr>
                <w:sz w:val="20"/>
                <w:szCs w:val="20"/>
                <w:color w:val="auto"/>
              </w:rPr>
            </w:pPr>
            <w:r>
              <w:rPr>
                <w:rFonts w:ascii="Arial" w:cs="Arial" w:eastAsia="Arial" w:hAnsi="Arial"/>
                <w:sz w:val="14"/>
                <w:szCs w:val="14"/>
                <w:b w:val="1"/>
                <w:bCs w:val="1"/>
                <w:color w:val="FFFFFF"/>
              </w:rPr>
              <w:t>3Q21</w:t>
            </w:r>
          </w:p>
        </w:tc>
        <w:tc>
          <w:tcPr>
            <w:tcW w:w="1140" w:type="dxa"/>
            <w:vAlign w:val="bottom"/>
            <w:tcBorders>
              <w:bottom w:val="single" w:sz="8" w:color="auto"/>
            </w:tcBorders>
            <w:shd w:val="clear" w:color="auto" w:fill="2AD2C9"/>
          </w:tcPr>
          <w:p>
            <w:pPr>
              <w:jc w:val="right"/>
              <w:ind w:right="109"/>
              <w:spacing w:after="0"/>
              <w:rPr>
                <w:sz w:val="20"/>
                <w:szCs w:val="20"/>
                <w:color w:val="auto"/>
              </w:rPr>
            </w:pPr>
            <w:r>
              <w:rPr>
                <w:rFonts w:ascii="Arial" w:cs="Arial" w:eastAsia="Arial" w:hAnsi="Arial"/>
                <w:sz w:val="14"/>
                <w:szCs w:val="14"/>
                <w:b w:val="1"/>
                <w:bCs w:val="1"/>
                <w:color w:val="FFFFFF"/>
              </w:rPr>
              <w:t>2Q22</w:t>
            </w:r>
          </w:p>
        </w:tc>
        <w:tc>
          <w:tcPr>
            <w:tcW w:w="100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4"/>
                <w:szCs w:val="14"/>
                <w:b w:val="1"/>
                <w:bCs w:val="1"/>
                <w:color w:val="FFFFFF"/>
              </w:rPr>
              <w:t>3Q22</w:t>
            </w:r>
          </w:p>
        </w:tc>
        <w:tc>
          <w:tcPr>
            <w:tcW w:w="76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4"/>
                <w:szCs w:val="14"/>
                <w:b w:val="1"/>
                <w:bCs w:val="1"/>
                <w:color w:val="FFFFFF"/>
              </w:rPr>
              <w:t>QoQ</w:t>
            </w:r>
          </w:p>
        </w:tc>
        <w:tc>
          <w:tcPr>
            <w:tcW w:w="8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YoY</w:t>
            </w:r>
          </w:p>
        </w:tc>
        <w:tc>
          <w:tcPr>
            <w:tcW w:w="1380" w:type="dxa"/>
            <w:vAlign w:val="bottom"/>
            <w:tcBorders>
              <w:bottom w:val="single" w:sz="8" w:color="auto"/>
            </w:tcBorders>
            <w:shd w:val="clear" w:color="auto" w:fill="2AD2C9"/>
          </w:tcPr>
          <w:p>
            <w:pPr>
              <w:jc w:val="right"/>
              <w:ind w:right="529"/>
              <w:spacing w:after="0"/>
              <w:rPr>
                <w:sz w:val="20"/>
                <w:szCs w:val="20"/>
                <w:color w:val="auto"/>
              </w:rPr>
            </w:pPr>
            <w:r>
              <w:rPr>
                <w:rFonts w:ascii="Arial" w:cs="Arial" w:eastAsia="Arial" w:hAnsi="Arial"/>
                <w:sz w:val="14"/>
                <w:szCs w:val="14"/>
                <w:b w:val="1"/>
                <w:bCs w:val="1"/>
                <w:color w:val="FFFFFF"/>
              </w:rPr>
              <w:t>Sep 21</w:t>
            </w:r>
          </w:p>
        </w:tc>
        <w:tc>
          <w:tcPr>
            <w:tcW w:w="880" w:type="dxa"/>
            <w:vAlign w:val="bottom"/>
            <w:tcBorders>
              <w:bottom w:val="single" w:sz="8" w:color="auto"/>
              <w:right w:val="single" w:sz="8" w:color="auto"/>
            </w:tcBorders>
            <w:shd w:val="clear" w:color="auto" w:fill="2AD2C9"/>
          </w:tcPr>
          <w:p>
            <w:pPr>
              <w:jc w:val="right"/>
              <w:ind w:right="289"/>
              <w:spacing w:after="0"/>
              <w:rPr>
                <w:sz w:val="20"/>
                <w:szCs w:val="20"/>
                <w:color w:val="auto"/>
              </w:rPr>
            </w:pPr>
            <w:r>
              <w:rPr>
                <w:rFonts w:ascii="Arial" w:cs="Arial" w:eastAsia="Arial" w:hAnsi="Arial"/>
                <w:sz w:val="14"/>
                <w:szCs w:val="14"/>
                <w:b w:val="1"/>
                <w:bCs w:val="1"/>
                <w:color w:val="FFFFFF"/>
              </w:rPr>
              <w:t>Sep 22</w:t>
            </w:r>
          </w:p>
        </w:tc>
        <w:tc>
          <w:tcPr>
            <w:tcW w:w="10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Sep 22 / Sep 21</w:t>
            </w:r>
          </w:p>
        </w:tc>
        <w:tc>
          <w:tcPr>
            <w:tcW w:w="0" w:type="dxa"/>
            <w:vAlign w:val="bottom"/>
          </w:tcPr>
          <w:p>
            <w:pPr>
              <w:spacing w:after="0"/>
              <w:rPr>
                <w:sz w:val="1"/>
                <w:szCs w:val="1"/>
                <w:color w:val="auto"/>
              </w:rPr>
            </w:pPr>
          </w:p>
        </w:tc>
      </w:tr>
      <w:tr>
        <w:trPr>
          <w:trHeight w:val="151"/>
        </w:trPr>
        <w:tc>
          <w:tcPr>
            <w:tcW w:w="29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color w:val="auto"/>
              </w:rPr>
              <w:t>Net interest, similar income and expenses</w:t>
            </w:r>
          </w:p>
        </w:tc>
        <w:tc>
          <w:tcPr>
            <w:tcW w:w="1260" w:type="dxa"/>
            <w:vAlign w:val="bottom"/>
          </w:tcPr>
          <w:p>
            <w:pPr>
              <w:jc w:val="right"/>
              <w:ind w:right="89"/>
              <w:spacing w:after="0" w:line="151" w:lineRule="exact"/>
              <w:rPr>
                <w:sz w:val="20"/>
                <w:szCs w:val="20"/>
                <w:color w:val="auto"/>
              </w:rPr>
            </w:pPr>
            <w:r>
              <w:rPr>
                <w:rFonts w:ascii="Arial" w:cs="Arial" w:eastAsia="Arial" w:hAnsi="Arial"/>
                <w:sz w:val="14"/>
                <w:szCs w:val="14"/>
                <w:color w:val="auto"/>
              </w:rPr>
              <w:t>2,451,099</w:t>
            </w:r>
          </w:p>
        </w:tc>
        <w:tc>
          <w:tcPr>
            <w:tcW w:w="1140" w:type="dxa"/>
            <w:vAlign w:val="bottom"/>
          </w:tcPr>
          <w:p>
            <w:pPr>
              <w:jc w:val="right"/>
              <w:ind w:right="109"/>
              <w:spacing w:after="0" w:line="151" w:lineRule="exact"/>
              <w:rPr>
                <w:sz w:val="20"/>
                <w:szCs w:val="20"/>
                <w:color w:val="auto"/>
              </w:rPr>
            </w:pPr>
            <w:r>
              <w:rPr>
                <w:rFonts w:ascii="Arial" w:cs="Arial" w:eastAsia="Arial" w:hAnsi="Arial"/>
                <w:sz w:val="14"/>
                <w:szCs w:val="14"/>
                <w:color w:val="auto"/>
              </w:rPr>
              <w:t>2,740,440</w:t>
            </w:r>
          </w:p>
        </w:tc>
        <w:tc>
          <w:tcPr>
            <w:tcW w:w="100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3,001,426</w:t>
            </w:r>
          </w:p>
        </w:tc>
        <w:tc>
          <w:tcPr>
            <w:tcW w:w="760" w:type="dxa"/>
            <w:vAlign w:val="bottom"/>
          </w:tcPr>
          <w:p>
            <w:pPr>
              <w:jc w:val="center"/>
              <w:spacing w:after="0" w:line="151" w:lineRule="exact"/>
              <w:rPr>
                <w:sz w:val="20"/>
                <w:szCs w:val="20"/>
                <w:color w:val="auto"/>
              </w:rPr>
            </w:pPr>
            <w:r>
              <w:rPr>
                <w:rFonts w:ascii="Arial" w:cs="Arial" w:eastAsia="Arial" w:hAnsi="Arial"/>
                <w:sz w:val="14"/>
                <w:szCs w:val="14"/>
                <w:color w:val="auto"/>
              </w:rPr>
              <w:t>9.5%</w:t>
            </w:r>
          </w:p>
        </w:tc>
        <w:tc>
          <w:tcPr>
            <w:tcW w:w="8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22.5%</w:t>
            </w:r>
          </w:p>
        </w:tc>
        <w:tc>
          <w:tcPr>
            <w:tcW w:w="1380" w:type="dxa"/>
            <w:vAlign w:val="bottom"/>
          </w:tcPr>
          <w:p>
            <w:pPr>
              <w:jc w:val="right"/>
              <w:ind w:right="209"/>
              <w:spacing w:after="0" w:line="151" w:lineRule="exact"/>
              <w:rPr>
                <w:sz w:val="20"/>
                <w:szCs w:val="20"/>
                <w:color w:val="auto"/>
              </w:rPr>
            </w:pPr>
            <w:r>
              <w:rPr>
                <w:rFonts w:ascii="Arial" w:cs="Arial" w:eastAsia="Arial" w:hAnsi="Arial"/>
                <w:sz w:val="14"/>
                <w:szCs w:val="14"/>
                <w:color w:val="auto"/>
              </w:rPr>
              <w:t>6,882,370</w:t>
            </w:r>
          </w:p>
        </w:tc>
        <w:tc>
          <w:tcPr>
            <w:tcW w:w="88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8,274,919</w:t>
            </w:r>
          </w:p>
        </w:tc>
        <w:tc>
          <w:tcPr>
            <w:tcW w:w="10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Provision for credit losses on loan portfolio,</w:t>
            </w:r>
          </w:p>
        </w:tc>
        <w:tc>
          <w:tcPr>
            <w:tcW w:w="1260" w:type="dxa"/>
            <w:vAlign w:val="bottom"/>
            <w:vMerge w:val="restart"/>
          </w:tcPr>
          <w:p>
            <w:pPr>
              <w:jc w:val="right"/>
              <w:ind w:right="89"/>
              <w:spacing w:after="0"/>
              <w:rPr>
                <w:sz w:val="20"/>
                <w:szCs w:val="20"/>
                <w:color w:val="auto"/>
              </w:rPr>
            </w:pPr>
            <w:r>
              <w:rPr>
                <w:rFonts w:ascii="Arial" w:cs="Arial" w:eastAsia="Arial" w:hAnsi="Arial"/>
                <w:sz w:val="14"/>
                <w:szCs w:val="14"/>
                <w:color w:val="auto"/>
              </w:rPr>
              <w:t>(164,414)</w:t>
            </w:r>
          </w:p>
        </w:tc>
        <w:tc>
          <w:tcPr>
            <w:tcW w:w="1140" w:type="dxa"/>
            <w:vAlign w:val="bottom"/>
            <w:vMerge w:val="restart"/>
          </w:tcPr>
          <w:p>
            <w:pPr>
              <w:jc w:val="right"/>
              <w:ind w:right="109"/>
              <w:spacing w:after="0"/>
              <w:rPr>
                <w:sz w:val="20"/>
                <w:szCs w:val="20"/>
                <w:color w:val="auto"/>
              </w:rPr>
            </w:pPr>
            <w:r>
              <w:rPr>
                <w:rFonts w:ascii="Arial" w:cs="Arial" w:eastAsia="Arial" w:hAnsi="Arial"/>
                <w:sz w:val="14"/>
                <w:szCs w:val="14"/>
                <w:color w:val="auto"/>
              </w:rPr>
              <w:t>(363,291)</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(459,976)</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rPr>
              <w:t>26.6%</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179.8%</w:t>
            </w:r>
          </w:p>
        </w:tc>
        <w:tc>
          <w:tcPr>
            <w:tcW w:w="1380" w:type="dxa"/>
            <w:vAlign w:val="bottom"/>
            <w:vMerge w:val="restart"/>
          </w:tcPr>
          <w:p>
            <w:pPr>
              <w:jc w:val="right"/>
              <w:ind w:right="209"/>
              <w:spacing w:after="0"/>
              <w:rPr>
                <w:sz w:val="20"/>
                <w:szCs w:val="20"/>
                <w:color w:val="auto"/>
              </w:rPr>
            </w:pPr>
            <w:r>
              <w:rPr>
                <w:rFonts w:ascii="Arial" w:cs="Arial" w:eastAsia="Arial" w:hAnsi="Arial"/>
                <w:sz w:val="14"/>
                <w:szCs w:val="14"/>
                <w:color w:val="auto"/>
              </w:rPr>
              <w:t>(1,085,441)</w:t>
            </w:r>
          </w:p>
        </w:tc>
        <w:tc>
          <w:tcPr>
            <w:tcW w:w="8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(1,080,857)</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09"/>
        </w:trPr>
        <w:tc>
          <w:tcPr>
            <w:tcW w:w="292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4"/>
                <w:szCs w:val="14"/>
                <w:color w:val="auto"/>
              </w:rPr>
              <w:t>net of recoveries</w:t>
            </w:r>
          </w:p>
        </w:tc>
        <w:tc>
          <w:tcPr>
            <w:tcW w:w="126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820" w:type="dxa"/>
            <w:vAlign w:val="bottom"/>
            <w:tcBorders>
              <w:right w:val="single" w:sz="8" w:color="auto"/>
            </w:tcBorders>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88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920" w:type="dxa"/>
            <w:vAlign w:val="bottom"/>
            <w:tcBorders>
              <w:left w:val="single" w:sz="8" w:color="auto"/>
              <w:right w:val="single" w:sz="8" w:color="auto"/>
            </w:tcBorders>
            <w:vMerge w:val="continue"/>
          </w:tcPr>
          <w:p>
            <w:pPr>
              <w:spacing w:after="0"/>
              <w:rPr>
                <w:sz w:val="4"/>
                <w:szCs w:val="4"/>
                <w:color w:val="auto"/>
              </w:rPr>
            </w:pPr>
          </w:p>
        </w:tc>
        <w:tc>
          <w:tcPr>
            <w:tcW w:w="12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Borders>
              <w:right w:val="single" w:sz="8" w:color="auto"/>
            </w:tcBorders>
          </w:tcPr>
          <w:p>
            <w:pPr>
              <w:spacing w:after="0"/>
              <w:rPr>
                <w:sz w:val="4"/>
                <w:szCs w:val="4"/>
                <w:color w:val="auto"/>
              </w:rPr>
            </w:pPr>
          </w:p>
        </w:tc>
        <w:tc>
          <w:tcPr>
            <w:tcW w:w="138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10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Net interest, similar income and</w:t>
            </w: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expenses, after provision for credit</w:t>
            </w:r>
          </w:p>
        </w:tc>
        <w:tc>
          <w:tcPr>
            <w:tcW w:w="1260" w:type="dxa"/>
            <w:vAlign w:val="bottom"/>
          </w:tcPr>
          <w:p>
            <w:pPr>
              <w:jc w:val="right"/>
              <w:ind w:right="89"/>
              <w:spacing w:after="0"/>
              <w:rPr>
                <w:sz w:val="20"/>
                <w:szCs w:val="20"/>
                <w:color w:val="auto"/>
              </w:rPr>
            </w:pPr>
            <w:r>
              <w:rPr>
                <w:rFonts w:ascii="Arial" w:cs="Arial" w:eastAsia="Arial" w:hAnsi="Arial"/>
                <w:sz w:val="14"/>
                <w:szCs w:val="14"/>
                <w:b w:val="1"/>
                <w:bCs w:val="1"/>
                <w:color w:val="auto"/>
              </w:rPr>
              <w:t>2,286,685</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2,377,149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2,541,450</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6.9%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11.1%</w:t>
            </w:r>
          </w:p>
        </w:tc>
        <w:tc>
          <w:tcPr>
            <w:tcW w:w="1380" w:type="dxa"/>
            <w:vAlign w:val="bottom"/>
          </w:tcPr>
          <w:p>
            <w:pPr>
              <w:jc w:val="right"/>
              <w:ind w:right="209"/>
              <w:spacing w:after="0"/>
              <w:rPr>
                <w:sz w:val="20"/>
                <w:szCs w:val="20"/>
                <w:color w:val="auto"/>
              </w:rPr>
            </w:pPr>
            <w:r>
              <w:rPr>
                <w:rFonts w:ascii="Arial" w:cs="Arial" w:eastAsia="Arial" w:hAnsi="Arial"/>
                <w:sz w:val="14"/>
                <w:szCs w:val="14"/>
                <w:b w:val="1"/>
                <w:bCs w:val="1"/>
                <w:color w:val="auto"/>
              </w:rPr>
              <w:t>5,796,929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7,194,062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losses on loan portfolio</w:t>
            </w: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 other income</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1,238,683</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1,203,980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1,310,585</w:t>
            </w:r>
          </w:p>
        </w:tc>
        <w:tc>
          <w:tcPr>
            <w:tcW w:w="760" w:type="dxa"/>
            <w:vAlign w:val="bottom"/>
          </w:tcPr>
          <w:p>
            <w:pPr>
              <w:jc w:val="center"/>
              <w:spacing w:after="0"/>
              <w:rPr>
                <w:sz w:val="20"/>
                <w:szCs w:val="20"/>
                <w:color w:val="auto"/>
              </w:rPr>
            </w:pPr>
            <w:r>
              <w:rPr>
                <w:rFonts w:ascii="Arial" w:cs="Arial" w:eastAsia="Arial" w:hAnsi="Arial"/>
                <w:sz w:val="14"/>
                <w:szCs w:val="14"/>
                <w:color w:val="auto"/>
              </w:rPr>
              <w:t>8.9%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5.8%</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3,624,907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3,757,314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Insurance underwriting result</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70,204</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137,042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198,842</w:t>
            </w:r>
          </w:p>
        </w:tc>
        <w:tc>
          <w:tcPr>
            <w:tcW w:w="760" w:type="dxa"/>
            <w:vAlign w:val="bottom"/>
          </w:tcPr>
          <w:p>
            <w:pPr>
              <w:jc w:val="center"/>
              <w:spacing w:after="0"/>
              <w:rPr>
                <w:sz w:val="20"/>
                <w:szCs w:val="20"/>
                <w:color w:val="auto"/>
              </w:rPr>
            </w:pPr>
            <w:r>
              <w:rPr>
                <w:rFonts w:ascii="Arial" w:cs="Arial" w:eastAsia="Arial" w:hAnsi="Arial"/>
                <w:sz w:val="14"/>
                <w:szCs w:val="14"/>
                <w:color w:val="auto"/>
              </w:rPr>
              <w:t>45.1%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183.2%</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(131,378)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477,430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-463.4%</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Total other expenses</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(1,977,185)</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(2,054,810)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(2,141,519)</w:t>
            </w:r>
          </w:p>
        </w:tc>
        <w:tc>
          <w:tcPr>
            <w:tcW w:w="760" w:type="dxa"/>
            <w:vAlign w:val="bottom"/>
          </w:tcPr>
          <w:p>
            <w:pPr>
              <w:jc w:val="center"/>
              <w:spacing w:after="0"/>
              <w:rPr>
                <w:sz w:val="20"/>
                <w:szCs w:val="20"/>
                <w:color w:val="auto"/>
              </w:rPr>
            </w:pPr>
            <w:r>
              <w:rPr>
                <w:rFonts w:ascii="Arial" w:cs="Arial" w:eastAsia="Arial" w:hAnsi="Arial"/>
                <w:sz w:val="14"/>
                <w:szCs w:val="14"/>
                <w:color w:val="auto"/>
              </w:rPr>
              <w:t>4.2%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8.3%</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(5,516,749)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(6,145,474)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11.4%</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Profit (loss) before income tax</w:t>
            </w:r>
          </w:p>
        </w:tc>
        <w:tc>
          <w:tcPr>
            <w:tcW w:w="1260" w:type="dxa"/>
            <w:vAlign w:val="bottom"/>
          </w:tcPr>
          <w:p>
            <w:pPr>
              <w:jc w:val="right"/>
              <w:ind w:right="89"/>
              <w:spacing w:after="0"/>
              <w:rPr>
                <w:sz w:val="20"/>
                <w:szCs w:val="20"/>
                <w:color w:val="auto"/>
              </w:rPr>
            </w:pPr>
            <w:r>
              <w:rPr>
                <w:rFonts w:ascii="Arial" w:cs="Arial" w:eastAsia="Arial" w:hAnsi="Arial"/>
                <w:sz w:val="14"/>
                <w:szCs w:val="14"/>
                <w:b w:val="1"/>
                <w:bCs w:val="1"/>
                <w:color w:val="auto"/>
              </w:rPr>
              <w:t>1,618,387</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1,663,361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1,909,358</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14.8%</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18.0%</w:t>
            </w:r>
          </w:p>
        </w:tc>
        <w:tc>
          <w:tcPr>
            <w:tcW w:w="1380" w:type="dxa"/>
            <w:vAlign w:val="bottom"/>
          </w:tcPr>
          <w:p>
            <w:pPr>
              <w:jc w:val="right"/>
              <w:ind w:right="209"/>
              <w:spacing w:after="0"/>
              <w:rPr>
                <w:sz w:val="20"/>
                <w:szCs w:val="20"/>
                <w:color w:val="auto"/>
              </w:rPr>
            </w:pPr>
            <w:r>
              <w:rPr>
                <w:rFonts w:ascii="Arial" w:cs="Arial" w:eastAsia="Arial" w:hAnsi="Arial"/>
                <w:sz w:val="14"/>
                <w:szCs w:val="14"/>
                <w:b w:val="1"/>
                <w:bCs w:val="1"/>
                <w:color w:val="auto"/>
              </w:rPr>
              <w:t>3,773,709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5,283,332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40.0%</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Income tax</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(428,037)</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(513,181)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(575,083)</w:t>
            </w:r>
          </w:p>
        </w:tc>
        <w:tc>
          <w:tcPr>
            <w:tcW w:w="760" w:type="dxa"/>
            <w:vAlign w:val="bottom"/>
          </w:tcPr>
          <w:p>
            <w:pPr>
              <w:jc w:val="center"/>
              <w:spacing w:after="0"/>
              <w:rPr>
                <w:sz w:val="20"/>
                <w:szCs w:val="20"/>
                <w:color w:val="auto"/>
              </w:rPr>
            </w:pPr>
            <w:r>
              <w:rPr>
                <w:rFonts w:ascii="Arial" w:cs="Arial" w:eastAsia="Arial" w:hAnsi="Arial"/>
                <w:sz w:val="14"/>
                <w:szCs w:val="14"/>
                <w:color w:val="auto"/>
              </w:rPr>
              <w:t>12.1%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34.4%</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(1,189,127)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(1,634,265)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Net profit (loss)</w:t>
            </w:r>
          </w:p>
        </w:tc>
        <w:tc>
          <w:tcPr>
            <w:tcW w:w="1260" w:type="dxa"/>
            <w:vAlign w:val="bottom"/>
          </w:tcPr>
          <w:p>
            <w:pPr>
              <w:jc w:val="right"/>
              <w:ind w:right="89"/>
              <w:spacing w:after="0"/>
              <w:rPr>
                <w:sz w:val="20"/>
                <w:szCs w:val="20"/>
                <w:color w:val="auto"/>
              </w:rPr>
            </w:pPr>
            <w:r>
              <w:rPr>
                <w:rFonts w:ascii="Arial" w:cs="Arial" w:eastAsia="Arial" w:hAnsi="Arial"/>
                <w:sz w:val="14"/>
                <w:szCs w:val="14"/>
                <w:b w:val="1"/>
                <w:bCs w:val="1"/>
                <w:color w:val="auto"/>
              </w:rPr>
              <w:t>1,190,350</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1,150,180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1,334,275</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16.0%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12.1%</w:t>
            </w:r>
          </w:p>
        </w:tc>
        <w:tc>
          <w:tcPr>
            <w:tcW w:w="1380" w:type="dxa"/>
            <w:vAlign w:val="bottom"/>
          </w:tcPr>
          <w:p>
            <w:pPr>
              <w:jc w:val="right"/>
              <w:ind w:right="209"/>
              <w:spacing w:after="0"/>
              <w:rPr>
                <w:sz w:val="20"/>
                <w:szCs w:val="20"/>
                <w:color w:val="auto"/>
              </w:rPr>
            </w:pPr>
            <w:r>
              <w:rPr>
                <w:rFonts w:ascii="Arial" w:cs="Arial" w:eastAsia="Arial" w:hAnsi="Arial"/>
                <w:sz w:val="14"/>
                <w:szCs w:val="14"/>
                <w:b w:val="1"/>
                <w:bCs w:val="1"/>
                <w:color w:val="auto"/>
              </w:rPr>
              <w:t>2,584,582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3,649,067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41.2%</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Non-controlling interest</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26,651</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28,420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31,855</w:t>
            </w:r>
          </w:p>
        </w:tc>
        <w:tc>
          <w:tcPr>
            <w:tcW w:w="760" w:type="dxa"/>
            <w:vAlign w:val="bottom"/>
          </w:tcPr>
          <w:p>
            <w:pPr>
              <w:jc w:val="center"/>
              <w:spacing w:after="0"/>
              <w:rPr>
                <w:sz w:val="20"/>
                <w:szCs w:val="20"/>
                <w:color w:val="auto"/>
              </w:rPr>
            </w:pPr>
            <w:r>
              <w:rPr>
                <w:rFonts w:ascii="Arial" w:cs="Arial" w:eastAsia="Arial" w:hAnsi="Arial"/>
                <w:sz w:val="14"/>
                <w:szCs w:val="14"/>
                <w:color w:val="auto"/>
              </w:rPr>
              <w:t>12.1%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19.5%</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60,616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88,061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45.3%</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Net profit (loss) attributable to Credicorp</w:t>
            </w:r>
          </w:p>
        </w:tc>
        <w:tc>
          <w:tcPr>
            <w:tcW w:w="1260" w:type="dxa"/>
            <w:vAlign w:val="bottom"/>
          </w:tcPr>
          <w:p>
            <w:pPr>
              <w:jc w:val="right"/>
              <w:ind w:right="89"/>
              <w:spacing w:after="0"/>
              <w:rPr>
                <w:sz w:val="20"/>
                <w:szCs w:val="20"/>
                <w:color w:val="auto"/>
              </w:rPr>
            </w:pPr>
            <w:r>
              <w:rPr>
                <w:rFonts w:ascii="Arial" w:cs="Arial" w:eastAsia="Arial" w:hAnsi="Arial"/>
                <w:sz w:val="14"/>
                <w:szCs w:val="14"/>
                <w:b w:val="1"/>
                <w:bCs w:val="1"/>
                <w:color w:val="auto"/>
              </w:rPr>
              <w:t>1,163,699</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1,121,760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1,302,420</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16.1%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11.9%</w:t>
            </w:r>
          </w:p>
        </w:tc>
        <w:tc>
          <w:tcPr>
            <w:tcW w:w="1380" w:type="dxa"/>
            <w:vAlign w:val="bottom"/>
          </w:tcPr>
          <w:p>
            <w:pPr>
              <w:jc w:val="right"/>
              <w:ind w:right="209"/>
              <w:spacing w:after="0"/>
              <w:rPr>
                <w:sz w:val="20"/>
                <w:szCs w:val="20"/>
                <w:color w:val="auto"/>
              </w:rPr>
            </w:pPr>
            <w:r>
              <w:rPr>
                <w:rFonts w:ascii="Arial" w:cs="Arial" w:eastAsia="Arial" w:hAnsi="Arial"/>
                <w:sz w:val="14"/>
                <w:szCs w:val="14"/>
                <w:b w:val="1"/>
                <w:bCs w:val="1"/>
                <w:color w:val="auto"/>
              </w:rPr>
              <w:t>2,523,966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3,561,006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41.1%</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Net profit (loss) / share (S/)</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14.59</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14.06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16.33</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11.9%</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31.64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44.65</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51"/>
        </w:trPr>
        <w:tc>
          <w:tcPr>
            <w:tcW w:w="29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color w:val="auto"/>
              </w:rPr>
              <w:t>Loans</w:t>
            </w:r>
          </w:p>
        </w:tc>
        <w:tc>
          <w:tcPr>
            <w:tcW w:w="1260" w:type="dxa"/>
            <w:vAlign w:val="bottom"/>
          </w:tcPr>
          <w:p>
            <w:pPr>
              <w:jc w:val="right"/>
              <w:ind w:right="89"/>
              <w:spacing w:after="0" w:line="151" w:lineRule="exact"/>
              <w:rPr>
                <w:sz w:val="20"/>
                <w:szCs w:val="20"/>
                <w:color w:val="auto"/>
              </w:rPr>
            </w:pPr>
            <w:r>
              <w:rPr>
                <w:rFonts w:ascii="Arial" w:cs="Arial" w:eastAsia="Arial" w:hAnsi="Arial"/>
                <w:sz w:val="14"/>
                <w:szCs w:val="14"/>
                <w:color w:val="auto"/>
              </w:rPr>
              <w:t>146,551,226</w:t>
            </w:r>
          </w:p>
        </w:tc>
        <w:tc>
          <w:tcPr>
            <w:tcW w:w="1140" w:type="dxa"/>
            <w:vAlign w:val="bottom"/>
          </w:tcPr>
          <w:p>
            <w:pPr>
              <w:jc w:val="right"/>
              <w:ind w:right="109"/>
              <w:spacing w:after="0" w:line="151" w:lineRule="exact"/>
              <w:rPr>
                <w:sz w:val="20"/>
                <w:szCs w:val="20"/>
                <w:color w:val="auto"/>
              </w:rPr>
            </w:pPr>
            <w:r>
              <w:rPr>
                <w:rFonts w:ascii="Arial" w:cs="Arial" w:eastAsia="Arial" w:hAnsi="Arial"/>
                <w:sz w:val="14"/>
                <w:szCs w:val="14"/>
                <w:color w:val="auto"/>
              </w:rPr>
              <w:t>150,370,184</w:t>
            </w:r>
          </w:p>
        </w:tc>
        <w:tc>
          <w:tcPr>
            <w:tcW w:w="100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151,392,202</w:t>
            </w:r>
          </w:p>
        </w:tc>
        <w:tc>
          <w:tcPr>
            <w:tcW w:w="760" w:type="dxa"/>
            <w:vAlign w:val="bottom"/>
          </w:tcPr>
          <w:p>
            <w:pPr>
              <w:jc w:val="center"/>
              <w:spacing w:after="0" w:line="151" w:lineRule="exact"/>
              <w:rPr>
                <w:sz w:val="20"/>
                <w:szCs w:val="20"/>
                <w:color w:val="auto"/>
              </w:rPr>
            </w:pPr>
            <w:r>
              <w:rPr>
                <w:rFonts w:ascii="Arial" w:cs="Arial" w:eastAsia="Arial" w:hAnsi="Arial"/>
                <w:sz w:val="14"/>
                <w:szCs w:val="14"/>
                <w:color w:val="auto"/>
              </w:rPr>
              <w:t>0.7%</w:t>
            </w:r>
          </w:p>
        </w:tc>
        <w:tc>
          <w:tcPr>
            <w:tcW w:w="8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3.3%</w:t>
            </w:r>
          </w:p>
        </w:tc>
        <w:tc>
          <w:tcPr>
            <w:tcW w:w="1380" w:type="dxa"/>
            <w:vAlign w:val="bottom"/>
          </w:tcPr>
          <w:p>
            <w:pPr>
              <w:jc w:val="right"/>
              <w:ind w:right="209"/>
              <w:spacing w:after="0" w:line="151" w:lineRule="exact"/>
              <w:rPr>
                <w:sz w:val="20"/>
                <w:szCs w:val="20"/>
                <w:color w:val="auto"/>
              </w:rPr>
            </w:pPr>
            <w:r>
              <w:rPr>
                <w:rFonts w:ascii="Arial" w:cs="Arial" w:eastAsia="Arial" w:hAnsi="Arial"/>
                <w:sz w:val="14"/>
                <w:szCs w:val="14"/>
                <w:color w:val="auto"/>
              </w:rPr>
              <w:t>146,551,226</w:t>
            </w:r>
          </w:p>
        </w:tc>
        <w:tc>
          <w:tcPr>
            <w:tcW w:w="88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151,392,202</w:t>
            </w:r>
          </w:p>
        </w:tc>
        <w:tc>
          <w:tcPr>
            <w:tcW w:w="10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Deposits and obligations</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152,548,368</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147,440,575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152,792,014</w:t>
            </w:r>
          </w:p>
        </w:tc>
        <w:tc>
          <w:tcPr>
            <w:tcW w:w="760" w:type="dxa"/>
            <w:vAlign w:val="bottom"/>
          </w:tcPr>
          <w:p>
            <w:pPr>
              <w:jc w:val="center"/>
              <w:spacing w:after="0"/>
              <w:rPr>
                <w:sz w:val="20"/>
                <w:szCs w:val="20"/>
                <w:color w:val="auto"/>
              </w:rPr>
            </w:pPr>
            <w:r>
              <w:rPr>
                <w:rFonts w:ascii="Arial" w:cs="Arial" w:eastAsia="Arial" w:hAnsi="Arial"/>
                <w:sz w:val="14"/>
                <w:szCs w:val="14"/>
                <w:color w:val="auto"/>
              </w:rPr>
              <w:t>3.6%</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152,548,368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152,792,014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Net equity</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25,192,569</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26,175,222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27,109,054</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3.6%</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7.6%</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25,192,569</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27,109,054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78"/>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Profitability</w:t>
            </w: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Net interest margin</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4.23%</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4.90%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5.31%</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41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108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4.00%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4.78%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78 bps</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Risk-adjusted Net interest margin</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3.94%</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4.25%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25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56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3.37%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79 bps</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Funding cost</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1.21%</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1.59%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0.87%</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48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86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1.28%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34 bps</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ROAE</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18.5%</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16.9%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760" w:type="dxa"/>
            <w:vAlign w:val="bottom"/>
          </w:tcPr>
          <w:p>
            <w:pPr>
              <w:jc w:val="center"/>
              <w:spacing w:after="0"/>
              <w:rPr>
                <w:sz w:val="20"/>
                <w:szCs w:val="20"/>
                <w:color w:val="auto"/>
              </w:rPr>
            </w:pPr>
            <w:r>
              <w:rPr>
                <w:rFonts w:ascii="Arial" w:cs="Arial" w:eastAsia="Arial" w:hAnsi="Arial"/>
                <w:sz w:val="14"/>
                <w:szCs w:val="14"/>
                <w:color w:val="auto"/>
              </w:rPr>
              <w:t>270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110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13.4%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430 bps</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ROAA</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1.9%</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30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30 bps</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50 bps</w:t>
            </w:r>
          </w:p>
        </w:tc>
        <w:tc>
          <w:tcPr>
            <w:tcW w:w="0" w:type="dxa"/>
            <w:vAlign w:val="bottom"/>
          </w:tcPr>
          <w:p>
            <w:pPr>
              <w:spacing w:after="0"/>
              <w:rPr>
                <w:sz w:val="1"/>
                <w:szCs w:val="1"/>
                <w:color w:val="auto"/>
              </w:rPr>
            </w:pPr>
          </w:p>
        </w:tc>
      </w:tr>
      <w:tr>
        <w:trPr>
          <w:trHeight w:val="162"/>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Loan portfolio quality</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3"/>
                <w:szCs w:val="13"/>
                <w:color w:val="auto"/>
              </w:rPr>
              <w:t xml:space="preserve">Internal overdue ratio </w:t>
            </w:r>
            <w:r>
              <w:rPr>
                <w:rFonts w:ascii="Arial" w:cs="Arial" w:eastAsia="Arial" w:hAnsi="Arial"/>
                <w:sz w:val="20"/>
                <w:szCs w:val="20"/>
                <w:color w:val="auto"/>
                <w:vertAlign w:val="superscript"/>
              </w:rPr>
              <w:t>(1)</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3.73%</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4.06%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7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3.73%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40 bps</w:t>
            </w:r>
          </w:p>
        </w:tc>
        <w:tc>
          <w:tcPr>
            <w:tcW w:w="0" w:type="dxa"/>
            <w:vAlign w:val="bottom"/>
          </w:tcPr>
          <w:p>
            <w:pPr>
              <w:spacing w:after="0"/>
              <w:rPr>
                <w:sz w:val="1"/>
                <w:szCs w:val="1"/>
                <w:color w:val="auto"/>
              </w:rPr>
            </w:pPr>
          </w:p>
        </w:tc>
      </w:tr>
      <w:tr>
        <w:trPr>
          <w:trHeight w:val="144"/>
        </w:trPr>
        <w:tc>
          <w:tcPr>
            <w:tcW w:w="2920" w:type="dxa"/>
            <w:vAlign w:val="bottom"/>
            <w:tcBorders>
              <w:left w:val="single" w:sz="8" w:color="auto"/>
              <w:right w:val="single" w:sz="8" w:color="auto"/>
            </w:tcBorders>
          </w:tcPr>
          <w:p>
            <w:pPr>
              <w:ind w:left="40"/>
              <w:spacing w:after="0" w:line="144" w:lineRule="exact"/>
              <w:rPr>
                <w:sz w:val="20"/>
                <w:szCs w:val="20"/>
                <w:color w:val="auto"/>
              </w:rPr>
            </w:pPr>
            <w:r>
              <w:rPr>
                <w:rFonts w:ascii="Arial" w:cs="Arial" w:eastAsia="Arial" w:hAnsi="Arial"/>
                <w:sz w:val="14"/>
                <w:szCs w:val="14"/>
                <w:color w:val="auto"/>
              </w:rPr>
              <w:t>Internal overdue ratio over 90 days</w:t>
            </w:r>
          </w:p>
        </w:tc>
        <w:tc>
          <w:tcPr>
            <w:tcW w:w="1260" w:type="dxa"/>
            <w:vAlign w:val="bottom"/>
          </w:tcPr>
          <w:p>
            <w:pPr>
              <w:jc w:val="right"/>
              <w:ind w:right="89"/>
              <w:spacing w:after="0" w:line="144" w:lineRule="exact"/>
              <w:rPr>
                <w:sz w:val="20"/>
                <w:szCs w:val="20"/>
                <w:color w:val="auto"/>
              </w:rPr>
            </w:pPr>
            <w:r>
              <w:rPr>
                <w:rFonts w:ascii="Arial" w:cs="Arial" w:eastAsia="Arial" w:hAnsi="Arial"/>
                <w:sz w:val="14"/>
                <w:szCs w:val="14"/>
                <w:color w:val="auto"/>
              </w:rPr>
              <w:t>2.76%</w:t>
            </w:r>
          </w:p>
        </w:tc>
        <w:tc>
          <w:tcPr>
            <w:tcW w:w="1140" w:type="dxa"/>
            <w:vAlign w:val="bottom"/>
          </w:tcPr>
          <w:p>
            <w:pPr>
              <w:jc w:val="right"/>
              <w:ind w:right="109"/>
              <w:spacing w:after="0" w:line="144" w:lineRule="exact"/>
              <w:rPr>
                <w:sz w:val="20"/>
                <w:szCs w:val="20"/>
                <w:color w:val="auto"/>
              </w:rPr>
            </w:pPr>
            <w:r>
              <w:rPr>
                <w:rFonts w:ascii="Arial" w:cs="Arial" w:eastAsia="Arial" w:hAnsi="Arial"/>
                <w:sz w:val="14"/>
                <w:szCs w:val="14"/>
                <w:color w:val="auto"/>
              </w:rPr>
              <w:t>3.06%</w:t>
            </w:r>
          </w:p>
        </w:tc>
        <w:tc>
          <w:tcPr>
            <w:tcW w:w="100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4"/>
                <w:szCs w:val="14"/>
                <w:color w:val="auto"/>
              </w:rPr>
              <w:t>3.08%</w:t>
            </w:r>
          </w:p>
        </w:tc>
        <w:tc>
          <w:tcPr>
            <w:tcW w:w="760" w:type="dxa"/>
            <w:vAlign w:val="bottom"/>
          </w:tcPr>
          <w:p>
            <w:pPr>
              <w:jc w:val="center"/>
              <w:spacing w:after="0" w:line="144" w:lineRule="exact"/>
              <w:rPr>
                <w:sz w:val="20"/>
                <w:szCs w:val="20"/>
                <w:color w:val="auto"/>
              </w:rPr>
            </w:pPr>
            <w:r>
              <w:rPr>
                <w:rFonts w:ascii="Arial" w:cs="Arial" w:eastAsia="Arial" w:hAnsi="Arial"/>
                <w:sz w:val="14"/>
                <w:szCs w:val="14"/>
                <w:color w:val="auto"/>
                <w:w w:val="99"/>
              </w:rPr>
              <w:t>2 bps</w:t>
            </w:r>
          </w:p>
        </w:tc>
        <w:tc>
          <w:tcPr>
            <w:tcW w:w="8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color w:val="auto"/>
              </w:rPr>
              <w:t>32 bps</w:t>
            </w:r>
          </w:p>
        </w:tc>
        <w:tc>
          <w:tcPr>
            <w:tcW w:w="1380" w:type="dxa"/>
            <w:vAlign w:val="bottom"/>
          </w:tcPr>
          <w:p>
            <w:pPr>
              <w:jc w:val="right"/>
              <w:ind w:right="209"/>
              <w:spacing w:after="0" w:line="144" w:lineRule="exact"/>
              <w:rPr>
                <w:sz w:val="20"/>
                <w:szCs w:val="20"/>
                <w:color w:val="auto"/>
              </w:rPr>
            </w:pPr>
            <w:r>
              <w:rPr>
                <w:rFonts w:ascii="Arial" w:cs="Arial" w:eastAsia="Arial" w:hAnsi="Arial"/>
                <w:sz w:val="14"/>
                <w:szCs w:val="14"/>
                <w:color w:val="auto"/>
              </w:rPr>
              <w:t>2.76%</w:t>
            </w:r>
          </w:p>
        </w:tc>
        <w:tc>
          <w:tcPr>
            <w:tcW w:w="88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4"/>
                <w:szCs w:val="14"/>
                <w:color w:val="auto"/>
              </w:rPr>
              <w:t>3.08%</w:t>
            </w:r>
          </w:p>
        </w:tc>
        <w:tc>
          <w:tcPr>
            <w:tcW w:w="10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color w:val="auto"/>
                <w:w w:val="99"/>
              </w:rPr>
              <w:t>32 bps</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2"/>
                <w:szCs w:val="12"/>
                <w:color w:val="auto"/>
              </w:rPr>
              <w:t xml:space="preserve">NPL ratio </w:t>
            </w:r>
            <w:r>
              <w:rPr>
                <w:rFonts w:ascii="Arial" w:cs="Arial" w:eastAsia="Arial" w:hAnsi="Arial"/>
                <w:sz w:val="18"/>
                <w:szCs w:val="18"/>
                <w:color w:val="auto"/>
                <w:vertAlign w:val="superscript"/>
              </w:rPr>
              <w:t>(2)</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4.96%</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5.18%</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5.32%</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14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4.96%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5.32%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36 bps</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0"/>
                <w:szCs w:val="20"/>
                <w:color w:val="auto"/>
                <w:vertAlign w:val="superscript"/>
              </w:rPr>
              <w:t>(3)</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0.45%</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0.97%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25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77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0.45%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77 bps</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Coverage ratio of IOLs</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165.8%</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136.1%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760" w:type="dxa"/>
            <w:vAlign w:val="bottom"/>
          </w:tcPr>
          <w:p>
            <w:pPr>
              <w:jc w:val="center"/>
              <w:spacing w:after="0"/>
              <w:rPr>
                <w:sz w:val="20"/>
                <w:szCs w:val="20"/>
                <w:color w:val="auto"/>
              </w:rPr>
            </w:pPr>
            <w:r>
              <w:rPr>
                <w:rFonts w:ascii="Arial" w:cs="Arial" w:eastAsia="Arial" w:hAnsi="Arial"/>
                <w:sz w:val="14"/>
                <w:szCs w:val="14"/>
                <w:color w:val="auto"/>
              </w:rPr>
              <w:t>-760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-3730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165.8%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128.7%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-3710 bps</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Coverage ratio of NPLs</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124.8%</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106.6%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99.6%</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-700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-2500 bps</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124.8%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99.8%</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-2500 bps</w:t>
            </w:r>
          </w:p>
        </w:tc>
        <w:tc>
          <w:tcPr>
            <w:tcW w:w="0" w:type="dxa"/>
            <w:vAlign w:val="bottom"/>
          </w:tcPr>
          <w:p>
            <w:pPr>
              <w:spacing w:after="0"/>
              <w:rPr>
                <w:sz w:val="1"/>
                <w:szCs w:val="1"/>
                <w:color w:val="auto"/>
              </w:rPr>
            </w:pPr>
          </w:p>
        </w:tc>
      </w:tr>
      <w:tr>
        <w:trPr>
          <w:trHeight w:val="162"/>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Operating efficiency</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0"/>
                <w:szCs w:val="20"/>
                <w:color w:val="auto"/>
                <w:vertAlign w:val="superscript"/>
              </w:rPr>
              <w:t>(4)</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46.1%</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44.6%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42.8%</w:t>
            </w:r>
          </w:p>
        </w:tc>
        <w:tc>
          <w:tcPr>
            <w:tcW w:w="760" w:type="dxa"/>
            <w:vAlign w:val="bottom"/>
          </w:tcPr>
          <w:p>
            <w:pPr>
              <w:jc w:val="center"/>
              <w:spacing w:after="0"/>
              <w:rPr>
                <w:sz w:val="20"/>
                <w:szCs w:val="20"/>
                <w:color w:val="auto"/>
              </w:rPr>
            </w:pPr>
            <w:r>
              <w:rPr>
                <w:rFonts w:ascii="Arial" w:cs="Arial" w:eastAsia="Arial" w:hAnsi="Arial"/>
                <w:sz w:val="14"/>
                <w:szCs w:val="14"/>
                <w:color w:val="auto"/>
              </w:rPr>
              <w:t>-180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-330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44.7%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43.9%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-80 bps</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Operating expenses / Total average assets</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3.20%</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3.49%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9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 bps</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3.37%</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40 bps</w:t>
            </w:r>
          </w:p>
        </w:tc>
        <w:tc>
          <w:tcPr>
            <w:tcW w:w="0" w:type="dxa"/>
            <w:vAlign w:val="bottom"/>
          </w:tcPr>
          <w:p>
            <w:pPr>
              <w:spacing w:after="0"/>
              <w:rPr>
                <w:sz w:val="1"/>
                <w:szCs w:val="1"/>
                <w:color w:val="auto"/>
              </w:rPr>
            </w:pPr>
          </w:p>
        </w:tc>
      </w:tr>
      <w:tr>
        <w:trPr>
          <w:trHeight w:val="162"/>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Insurance ratios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2"/>
                <w:szCs w:val="12"/>
                <w:color w:val="auto"/>
              </w:rPr>
              <w:t xml:space="preserve">Combined ratio of P&amp;C </w:t>
            </w:r>
            <w:r>
              <w:rPr>
                <w:rFonts w:ascii="Arial" w:cs="Arial" w:eastAsia="Arial" w:hAnsi="Arial"/>
                <w:sz w:val="18"/>
                <w:szCs w:val="18"/>
                <w:color w:val="auto"/>
                <w:vertAlign w:val="superscript"/>
              </w:rPr>
              <w:t>(5) (6)</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94.1%</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89.9%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760" w:type="dxa"/>
            <w:vAlign w:val="bottom"/>
          </w:tcPr>
          <w:p>
            <w:pPr>
              <w:jc w:val="center"/>
              <w:spacing w:after="0"/>
              <w:rPr>
                <w:sz w:val="20"/>
                <w:szCs w:val="20"/>
                <w:color w:val="auto"/>
              </w:rPr>
            </w:pPr>
            <w:r>
              <w:rPr>
                <w:rFonts w:ascii="Arial" w:cs="Arial" w:eastAsia="Arial" w:hAnsi="Arial"/>
                <w:sz w:val="14"/>
                <w:szCs w:val="14"/>
                <w:color w:val="auto"/>
              </w:rPr>
              <w:t>130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-290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94.1%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-290 bps</w:t>
            </w:r>
          </w:p>
        </w:tc>
        <w:tc>
          <w:tcPr>
            <w:tcW w:w="0" w:type="dxa"/>
            <w:vAlign w:val="bottom"/>
          </w:tcPr>
          <w:p>
            <w:pPr>
              <w:spacing w:after="0"/>
              <w:rPr>
                <w:sz w:val="1"/>
                <w:szCs w:val="1"/>
                <w:color w:val="auto"/>
              </w:rPr>
            </w:pPr>
          </w:p>
        </w:tc>
      </w:tr>
      <w:tr>
        <w:trPr>
          <w:trHeight w:val="193"/>
        </w:trPr>
        <w:tc>
          <w:tcPr>
            <w:tcW w:w="2920" w:type="dxa"/>
            <w:vAlign w:val="bottom"/>
            <w:tcBorders>
              <w:left w:val="single" w:sz="8" w:color="auto"/>
              <w:bottom w:val="single" w:sz="8" w:color="auto"/>
              <w:right w:val="single" w:sz="8" w:color="auto"/>
            </w:tcBorders>
          </w:tcPr>
          <w:p>
            <w:pPr>
              <w:ind w:left="40"/>
              <w:spacing w:after="0" w:line="187" w:lineRule="exact"/>
              <w:rPr>
                <w:sz w:val="20"/>
                <w:szCs w:val="20"/>
                <w:color w:val="auto"/>
              </w:rPr>
            </w:pPr>
            <w:r>
              <w:rPr>
                <w:rFonts w:ascii="Arial" w:cs="Arial" w:eastAsia="Arial" w:hAnsi="Arial"/>
                <w:sz w:val="13"/>
                <w:szCs w:val="13"/>
                <w:color w:val="auto"/>
              </w:rPr>
              <w:t xml:space="preserve">Loss ratio </w:t>
            </w:r>
            <w:r>
              <w:rPr>
                <w:rFonts w:ascii="Arial" w:cs="Arial" w:eastAsia="Arial" w:hAnsi="Arial"/>
                <w:sz w:val="21"/>
                <w:szCs w:val="21"/>
                <w:color w:val="auto"/>
                <w:vertAlign w:val="superscript"/>
              </w:rPr>
              <w:t>(6)</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76.5%</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70.5%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-700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-1300 bps</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93.1%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67.6%</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-2550 bps</w:t>
            </w:r>
          </w:p>
        </w:tc>
        <w:tc>
          <w:tcPr>
            <w:tcW w:w="0" w:type="dxa"/>
            <w:vAlign w:val="bottom"/>
          </w:tcPr>
          <w:p>
            <w:pPr>
              <w:spacing w:after="0"/>
              <w:rPr>
                <w:sz w:val="1"/>
                <w:szCs w:val="1"/>
                <w:color w:val="auto"/>
              </w:rPr>
            </w:pPr>
          </w:p>
        </w:tc>
      </w:tr>
      <w:tr>
        <w:trPr>
          <w:trHeight w:val="162"/>
        </w:trPr>
        <w:tc>
          <w:tcPr>
            <w:tcW w:w="292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2"/>
                <w:szCs w:val="12"/>
                <w:b w:val="1"/>
                <w:bCs w:val="1"/>
                <w:color w:val="auto"/>
              </w:rPr>
              <w:t xml:space="preserve">Capital adequacy - BCP Stand-alone </w:t>
            </w:r>
            <w:r>
              <w:rPr>
                <w:rFonts w:ascii="Arial" w:cs="Arial" w:eastAsia="Arial" w:hAnsi="Arial"/>
                <w:sz w:val="18"/>
                <w:szCs w:val="18"/>
                <w:b w:val="1"/>
                <w:bCs w:val="1"/>
                <w:color w:val="auto"/>
                <w:vertAlign w:val="superscript"/>
              </w:rPr>
              <w:t>(7)</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2"/>
                <w:szCs w:val="12"/>
                <w:color w:val="auto"/>
              </w:rPr>
              <w:t xml:space="preserve">Global Capital ratio </w:t>
            </w:r>
            <w:r>
              <w:rPr>
                <w:rFonts w:ascii="Arial" w:cs="Arial" w:eastAsia="Arial" w:hAnsi="Arial"/>
                <w:sz w:val="18"/>
                <w:szCs w:val="18"/>
                <w:color w:val="auto"/>
                <w:vertAlign w:val="superscript"/>
              </w:rPr>
              <w:t>(8)</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15.16%</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15.23%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14.93%</w:t>
            </w:r>
          </w:p>
        </w:tc>
        <w:tc>
          <w:tcPr>
            <w:tcW w:w="760" w:type="dxa"/>
            <w:vAlign w:val="bottom"/>
          </w:tcPr>
          <w:p>
            <w:pPr>
              <w:jc w:val="center"/>
              <w:spacing w:after="0"/>
              <w:rPr>
                <w:sz w:val="20"/>
                <w:szCs w:val="20"/>
                <w:color w:val="auto"/>
              </w:rPr>
            </w:pPr>
            <w:r>
              <w:rPr>
                <w:rFonts w:ascii="Arial" w:cs="Arial" w:eastAsia="Arial" w:hAnsi="Arial"/>
                <w:sz w:val="14"/>
                <w:szCs w:val="14"/>
                <w:color w:val="auto"/>
              </w:rPr>
              <w:t>-30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15.16%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14.93%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-23 bps</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2"/>
                <w:szCs w:val="12"/>
                <w:color w:val="auto"/>
              </w:rPr>
              <w:t xml:space="preserve">Tier 1 ratio </w:t>
            </w:r>
            <w:r>
              <w:rPr>
                <w:rFonts w:ascii="Arial" w:cs="Arial" w:eastAsia="Arial" w:hAnsi="Arial"/>
                <w:sz w:val="18"/>
                <w:szCs w:val="18"/>
                <w:color w:val="auto"/>
                <w:vertAlign w:val="superscript"/>
              </w:rPr>
              <w:t>(9)</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10.00%</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10.25%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9.94%</w:t>
            </w:r>
          </w:p>
        </w:tc>
        <w:tc>
          <w:tcPr>
            <w:tcW w:w="760" w:type="dxa"/>
            <w:vAlign w:val="bottom"/>
          </w:tcPr>
          <w:p>
            <w:pPr>
              <w:jc w:val="center"/>
              <w:spacing w:after="0"/>
              <w:rPr>
                <w:sz w:val="20"/>
                <w:szCs w:val="20"/>
                <w:color w:val="auto"/>
              </w:rPr>
            </w:pPr>
            <w:r>
              <w:rPr>
                <w:rFonts w:ascii="Arial" w:cs="Arial" w:eastAsia="Arial" w:hAnsi="Arial"/>
                <w:sz w:val="14"/>
                <w:szCs w:val="14"/>
                <w:color w:val="auto"/>
              </w:rPr>
              <w:t>-31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10.00%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9.94%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 bps</w:t>
            </w:r>
          </w:p>
        </w:tc>
        <w:tc>
          <w:tcPr>
            <w:tcW w:w="0" w:type="dxa"/>
            <w:vAlign w:val="bottom"/>
          </w:tcPr>
          <w:p>
            <w:pPr>
              <w:spacing w:after="0"/>
              <w:rPr>
                <w:sz w:val="1"/>
                <w:szCs w:val="1"/>
                <w:color w:val="auto"/>
              </w:rPr>
            </w:pPr>
          </w:p>
        </w:tc>
      </w:tr>
      <w:tr>
        <w:trPr>
          <w:trHeight w:val="193"/>
        </w:trPr>
        <w:tc>
          <w:tcPr>
            <w:tcW w:w="2920" w:type="dxa"/>
            <w:vAlign w:val="bottom"/>
            <w:tcBorders>
              <w:left w:val="single" w:sz="8" w:color="auto"/>
              <w:bottom w:val="single" w:sz="8" w:color="auto"/>
              <w:right w:val="single" w:sz="8" w:color="auto"/>
            </w:tcBorders>
          </w:tcPr>
          <w:p>
            <w:pPr>
              <w:ind w:left="40"/>
              <w:spacing w:after="0" w:line="187"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(10) (12)</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11.20%</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11.57%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26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63 bps</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11.20%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11.83%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63 bps</w:t>
            </w:r>
          </w:p>
        </w:tc>
        <w:tc>
          <w:tcPr>
            <w:tcW w:w="0" w:type="dxa"/>
            <w:vAlign w:val="bottom"/>
          </w:tcPr>
          <w:p>
            <w:pPr>
              <w:spacing w:after="0"/>
              <w:rPr>
                <w:sz w:val="1"/>
                <w:szCs w:val="1"/>
                <w:color w:val="auto"/>
              </w:rPr>
            </w:pPr>
          </w:p>
        </w:tc>
      </w:tr>
      <w:tr>
        <w:trPr>
          <w:trHeight w:val="162"/>
        </w:trPr>
        <w:tc>
          <w:tcPr>
            <w:tcW w:w="292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2"/>
                <w:szCs w:val="12"/>
                <w:b w:val="1"/>
                <w:bCs w:val="1"/>
                <w:color w:val="auto"/>
              </w:rPr>
              <w:t xml:space="preserve">Capital adequacy - Mibanco </w:t>
            </w:r>
            <w:r>
              <w:rPr>
                <w:rFonts w:ascii="Arial" w:cs="Arial" w:eastAsia="Arial" w:hAnsi="Arial"/>
                <w:sz w:val="18"/>
                <w:szCs w:val="18"/>
                <w:b w:val="1"/>
                <w:bCs w:val="1"/>
                <w:color w:val="auto"/>
                <w:vertAlign w:val="superscript"/>
              </w:rPr>
              <w:t>(7)</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Borders>
              <w:right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2"/>
                <w:szCs w:val="12"/>
                <w:color w:val="auto"/>
              </w:rPr>
              <w:t xml:space="preserve">Global Capital ratio </w:t>
            </w:r>
            <w:r>
              <w:rPr>
                <w:rFonts w:ascii="Arial" w:cs="Arial" w:eastAsia="Arial" w:hAnsi="Arial"/>
                <w:sz w:val="18"/>
                <w:szCs w:val="18"/>
                <w:color w:val="auto"/>
                <w:vertAlign w:val="superscript"/>
              </w:rPr>
              <w:t>(8)</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16.74%</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14.83%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14.61%</w:t>
            </w:r>
          </w:p>
        </w:tc>
        <w:tc>
          <w:tcPr>
            <w:tcW w:w="760" w:type="dxa"/>
            <w:vAlign w:val="bottom"/>
          </w:tcPr>
          <w:p>
            <w:pPr>
              <w:jc w:val="center"/>
              <w:spacing w:after="0"/>
              <w:rPr>
                <w:sz w:val="20"/>
                <w:szCs w:val="20"/>
                <w:color w:val="auto"/>
              </w:rPr>
            </w:pPr>
            <w:r>
              <w:rPr>
                <w:rFonts w:ascii="Arial" w:cs="Arial" w:eastAsia="Arial" w:hAnsi="Arial"/>
                <w:sz w:val="14"/>
                <w:szCs w:val="14"/>
                <w:color w:val="auto"/>
              </w:rPr>
              <w:t>-22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-213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16.74%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14.61%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-213 bps</w:t>
            </w:r>
          </w:p>
        </w:tc>
        <w:tc>
          <w:tcPr>
            <w:tcW w:w="0" w:type="dxa"/>
            <w:vAlign w:val="bottom"/>
          </w:tcPr>
          <w:p>
            <w:pPr>
              <w:spacing w:after="0"/>
              <w:rPr>
                <w:sz w:val="1"/>
                <w:szCs w:val="1"/>
                <w:color w:val="auto"/>
              </w:rPr>
            </w:pPr>
          </w:p>
        </w:tc>
      </w:tr>
      <w:tr>
        <w:trPr>
          <w:trHeight w:val="161"/>
        </w:trPr>
        <w:tc>
          <w:tcPr>
            <w:tcW w:w="2920" w:type="dxa"/>
            <w:vAlign w:val="bottom"/>
            <w:tcBorders>
              <w:left w:val="single" w:sz="8" w:color="auto"/>
              <w:right w:val="single" w:sz="8" w:color="auto"/>
            </w:tcBorders>
          </w:tcPr>
          <w:p>
            <w:pPr>
              <w:ind w:left="40"/>
              <w:spacing w:after="0" w:line="161" w:lineRule="exact"/>
              <w:rPr>
                <w:sz w:val="20"/>
                <w:szCs w:val="20"/>
                <w:color w:val="auto"/>
              </w:rPr>
            </w:pPr>
            <w:r>
              <w:rPr>
                <w:rFonts w:ascii="Arial" w:cs="Arial" w:eastAsia="Arial" w:hAnsi="Arial"/>
                <w:sz w:val="12"/>
                <w:szCs w:val="12"/>
                <w:color w:val="auto"/>
              </w:rPr>
              <w:t xml:space="preserve">Tier 1 ratio </w:t>
            </w:r>
            <w:r>
              <w:rPr>
                <w:rFonts w:ascii="Arial" w:cs="Arial" w:eastAsia="Arial" w:hAnsi="Arial"/>
                <w:sz w:val="18"/>
                <w:szCs w:val="18"/>
                <w:color w:val="auto"/>
                <w:vertAlign w:val="superscript"/>
              </w:rPr>
              <w:t>(9)</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14.25%</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12.55%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12.36%</w:t>
            </w:r>
          </w:p>
        </w:tc>
        <w:tc>
          <w:tcPr>
            <w:tcW w:w="760" w:type="dxa"/>
            <w:vAlign w:val="bottom"/>
          </w:tcPr>
          <w:p>
            <w:pPr>
              <w:jc w:val="center"/>
              <w:spacing w:after="0"/>
              <w:rPr>
                <w:sz w:val="20"/>
                <w:szCs w:val="20"/>
                <w:color w:val="auto"/>
              </w:rPr>
            </w:pPr>
            <w:r>
              <w:rPr>
                <w:rFonts w:ascii="Arial" w:cs="Arial" w:eastAsia="Arial" w:hAnsi="Arial"/>
                <w:sz w:val="14"/>
                <w:szCs w:val="14"/>
                <w:color w:val="auto"/>
              </w:rPr>
              <w:t>-19 bps</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-189 bps</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14.25%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12.36%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-189 bps</w:t>
            </w:r>
          </w:p>
        </w:tc>
        <w:tc>
          <w:tcPr>
            <w:tcW w:w="0" w:type="dxa"/>
            <w:vAlign w:val="bottom"/>
          </w:tcPr>
          <w:p>
            <w:pPr>
              <w:spacing w:after="0"/>
              <w:rPr>
                <w:sz w:val="1"/>
                <w:szCs w:val="1"/>
                <w:color w:val="auto"/>
              </w:rPr>
            </w:pPr>
          </w:p>
        </w:tc>
      </w:tr>
      <w:tr>
        <w:trPr>
          <w:trHeight w:val="193"/>
        </w:trPr>
        <w:tc>
          <w:tcPr>
            <w:tcW w:w="2920" w:type="dxa"/>
            <w:vAlign w:val="bottom"/>
            <w:tcBorders>
              <w:left w:val="single" w:sz="8" w:color="auto"/>
              <w:bottom w:val="single" w:sz="8" w:color="auto"/>
              <w:right w:val="single" w:sz="8" w:color="auto"/>
            </w:tcBorders>
          </w:tcPr>
          <w:p>
            <w:pPr>
              <w:ind w:left="40"/>
              <w:spacing w:after="0" w:line="187" w:lineRule="exact"/>
              <w:rPr>
                <w:sz w:val="20"/>
                <w:szCs w:val="20"/>
                <w:color w:val="auto"/>
              </w:rPr>
            </w:pPr>
            <w:r>
              <w:rPr>
                <w:rFonts w:ascii="Arial" w:cs="Arial" w:eastAsia="Arial" w:hAnsi="Arial"/>
                <w:sz w:val="13"/>
                <w:szCs w:val="13"/>
                <w:color w:val="auto"/>
              </w:rPr>
              <w:t xml:space="preserve">Common equity tier 1 ratio </w:t>
            </w:r>
            <w:r>
              <w:rPr>
                <w:rFonts w:ascii="Arial" w:cs="Arial" w:eastAsia="Arial" w:hAnsi="Arial"/>
                <w:sz w:val="21"/>
                <w:szCs w:val="21"/>
                <w:color w:val="auto"/>
                <w:vertAlign w:val="superscript"/>
              </w:rPr>
              <w:t>(10) (12)</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15.10%</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15.25%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16.00%</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75 bps</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90 bps</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15.10%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16.00%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90 bps</w:t>
            </w:r>
          </w:p>
        </w:tc>
        <w:tc>
          <w:tcPr>
            <w:tcW w:w="0" w:type="dxa"/>
            <w:vAlign w:val="bottom"/>
          </w:tcPr>
          <w:p>
            <w:pPr>
              <w:spacing w:after="0"/>
              <w:rPr>
                <w:sz w:val="1"/>
                <w:szCs w:val="1"/>
                <w:color w:val="auto"/>
              </w:rPr>
            </w:pPr>
          </w:p>
        </w:tc>
      </w:tr>
      <w:tr>
        <w:trPr>
          <w:trHeight w:val="167"/>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Employees</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35,733</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34,398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35,692</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3.8%</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-0.1%</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35,733</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35,692</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8"/>
        </w:trPr>
        <w:tc>
          <w:tcPr>
            <w:tcW w:w="2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Share Information</w:t>
            </w:r>
          </w:p>
        </w:tc>
        <w:tc>
          <w:tcPr>
            <w:tcW w:w="1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920" w:type="dxa"/>
            <w:vAlign w:val="bottom"/>
            <w:tcBorders>
              <w:left w:val="single" w:sz="8" w:color="auto"/>
              <w:right w:val="single" w:sz="8" w:color="auto"/>
            </w:tcBorders>
          </w:tcPr>
          <w:p>
            <w:pPr>
              <w:ind w:left="40"/>
              <w:spacing w:after="0" w:line="144" w:lineRule="exact"/>
              <w:rPr>
                <w:sz w:val="20"/>
                <w:szCs w:val="20"/>
                <w:color w:val="auto"/>
              </w:rPr>
            </w:pPr>
            <w:r>
              <w:rPr>
                <w:rFonts w:ascii="Arial" w:cs="Arial" w:eastAsia="Arial" w:hAnsi="Arial"/>
                <w:sz w:val="14"/>
                <w:szCs w:val="14"/>
                <w:color w:val="auto"/>
              </w:rPr>
              <w:t>Issued Shares</w:t>
            </w:r>
          </w:p>
        </w:tc>
        <w:tc>
          <w:tcPr>
            <w:tcW w:w="1260" w:type="dxa"/>
            <w:vAlign w:val="bottom"/>
          </w:tcPr>
          <w:p>
            <w:pPr>
              <w:jc w:val="right"/>
              <w:ind w:right="89"/>
              <w:spacing w:after="0" w:line="144" w:lineRule="exact"/>
              <w:rPr>
                <w:sz w:val="20"/>
                <w:szCs w:val="20"/>
                <w:color w:val="auto"/>
              </w:rPr>
            </w:pPr>
            <w:r>
              <w:rPr>
                <w:rFonts w:ascii="Arial" w:cs="Arial" w:eastAsia="Arial" w:hAnsi="Arial"/>
                <w:sz w:val="14"/>
                <w:szCs w:val="14"/>
                <w:color w:val="auto"/>
              </w:rPr>
              <w:t>94,382</w:t>
            </w:r>
          </w:p>
        </w:tc>
        <w:tc>
          <w:tcPr>
            <w:tcW w:w="1140" w:type="dxa"/>
            <w:vAlign w:val="bottom"/>
          </w:tcPr>
          <w:p>
            <w:pPr>
              <w:jc w:val="right"/>
              <w:ind w:right="109"/>
              <w:spacing w:after="0" w:line="144" w:lineRule="exact"/>
              <w:rPr>
                <w:sz w:val="20"/>
                <w:szCs w:val="20"/>
                <w:color w:val="auto"/>
              </w:rPr>
            </w:pPr>
            <w:r>
              <w:rPr>
                <w:rFonts w:ascii="Arial" w:cs="Arial" w:eastAsia="Arial" w:hAnsi="Arial"/>
                <w:sz w:val="14"/>
                <w:szCs w:val="14"/>
                <w:color w:val="auto"/>
              </w:rPr>
              <w:t>94,382</w:t>
            </w:r>
          </w:p>
        </w:tc>
        <w:tc>
          <w:tcPr>
            <w:tcW w:w="100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4"/>
                <w:szCs w:val="14"/>
                <w:color w:val="auto"/>
              </w:rPr>
              <w:t>94,382</w:t>
            </w:r>
          </w:p>
        </w:tc>
        <w:tc>
          <w:tcPr>
            <w:tcW w:w="760" w:type="dxa"/>
            <w:vAlign w:val="bottom"/>
          </w:tcPr>
          <w:p>
            <w:pPr>
              <w:jc w:val="center"/>
              <w:spacing w:after="0" w:line="144" w:lineRule="exact"/>
              <w:rPr>
                <w:sz w:val="20"/>
                <w:szCs w:val="20"/>
                <w:color w:val="auto"/>
              </w:rPr>
            </w:pPr>
            <w:r>
              <w:rPr>
                <w:rFonts w:ascii="Arial" w:cs="Arial" w:eastAsia="Arial" w:hAnsi="Arial"/>
                <w:sz w:val="14"/>
                <w:szCs w:val="14"/>
                <w:color w:val="auto"/>
              </w:rPr>
              <w:t>0.0%</w:t>
            </w:r>
          </w:p>
        </w:tc>
        <w:tc>
          <w:tcPr>
            <w:tcW w:w="82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color w:val="auto"/>
              </w:rPr>
              <w:t>0.0%</w:t>
            </w:r>
          </w:p>
        </w:tc>
        <w:tc>
          <w:tcPr>
            <w:tcW w:w="1380" w:type="dxa"/>
            <w:vAlign w:val="bottom"/>
          </w:tcPr>
          <w:p>
            <w:pPr>
              <w:jc w:val="right"/>
              <w:ind w:right="209"/>
              <w:spacing w:after="0" w:line="144" w:lineRule="exact"/>
              <w:rPr>
                <w:sz w:val="20"/>
                <w:szCs w:val="20"/>
                <w:color w:val="auto"/>
              </w:rPr>
            </w:pPr>
            <w:r>
              <w:rPr>
                <w:rFonts w:ascii="Arial" w:cs="Arial" w:eastAsia="Arial" w:hAnsi="Arial"/>
                <w:sz w:val="14"/>
                <w:szCs w:val="14"/>
                <w:color w:val="auto"/>
              </w:rPr>
              <w:t>94,382</w:t>
            </w:r>
          </w:p>
        </w:tc>
        <w:tc>
          <w:tcPr>
            <w:tcW w:w="880" w:type="dxa"/>
            <w:vAlign w:val="bottom"/>
            <w:tcBorders>
              <w:right w:val="single" w:sz="8" w:color="auto"/>
            </w:tcBorders>
          </w:tcPr>
          <w:p>
            <w:pPr>
              <w:jc w:val="right"/>
              <w:spacing w:after="0" w:line="144" w:lineRule="exact"/>
              <w:rPr>
                <w:sz w:val="20"/>
                <w:szCs w:val="20"/>
                <w:color w:val="auto"/>
              </w:rPr>
            </w:pPr>
            <w:r>
              <w:rPr>
                <w:rFonts w:ascii="Arial" w:cs="Arial" w:eastAsia="Arial" w:hAnsi="Arial"/>
                <w:sz w:val="14"/>
                <w:szCs w:val="14"/>
                <w:color w:val="auto"/>
              </w:rPr>
              <w:t>94,382</w:t>
            </w:r>
          </w:p>
        </w:tc>
        <w:tc>
          <w:tcPr>
            <w:tcW w:w="10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right w:val="single" w:sz="8" w:color="auto"/>
            </w:tcBorders>
          </w:tcPr>
          <w:p>
            <w:pPr>
              <w:ind w:left="40"/>
              <w:spacing w:after="0" w:line="177" w:lineRule="exact"/>
              <w:rPr>
                <w:sz w:val="20"/>
                <w:szCs w:val="20"/>
                <w:color w:val="auto"/>
              </w:rPr>
            </w:pPr>
            <w:r>
              <w:rPr>
                <w:rFonts w:ascii="Arial" w:cs="Arial" w:eastAsia="Arial" w:hAnsi="Arial"/>
                <w:sz w:val="13"/>
                <w:szCs w:val="13"/>
                <w:color w:val="auto"/>
              </w:rPr>
              <w:t xml:space="preserve">Treasury Shares </w:t>
            </w:r>
            <w:r>
              <w:rPr>
                <w:rFonts w:ascii="Arial" w:cs="Arial" w:eastAsia="Arial" w:hAnsi="Arial"/>
                <w:sz w:val="20"/>
                <w:szCs w:val="20"/>
                <w:color w:val="auto"/>
                <w:vertAlign w:val="superscript"/>
              </w:rPr>
              <w:t>(11)</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14,866</w:t>
            </w:r>
          </w:p>
        </w:tc>
        <w:tc>
          <w:tcPr>
            <w:tcW w:w="1140" w:type="dxa"/>
            <w:vAlign w:val="bottom"/>
          </w:tcPr>
          <w:p>
            <w:pPr>
              <w:jc w:val="right"/>
              <w:ind w:right="109"/>
              <w:spacing w:after="0"/>
              <w:rPr>
                <w:sz w:val="20"/>
                <w:szCs w:val="20"/>
                <w:color w:val="auto"/>
              </w:rPr>
            </w:pPr>
            <w:r>
              <w:rPr>
                <w:rFonts w:ascii="Arial" w:cs="Arial" w:eastAsia="Arial" w:hAnsi="Arial"/>
                <w:sz w:val="14"/>
                <w:szCs w:val="14"/>
                <w:color w:val="auto"/>
              </w:rPr>
              <w:t>14,849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14,849</w:t>
            </w:r>
          </w:p>
        </w:tc>
        <w:tc>
          <w:tcPr>
            <w:tcW w:w="760" w:type="dxa"/>
            <w:vAlign w:val="bottom"/>
          </w:tcPr>
          <w:p>
            <w:pPr>
              <w:jc w:val="center"/>
              <w:spacing w:after="0"/>
              <w:rPr>
                <w:sz w:val="20"/>
                <w:szCs w:val="20"/>
                <w:color w:val="auto"/>
              </w:rPr>
            </w:pPr>
            <w:r>
              <w:rPr>
                <w:rFonts w:ascii="Arial" w:cs="Arial" w:eastAsia="Arial" w:hAnsi="Arial"/>
                <w:sz w:val="14"/>
                <w:szCs w:val="14"/>
                <w:color w:val="auto"/>
              </w:rPr>
              <w:t>0.0%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-0.1%</w:t>
            </w:r>
          </w:p>
        </w:tc>
        <w:tc>
          <w:tcPr>
            <w:tcW w:w="1380" w:type="dxa"/>
            <w:vAlign w:val="bottom"/>
          </w:tcPr>
          <w:p>
            <w:pPr>
              <w:jc w:val="right"/>
              <w:ind w:right="209"/>
              <w:spacing w:after="0"/>
              <w:rPr>
                <w:sz w:val="20"/>
                <w:szCs w:val="20"/>
                <w:color w:val="auto"/>
              </w:rPr>
            </w:pPr>
            <w:r>
              <w:rPr>
                <w:rFonts w:ascii="Arial" w:cs="Arial" w:eastAsia="Arial" w:hAnsi="Arial"/>
                <w:sz w:val="14"/>
                <w:szCs w:val="14"/>
                <w:color w:val="auto"/>
              </w:rPr>
              <w:t>14,866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14,849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77"/>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Outstanding Shares</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79,516</w:t>
            </w:r>
          </w:p>
        </w:tc>
        <w:tc>
          <w:tcPr>
            <w:tcW w:w="114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79,533</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79,533</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0.0%</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0.0%</w:t>
            </w:r>
          </w:p>
        </w:tc>
        <w:tc>
          <w:tcPr>
            <w:tcW w:w="1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79,516</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79,533</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80" w:hanging="173"/>
        <w:spacing w:after="0"/>
        <w:tabs>
          <w:tab w:leader="none" w:pos="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Internal overdue loans include overdue loans and loans under legal collection, according to our internal policy for overdue loans. Internal Overdue ratio: Internal overdue loans / Total loans.</w:t>
      </w:r>
    </w:p>
    <w:p>
      <w:pPr>
        <w:spacing w:after="0" w:line="7"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Non-performing loans (NPL): Internal overdue loans + Refinanced loans. NPL ratio: NPL / Total loans.</w:t>
      </w:r>
    </w:p>
    <w:p>
      <w:pPr>
        <w:ind w:left="180" w:hanging="173"/>
        <w:spacing w:after="0" w:line="232" w:lineRule="auto"/>
        <w:tabs>
          <w:tab w:leader="none" w:pos="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risk: Annualized provision for loan losses, net of recoveries / Total loans.</w:t>
      </w:r>
    </w:p>
    <w:p>
      <w:pPr>
        <w:ind w:right="240" w:firstLine="7"/>
        <w:spacing w:after="0" w:line="232" w:lineRule="auto"/>
        <w:tabs>
          <w:tab w:leader="none" w:pos="16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Efficiency ratio = (Salaries and employee benefits + Administrative expenses + Depreciation and amortization + Association in participation + Acquisition cost) / (Net interest, similar income and expenses + Fee Income + Net gain on foreign exchange transactions + Net Gain From associates + Net gain on derivatives held for trading + Result on exchange differences + Net Premiums Earned).</w:t>
      </w:r>
    </w:p>
    <w:p>
      <w:pPr>
        <w:spacing w:after="0" w:line="1"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Combined ratio = (Net claims / Net earned premiums) + [(Acquisition cost + Operating expenses) / Net earned premiums]. Does not include Life insurance business.</w:t>
      </w:r>
    </w:p>
    <w:p>
      <w:pPr>
        <w:ind w:left="180" w:hanging="173"/>
        <w:spacing w:after="0" w:line="232" w:lineRule="auto"/>
        <w:tabs>
          <w:tab w:leader="none" w:pos="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Considers Grupo Pacifico's figures before eliminations for consolidation to Credicorp.</w:t>
      </w:r>
    </w:p>
    <w:p>
      <w:pPr>
        <w:ind w:left="180" w:hanging="173"/>
        <w:spacing w:after="0" w:line="232" w:lineRule="auto"/>
        <w:tabs>
          <w:tab w:leader="none" w:pos="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Capital ratios for BCP Stand-alone and Mibanco are based on Peru GAAP.</w:t>
      </w:r>
    </w:p>
    <w:p>
      <w:pPr>
        <w:ind w:left="180" w:hanging="173"/>
        <w:spacing w:after="0" w:line="232" w:lineRule="auto"/>
        <w:tabs>
          <w:tab w:leader="none" w:pos="1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Capital / Risk-weighted assets (legal minimum = 10% since July 2011).</w:t>
      </w:r>
    </w:p>
    <w:p>
      <w:pPr>
        <w:ind w:right="120" w:firstLine="7"/>
        <w:spacing w:after="0" w:line="232" w:lineRule="auto"/>
        <w:tabs>
          <w:tab w:leader="none" w:pos="164"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Times New Roman" w:cs="Times New Roman" w:eastAsia="Times New Roman" w:hAnsi="Times New Roman"/>
          <w:sz w:val="12"/>
          <w:szCs w:val="12"/>
          <w:color w:val="auto"/>
        </w:rPr>
      </w:pPr>
    </w:p>
    <w:p>
      <w:pPr>
        <w:ind w:left="220" w:hanging="213"/>
        <w:spacing w:after="0" w:line="232" w:lineRule="auto"/>
        <w:tabs>
          <w:tab w:leader="none" w:pos="2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I = Capital + Reserves – 100% of applicable deductions (investment in subsidiaries, goodwill, intangibles and net deferred taxes that rely on future profitability) + retained earnings + unrealized gains.</w:t>
      </w:r>
    </w:p>
    <w:p>
      <w:pPr>
        <w:spacing w:after="0" w:line="1"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2"/>
          <w:szCs w:val="12"/>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20" w:hanging="213"/>
        <w:spacing w:after="0" w:line="234" w:lineRule="auto"/>
        <w:tabs>
          <w:tab w:leader="none" w:pos="2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 shares held by Atlantic Security Holding Corporation (ASHC) and stock awards.</w:t>
      </w:r>
    </w:p>
    <w:p>
      <w:pPr>
        <w:ind w:left="220" w:hanging="213"/>
        <w:spacing w:after="0"/>
        <w:tabs>
          <w:tab w:leader="none" w:pos="2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I calculated based on IFRS Accounting.</w:t>
      </w: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3" w:name="page14"/>
    <w:bookmarkEnd w:id="13"/>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32"/>
          <w:szCs w:val="32"/>
          <w:color w:val="E93CAC"/>
        </w:rPr>
        <w:t>Credicorp Strategy</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Credicorp is a customer-centric financial group that is committed to developing and delivering cutting edge, relevant, products and services. The digital transformation of its core business acts as a key lever to drive growth and ensure long-term competitiveness. During the conference call this quarter, management will highlight the progress that BCP, the Group’s main subsidiary, has achieved on the transformation front. Work began earlier at BCP, as a such, higher levels of maturity have been reached.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BCP is rapidly developing new income generating opportunities while deepening connections with customers to become more relevant in their day-to-day.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a strong focus on attracting and retaining the best talent, BCP is accelerating the development of core enablers of its digital transformation strategy,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 &amp; Analytics, IT and Cybersecurity. Management will present the significant progress made on all fronts, but there is still ground to cover.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Main KPIs of Credicorp’s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109220</wp:posOffset>
            </wp:positionV>
            <wp:extent cx="195580" cy="203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5580" cy="203835"/>
                    </a:xfrm>
                    <a:prstGeom prst="rect">
                      <a:avLst/>
                    </a:prstGeom>
                    <a:noFill/>
                  </pic:spPr>
                </pic:pic>
              </a:graphicData>
            </a:graphic>
          </wp:anchor>
        </w:drawing>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393"/>
        </w:trPr>
        <w:tc>
          <w:tcPr>
            <w:tcW w:w="4420" w:type="dxa"/>
            <w:vAlign w:val="bottom"/>
            <w:tcBorders>
              <w:left w:val="single" w:sz="8" w:color="2AD2C9"/>
            </w:tcBorders>
            <w:shd w:val="clear" w:color="auto" w:fill="2AD2C9"/>
          </w:tcPr>
          <w:p>
            <w:pPr>
              <w:ind w:left="120"/>
              <w:spacing w:after="0"/>
              <w:rPr>
                <w:sz w:val="20"/>
                <w:szCs w:val="20"/>
                <w:color w:val="auto"/>
              </w:rPr>
            </w:pPr>
            <w:r>
              <w:rPr>
                <w:rFonts w:ascii="Arial" w:cs="Arial" w:eastAsia="Arial" w:hAnsi="Arial"/>
                <w:sz w:val="20"/>
                <w:szCs w:val="20"/>
                <w:b w:val="1"/>
                <w:bCs w:val="1"/>
                <w:color w:val="FFFFFF"/>
              </w:rPr>
              <w:t>Experience</w:t>
            </w:r>
          </w:p>
        </w:tc>
        <w:tc>
          <w:tcPr>
            <w:tcW w:w="2680" w:type="dxa"/>
            <w:vAlign w:val="bottom"/>
            <w:tcBorders>
              <w:right w:val="single" w:sz="8" w:color="2AD2C9"/>
            </w:tcBorders>
            <w:shd w:val="clear" w:color="auto" w:fill="2AD2C9"/>
          </w:tcPr>
          <w:p>
            <w:pPr>
              <w:ind w:left="200"/>
              <w:spacing w:after="0"/>
              <w:rPr>
                <w:sz w:val="20"/>
                <w:szCs w:val="20"/>
                <w:color w:val="auto"/>
              </w:rPr>
            </w:pPr>
            <w:r>
              <w:rPr>
                <w:rFonts w:ascii="Arial" w:cs="Arial" w:eastAsia="Arial" w:hAnsi="Arial"/>
                <w:sz w:val="20"/>
                <w:szCs w:val="20"/>
                <w:b w:val="1"/>
                <w:bCs w:val="1"/>
                <w:color w:val="FFFFFF"/>
              </w:rPr>
              <w:t>Efficiency</w:t>
            </w:r>
          </w:p>
        </w:tc>
        <w:tc>
          <w:tcPr>
            <w:tcW w:w="1120" w:type="dxa"/>
            <w:vAlign w:val="bottom"/>
            <w:tcBorders>
              <w:right w:val="single" w:sz="8" w:color="2AD2C9"/>
            </w:tcBorders>
            <w:shd w:val="clear" w:color="auto" w:fill="2AD2C9"/>
          </w:tcPr>
          <w:p>
            <w:pPr>
              <w:spacing w:after="0"/>
              <w:rPr>
                <w:sz w:val="24"/>
                <w:szCs w:val="24"/>
                <w:color w:val="auto"/>
              </w:rPr>
            </w:pPr>
          </w:p>
        </w:tc>
        <w:tc>
          <w:tcPr>
            <w:tcW w:w="1080" w:type="dxa"/>
            <w:vAlign w:val="bottom"/>
            <w:shd w:val="clear" w:color="auto" w:fill="2AD2C9"/>
          </w:tcPr>
          <w:p>
            <w:pPr>
              <w:ind w:left="220"/>
              <w:spacing w:after="0"/>
              <w:rPr>
                <w:sz w:val="20"/>
                <w:szCs w:val="20"/>
                <w:color w:val="auto"/>
              </w:rPr>
            </w:pPr>
            <w:r>
              <w:rPr>
                <w:rFonts w:ascii="Arial" w:cs="Arial" w:eastAsia="Arial" w:hAnsi="Arial"/>
                <w:sz w:val="20"/>
                <w:szCs w:val="20"/>
                <w:b w:val="1"/>
                <w:bCs w:val="1"/>
                <w:color w:val="FFFFFF"/>
              </w:rPr>
              <w:t>Growth</w:t>
            </w:r>
          </w:p>
        </w:tc>
        <w:tc>
          <w:tcPr>
            <w:tcW w:w="920" w:type="dxa"/>
            <w:vAlign w:val="bottom"/>
            <w:shd w:val="clear" w:color="auto" w:fill="2AD2C9"/>
          </w:tcPr>
          <w:p>
            <w:pPr>
              <w:spacing w:after="0"/>
              <w:rPr>
                <w:sz w:val="24"/>
                <w:szCs w:val="24"/>
                <w:color w:val="auto"/>
              </w:rPr>
            </w:pPr>
          </w:p>
        </w:tc>
        <w:tc>
          <w:tcPr>
            <w:tcW w:w="1020" w:type="dxa"/>
            <w:vAlign w:val="bottom"/>
            <w:tcBorders>
              <w:right w:val="single" w:sz="8" w:color="2AD2C9"/>
            </w:tcBorders>
            <w:shd w:val="clear" w:color="auto" w:fill="2AD2C9"/>
          </w:tcPr>
          <w:p>
            <w:pPr>
              <w:spacing w:after="0"/>
              <w:rPr>
                <w:sz w:val="24"/>
                <w:szCs w:val="24"/>
                <w:color w:val="auto"/>
              </w:rPr>
            </w:pPr>
          </w:p>
        </w:tc>
      </w:tr>
      <w:tr>
        <w:trPr>
          <w:trHeight w:val="115"/>
        </w:trPr>
        <w:tc>
          <w:tcPr>
            <w:tcW w:w="4420" w:type="dxa"/>
            <w:vAlign w:val="bottom"/>
            <w:tcBorders>
              <w:left w:val="single" w:sz="8" w:color="2AD2C9"/>
            </w:tcBorders>
            <w:shd w:val="clear" w:color="auto" w:fill="2AD2C9"/>
          </w:tcPr>
          <w:p>
            <w:pPr>
              <w:spacing w:after="0"/>
              <w:rPr>
                <w:sz w:val="10"/>
                <w:szCs w:val="10"/>
                <w:color w:val="auto"/>
              </w:rPr>
            </w:pPr>
          </w:p>
        </w:tc>
        <w:tc>
          <w:tcPr>
            <w:tcW w:w="2680" w:type="dxa"/>
            <w:vAlign w:val="bottom"/>
            <w:tcBorders>
              <w:right w:val="single" w:sz="8" w:color="2AD2C9"/>
            </w:tcBorders>
            <w:shd w:val="clear" w:color="auto" w:fill="2AD2C9"/>
          </w:tcPr>
          <w:p>
            <w:pPr>
              <w:spacing w:after="0"/>
              <w:rPr>
                <w:sz w:val="10"/>
                <w:szCs w:val="10"/>
                <w:color w:val="auto"/>
              </w:rPr>
            </w:pPr>
          </w:p>
        </w:tc>
        <w:tc>
          <w:tcPr>
            <w:tcW w:w="1120" w:type="dxa"/>
            <w:vAlign w:val="bottom"/>
            <w:tcBorders>
              <w:right w:val="single" w:sz="8" w:color="2AD2C9"/>
            </w:tcBorders>
            <w:shd w:val="clear" w:color="auto" w:fill="2AD2C9"/>
          </w:tcPr>
          <w:p>
            <w:pPr>
              <w:spacing w:after="0"/>
              <w:rPr>
                <w:sz w:val="10"/>
                <w:szCs w:val="10"/>
                <w:color w:val="auto"/>
              </w:rPr>
            </w:pPr>
          </w:p>
        </w:tc>
        <w:tc>
          <w:tcPr>
            <w:tcW w:w="1080" w:type="dxa"/>
            <w:vAlign w:val="bottom"/>
            <w:shd w:val="clear" w:color="auto" w:fill="2AD2C9"/>
          </w:tcPr>
          <w:p>
            <w:pPr>
              <w:spacing w:after="0"/>
              <w:rPr>
                <w:sz w:val="10"/>
                <w:szCs w:val="10"/>
                <w:color w:val="auto"/>
              </w:rPr>
            </w:pPr>
          </w:p>
        </w:tc>
        <w:tc>
          <w:tcPr>
            <w:tcW w:w="920" w:type="dxa"/>
            <w:vAlign w:val="bottom"/>
            <w:shd w:val="clear" w:color="auto" w:fill="2AD2C9"/>
          </w:tcPr>
          <w:p>
            <w:pPr>
              <w:spacing w:after="0"/>
              <w:rPr>
                <w:sz w:val="10"/>
                <w:szCs w:val="10"/>
                <w:color w:val="auto"/>
              </w:rPr>
            </w:pPr>
          </w:p>
        </w:tc>
        <w:tc>
          <w:tcPr>
            <w:tcW w:w="1020" w:type="dxa"/>
            <w:vAlign w:val="bottom"/>
            <w:tcBorders>
              <w:right w:val="single" w:sz="8" w:color="2AD2C9"/>
            </w:tcBorders>
            <w:shd w:val="clear" w:color="auto" w:fill="2AD2C9"/>
          </w:tcPr>
          <w:p>
            <w:pPr>
              <w:spacing w:after="0"/>
              <w:rPr>
                <w:sz w:val="10"/>
                <w:szCs w:val="10"/>
                <w:color w:val="auto"/>
              </w:rPr>
            </w:pPr>
          </w:p>
        </w:tc>
      </w:tr>
      <w:tr>
        <w:trPr>
          <w:trHeight w:val="154"/>
        </w:trPr>
        <w:tc>
          <w:tcPr>
            <w:tcW w:w="44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221"/>
        </w:trPr>
        <w:tc>
          <w:tcPr>
            <w:tcW w:w="4420" w:type="dxa"/>
            <w:vAlign w:val="bottom"/>
            <w:tcBorders>
              <w:left w:val="single" w:sz="8" w:color="auto"/>
              <w:bottom w:val="single" w:sz="8" w:color="auto"/>
            </w:tcBorders>
            <w:shd w:val="clear" w:color="auto" w:fill="2AD2C9"/>
          </w:tcPr>
          <w:p>
            <w:pPr>
              <w:ind w:left="140"/>
              <w:spacing w:after="0" w:line="214" w:lineRule="exact"/>
              <w:rPr>
                <w:sz w:val="20"/>
                <w:szCs w:val="20"/>
                <w:color w:val="auto"/>
              </w:rPr>
            </w:pPr>
            <w:r>
              <w:rPr>
                <w:rFonts w:ascii="Arial" w:cs="Arial" w:eastAsia="Arial" w:hAnsi="Arial"/>
                <w:sz w:val="16"/>
                <w:szCs w:val="16"/>
                <w:b w:val="1"/>
                <w:bCs w:val="1"/>
                <w:i w:val="1"/>
                <w:iCs w:val="1"/>
                <w:color w:val="auto"/>
              </w:rPr>
              <w:t xml:space="preserve">Traditional Business Transformation </w:t>
            </w:r>
            <w:r>
              <w:rPr>
                <w:rFonts w:ascii="Arial" w:cs="Arial" w:eastAsia="Arial" w:hAnsi="Arial"/>
                <w:sz w:val="24"/>
                <w:szCs w:val="24"/>
                <w:b w:val="1"/>
                <w:bCs w:val="1"/>
                <w:i w:val="1"/>
                <w:iCs w:val="1"/>
                <w:color w:val="auto"/>
                <w:vertAlign w:val="superscript"/>
              </w:rPr>
              <w:t>(1)</w:t>
            </w:r>
          </w:p>
        </w:tc>
        <w:tc>
          <w:tcPr>
            <w:tcW w:w="2680" w:type="dxa"/>
            <w:vAlign w:val="bottom"/>
            <w:tcBorders>
              <w:bottom w:val="single" w:sz="8" w:color="auto"/>
              <w:right w:val="single" w:sz="8" w:color="auto"/>
            </w:tcBorders>
            <w:shd w:val="clear" w:color="auto" w:fill="2AD2C9"/>
          </w:tcPr>
          <w:p>
            <w:pPr>
              <w:spacing w:after="0"/>
              <w:rPr>
                <w:sz w:val="19"/>
                <w:szCs w:val="19"/>
                <w:color w:val="auto"/>
              </w:rPr>
            </w:pPr>
          </w:p>
        </w:tc>
        <w:tc>
          <w:tcPr>
            <w:tcW w:w="1120" w:type="dxa"/>
            <w:vAlign w:val="bottom"/>
            <w:tcBorders>
              <w:bottom w:val="single" w:sz="8" w:color="auto"/>
              <w:right w:val="single" w:sz="8" w:color="auto"/>
            </w:tcBorders>
            <w:shd w:val="clear" w:color="auto" w:fill="2AD2C9"/>
          </w:tcPr>
          <w:p>
            <w:pPr>
              <w:ind w:left="100"/>
              <w:spacing w:after="0" w:line="214" w:lineRule="exact"/>
              <w:rPr>
                <w:sz w:val="20"/>
                <w:szCs w:val="20"/>
                <w:color w:val="auto"/>
              </w:rPr>
            </w:pPr>
            <w:r>
              <w:rPr>
                <w:rFonts w:ascii="Arial" w:cs="Arial" w:eastAsia="Arial" w:hAnsi="Arial"/>
                <w:sz w:val="20"/>
                <w:szCs w:val="20"/>
                <w:b w:val="1"/>
                <w:bCs w:val="1"/>
                <w:i w:val="1"/>
                <w:iCs w:val="1"/>
                <w:color w:val="auto"/>
                <w:w w:val="95"/>
              </w:rPr>
              <w:t>Subsidiary</w:t>
            </w:r>
          </w:p>
        </w:tc>
        <w:tc>
          <w:tcPr>
            <w:tcW w:w="1080" w:type="dxa"/>
            <w:vAlign w:val="bottom"/>
            <w:tcBorders>
              <w:bottom w:val="single" w:sz="8" w:color="auto"/>
            </w:tcBorders>
            <w:shd w:val="clear" w:color="auto" w:fill="2AD2C9"/>
          </w:tcPr>
          <w:p>
            <w:pPr>
              <w:jc w:val="center"/>
              <w:spacing w:after="0" w:line="214" w:lineRule="exact"/>
              <w:rPr>
                <w:sz w:val="20"/>
                <w:szCs w:val="20"/>
                <w:color w:val="auto"/>
              </w:rPr>
            </w:pPr>
            <w:r>
              <w:rPr>
                <w:rFonts w:ascii="Arial" w:cs="Arial" w:eastAsia="Arial" w:hAnsi="Arial"/>
                <w:sz w:val="20"/>
                <w:szCs w:val="20"/>
                <w:b w:val="1"/>
                <w:bCs w:val="1"/>
                <w:i w:val="1"/>
                <w:iCs w:val="1"/>
                <w:color w:val="auto"/>
                <w:w w:val="98"/>
              </w:rPr>
              <w:t>3Q19</w:t>
            </w:r>
          </w:p>
        </w:tc>
        <w:tc>
          <w:tcPr>
            <w:tcW w:w="920" w:type="dxa"/>
            <w:vAlign w:val="bottom"/>
            <w:tcBorders>
              <w:bottom w:val="single" w:sz="8" w:color="auto"/>
            </w:tcBorders>
            <w:shd w:val="clear" w:color="auto" w:fill="2AD2C9"/>
          </w:tcPr>
          <w:p>
            <w:pPr>
              <w:jc w:val="center"/>
              <w:spacing w:after="0" w:line="214" w:lineRule="exact"/>
              <w:rPr>
                <w:sz w:val="20"/>
                <w:szCs w:val="20"/>
                <w:color w:val="auto"/>
              </w:rPr>
            </w:pPr>
            <w:r>
              <w:rPr>
                <w:rFonts w:ascii="Arial" w:cs="Arial" w:eastAsia="Arial" w:hAnsi="Arial"/>
                <w:sz w:val="20"/>
                <w:szCs w:val="20"/>
                <w:b w:val="1"/>
                <w:bCs w:val="1"/>
                <w:i w:val="1"/>
                <w:iCs w:val="1"/>
                <w:color w:val="auto"/>
                <w:w w:val="98"/>
              </w:rPr>
              <w:t>3Q21</w:t>
            </w:r>
          </w:p>
        </w:tc>
        <w:tc>
          <w:tcPr>
            <w:tcW w:w="1020" w:type="dxa"/>
            <w:vAlign w:val="bottom"/>
            <w:tcBorders>
              <w:bottom w:val="single" w:sz="8" w:color="auto"/>
              <w:right w:val="single" w:sz="8" w:color="auto"/>
            </w:tcBorders>
            <w:shd w:val="clear" w:color="auto" w:fill="2AD2C9"/>
          </w:tcPr>
          <w:p>
            <w:pPr>
              <w:jc w:val="center"/>
              <w:spacing w:after="0" w:line="214" w:lineRule="exact"/>
              <w:rPr>
                <w:sz w:val="20"/>
                <w:szCs w:val="20"/>
                <w:color w:val="auto"/>
              </w:rPr>
            </w:pPr>
            <w:r>
              <w:rPr>
                <w:rFonts w:ascii="Arial" w:cs="Arial" w:eastAsia="Arial" w:hAnsi="Arial"/>
                <w:sz w:val="20"/>
                <w:szCs w:val="20"/>
                <w:b w:val="1"/>
                <w:bCs w:val="1"/>
                <w:i w:val="1"/>
                <w:iCs w:val="1"/>
                <w:color w:val="auto"/>
                <w:w w:val="98"/>
              </w:rPr>
              <w:t>3Q22</w:t>
            </w:r>
          </w:p>
        </w:tc>
      </w:tr>
      <w:tr>
        <w:trPr>
          <w:trHeight w:val="238"/>
        </w:trPr>
        <w:tc>
          <w:tcPr>
            <w:tcW w:w="4420" w:type="dxa"/>
            <w:vAlign w:val="bottom"/>
            <w:tcBorders>
              <w:left w:val="single" w:sz="8" w:color="auto"/>
            </w:tcBorders>
          </w:tcPr>
          <w:p>
            <w:pPr>
              <w:ind w:left="140"/>
              <w:spacing w:after="0"/>
              <w:rPr>
                <w:sz w:val="20"/>
                <w:szCs w:val="20"/>
                <w:color w:val="auto"/>
              </w:rPr>
            </w:pPr>
            <w:r>
              <w:rPr>
                <w:rFonts w:ascii="Arial" w:cs="Arial" w:eastAsia="Arial" w:hAnsi="Arial"/>
                <w:sz w:val="20"/>
                <w:szCs w:val="20"/>
                <w:b w:val="1"/>
                <w:bCs w:val="1"/>
                <w:i w:val="1"/>
                <w:iCs w:val="1"/>
                <w:color w:val="auto"/>
              </w:rPr>
              <w:t>Day to Day</w:t>
            </w:r>
          </w:p>
        </w:tc>
        <w:tc>
          <w:tcPr>
            <w:tcW w:w="26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68"/>
        </w:trPr>
        <w:tc>
          <w:tcPr>
            <w:tcW w:w="4420" w:type="dxa"/>
            <w:vAlign w:val="bottom"/>
            <w:tcBorders>
              <w:left w:val="single" w:sz="8" w:color="auto"/>
            </w:tcBorders>
          </w:tcPr>
          <w:p>
            <w:pPr>
              <w:ind w:left="140"/>
              <w:spacing w:after="0" w:line="268" w:lineRule="exact"/>
              <w:rPr>
                <w:sz w:val="20"/>
                <w:szCs w:val="20"/>
                <w:color w:val="auto"/>
              </w:rPr>
            </w:pPr>
            <w:r>
              <w:rPr>
                <w:rFonts w:ascii="Arial" w:cs="Arial" w:eastAsia="Arial" w:hAnsi="Arial"/>
                <w:sz w:val="19"/>
                <w:szCs w:val="19"/>
                <w:color w:val="auto"/>
              </w:rPr>
              <w:t xml:space="preserve">Digital clients </w:t>
            </w:r>
            <w:r>
              <w:rPr>
                <w:rFonts w:ascii="Arial" w:cs="Arial" w:eastAsia="Arial" w:hAnsi="Arial"/>
                <w:sz w:val="31"/>
                <w:szCs w:val="31"/>
                <w:color w:val="auto"/>
                <w:vertAlign w:val="superscript"/>
              </w:rPr>
              <w:t>(2)</w:t>
            </w:r>
          </w:p>
        </w:tc>
        <w:tc>
          <w:tcPr>
            <w:tcW w:w="268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auto"/>
              </w:rPr>
              <w:t>BCP</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38%</w:t>
            </w:r>
          </w:p>
        </w:tc>
        <w:tc>
          <w:tcPr>
            <w:tcW w:w="920" w:type="dxa"/>
            <w:vAlign w:val="bottom"/>
          </w:tcPr>
          <w:p>
            <w:pPr>
              <w:jc w:val="center"/>
              <w:spacing w:after="0"/>
              <w:rPr>
                <w:sz w:val="20"/>
                <w:szCs w:val="20"/>
                <w:color w:val="auto"/>
              </w:rPr>
            </w:pPr>
            <w:r>
              <w:rPr>
                <w:rFonts w:ascii="Arial" w:cs="Arial" w:eastAsia="Arial" w:hAnsi="Arial"/>
                <w:sz w:val="20"/>
                <w:szCs w:val="20"/>
                <w:color w:val="auto"/>
                <w:w w:val="99"/>
              </w:rPr>
              <w:t>56%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63%</w:t>
            </w:r>
          </w:p>
        </w:tc>
      </w:tr>
      <w:tr>
        <w:trPr>
          <w:trHeight w:val="276"/>
        </w:trPr>
        <w:tc>
          <w:tcPr>
            <w:tcW w:w="4420" w:type="dxa"/>
            <w:vAlign w:val="bottom"/>
            <w:tcBorders>
              <w:left w:val="single" w:sz="8" w:color="auto"/>
            </w:tcBorders>
          </w:tcPr>
          <w:p>
            <w:pPr>
              <w:ind w:left="140"/>
              <w:spacing w:after="0" w:line="276" w:lineRule="exact"/>
              <w:rPr>
                <w:sz w:val="20"/>
                <w:szCs w:val="20"/>
                <w:color w:val="auto"/>
              </w:rPr>
            </w:pPr>
            <w:r>
              <w:rPr>
                <w:rFonts w:ascii="Arial" w:cs="Arial" w:eastAsia="Arial" w:hAnsi="Arial"/>
                <w:sz w:val="20"/>
                <w:szCs w:val="20"/>
                <w:color w:val="auto"/>
              </w:rPr>
              <w:t xml:space="preserve">Digital monetary transactions </w:t>
            </w:r>
            <w:r>
              <w:rPr>
                <w:rFonts w:ascii="Arial" w:cs="Arial" w:eastAsia="Arial" w:hAnsi="Arial"/>
                <w:sz w:val="32"/>
                <w:szCs w:val="32"/>
                <w:color w:val="auto"/>
                <w:vertAlign w:val="superscript"/>
              </w:rPr>
              <w:t>(3)z</w:t>
            </w:r>
          </w:p>
        </w:tc>
        <w:tc>
          <w:tcPr>
            <w:tcW w:w="268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auto"/>
              </w:rPr>
              <w:t>BCP</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25%</w:t>
            </w:r>
          </w:p>
        </w:tc>
        <w:tc>
          <w:tcPr>
            <w:tcW w:w="920" w:type="dxa"/>
            <w:vAlign w:val="bottom"/>
          </w:tcPr>
          <w:p>
            <w:pPr>
              <w:jc w:val="center"/>
              <w:spacing w:after="0"/>
              <w:rPr>
                <w:sz w:val="20"/>
                <w:szCs w:val="20"/>
                <w:color w:val="auto"/>
              </w:rPr>
            </w:pPr>
            <w:r>
              <w:rPr>
                <w:rFonts w:ascii="Arial" w:cs="Arial" w:eastAsia="Arial" w:hAnsi="Arial"/>
                <w:sz w:val="20"/>
                <w:szCs w:val="20"/>
                <w:color w:val="auto"/>
                <w:w w:val="99"/>
              </w:rPr>
              <w:t>49%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62%</w:t>
            </w:r>
          </w:p>
        </w:tc>
      </w:tr>
      <w:tr>
        <w:trPr>
          <w:trHeight w:val="258"/>
        </w:trPr>
        <w:tc>
          <w:tcPr>
            <w:tcW w:w="4420" w:type="dxa"/>
            <w:vAlign w:val="bottom"/>
            <w:tcBorders>
              <w:left w:val="single" w:sz="8" w:color="auto"/>
            </w:tcBorders>
          </w:tcPr>
          <w:p>
            <w:pPr>
              <w:ind w:left="140"/>
              <w:spacing w:after="0"/>
              <w:rPr>
                <w:sz w:val="20"/>
                <w:szCs w:val="20"/>
                <w:color w:val="auto"/>
              </w:rPr>
            </w:pPr>
            <w:r>
              <w:rPr>
                <w:rFonts w:ascii="Arial" w:cs="Arial" w:eastAsia="Arial" w:hAnsi="Arial"/>
                <w:sz w:val="20"/>
                <w:szCs w:val="20"/>
                <w:color w:val="auto"/>
              </w:rPr>
              <w:t>Transactional cost by unit</w:t>
            </w:r>
          </w:p>
        </w:tc>
        <w:tc>
          <w:tcPr>
            <w:tcW w:w="268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auto"/>
              </w:rPr>
              <w:t>BCP</w:t>
            </w:r>
          </w:p>
        </w:tc>
        <w:tc>
          <w:tcPr>
            <w:tcW w:w="1080" w:type="dxa"/>
            <w:vAlign w:val="bottom"/>
          </w:tcPr>
          <w:p>
            <w:pPr>
              <w:jc w:val="center"/>
              <w:spacing w:after="0"/>
              <w:rPr>
                <w:sz w:val="20"/>
                <w:szCs w:val="20"/>
                <w:color w:val="auto"/>
              </w:rPr>
            </w:pPr>
            <w:r>
              <w:rPr>
                <w:rFonts w:ascii="Arial" w:cs="Arial" w:eastAsia="Arial" w:hAnsi="Arial"/>
                <w:sz w:val="20"/>
                <w:szCs w:val="20"/>
                <w:color w:val="auto"/>
                <w:w w:val="97"/>
              </w:rPr>
              <w:t>0.40</w:t>
            </w:r>
          </w:p>
        </w:tc>
        <w:tc>
          <w:tcPr>
            <w:tcW w:w="920" w:type="dxa"/>
            <w:vAlign w:val="bottom"/>
          </w:tcPr>
          <w:p>
            <w:pPr>
              <w:jc w:val="center"/>
              <w:spacing w:after="0"/>
              <w:rPr>
                <w:sz w:val="20"/>
                <w:szCs w:val="20"/>
                <w:color w:val="auto"/>
              </w:rPr>
            </w:pPr>
            <w:r>
              <w:rPr>
                <w:rFonts w:ascii="Arial" w:cs="Arial" w:eastAsia="Arial" w:hAnsi="Arial"/>
                <w:sz w:val="20"/>
                <w:szCs w:val="20"/>
                <w:color w:val="auto"/>
                <w:w w:val="97"/>
              </w:rPr>
              <w:t>0.22</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0.09</w:t>
            </w:r>
          </w:p>
        </w:tc>
      </w:tr>
      <w:tr>
        <w:trPr>
          <w:trHeight w:val="269"/>
        </w:trPr>
        <w:tc>
          <w:tcPr>
            <w:tcW w:w="4420" w:type="dxa"/>
            <w:vAlign w:val="bottom"/>
            <w:tcBorders>
              <w:left w:val="single" w:sz="8" w:color="auto"/>
            </w:tcBorders>
          </w:tcPr>
          <w:p>
            <w:pPr>
              <w:ind w:left="140"/>
              <w:spacing w:after="0" w:line="269" w:lineRule="exact"/>
              <w:rPr>
                <w:sz w:val="20"/>
                <w:szCs w:val="20"/>
                <w:color w:val="auto"/>
              </w:rPr>
            </w:pPr>
            <w:r>
              <w:rPr>
                <w:rFonts w:ascii="Arial" w:cs="Arial" w:eastAsia="Arial" w:hAnsi="Arial"/>
                <w:sz w:val="19"/>
                <w:szCs w:val="19"/>
                <w:color w:val="auto"/>
              </w:rPr>
              <w:t xml:space="preserve">Disbursements through leads </w:t>
            </w:r>
            <w:r>
              <w:rPr>
                <w:rFonts w:ascii="Arial" w:cs="Arial" w:eastAsia="Arial" w:hAnsi="Arial"/>
                <w:sz w:val="31"/>
                <w:szCs w:val="31"/>
                <w:color w:val="auto"/>
                <w:vertAlign w:val="superscript"/>
              </w:rPr>
              <w:t>(4)</w:t>
            </w:r>
          </w:p>
        </w:tc>
        <w:tc>
          <w:tcPr>
            <w:tcW w:w="268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auto"/>
              </w:rPr>
              <w:t>Mibanco</w:t>
            </w:r>
          </w:p>
        </w:tc>
        <w:tc>
          <w:tcPr>
            <w:tcW w:w="1080" w:type="dxa"/>
            <w:vAlign w:val="bottom"/>
          </w:tcPr>
          <w:p>
            <w:pPr>
              <w:ind w:left="340"/>
              <w:spacing w:after="0"/>
              <w:rPr>
                <w:sz w:val="20"/>
                <w:szCs w:val="20"/>
                <w:color w:val="auto"/>
              </w:rPr>
            </w:pPr>
            <w:r>
              <w:rPr>
                <w:rFonts w:ascii="Arial" w:cs="Arial" w:eastAsia="Arial" w:hAnsi="Arial"/>
                <w:sz w:val="20"/>
                <w:szCs w:val="20"/>
                <w:color w:val="auto"/>
              </w:rPr>
              <w:t>ND.</w:t>
            </w:r>
          </w:p>
        </w:tc>
        <w:tc>
          <w:tcPr>
            <w:tcW w:w="920" w:type="dxa"/>
            <w:vAlign w:val="bottom"/>
          </w:tcPr>
          <w:p>
            <w:pPr>
              <w:jc w:val="center"/>
              <w:spacing w:after="0"/>
              <w:rPr>
                <w:sz w:val="20"/>
                <w:szCs w:val="20"/>
                <w:color w:val="auto"/>
              </w:rPr>
            </w:pPr>
            <w:r>
              <w:rPr>
                <w:rFonts w:ascii="Arial" w:cs="Arial" w:eastAsia="Arial" w:hAnsi="Arial"/>
                <w:sz w:val="20"/>
                <w:szCs w:val="20"/>
                <w:color w:val="auto"/>
                <w:w w:val="99"/>
              </w:rPr>
              <w:t>70%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74%</w:t>
            </w:r>
          </w:p>
        </w:tc>
      </w:tr>
      <w:tr>
        <w:trPr>
          <w:trHeight w:val="268"/>
        </w:trPr>
        <w:tc>
          <w:tcPr>
            <w:tcW w:w="4420" w:type="dxa"/>
            <w:vAlign w:val="bottom"/>
            <w:tcBorders>
              <w:left w:val="single" w:sz="8" w:color="auto"/>
            </w:tcBorders>
          </w:tcPr>
          <w:p>
            <w:pPr>
              <w:ind w:left="140"/>
              <w:spacing w:after="0" w:line="268" w:lineRule="exact"/>
              <w:rPr>
                <w:sz w:val="20"/>
                <w:szCs w:val="20"/>
                <w:color w:val="auto"/>
              </w:rPr>
            </w:pPr>
            <w:r>
              <w:rPr>
                <w:rFonts w:ascii="Arial" w:cs="Arial" w:eastAsia="Arial" w:hAnsi="Arial"/>
                <w:sz w:val="19"/>
                <w:szCs w:val="19"/>
                <w:color w:val="auto"/>
              </w:rPr>
              <w:t xml:space="preserve">Disbursements through alternative channels </w:t>
            </w:r>
            <w:r>
              <w:rPr>
                <w:rFonts w:ascii="Arial" w:cs="Arial" w:eastAsia="Arial" w:hAnsi="Arial"/>
                <w:sz w:val="31"/>
                <w:szCs w:val="31"/>
                <w:color w:val="auto"/>
                <w:vertAlign w:val="superscript"/>
              </w:rPr>
              <w:t>(5)</w:t>
            </w:r>
          </w:p>
        </w:tc>
        <w:tc>
          <w:tcPr>
            <w:tcW w:w="268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auto"/>
              </w:rPr>
              <w:t>Mibanco</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16%</w:t>
            </w:r>
          </w:p>
        </w:tc>
        <w:tc>
          <w:tcPr>
            <w:tcW w:w="920" w:type="dxa"/>
            <w:vAlign w:val="bottom"/>
          </w:tcPr>
          <w:p>
            <w:pPr>
              <w:jc w:val="center"/>
              <w:spacing w:after="0"/>
              <w:rPr>
                <w:sz w:val="20"/>
                <w:szCs w:val="20"/>
                <w:color w:val="auto"/>
              </w:rPr>
            </w:pPr>
            <w:r>
              <w:rPr>
                <w:rFonts w:ascii="Arial" w:cs="Arial" w:eastAsia="Arial" w:hAnsi="Arial"/>
                <w:sz w:val="20"/>
                <w:szCs w:val="20"/>
                <w:color w:val="auto"/>
                <w:w w:val="99"/>
              </w:rPr>
              <w:t>39%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43%</w:t>
            </w:r>
          </w:p>
        </w:tc>
      </w:tr>
      <w:tr>
        <w:trPr>
          <w:trHeight w:val="251"/>
        </w:trPr>
        <w:tc>
          <w:tcPr>
            <w:tcW w:w="4420" w:type="dxa"/>
            <w:vAlign w:val="bottom"/>
            <w:tcBorders>
              <w:left w:val="single" w:sz="8" w:color="auto"/>
              <w:bottom w:val="single" w:sz="8" w:color="auto"/>
            </w:tcBorders>
          </w:tcPr>
          <w:p>
            <w:pPr>
              <w:ind w:left="140"/>
              <w:spacing w:after="0" w:line="245" w:lineRule="exact"/>
              <w:rPr>
                <w:sz w:val="20"/>
                <w:szCs w:val="20"/>
                <w:color w:val="auto"/>
              </w:rPr>
            </w:pPr>
            <w:r>
              <w:rPr>
                <w:rFonts w:ascii="Arial" w:cs="Arial" w:eastAsia="Arial" w:hAnsi="Arial"/>
                <w:sz w:val="18"/>
                <w:szCs w:val="18"/>
                <w:color w:val="auto"/>
              </w:rPr>
              <w:t xml:space="preserve">Mibanco Productivity </w:t>
            </w:r>
            <w:r>
              <w:rPr>
                <w:rFonts w:ascii="Arial" w:cs="Arial" w:eastAsia="Arial" w:hAnsi="Arial"/>
                <w:sz w:val="28"/>
                <w:szCs w:val="28"/>
                <w:color w:val="auto"/>
                <w:vertAlign w:val="superscript"/>
              </w:rPr>
              <w:t>(6)</w:t>
            </w:r>
          </w:p>
        </w:tc>
        <w:tc>
          <w:tcPr>
            <w:tcW w:w="26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i w:val="1"/>
                <w:iCs w:val="1"/>
                <w:color w:val="auto"/>
              </w:rPr>
              <w:t>Mibanco</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23.31</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21.91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23.07</w:t>
            </w:r>
          </w:p>
        </w:tc>
      </w:tr>
      <w:tr>
        <w:trPr>
          <w:trHeight w:val="238"/>
        </w:trPr>
        <w:tc>
          <w:tcPr>
            <w:tcW w:w="4420" w:type="dxa"/>
            <w:vAlign w:val="bottom"/>
            <w:tcBorders>
              <w:left w:val="single" w:sz="8" w:color="auto"/>
            </w:tcBorders>
          </w:tcPr>
          <w:p>
            <w:pPr>
              <w:ind w:left="140"/>
              <w:spacing w:after="0"/>
              <w:rPr>
                <w:sz w:val="20"/>
                <w:szCs w:val="20"/>
                <w:color w:val="auto"/>
              </w:rPr>
            </w:pPr>
            <w:r>
              <w:rPr>
                <w:rFonts w:ascii="Arial" w:cs="Arial" w:eastAsia="Arial" w:hAnsi="Arial"/>
                <w:sz w:val="20"/>
                <w:szCs w:val="20"/>
                <w:b w:val="1"/>
                <w:bCs w:val="1"/>
                <w:i w:val="1"/>
                <w:iCs w:val="1"/>
                <w:color w:val="auto"/>
              </w:rPr>
              <w:t>Cashless</w:t>
            </w:r>
          </w:p>
        </w:tc>
        <w:tc>
          <w:tcPr>
            <w:tcW w:w="26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23"/>
        </w:trPr>
        <w:tc>
          <w:tcPr>
            <w:tcW w:w="4420" w:type="dxa"/>
            <w:vAlign w:val="bottom"/>
            <w:tcBorders>
              <w:left w:val="single" w:sz="8" w:color="auto"/>
            </w:tcBorders>
          </w:tcPr>
          <w:p>
            <w:pPr>
              <w:ind w:left="140"/>
              <w:spacing w:after="0" w:line="223" w:lineRule="exact"/>
              <w:rPr>
                <w:sz w:val="20"/>
                <w:szCs w:val="20"/>
                <w:color w:val="auto"/>
              </w:rPr>
            </w:pPr>
            <w:r>
              <w:rPr>
                <w:rFonts w:ascii="Arial" w:cs="Arial" w:eastAsia="Arial" w:hAnsi="Arial"/>
                <w:sz w:val="16"/>
                <w:szCs w:val="16"/>
                <w:color w:val="auto"/>
              </w:rPr>
              <w:t xml:space="preserve">Cashless transactions </w:t>
            </w:r>
            <w:r>
              <w:rPr>
                <w:rFonts w:ascii="Arial" w:cs="Arial" w:eastAsia="Arial" w:hAnsi="Arial"/>
                <w:sz w:val="25"/>
                <w:szCs w:val="25"/>
                <w:color w:val="auto"/>
                <w:vertAlign w:val="superscript"/>
              </w:rPr>
              <w:t>(7)</w:t>
            </w:r>
          </w:p>
        </w:tc>
        <w:tc>
          <w:tcPr>
            <w:tcW w:w="268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ind w:left="100"/>
              <w:spacing w:after="0" w:line="223" w:lineRule="exact"/>
              <w:rPr>
                <w:sz w:val="20"/>
                <w:szCs w:val="20"/>
                <w:color w:val="auto"/>
              </w:rPr>
            </w:pPr>
            <w:r>
              <w:rPr>
                <w:rFonts w:ascii="Arial" w:cs="Arial" w:eastAsia="Arial" w:hAnsi="Arial"/>
                <w:sz w:val="20"/>
                <w:szCs w:val="20"/>
                <w:i w:val="1"/>
                <w:iCs w:val="1"/>
                <w:color w:val="auto"/>
              </w:rPr>
              <w:t>BCP</w:t>
            </w:r>
          </w:p>
        </w:tc>
        <w:tc>
          <w:tcPr>
            <w:tcW w:w="1080" w:type="dxa"/>
            <w:vAlign w:val="bottom"/>
          </w:tcPr>
          <w:p>
            <w:pPr>
              <w:jc w:val="center"/>
              <w:spacing w:after="0" w:line="223" w:lineRule="exact"/>
              <w:rPr>
                <w:sz w:val="20"/>
                <w:szCs w:val="20"/>
                <w:color w:val="auto"/>
              </w:rPr>
            </w:pPr>
            <w:r>
              <w:rPr>
                <w:rFonts w:ascii="Arial" w:cs="Arial" w:eastAsia="Arial" w:hAnsi="Arial"/>
                <w:sz w:val="20"/>
                <w:szCs w:val="20"/>
                <w:color w:val="auto"/>
                <w:w w:val="99"/>
              </w:rPr>
              <w:t>21%</w:t>
            </w:r>
          </w:p>
        </w:tc>
        <w:tc>
          <w:tcPr>
            <w:tcW w:w="920" w:type="dxa"/>
            <w:vAlign w:val="bottom"/>
          </w:tcPr>
          <w:p>
            <w:pPr>
              <w:jc w:val="center"/>
              <w:spacing w:after="0" w:line="223" w:lineRule="exact"/>
              <w:rPr>
                <w:sz w:val="20"/>
                <w:szCs w:val="20"/>
                <w:color w:val="auto"/>
              </w:rPr>
            </w:pPr>
            <w:r>
              <w:rPr>
                <w:rFonts w:ascii="Arial" w:cs="Arial" w:eastAsia="Arial" w:hAnsi="Arial"/>
                <w:sz w:val="20"/>
                <w:szCs w:val="20"/>
                <w:color w:val="auto"/>
                <w:w w:val="99"/>
              </w:rPr>
              <w:t>36%</w:t>
            </w:r>
          </w:p>
        </w:tc>
        <w:tc>
          <w:tcPr>
            <w:tcW w:w="102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45%</w:t>
            </w:r>
          </w:p>
        </w:tc>
      </w:tr>
      <w:tr>
        <w:trPr>
          <w:trHeight w:val="214"/>
        </w:trPr>
        <w:tc>
          <w:tcPr>
            <w:tcW w:w="4420" w:type="dxa"/>
            <w:vAlign w:val="bottom"/>
            <w:tcBorders>
              <w:left w:val="single" w:sz="8" w:color="auto"/>
            </w:tcBorders>
          </w:tcPr>
          <w:p>
            <w:pPr>
              <w:ind w:left="140"/>
              <w:spacing w:after="0" w:line="214" w:lineRule="exact"/>
              <w:rPr>
                <w:sz w:val="20"/>
                <w:szCs w:val="20"/>
                <w:color w:val="auto"/>
              </w:rPr>
            </w:pPr>
            <w:r>
              <w:rPr>
                <w:rFonts w:ascii="Arial" w:cs="Arial" w:eastAsia="Arial" w:hAnsi="Arial"/>
                <w:sz w:val="20"/>
                <w:szCs w:val="20"/>
                <w:color w:val="auto"/>
              </w:rPr>
              <w:t>Mobile Banking rating Apple</w:t>
            </w:r>
          </w:p>
        </w:tc>
        <w:tc>
          <w:tcPr>
            <w:tcW w:w="26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100"/>
              <w:spacing w:after="0" w:line="214" w:lineRule="exact"/>
              <w:rPr>
                <w:sz w:val="20"/>
                <w:szCs w:val="20"/>
                <w:color w:val="auto"/>
              </w:rPr>
            </w:pPr>
            <w:r>
              <w:rPr>
                <w:rFonts w:ascii="Arial" w:cs="Arial" w:eastAsia="Arial" w:hAnsi="Arial"/>
                <w:sz w:val="20"/>
                <w:szCs w:val="20"/>
                <w:i w:val="1"/>
                <w:iCs w:val="1"/>
                <w:color w:val="auto"/>
              </w:rPr>
              <w:t>BCP</w:t>
            </w:r>
          </w:p>
        </w:tc>
        <w:tc>
          <w:tcPr>
            <w:tcW w:w="1080" w:type="dxa"/>
            <w:vAlign w:val="bottom"/>
          </w:tcPr>
          <w:p>
            <w:pPr>
              <w:ind w:left="340"/>
              <w:spacing w:after="0" w:line="214" w:lineRule="exact"/>
              <w:rPr>
                <w:sz w:val="20"/>
                <w:szCs w:val="20"/>
                <w:color w:val="auto"/>
              </w:rPr>
            </w:pPr>
            <w:r>
              <w:rPr>
                <w:rFonts w:ascii="Arial" w:cs="Arial" w:eastAsia="Arial" w:hAnsi="Arial"/>
                <w:sz w:val="20"/>
                <w:szCs w:val="20"/>
                <w:color w:val="auto"/>
              </w:rPr>
              <w:t>ND.</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rPr>
              <w:t>2.1</w:t>
            </w:r>
          </w:p>
        </w:tc>
        <w:tc>
          <w:tcPr>
            <w:tcW w:w="10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rPr>
              <w:t>4.7</w:t>
            </w:r>
          </w:p>
        </w:tc>
      </w:tr>
      <w:tr>
        <w:trPr>
          <w:trHeight w:val="243"/>
        </w:trPr>
        <w:tc>
          <w:tcPr>
            <w:tcW w:w="4420" w:type="dxa"/>
            <w:vAlign w:val="bottom"/>
            <w:tcBorders>
              <w:left w:val="single" w:sz="8" w:color="auto"/>
              <w:bottom w:val="single" w:sz="8" w:color="auto"/>
            </w:tcBorders>
          </w:tcPr>
          <w:p>
            <w:pPr>
              <w:ind w:left="140"/>
              <w:spacing w:after="0"/>
              <w:rPr>
                <w:sz w:val="20"/>
                <w:szCs w:val="20"/>
                <w:color w:val="auto"/>
              </w:rPr>
            </w:pPr>
            <w:r>
              <w:rPr>
                <w:rFonts w:ascii="Arial" w:cs="Arial" w:eastAsia="Arial" w:hAnsi="Arial"/>
                <w:sz w:val="20"/>
                <w:szCs w:val="20"/>
                <w:color w:val="auto"/>
              </w:rPr>
              <w:t>Mobile Banking rating Android</w:t>
            </w:r>
          </w:p>
        </w:tc>
        <w:tc>
          <w:tcPr>
            <w:tcW w:w="26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i w:val="1"/>
                <w:iCs w:val="1"/>
                <w:color w:val="auto"/>
              </w:rPr>
              <w:t>BCP</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3.3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2.0</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3.9</w:t>
            </w:r>
          </w:p>
        </w:tc>
      </w:tr>
      <w:tr>
        <w:trPr>
          <w:trHeight w:val="238"/>
        </w:trPr>
        <w:tc>
          <w:tcPr>
            <w:tcW w:w="4420" w:type="dxa"/>
            <w:vAlign w:val="bottom"/>
            <w:tcBorders>
              <w:left w:val="single" w:sz="8" w:color="auto"/>
            </w:tcBorders>
          </w:tcPr>
          <w:p>
            <w:pPr>
              <w:ind w:left="140"/>
              <w:spacing w:after="0"/>
              <w:rPr>
                <w:sz w:val="20"/>
                <w:szCs w:val="20"/>
                <w:color w:val="auto"/>
              </w:rPr>
            </w:pPr>
            <w:r>
              <w:rPr>
                <w:rFonts w:ascii="Arial" w:cs="Arial" w:eastAsia="Arial" w:hAnsi="Arial"/>
                <w:sz w:val="20"/>
                <w:szCs w:val="20"/>
                <w:b w:val="1"/>
                <w:bCs w:val="1"/>
                <w:i w:val="1"/>
                <w:iCs w:val="1"/>
                <w:color w:val="auto"/>
              </w:rPr>
              <w:t>Digital Acquisition</w:t>
            </w:r>
          </w:p>
        </w:tc>
        <w:tc>
          <w:tcPr>
            <w:tcW w:w="26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r>
      <w:tr>
        <w:trPr>
          <w:trHeight w:val="268"/>
        </w:trPr>
        <w:tc>
          <w:tcPr>
            <w:tcW w:w="4420" w:type="dxa"/>
            <w:vAlign w:val="bottom"/>
            <w:tcBorders>
              <w:left w:val="single" w:sz="8" w:color="auto"/>
            </w:tcBorders>
          </w:tcPr>
          <w:p>
            <w:pPr>
              <w:ind w:left="140"/>
              <w:spacing w:after="0" w:line="268" w:lineRule="exact"/>
              <w:rPr>
                <w:sz w:val="20"/>
                <w:szCs w:val="20"/>
                <w:color w:val="auto"/>
              </w:rPr>
            </w:pPr>
            <w:r>
              <w:rPr>
                <w:rFonts w:ascii="Arial" w:cs="Arial" w:eastAsia="Arial" w:hAnsi="Arial"/>
                <w:sz w:val="19"/>
                <w:szCs w:val="19"/>
                <w:color w:val="auto"/>
              </w:rPr>
              <w:t xml:space="preserve">Digital sales </w:t>
            </w:r>
            <w:r>
              <w:rPr>
                <w:rFonts w:ascii="Arial" w:cs="Arial" w:eastAsia="Arial" w:hAnsi="Arial"/>
                <w:sz w:val="31"/>
                <w:szCs w:val="31"/>
                <w:color w:val="auto"/>
                <w:vertAlign w:val="superscript"/>
              </w:rPr>
              <w:t>(8)</w:t>
            </w:r>
          </w:p>
        </w:tc>
        <w:tc>
          <w:tcPr>
            <w:tcW w:w="2680" w:type="dxa"/>
            <w:vAlign w:val="bottom"/>
            <w:tcBorders>
              <w:right w:val="single" w:sz="8" w:color="auto"/>
            </w:tcBorders>
          </w:tcPr>
          <w:p>
            <w:pPr>
              <w:spacing w:after="0"/>
              <w:rPr>
                <w:sz w:val="23"/>
                <w:szCs w:val="23"/>
                <w:color w:val="auto"/>
              </w:rPr>
            </w:pPr>
          </w:p>
        </w:tc>
        <w:tc>
          <w:tcPr>
            <w:tcW w:w="1120" w:type="dxa"/>
            <w:vAlign w:val="bottom"/>
            <w:tcBorders>
              <w:right w:val="single" w:sz="8" w:color="auto"/>
            </w:tcBorders>
          </w:tcPr>
          <w:p>
            <w:pPr>
              <w:ind w:left="100"/>
              <w:spacing w:after="0"/>
              <w:rPr>
                <w:sz w:val="20"/>
                <w:szCs w:val="20"/>
                <w:color w:val="auto"/>
              </w:rPr>
            </w:pPr>
            <w:r>
              <w:rPr>
                <w:rFonts w:ascii="Arial" w:cs="Arial" w:eastAsia="Arial" w:hAnsi="Arial"/>
                <w:sz w:val="20"/>
                <w:szCs w:val="20"/>
                <w:i w:val="1"/>
                <w:iCs w:val="1"/>
                <w:color w:val="auto"/>
              </w:rPr>
              <w:t>BCP</w:t>
            </w:r>
          </w:p>
        </w:tc>
        <w:tc>
          <w:tcPr>
            <w:tcW w:w="1080" w:type="dxa"/>
            <w:vAlign w:val="bottom"/>
          </w:tcPr>
          <w:p>
            <w:pPr>
              <w:jc w:val="center"/>
              <w:spacing w:after="0"/>
              <w:rPr>
                <w:sz w:val="20"/>
                <w:szCs w:val="20"/>
                <w:color w:val="auto"/>
              </w:rPr>
            </w:pPr>
            <w:r>
              <w:rPr>
                <w:rFonts w:ascii="Arial" w:cs="Arial" w:eastAsia="Arial" w:hAnsi="Arial"/>
                <w:sz w:val="20"/>
                <w:szCs w:val="20"/>
                <w:color w:val="auto"/>
                <w:w w:val="99"/>
              </w:rPr>
              <w:t>15%</w:t>
            </w:r>
          </w:p>
        </w:tc>
        <w:tc>
          <w:tcPr>
            <w:tcW w:w="920" w:type="dxa"/>
            <w:vAlign w:val="bottom"/>
          </w:tcPr>
          <w:p>
            <w:pPr>
              <w:jc w:val="center"/>
              <w:spacing w:after="0"/>
              <w:rPr>
                <w:sz w:val="20"/>
                <w:szCs w:val="20"/>
                <w:color w:val="auto"/>
              </w:rPr>
            </w:pPr>
            <w:r>
              <w:rPr>
                <w:rFonts w:ascii="Arial" w:cs="Arial" w:eastAsia="Arial" w:hAnsi="Arial"/>
                <w:sz w:val="20"/>
                <w:szCs w:val="20"/>
                <w:color w:val="auto"/>
                <w:w w:val="99"/>
              </w:rPr>
              <w:t>34%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44%</w:t>
            </w:r>
          </w:p>
        </w:tc>
      </w:tr>
      <w:tr>
        <w:trPr>
          <w:trHeight w:val="251"/>
        </w:trPr>
        <w:tc>
          <w:tcPr>
            <w:tcW w:w="4420" w:type="dxa"/>
            <w:vAlign w:val="bottom"/>
            <w:tcBorders>
              <w:left w:val="single" w:sz="8" w:color="auto"/>
              <w:bottom w:val="single" w:sz="8" w:color="auto"/>
            </w:tcBorders>
          </w:tcPr>
          <w:p>
            <w:pPr>
              <w:ind w:left="140"/>
              <w:spacing w:after="0" w:line="245" w:lineRule="exact"/>
              <w:rPr>
                <w:sz w:val="20"/>
                <w:szCs w:val="20"/>
                <w:color w:val="auto"/>
              </w:rPr>
            </w:pPr>
            <w:r>
              <w:rPr>
                <w:rFonts w:ascii="Arial" w:cs="Arial" w:eastAsia="Arial" w:hAnsi="Arial"/>
                <w:sz w:val="18"/>
                <w:szCs w:val="18"/>
                <w:color w:val="auto"/>
              </w:rPr>
              <w:t xml:space="preserve">Digital loans </w:t>
            </w:r>
            <w:r>
              <w:rPr>
                <w:rFonts w:ascii="Arial" w:cs="Arial" w:eastAsia="Arial" w:hAnsi="Arial"/>
                <w:sz w:val="28"/>
                <w:szCs w:val="28"/>
                <w:color w:val="auto"/>
                <w:vertAlign w:val="superscript"/>
              </w:rPr>
              <w:t>(9)</w:t>
            </w:r>
          </w:p>
        </w:tc>
        <w:tc>
          <w:tcPr>
            <w:tcW w:w="26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0"/>
                <w:szCs w:val="20"/>
                <w:i w:val="1"/>
                <w:iCs w:val="1"/>
                <w:color w:val="auto"/>
              </w:rPr>
              <w:t>BCP</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24%</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57%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-2830830</wp:posOffset>
            </wp:positionV>
            <wp:extent cx="263525" cy="1873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3525" cy="187325"/>
                    </a:xfrm>
                    <a:prstGeom prst="rect">
                      <a:avLst/>
                    </a:prstGeom>
                    <a:noFill/>
                  </pic:spPr>
                </pic:pic>
              </a:graphicData>
            </a:graphic>
          </wp:anchor>
        </w:drawing>
        <w:drawing>
          <wp:anchor simplePos="0" relativeHeight="251657728" behindDoc="1" locked="0" layoutInCell="0" allowOverlap="1">
            <wp:simplePos x="0" y="0"/>
            <wp:positionH relativeFrom="column">
              <wp:posOffset>5828665</wp:posOffset>
            </wp:positionH>
            <wp:positionV relativeFrom="paragraph">
              <wp:posOffset>-2830830</wp:posOffset>
            </wp:positionV>
            <wp:extent cx="187325" cy="1873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7325" cy="18732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-2124710</wp:posOffset>
            </wp:positionV>
            <wp:extent cx="170180" cy="995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0180" cy="995045"/>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-951865</wp:posOffset>
            </wp:positionV>
            <wp:extent cx="144780" cy="4165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4780" cy="416560"/>
                    </a:xfrm>
                    <a:prstGeom prst="rect">
                      <a:avLst/>
                    </a:prstGeom>
                    <a:noFill/>
                  </pic:spPr>
                </pic:pic>
              </a:graphicData>
            </a:graphic>
          </wp:anchor>
        </w:drawing>
        <w:drawing>
          <wp:anchor simplePos="0" relativeHeight="251657728" behindDoc="1" locked="0" layoutInCell="0" allowOverlap="1">
            <wp:simplePos x="0" y="0"/>
            <wp:positionH relativeFrom="column">
              <wp:posOffset>4264025</wp:posOffset>
            </wp:positionH>
            <wp:positionV relativeFrom="paragraph">
              <wp:posOffset>-356235</wp:posOffset>
            </wp:positionV>
            <wp:extent cx="144780" cy="3143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4780" cy="314325"/>
                    </a:xfrm>
                    <a:prstGeom prst="rect">
                      <a:avLst/>
                    </a:prstGeom>
                    <a:noFill/>
                  </pic:spPr>
                </pic:pic>
              </a:graphicData>
            </a:graphic>
          </wp:anchor>
        </w:drawing>
      </w:r>
    </w:p>
    <w:p>
      <w:pPr>
        <w:ind w:left="180" w:hanging="173"/>
        <w:spacing w:after="0"/>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Figures for September 2019, 2021, and 2022</w:t>
      </w:r>
    </w:p>
    <w:p>
      <w:pPr>
        <w:ind w:firstLine="7"/>
        <w:spacing w:after="0" w:line="232" w:lineRule="auto"/>
        <w:tabs>
          <w:tab w:leader="none" w:pos="16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Digital Client: Retail Banking clients that conduct 50% of their monetary transactions through digital channels or have purchased an online in the last 12 months. Since this quarter Digital Clients includes Yapecard Clients. Digital clients/ Total Retail Banking clients.</w:t>
      </w:r>
    </w:p>
    <w:p>
      <w:pPr>
        <w:spacing w:after="0" w:line="1"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Retail Monetary Transactions conducted through Retail Banking, Internet Banking, Yape and Telecredito/Total Retail Monetary Transactions in Retail Banking.</w:t>
      </w:r>
    </w:p>
    <w:p>
      <w:pPr>
        <w:ind w:left="180" w:hanging="173"/>
        <w:spacing w:after="0" w:line="232" w:lineRule="auto"/>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Disbursements generated through leads/Total disbursements.</w:t>
      </w:r>
    </w:p>
    <w:p>
      <w:pPr>
        <w:ind w:left="180" w:hanging="173"/>
        <w:spacing w:after="0" w:line="232" w:lineRule="auto"/>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Disbursements conducted through alternative channels/Total disbursements.</w:t>
      </w:r>
    </w:p>
    <w:p>
      <w:pPr>
        <w:ind w:left="180" w:hanging="173"/>
        <w:spacing w:after="0" w:line="232" w:lineRule="auto"/>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Number of loans disbursed/ Total relationship managers.</w:t>
      </w:r>
    </w:p>
    <w:p>
      <w:pPr>
        <w:ind w:left="180" w:hanging="173"/>
        <w:spacing w:after="0" w:line="232" w:lineRule="auto"/>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transacted through Mobile Banking, Internet Banking, Yape y POS/ Total amount transacted through Retail Banking.</w:t>
      </w:r>
    </w:p>
    <w:p>
      <w:pPr>
        <w:ind w:left="180" w:hanging="173"/>
        <w:spacing w:after="0" w:line="232" w:lineRule="auto"/>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Units sold by Retail Banking through digital channels/ Total number of units sold by Retail Banking.</w:t>
      </w:r>
    </w:p>
    <w:p>
      <w:pPr>
        <w:ind w:left="180" w:hanging="173"/>
        <w:spacing w:after="0"/>
        <w:tabs>
          <w:tab w:leader="none" w:pos="1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Retail Banking loans disbursed through digital channels/ Total Retail banking loans disbursed.</w:t>
      </w:r>
    </w:p>
    <w:p>
      <w:pPr>
        <w:spacing w:after="0" w:line="2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4" w:name="page15"/>
    <w:bookmarkEnd w:id="14"/>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Disruptive Initiatives: Yape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Yape continues to grow, anchored by three solid pillars:</w:t>
      </w:r>
    </w:p>
    <w:p>
      <w:pPr>
        <w:spacing w:after="0" w:line="154" w:lineRule="exact"/>
        <w:rPr>
          <w:sz w:val="20"/>
          <w:szCs w:val="20"/>
          <w:color w:val="auto"/>
        </w:rPr>
      </w:pPr>
    </w:p>
    <w:p>
      <w:pPr>
        <w:jc w:val="both"/>
        <w:ind w:left="640" w:hanging="312"/>
        <w:spacing w:after="0" w:line="24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the main payment venue in the country: </w:t>
      </w:r>
      <w:r>
        <w:rPr>
          <w:rFonts w:ascii="Arial" w:cs="Arial" w:eastAsia="Arial" w:hAnsi="Arial"/>
          <w:sz w:val="18"/>
          <w:szCs w:val="18"/>
          <w:color w:val="auto"/>
        </w:rPr>
        <w:t>At the end of 3Q22, the app had 10.9 million users with a monthly activity rate of 64%.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make the user base and usability levels more robust, Yape has rolled out different campaigns to bolster affiliation and increase the application’s use.</w:t>
      </w:r>
    </w:p>
    <w:p>
      <w:pPr>
        <w:spacing w:after="0" w:line="106" w:lineRule="exact"/>
        <w:rPr>
          <w:rFonts w:ascii="Arial" w:cs="Arial" w:eastAsia="Arial" w:hAnsi="Arial"/>
          <w:sz w:val="18"/>
          <w:szCs w:val="18"/>
          <w:color w:val="auto"/>
        </w:rPr>
      </w:pPr>
    </w:p>
    <w:p>
      <w:pPr>
        <w:ind w:left="640"/>
        <w:spacing w:after="0" w:line="278" w:lineRule="auto"/>
        <w:rPr>
          <w:rFonts w:ascii="Arial" w:cs="Arial" w:eastAsia="Arial" w:hAnsi="Arial"/>
          <w:sz w:val="18"/>
          <w:szCs w:val="18"/>
          <w:color w:val="auto"/>
        </w:rPr>
      </w:pPr>
      <w:r>
        <w:rPr>
          <w:rFonts w:ascii="Times New Roman" w:cs="Times New Roman" w:eastAsia="Times New Roman" w:hAnsi="Times New Roman"/>
          <w:sz w:val="18"/>
          <w:szCs w:val="18"/>
          <w:color w:val="auto"/>
        </w:rPr>
        <w:t>Additionally, Yape continues to register an upward trend in mobile top-ups. The app began to offer this service to clients in November 2021 and in 3Q22, more than 18 million top-ups were reported, which represents a market share of 10%.</w:t>
      </w:r>
    </w:p>
    <w:p>
      <w:pPr>
        <w:spacing w:after="0" w:line="82" w:lineRule="exact"/>
        <w:rPr>
          <w:rFonts w:ascii="Arial" w:cs="Arial" w:eastAsia="Arial" w:hAnsi="Arial"/>
          <w:sz w:val="18"/>
          <w:szCs w:val="18"/>
          <w:color w:val="auto"/>
        </w:rPr>
      </w:pPr>
    </w:p>
    <w:p>
      <w:pPr>
        <w:jc w:val="both"/>
        <w:ind w:left="640" w:hanging="312"/>
        <w:spacing w:after="0" w:line="24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Present in the daily life of all Yaperos. </w:t>
      </w:r>
      <w:r>
        <w:rPr>
          <w:rFonts w:ascii="Arial" w:cs="Arial" w:eastAsia="Arial" w:hAnsi="Arial"/>
          <w:sz w:val="18"/>
          <w:szCs w:val="18"/>
          <w:color w:val="auto"/>
        </w:rPr>
        <w:t>To create value for clients, Yape launched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Yape Promos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5, 2022, and now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100% of Yaperos can access this option through Yape’s menu. As of 3Q22, Yape reported diverse alliances with establishments in the restaurant, health, transportation and entertainment segments and expects to continue to grow its number of affiliates.</w:t>
      </w:r>
    </w:p>
    <w:p>
      <w:pPr>
        <w:spacing w:after="0" w:line="105" w:lineRule="exact"/>
        <w:rPr>
          <w:rFonts w:ascii="Arial" w:cs="Arial" w:eastAsia="Arial" w:hAnsi="Arial"/>
          <w:sz w:val="18"/>
          <w:szCs w:val="18"/>
          <w:color w:val="auto"/>
        </w:rPr>
      </w:pPr>
    </w:p>
    <w:p>
      <w:pPr>
        <w:ind w:left="640" w:right="20" w:hanging="312"/>
        <w:spacing w:after="0" w:line="26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Covers Yaperos’ financial needs: </w:t>
      </w:r>
      <w:r>
        <w:rPr>
          <w:rFonts w:ascii="Arial" w:cs="Arial" w:eastAsia="Arial" w:hAnsi="Arial"/>
          <w:sz w:val="18"/>
          <w:szCs w:val="18"/>
          <w:color w:val="auto"/>
        </w:rPr>
        <w:t>Yape launched a Microloan option to the public at the end of August. In the month of September,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23 thousand loans were made.</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6220" w:type="dxa"/>
            <w:vAlign w:val="bottom"/>
            <w:tcBorders>
              <w:top w:val="single" w:sz="8" w:color="auto"/>
              <w:left w:val="single" w:sz="8" w:color="auto"/>
              <w:bottom w:val="single" w:sz="8" w:color="auto"/>
              <w:right w:val="single" w:sz="8" w:color="auto"/>
            </w:tcBorders>
            <w:shd w:val="clear" w:color="auto" w:fill="2AD2C9"/>
          </w:tcPr>
          <w:p>
            <w:pPr>
              <w:ind w:left="140"/>
              <w:spacing w:after="0" w:line="241" w:lineRule="exact"/>
              <w:rPr>
                <w:sz w:val="20"/>
                <w:szCs w:val="20"/>
                <w:color w:val="auto"/>
              </w:rPr>
            </w:pPr>
            <w:r>
              <w:rPr>
                <w:rFonts w:ascii="Arial" w:cs="Arial" w:eastAsia="Arial" w:hAnsi="Arial"/>
                <w:sz w:val="17"/>
                <w:szCs w:val="17"/>
                <w:b w:val="1"/>
                <w:bCs w:val="1"/>
                <w:i w:val="1"/>
                <w:iCs w:val="1"/>
                <w:color w:val="auto"/>
              </w:rPr>
              <w:t xml:space="preserve">Disruptive Initiatives: Yape </w:t>
            </w:r>
            <w:r>
              <w:rPr>
                <w:rFonts w:ascii="Arial" w:cs="Arial" w:eastAsia="Arial" w:hAnsi="Arial"/>
                <w:sz w:val="27"/>
                <w:szCs w:val="27"/>
                <w:b w:val="1"/>
                <w:bCs w:val="1"/>
                <w:i w:val="1"/>
                <w:iCs w:val="1"/>
                <w:color w:val="auto"/>
                <w:vertAlign w:val="superscript"/>
              </w:rPr>
              <w:t>(1)</w:t>
            </w:r>
          </w:p>
        </w:tc>
        <w:tc>
          <w:tcPr>
            <w:tcW w:w="166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i w:val="1"/>
                <w:iCs w:val="1"/>
                <w:color w:val="auto"/>
                <w:w w:val="98"/>
              </w:rPr>
              <w:t>3Q19</w:t>
            </w:r>
          </w:p>
        </w:tc>
        <w:tc>
          <w:tcPr>
            <w:tcW w:w="166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i w:val="1"/>
                <w:iCs w:val="1"/>
                <w:color w:val="auto"/>
                <w:w w:val="98"/>
              </w:rPr>
              <w:t>3Q21</w:t>
            </w:r>
          </w:p>
        </w:tc>
        <w:tc>
          <w:tcPr>
            <w:tcW w:w="170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i w:val="1"/>
                <w:iCs w:val="1"/>
                <w:color w:val="auto"/>
                <w:w w:val="98"/>
              </w:rPr>
              <w:t>3Q22</w:t>
            </w:r>
          </w:p>
        </w:tc>
      </w:tr>
      <w:tr>
        <w:trPr>
          <w:trHeight w:val="238"/>
        </w:trPr>
        <w:tc>
          <w:tcPr>
            <w:tcW w:w="62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i w:val="1"/>
                <w:iCs w:val="1"/>
                <w:color w:val="auto"/>
              </w:rPr>
              <w:t>Day to Day</w:t>
            </w:r>
          </w:p>
        </w:tc>
        <w:tc>
          <w:tcPr>
            <w:tcW w:w="16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r>
      <w:tr>
        <w:trPr>
          <w:trHeight w:val="276"/>
        </w:trPr>
        <w:tc>
          <w:tcPr>
            <w:tcW w:w="6220" w:type="dxa"/>
            <w:vAlign w:val="bottom"/>
            <w:tcBorders>
              <w:left w:val="single" w:sz="8" w:color="auto"/>
              <w:right w:val="single" w:sz="8" w:color="auto"/>
            </w:tcBorders>
          </w:tcPr>
          <w:p>
            <w:pPr>
              <w:ind w:left="140"/>
              <w:spacing w:after="0" w:line="276" w:lineRule="exact"/>
              <w:rPr>
                <w:sz w:val="20"/>
                <w:szCs w:val="20"/>
                <w:color w:val="auto"/>
              </w:rPr>
            </w:pPr>
            <w:r>
              <w:rPr>
                <w:rFonts w:ascii="Arial" w:cs="Arial" w:eastAsia="Arial" w:hAnsi="Arial"/>
                <w:sz w:val="20"/>
                <w:szCs w:val="20"/>
                <w:color w:val="auto"/>
              </w:rPr>
              <w:t xml:space="preserve">% Microbusiness users </w:t>
            </w:r>
            <w:r>
              <w:rPr>
                <w:rFonts w:ascii="Arial" w:cs="Arial" w:eastAsia="Arial" w:hAnsi="Arial"/>
                <w:sz w:val="32"/>
                <w:szCs w:val="32"/>
                <w:color w:val="auto"/>
                <w:vertAlign w:val="superscript"/>
              </w:rPr>
              <w:t>(2)</w:t>
            </w:r>
          </w:p>
        </w:tc>
        <w:tc>
          <w:tcPr>
            <w:tcW w:w="1660" w:type="dxa"/>
            <w:vAlign w:val="bottom"/>
          </w:tcPr>
          <w:p>
            <w:pPr>
              <w:jc w:val="center"/>
              <w:spacing w:after="0"/>
              <w:rPr>
                <w:sz w:val="20"/>
                <w:szCs w:val="20"/>
                <w:color w:val="auto"/>
              </w:rPr>
            </w:pPr>
            <w:r>
              <w:rPr>
                <w:rFonts w:ascii="Arial" w:cs="Arial" w:eastAsia="Arial" w:hAnsi="Arial"/>
                <w:sz w:val="20"/>
                <w:szCs w:val="20"/>
                <w:color w:val="auto"/>
                <w:w w:val="96"/>
              </w:rPr>
              <w:t>9%</w:t>
            </w:r>
          </w:p>
        </w:tc>
        <w:tc>
          <w:tcPr>
            <w:tcW w:w="1660" w:type="dxa"/>
            <w:vAlign w:val="bottom"/>
          </w:tcPr>
          <w:p>
            <w:pPr>
              <w:jc w:val="center"/>
              <w:spacing w:after="0"/>
              <w:rPr>
                <w:sz w:val="20"/>
                <w:szCs w:val="20"/>
                <w:color w:val="auto"/>
              </w:rPr>
            </w:pPr>
            <w:r>
              <w:rPr>
                <w:rFonts w:ascii="Arial" w:cs="Arial" w:eastAsia="Arial" w:hAnsi="Arial"/>
                <w:sz w:val="20"/>
                <w:szCs w:val="20"/>
                <w:color w:val="auto"/>
                <w:w w:val="99"/>
              </w:rPr>
              <w:t>17%</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19%</w:t>
            </w:r>
          </w:p>
        </w:tc>
      </w:tr>
      <w:tr>
        <w:trPr>
          <w:trHeight w:val="243"/>
        </w:trPr>
        <w:tc>
          <w:tcPr>
            <w:tcW w:w="62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Mobile phone top-ups (thousands)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6,793</w:t>
            </w:r>
          </w:p>
        </w:tc>
      </w:tr>
      <w:tr>
        <w:trPr>
          <w:trHeight w:val="246"/>
        </w:trPr>
        <w:tc>
          <w:tcPr>
            <w:tcW w:w="62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i w:val="1"/>
                <w:iCs w:val="1"/>
                <w:color w:val="auto"/>
              </w:rPr>
              <w:t>Cashless</w:t>
            </w:r>
          </w:p>
        </w:tc>
        <w:tc>
          <w:tcPr>
            <w:tcW w:w="16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r>
      <w:tr>
        <w:trPr>
          <w:trHeight w:val="258"/>
        </w:trPr>
        <w:tc>
          <w:tcPr>
            <w:tcW w:w="62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Users (thousands)</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1,485</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7,205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10,878</w:t>
            </w:r>
          </w:p>
        </w:tc>
      </w:tr>
      <w:tr>
        <w:trPr>
          <w:trHeight w:val="269"/>
        </w:trPr>
        <w:tc>
          <w:tcPr>
            <w:tcW w:w="6220" w:type="dxa"/>
            <w:vAlign w:val="bottom"/>
            <w:tcBorders>
              <w:left w:val="single" w:sz="8" w:color="auto"/>
              <w:right w:val="single" w:sz="8" w:color="auto"/>
            </w:tcBorders>
          </w:tcPr>
          <w:p>
            <w:pPr>
              <w:ind w:left="140"/>
              <w:spacing w:after="0" w:line="269" w:lineRule="exact"/>
              <w:rPr>
                <w:sz w:val="20"/>
                <w:szCs w:val="20"/>
                <w:color w:val="auto"/>
              </w:rPr>
            </w:pPr>
            <w:r>
              <w:rPr>
                <w:rFonts w:ascii="Arial" w:cs="Arial" w:eastAsia="Arial" w:hAnsi="Arial"/>
                <w:sz w:val="19"/>
                <w:szCs w:val="19"/>
                <w:color w:val="auto"/>
              </w:rPr>
              <w:t xml:space="preserve">% User’s clients of BCP </w:t>
            </w:r>
            <w:r>
              <w:rPr>
                <w:rFonts w:ascii="Arial" w:cs="Arial" w:eastAsia="Arial" w:hAnsi="Arial"/>
                <w:sz w:val="31"/>
                <w:szCs w:val="31"/>
                <w:color w:val="auto"/>
                <w:vertAlign w:val="superscript"/>
              </w:rPr>
              <w:t>(3)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100%</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56%</w:t>
            </w:r>
          </w:p>
        </w:tc>
      </w:tr>
      <w:tr>
        <w:trPr>
          <w:trHeight w:val="268"/>
        </w:trPr>
        <w:tc>
          <w:tcPr>
            <w:tcW w:w="6220" w:type="dxa"/>
            <w:vAlign w:val="bottom"/>
            <w:tcBorders>
              <w:left w:val="single" w:sz="8" w:color="auto"/>
              <w:right w:val="single" w:sz="8" w:color="auto"/>
            </w:tcBorders>
          </w:tcPr>
          <w:p>
            <w:pPr>
              <w:ind w:left="140"/>
              <w:spacing w:after="0" w:line="268" w:lineRule="exact"/>
              <w:rPr>
                <w:sz w:val="20"/>
                <w:szCs w:val="20"/>
                <w:color w:val="auto"/>
              </w:rPr>
            </w:pPr>
            <w:r>
              <w:rPr>
                <w:rFonts w:ascii="Arial" w:cs="Arial" w:eastAsia="Arial" w:hAnsi="Arial"/>
                <w:sz w:val="19"/>
                <w:szCs w:val="19"/>
                <w:color w:val="auto"/>
              </w:rPr>
              <w:t xml:space="preserve">% of Yapecard Users </w:t>
            </w:r>
            <w:r>
              <w:rPr>
                <w:rFonts w:ascii="Arial" w:cs="Arial" w:eastAsia="Arial" w:hAnsi="Arial"/>
                <w:sz w:val="31"/>
                <w:szCs w:val="31"/>
                <w:color w:val="auto"/>
                <w:vertAlign w:val="superscript"/>
              </w:rPr>
              <w:t>(4)</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39%</w:t>
            </w:r>
          </w:p>
        </w:tc>
      </w:tr>
      <w:tr>
        <w:trPr>
          <w:trHeight w:val="268"/>
        </w:trPr>
        <w:tc>
          <w:tcPr>
            <w:tcW w:w="6220" w:type="dxa"/>
            <w:vAlign w:val="bottom"/>
            <w:tcBorders>
              <w:left w:val="single" w:sz="8" w:color="auto"/>
              <w:right w:val="single" w:sz="8" w:color="auto"/>
            </w:tcBorders>
          </w:tcPr>
          <w:p>
            <w:pPr>
              <w:ind w:left="140"/>
              <w:spacing w:after="0" w:line="268" w:lineRule="exact"/>
              <w:rPr>
                <w:sz w:val="20"/>
                <w:szCs w:val="20"/>
                <w:color w:val="auto"/>
              </w:rPr>
            </w:pPr>
            <w:r>
              <w:rPr>
                <w:rFonts w:ascii="Arial" w:cs="Arial" w:eastAsia="Arial" w:hAnsi="Arial"/>
                <w:sz w:val="19"/>
                <w:szCs w:val="19"/>
                <w:color w:val="auto"/>
              </w:rPr>
              <w:t xml:space="preserve">Active users (thousands) </w:t>
            </w:r>
            <w:r>
              <w:rPr>
                <w:rFonts w:ascii="Arial" w:cs="Arial" w:eastAsia="Arial" w:hAnsi="Arial"/>
                <w:sz w:val="31"/>
                <w:szCs w:val="31"/>
                <w:color w:val="auto"/>
                <w:vertAlign w:val="superscript"/>
              </w:rPr>
              <w:t>(5)</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429</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3,543</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6,937</w:t>
            </w:r>
          </w:p>
        </w:tc>
      </w:tr>
      <w:tr>
        <w:trPr>
          <w:trHeight w:val="276"/>
        </w:trPr>
        <w:tc>
          <w:tcPr>
            <w:tcW w:w="6220" w:type="dxa"/>
            <w:vAlign w:val="bottom"/>
            <w:tcBorders>
              <w:left w:val="single" w:sz="8" w:color="auto"/>
              <w:right w:val="single" w:sz="8" w:color="auto"/>
            </w:tcBorders>
          </w:tcPr>
          <w:p>
            <w:pPr>
              <w:ind w:left="140"/>
              <w:spacing w:after="0" w:line="276" w:lineRule="exact"/>
              <w:rPr>
                <w:sz w:val="20"/>
                <w:szCs w:val="20"/>
                <w:color w:val="auto"/>
              </w:rPr>
            </w:pPr>
            <w:r>
              <w:rPr>
                <w:rFonts w:ascii="Arial" w:cs="Arial" w:eastAsia="Arial" w:hAnsi="Arial"/>
                <w:sz w:val="20"/>
                <w:szCs w:val="20"/>
                <w:color w:val="auto"/>
              </w:rPr>
              <w:t xml:space="preserve">% Active users on a monthly basis </w:t>
            </w:r>
            <w:r>
              <w:rPr>
                <w:rFonts w:ascii="Arial" w:cs="Arial" w:eastAsia="Arial" w:hAnsi="Arial"/>
                <w:sz w:val="32"/>
                <w:szCs w:val="32"/>
                <w:color w:val="auto"/>
                <w:vertAlign w:val="superscript"/>
              </w:rPr>
              <w:t>(6)</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64%</w:t>
            </w:r>
          </w:p>
        </w:tc>
      </w:tr>
      <w:tr>
        <w:trPr>
          <w:trHeight w:val="258"/>
        </w:trPr>
        <w:tc>
          <w:tcPr>
            <w:tcW w:w="62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No. of monthly Transactions (thousands)</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1,744</w:t>
            </w:r>
          </w:p>
        </w:tc>
        <w:tc>
          <w:tcPr>
            <w:tcW w:w="1660" w:type="dxa"/>
            <w:vAlign w:val="bottom"/>
          </w:tcPr>
          <w:p>
            <w:pPr>
              <w:jc w:val="center"/>
              <w:spacing w:after="0"/>
              <w:rPr>
                <w:sz w:val="20"/>
                <w:szCs w:val="20"/>
                <w:color w:val="auto"/>
              </w:rPr>
            </w:pPr>
            <w:r>
              <w:rPr>
                <w:rFonts w:ascii="Arial" w:cs="Arial" w:eastAsia="Arial" w:hAnsi="Arial"/>
                <w:sz w:val="18"/>
                <w:szCs w:val="18"/>
                <w:color w:val="auto"/>
              </w:rPr>
              <w:t>37,728</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120,217</w:t>
            </w:r>
          </w:p>
        </w:tc>
      </w:tr>
      <w:tr>
        <w:trPr>
          <w:trHeight w:val="268"/>
        </w:trPr>
        <w:tc>
          <w:tcPr>
            <w:tcW w:w="62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color w:val="auto"/>
              </w:rPr>
              <w:t>Monthly transaction amount (millions, S/)</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87</w:t>
            </w:r>
          </w:p>
        </w:tc>
        <w:tc>
          <w:tcPr>
            <w:tcW w:w="1660" w:type="dxa"/>
            <w:vAlign w:val="bottom"/>
          </w:tcPr>
          <w:p>
            <w:pPr>
              <w:jc w:val="center"/>
              <w:spacing w:after="0"/>
              <w:rPr>
                <w:sz w:val="20"/>
                <w:szCs w:val="20"/>
                <w:color w:val="auto"/>
              </w:rPr>
            </w:pPr>
            <w:r>
              <w:rPr>
                <w:rFonts w:ascii="Arial" w:cs="Arial" w:eastAsia="Arial" w:hAnsi="Arial"/>
                <w:sz w:val="18"/>
                <w:szCs w:val="18"/>
                <w:color w:val="auto"/>
                <w:w w:val="97"/>
              </w:rPr>
              <w:t>2,406</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6,367</w:t>
            </w:r>
          </w:p>
        </w:tc>
      </w:tr>
      <w:tr>
        <w:trPr>
          <w:trHeight w:val="253"/>
        </w:trPr>
        <w:tc>
          <w:tcPr>
            <w:tcW w:w="6220" w:type="dxa"/>
            <w:vAlign w:val="bottom"/>
            <w:tcBorders>
              <w:left w:val="single" w:sz="8" w:color="auto"/>
              <w:bottom w:val="single" w:sz="8" w:color="auto"/>
              <w:right w:val="single" w:sz="8" w:color="auto"/>
            </w:tcBorders>
          </w:tcPr>
          <w:p>
            <w:pPr>
              <w:ind w:left="140"/>
              <w:spacing w:after="0" w:line="246" w:lineRule="exact"/>
              <w:rPr>
                <w:sz w:val="20"/>
                <w:szCs w:val="20"/>
                <w:color w:val="auto"/>
              </w:rPr>
            </w:pPr>
            <w:r>
              <w:rPr>
                <w:rFonts w:ascii="Arial" w:cs="Arial" w:eastAsia="Arial" w:hAnsi="Arial"/>
                <w:sz w:val="18"/>
                <w:szCs w:val="18"/>
                <w:color w:val="auto"/>
              </w:rPr>
              <w:t xml:space="preserve">Number of monthly transactions by Active Yapero </w:t>
            </w:r>
            <w:r>
              <w:rPr>
                <w:rFonts w:ascii="Arial" w:cs="Arial" w:eastAsia="Arial" w:hAnsi="Arial"/>
                <w:sz w:val="28"/>
                <w:szCs w:val="28"/>
                <w:color w:val="auto"/>
                <w:vertAlign w:val="superscript"/>
              </w:rPr>
              <w:t>(7)</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-1870075</wp:posOffset>
            </wp:positionV>
            <wp:extent cx="144780" cy="3143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4780" cy="314325"/>
                    </a:xfrm>
                    <a:prstGeom prst="rect">
                      <a:avLst/>
                    </a:prstGeom>
                    <a:noFill/>
                  </pic:spPr>
                </pic:pic>
              </a:graphicData>
            </a:graphic>
          </wp:anchor>
        </w:drawing>
        <w:drawing>
          <wp:anchor simplePos="0" relativeHeight="251657728" behindDoc="1" locked="0" layoutInCell="0" allowOverlap="1">
            <wp:simplePos x="0" y="0"/>
            <wp:positionH relativeFrom="column">
              <wp:posOffset>3703320</wp:posOffset>
            </wp:positionH>
            <wp:positionV relativeFrom="paragraph">
              <wp:posOffset>-1376680</wp:posOffset>
            </wp:positionV>
            <wp:extent cx="144780" cy="13347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4780" cy="1334770"/>
                    </a:xfrm>
                    <a:prstGeom prst="rect">
                      <a:avLst/>
                    </a:prstGeom>
                    <a:noFill/>
                  </pic:spPr>
                </pic:pic>
              </a:graphicData>
            </a:graphic>
          </wp:anchor>
        </w:drawing>
      </w:r>
    </w:p>
    <w:p>
      <w:pPr>
        <w:ind w:left="160" w:hanging="153"/>
        <w:spacing w:after="0" w:line="236" w:lineRule="auto"/>
        <w:tabs>
          <w:tab w:leader="none" w:pos="160" w:val="left"/>
        </w:tabs>
        <w:numPr>
          <w:ilvl w:val="0"/>
          <w:numId w:val="8"/>
        </w:numPr>
        <w:rPr>
          <w:rFonts w:ascii="Arial" w:cs="Arial" w:eastAsia="Arial" w:hAnsi="Arial"/>
          <w:sz w:val="12"/>
          <w:szCs w:val="12"/>
          <w:color w:val="auto"/>
        </w:rPr>
      </w:pPr>
      <w:r>
        <w:rPr>
          <w:rFonts w:ascii="Arial" w:cs="Arial" w:eastAsia="Arial" w:hAnsi="Arial"/>
          <w:sz w:val="12"/>
          <w:szCs w:val="12"/>
          <w:color w:val="auto"/>
        </w:rPr>
        <w:t>Figures for September 2019, 2021, and 2022</w:t>
      </w:r>
    </w:p>
    <w:p>
      <w:pPr>
        <w:ind w:left="160" w:hanging="153"/>
        <w:spacing w:after="0" w:line="232" w:lineRule="auto"/>
        <w:tabs>
          <w:tab w:leader="none" w:pos="160" w:val="left"/>
        </w:tabs>
        <w:numPr>
          <w:ilvl w:val="0"/>
          <w:numId w:val="8"/>
        </w:numPr>
        <w:rPr>
          <w:rFonts w:ascii="Arial" w:cs="Arial" w:eastAsia="Arial" w:hAnsi="Arial"/>
          <w:sz w:val="12"/>
          <w:szCs w:val="12"/>
          <w:color w:val="auto"/>
        </w:rPr>
      </w:pPr>
      <w:r>
        <w:rPr>
          <w:rFonts w:ascii="Arial" w:cs="Arial" w:eastAsia="Arial" w:hAnsi="Arial"/>
          <w:sz w:val="12"/>
          <w:szCs w:val="12"/>
          <w:color w:val="auto"/>
        </w:rPr>
        <w:t>Yape users that are Microbusinesses/Total Yape users</w:t>
      </w:r>
    </w:p>
    <w:p>
      <w:pPr>
        <w:ind w:left="160" w:hanging="153"/>
        <w:spacing w:after="0" w:line="232" w:lineRule="auto"/>
        <w:tabs>
          <w:tab w:leader="none" w:pos="160" w:val="left"/>
        </w:tabs>
        <w:numPr>
          <w:ilvl w:val="0"/>
          <w:numId w:val="8"/>
        </w:numPr>
        <w:rPr>
          <w:rFonts w:ascii="Arial" w:cs="Arial" w:eastAsia="Arial" w:hAnsi="Arial"/>
          <w:sz w:val="12"/>
          <w:szCs w:val="12"/>
          <w:color w:val="auto"/>
        </w:rPr>
      </w:pPr>
      <w:r>
        <w:rPr>
          <w:rFonts w:ascii="Arial" w:cs="Arial" w:eastAsia="Arial" w:hAnsi="Arial"/>
          <w:sz w:val="12"/>
          <w:szCs w:val="12"/>
          <w:color w:val="auto"/>
        </w:rPr>
        <w:t>BCP clients that are Yape users/Total Yape users</w:t>
      </w:r>
    </w:p>
    <w:p>
      <w:pPr>
        <w:ind w:left="160" w:hanging="153"/>
        <w:spacing w:after="0" w:line="232" w:lineRule="auto"/>
        <w:tabs>
          <w:tab w:leader="none" w:pos="160" w:val="left"/>
        </w:tabs>
        <w:numPr>
          <w:ilvl w:val="0"/>
          <w:numId w:val="8"/>
        </w:numPr>
        <w:rPr>
          <w:rFonts w:ascii="Arial" w:cs="Arial" w:eastAsia="Arial" w:hAnsi="Arial"/>
          <w:sz w:val="12"/>
          <w:szCs w:val="12"/>
          <w:color w:val="auto"/>
        </w:rPr>
      </w:pPr>
      <w:r>
        <w:rPr>
          <w:rFonts w:ascii="Arial" w:cs="Arial" w:eastAsia="Arial" w:hAnsi="Arial"/>
          <w:sz w:val="12"/>
          <w:szCs w:val="12"/>
          <w:color w:val="auto"/>
        </w:rPr>
        <w:t>Yapecard users / Total Yape users</w:t>
      </w:r>
    </w:p>
    <w:p>
      <w:pPr>
        <w:ind w:left="160" w:hanging="153"/>
        <w:spacing w:after="0" w:line="232" w:lineRule="auto"/>
        <w:tabs>
          <w:tab w:leader="none" w:pos="160" w:val="left"/>
        </w:tabs>
        <w:numPr>
          <w:ilvl w:val="0"/>
          <w:numId w:val="8"/>
        </w:numPr>
        <w:rPr>
          <w:rFonts w:ascii="Arial" w:cs="Arial" w:eastAsia="Arial" w:hAnsi="Arial"/>
          <w:sz w:val="12"/>
          <w:szCs w:val="12"/>
          <w:color w:val="auto"/>
        </w:rPr>
      </w:pPr>
      <w:r>
        <w:rPr>
          <w:rFonts w:ascii="Arial" w:cs="Arial" w:eastAsia="Arial" w:hAnsi="Arial"/>
          <w:sz w:val="12"/>
          <w:szCs w:val="12"/>
          <w:color w:val="auto"/>
        </w:rPr>
        <w:t>Yape users that have conducted at least one transaction a month</w:t>
      </w:r>
    </w:p>
    <w:p>
      <w:pPr>
        <w:ind w:left="160" w:hanging="153"/>
        <w:spacing w:after="0" w:line="232" w:lineRule="auto"/>
        <w:tabs>
          <w:tab w:leader="none" w:pos="160" w:val="left"/>
        </w:tabs>
        <w:numPr>
          <w:ilvl w:val="0"/>
          <w:numId w:val="8"/>
        </w:numPr>
        <w:rPr>
          <w:rFonts w:ascii="Arial" w:cs="Arial" w:eastAsia="Arial" w:hAnsi="Arial"/>
          <w:sz w:val="12"/>
          <w:szCs w:val="12"/>
          <w:color w:val="auto"/>
        </w:rPr>
      </w:pPr>
      <w:r>
        <w:rPr>
          <w:rFonts w:ascii="Arial" w:cs="Arial" w:eastAsia="Arial" w:hAnsi="Arial"/>
          <w:sz w:val="12"/>
          <w:szCs w:val="12"/>
          <w:color w:val="auto"/>
        </w:rPr>
        <w:t>Yape users that have conducted at least one transaction in the past month/Total Yape Users</w:t>
      </w:r>
    </w:p>
    <w:p>
      <w:pPr>
        <w:ind w:left="160" w:hanging="153"/>
        <w:spacing w:after="0"/>
        <w:tabs>
          <w:tab w:leader="none" w:pos="160" w:val="left"/>
        </w:tabs>
        <w:numPr>
          <w:ilvl w:val="0"/>
          <w:numId w:val="8"/>
        </w:numPr>
        <w:rPr>
          <w:rFonts w:ascii="Arial" w:cs="Arial" w:eastAsia="Arial" w:hAnsi="Arial"/>
          <w:sz w:val="12"/>
          <w:szCs w:val="12"/>
          <w:color w:val="auto"/>
        </w:rPr>
      </w:pPr>
      <w:r>
        <w:rPr>
          <w:rFonts w:ascii="Arial" w:cs="Arial" w:eastAsia="Arial" w:hAnsi="Arial"/>
          <w:sz w:val="12"/>
          <w:szCs w:val="12"/>
          <w:color w:val="auto"/>
        </w:rPr>
        <w:t>Number of Yape transactions/Active Users</w:t>
      </w:r>
    </w:p>
    <w:p>
      <w:pPr>
        <w:spacing w:after="0" w:line="26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5" w:name="page16"/>
    <w:bookmarkEnd w:id="15"/>
    <w:p>
      <w:pPr>
        <w:ind w:left="2980"/>
        <w:spacing w:after="0"/>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Integrating sustainability in our businesses</w:t>
      </w:r>
    </w:p>
    <w:p>
      <w:pPr>
        <w:spacing w:after="0" w:line="24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For more information on our sustainability strategy, program and initiatives, please review our “</w:t>
      </w:r>
      <w:r>
        <w:rPr>
          <w:rFonts w:ascii="Times New Roman" w:cs="Times New Roman" w:eastAsia="Times New Roman" w:hAnsi="Times New Roman"/>
          <w:sz w:val="18"/>
          <w:szCs w:val="18"/>
          <w:u w:val="single" w:color="auto"/>
          <w:color w:val="auto"/>
        </w:rPr>
        <w:t>2020-25 Sustainability Strategy</w:t>
      </w:r>
      <w:r>
        <w:rPr>
          <w:rFonts w:ascii="Times New Roman" w:cs="Times New Roman" w:eastAsia="Times New Roman" w:hAnsi="Times New Roman"/>
          <w:sz w:val="18"/>
          <w:szCs w:val="18"/>
          <w:color w:val="auto"/>
        </w:rPr>
        <w:t>” and our “</w:t>
      </w:r>
      <w:r>
        <w:rPr>
          <w:rFonts w:ascii="Times New Roman" w:cs="Times New Roman" w:eastAsia="Times New Roman" w:hAnsi="Times New Roman"/>
          <w:sz w:val="18"/>
          <w:szCs w:val="18"/>
          <w:u w:val="single" w:color="auto"/>
          <w:color w:val="auto"/>
        </w:rPr>
        <w:t>2021 Annual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Sustainability Report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milestones hit in the third quarter of 2022 in the framework of the Sustainability Program include: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 Front – Roll-out of our renewed code of ethics and our latest recognitions</w:t>
      </w:r>
    </w:p>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GenÉTICA Credicorp, our renewed Code of Ethics, acts as a guide for the organization and provides information on the principles, values and expectations that anchor our decisions. This new code places more emphasis on relations with our stakeholders (employees, clients, suppliers, shareholders and community) and provides illustrative examples to address the recurring situations that employees experience during the course of our business operations. In the month of August, a campaign was rolled out to disseminate the Code group-wide by means of different communications tools and internal education initiatives. At the end of 3Q22, more than 1,000 employees participated in on-site activities; 13,000+ in livestreamed sessions; and the web document: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 Ethics</w:t>
      </w:r>
      <w:r>
        <w:rPr>
          <w:rFonts w:ascii="Times New Roman" w:cs="Times New Roman" w:eastAsia="Times New Roman" w:hAnsi="Times New Roman"/>
          <w:sz w:val="18"/>
          <w:szCs w:val="18"/>
          <w:color w:val="0563C1"/>
        </w:rPr>
        <w:t>”</w:t>
      </w:r>
      <w:r>
        <w:rPr>
          <w:rFonts w:ascii="Times New Roman" w:cs="Times New Roman" w:eastAsia="Times New Roman" w:hAnsi="Times New Roman"/>
          <w:sz w:val="18"/>
          <w:szCs w:val="18"/>
          <w:color w:val="auto"/>
        </w:rPr>
        <w:t xml:space="preserve"> was visualized 10,800+ times.</w:t>
      </w:r>
    </w:p>
    <w:p>
      <w:pPr>
        <w:spacing w:after="0" w:line="11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“2022 Latin American Executive Team Rankings”,</w:t>
      </w:r>
      <w:r>
        <w:rPr>
          <w:rFonts w:ascii="Times New Roman" w:cs="Times New Roman" w:eastAsia="Times New Roman" w:hAnsi="Times New Roman"/>
          <w:sz w:val="18"/>
          <w:szCs w:val="18"/>
          <w:color w:val="auto"/>
        </w:rPr>
        <w:t xml:space="preserve"> which are built by the </w:t>
      </w:r>
      <w:r>
        <w:rPr>
          <w:rFonts w:ascii="Times New Roman" w:cs="Times New Roman" w:eastAsia="Times New Roman" w:hAnsi="Times New Roman"/>
          <w:sz w:val="18"/>
          <w:szCs w:val="18"/>
          <w:i w:val="1"/>
          <w:iCs w:val="1"/>
          <w:color w:val="auto"/>
        </w:rPr>
        <w:t>Institutional Investor magazine</w:t>
      </w:r>
      <w:r>
        <w:rPr>
          <w:rFonts w:ascii="Times New Roman" w:cs="Times New Roman" w:eastAsia="Times New Roman" w:hAnsi="Times New Roman"/>
          <w:sz w:val="18"/>
          <w:szCs w:val="18"/>
          <w:color w:val="auto"/>
        </w:rPr>
        <w:t xml:space="preserve"> recognized Credicorp’s ESG program as the best in Peru.</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Front– Driving environmental sustainability through the financial sector</w:t>
      </w:r>
    </w:p>
    <w:p>
      <w:pPr>
        <w:spacing w:after="0" w:line="140" w:lineRule="exact"/>
        <w:rPr>
          <w:sz w:val="20"/>
          <w:szCs w:val="20"/>
          <w:color w:val="auto"/>
        </w:rPr>
      </w:pPr>
    </w:p>
    <w:p>
      <w:pPr>
        <w:ind w:left="640" w:hanging="312"/>
        <w:spacing w:after="0" w:line="243"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BCP granted 3 certified green loans for more than US$115 million to companies in the electricity generation and manufacturing industries for renewable energy projects and recyclable products respectively.</w:t>
      </w:r>
    </w:p>
    <w:p>
      <w:pPr>
        <w:jc w:val="both"/>
        <w:ind w:left="640" w:hanging="312"/>
        <w:spacing w:after="0" w:line="232"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Credicorp Capital and Prima AFP continue to develop relations with their portfolios’ prioritized issuers to promote sustainable practices in the companies we invest. Under CDP’s “Non-Disclosure Campaign, Credicorp Capital instigated 6 issuers to begin reporting under CDP standards. This campaign seeks to ensure more transparency regarding issuers’ management of and contributions to climate change, deforestation and water security.</w:t>
      </w:r>
    </w:p>
    <w:p>
      <w:pPr>
        <w:spacing w:after="0" w:line="3" w:lineRule="exact"/>
        <w:rPr>
          <w:rFonts w:ascii="Arial" w:cs="Arial" w:eastAsia="Arial" w:hAnsi="Arial"/>
          <w:sz w:val="18"/>
          <w:szCs w:val="18"/>
          <w:color w:val="auto"/>
        </w:rPr>
      </w:pPr>
    </w:p>
    <w:p>
      <w:pPr>
        <w:jc w:val="both"/>
        <w:ind w:left="640" w:hanging="312"/>
        <w:spacing w:after="0" w:line="232" w:lineRule="auto"/>
        <w:tabs>
          <w:tab w:leader="none" w:pos="640" w:val="left"/>
        </w:tabs>
        <w:numPr>
          <w:ilvl w:val="0"/>
          <w:numId w:val="9"/>
        </w:numPr>
        <w:rPr>
          <w:rFonts w:ascii="Arial" w:cs="Arial" w:eastAsia="Arial" w:hAnsi="Arial"/>
          <w:sz w:val="18"/>
          <w:szCs w:val="18"/>
          <w:color w:val="4472C4"/>
        </w:rPr>
      </w:pPr>
      <w:r>
        <w:rPr>
          <w:rFonts w:ascii="Arial" w:cs="Arial" w:eastAsia="Arial" w:hAnsi="Arial"/>
          <w:sz w:val="18"/>
          <w:szCs w:val="18"/>
          <w:color w:val="auto"/>
        </w:rPr>
        <w:t>Prima AFP published its “</w:t>
      </w:r>
      <w:r>
        <w:rPr>
          <w:rFonts w:ascii="Arial" w:cs="Arial" w:eastAsia="Arial" w:hAnsi="Arial"/>
          <w:sz w:val="18"/>
          <w:szCs w:val="18"/>
          <w:u w:val="single" w:color="auto"/>
          <w:color w:val="auto"/>
        </w:rPr>
        <w:t>Reporte de Inversiones responsables 2022</w:t>
      </w:r>
      <w:r>
        <w:rPr>
          <w:rFonts w:ascii="Arial" w:cs="Arial" w:eastAsia="Arial" w:hAnsi="Arial"/>
          <w:sz w:val="18"/>
          <w:szCs w:val="18"/>
          <w:color w:val="auto"/>
        </w:rPr>
        <w:t>”, which covers the company’s main advances in integrating ESG factors in the analysis of investments and provides information on its strategy. As of today, 62% of Prima’s investment portfolio is analyzed considering ESG factors and we expect to reach the 80% mark by the end of 2022.</w:t>
      </w:r>
    </w:p>
    <w:p>
      <w:pPr>
        <w:spacing w:after="0" w:line="2" w:lineRule="exact"/>
        <w:rPr>
          <w:rFonts w:ascii="Arial" w:cs="Arial" w:eastAsia="Arial" w:hAnsi="Arial"/>
          <w:sz w:val="18"/>
          <w:szCs w:val="18"/>
          <w:color w:val="4472C4"/>
        </w:rPr>
      </w:pPr>
    </w:p>
    <w:p>
      <w:pPr>
        <w:jc w:val="both"/>
        <w:ind w:left="640" w:hanging="312"/>
        <w:spacing w:after="0" w:line="237"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Within the enabler to manage ESG risks, the Sustainable Operations Committee was set up to review credit operations that have potential to be sustainable and approve categorization. On this front, we continue to work on implementing the group-wide exclusions of economic activities, update the ESG questionnaires that portfolio companies are required to complete and strengthen our taxonomy. These efforts will help us identify more sustainable opportunities.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Social Front – Expanding financial inclusion and helping businesses grow</w:t>
      </w:r>
    </w:p>
    <w:p>
      <w:pPr>
        <w:spacing w:after="0" w:line="153" w:lineRule="exact"/>
        <w:rPr>
          <w:sz w:val="20"/>
          <w:szCs w:val="20"/>
          <w:color w:val="auto"/>
        </w:rPr>
      </w:pPr>
    </w:p>
    <w:p>
      <w:pPr>
        <w:jc w:val="both"/>
        <w:ind w:left="640" w:hanging="312"/>
        <w:spacing w:after="0" w:line="239"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Credicorp published the second edition of its financial inclusion index: “</w:t>
      </w:r>
      <w:r>
        <w:rPr>
          <w:rFonts w:ascii="Arial" w:cs="Arial" w:eastAsia="Arial" w:hAnsi="Arial"/>
          <w:sz w:val="18"/>
          <w:szCs w:val="18"/>
          <w:u w:val="single" w:color="auto"/>
          <w:color w:val="auto"/>
        </w:rPr>
        <w:t>Credicorp Financial Inclusion Index 2022</w:t>
      </w:r>
      <w:r>
        <w:rPr>
          <w:rFonts w:ascii="Arial" w:cs="Arial" w:eastAsia="Arial" w:hAnsi="Arial"/>
          <w:sz w:val="18"/>
          <w:szCs w:val="18"/>
          <w:color w:val="auto"/>
        </w:rPr>
        <w:t>” which is developed by IPSOS Perú to measure the level of access, use and perceived quality of the financial system in 8 Latam countries. This year’s report included Argentina.</w:t>
      </w:r>
    </w:p>
    <w:p>
      <w:pPr>
        <w:spacing w:after="0" w:line="2" w:lineRule="exact"/>
        <w:rPr>
          <w:rFonts w:ascii="Arial" w:cs="Arial" w:eastAsia="Arial" w:hAnsi="Arial"/>
          <w:sz w:val="18"/>
          <w:szCs w:val="18"/>
          <w:color w:val="auto"/>
        </w:rPr>
      </w:pPr>
    </w:p>
    <w:p>
      <w:pPr>
        <w:jc w:val="both"/>
        <w:ind w:left="640" w:hanging="312"/>
        <w:spacing w:after="0" w:line="23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of September 2022, Yape has propitiated the financial inclusion of more than 2.1 million people and launched microcredits through this platform. Mibanco, through its microfinance role, has included more than 660 thousand entrepreneurs in the financial system in the last seven years.</w:t>
      </w:r>
    </w:p>
    <w:p>
      <w:pPr>
        <w:spacing w:after="0" w:line="2" w:lineRule="exact"/>
        <w:rPr>
          <w:rFonts w:ascii="Arial" w:cs="Arial" w:eastAsia="Arial" w:hAnsi="Arial"/>
          <w:sz w:val="18"/>
          <w:szCs w:val="18"/>
          <w:color w:val="auto"/>
        </w:rPr>
      </w:pPr>
    </w:p>
    <w:p>
      <w:pPr>
        <w:jc w:val="both"/>
        <w:ind w:left="640" w:hanging="312"/>
        <w:spacing w:after="0" w:line="23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the end of 3Q22, BCP had disbursed more than S/1,000 million to the SME-Pyme segment through invoice discounting. This product leverages the power of electronic invoicing and has benefitted more than 1,000 businesses, 85% of which were not previously subjects of credit.</w:t>
      </w:r>
    </w:p>
    <w:p>
      <w:pPr>
        <w:spacing w:after="0" w:line="2" w:lineRule="exact"/>
        <w:rPr>
          <w:rFonts w:ascii="Arial" w:cs="Arial" w:eastAsia="Arial" w:hAnsi="Arial"/>
          <w:sz w:val="18"/>
          <w:szCs w:val="18"/>
          <w:color w:val="auto"/>
        </w:rPr>
      </w:pPr>
    </w:p>
    <w:p>
      <w:pPr>
        <w:ind w:left="640" w:hanging="312"/>
        <w:spacing w:after="0" w:line="23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Mibanco reinserted 878 clients through its program “A-morosos”, which seeks to reincorporate individuals with debt over 120 days past-due within the financial system.</w:t>
      </w:r>
    </w:p>
    <w:p>
      <w:pPr>
        <w:spacing w:after="0" w:line="1" w:lineRule="exact"/>
        <w:rPr>
          <w:rFonts w:ascii="Arial" w:cs="Arial" w:eastAsia="Arial" w:hAnsi="Arial"/>
          <w:sz w:val="18"/>
          <w:szCs w:val="18"/>
          <w:color w:val="auto"/>
        </w:rPr>
      </w:pPr>
    </w:p>
    <w:p>
      <w:pPr>
        <w:ind w:left="640" w:hanging="312"/>
        <w:spacing w:after="0" w:line="232"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Yevo, the online ecosystem for entrepreneurs operated by Mibanco, topped the 150k mark for affiliates.</w:t>
      </w:r>
    </w:p>
    <w:p>
      <w:pPr>
        <w:ind w:left="640" w:hanging="312"/>
        <w:spacing w:after="0" w:line="245"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BCP Bolivia registered the highest rating in the Bolivian financial system in the ranking “Responsabilidad Social Empresarial de AESA”(Fitch Ratings).</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6" w:name="page17"/>
    <w:bookmarkEnd w:id="16"/>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01 </w:t>
      </w:r>
      <w:r>
        <w:rPr>
          <w:rFonts w:ascii="Times New Roman" w:cs="Times New Roman" w:eastAsia="Times New Roman" w:hAnsi="Times New Roman"/>
          <w:sz w:val="32"/>
          <w:szCs w:val="32"/>
          <w:b w:val="1"/>
          <w:bCs w:val="1"/>
          <w:color w:val="E93CAC"/>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1220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3590" cy="1122045"/>
                    </a:xfrm>
                    <a:prstGeom prst="rect">
                      <a:avLst/>
                    </a:prstGeom>
                    <a:noFill/>
                  </pic:spPr>
                </pic:pic>
              </a:graphicData>
            </a:graphic>
          </wp:anchor>
        </w:drawing>
      </w:r>
    </w:p>
    <w:p>
      <w:pPr>
        <w:spacing w:after="0" w:line="348" w:lineRule="exact"/>
        <w:rPr>
          <w:sz w:val="20"/>
          <w:szCs w:val="20"/>
          <w:color w:val="auto"/>
        </w:rPr>
      </w:pPr>
    </w:p>
    <w:p>
      <w:pPr>
        <w:jc w:val="both"/>
        <w:ind w:left="120" w:right="120"/>
        <w:spacing w:after="0" w:line="243" w:lineRule="auto"/>
        <w:rPr>
          <w:sz w:val="20"/>
          <w:szCs w:val="20"/>
          <w:color w:val="auto"/>
        </w:rPr>
      </w:pPr>
      <w:r>
        <w:rPr>
          <w:rFonts w:ascii="Arial" w:cs="Arial" w:eastAsia="Arial" w:hAnsi="Arial"/>
          <w:sz w:val="18"/>
          <w:szCs w:val="18"/>
          <w:color w:val="FFFFFF"/>
        </w:rPr>
        <w:t>Structural loans increased QoQ, led by the evolution in Corporate Banking, Consumer and Mortgages at BCP Stand-alone, which rolled out campaigns for Working Capital; made product improvements; and experienced a decrease in prepayments, respectively. Mibanco continues to grow but at a slower pace due to a more prudent approach to lending. YoY, growth in structural loans was concentrated in Retail Banking and Mibanco in a context of economic reactivation.</w:t>
      </w:r>
    </w:p>
    <w:p>
      <w:pPr>
        <w:spacing w:after="0" w:line="153" w:lineRule="exact"/>
        <w:rPr>
          <w:sz w:val="20"/>
          <w:szCs w:val="20"/>
          <w:color w:val="auto"/>
        </w:rPr>
      </w:pPr>
    </w:p>
    <w:p>
      <w:pPr>
        <w:jc w:val="both"/>
        <w:ind w:left="120" w:right="100"/>
        <w:spacing w:after="0" w:line="265" w:lineRule="auto"/>
        <w:rPr>
          <w:sz w:val="20"/>
          <w:szCs w:val="20"/>
          <w:color w:val="auto"/>
        </w:rPr>
      </w:pPr>
      <w:r>
        <w:rPr>
          <w:rFonts w:ascii="Arial" w:cs="Arial" w:eastAsia="Arial" w:hAnsi="Arial"/>
          <w:sz w:val="18"/>
          <w:szCs w:val="18"/>
          <w:color w:val="FFFFFF"/>
        </w:rPr>
        <w:t>The Structural NPL ratio decreased QoQ as a result of the increase in structural loans and the drop in the IOL portfolio due to an increase in write-offs this quarter.</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Loans</w:t>
      </w:r>
    </w:p>
    <w:p>
      <w:pPr>
        <w:jc w:val="center"/>
        <w:spacing w:after="0" w:line="181" w:lineRule="auto"/>
        <w:rPr>
          <w:sz w:val="20"/>
          <w:szCs w:val="20"/>
          <w:color w:val="auto"/>
        </w:rPr>
      </w:pPr>
      <w:r>
        <w:rPr>
          <w:rFonts w:ascii="Times New Roman" w:cs="Times New Roman" w:eastAsia="Times New Roman" w:hAnsi="Times New Roman"/>
          <w:sz w:val="17"/>
          <w:szCs w:val="17"/>
          <w:b w:val="1"/>
          <w:bCs w:val="1"/>
          <w:color w:val="auto"/>
        </w:rPr>
        <w:t xml:space="preserve">Structural loans (in Average Daily Balances) </w:t>
      </w:r>
      <w:r>
        <w:rPr>
          <w:rFonts w:ascii="Times New Roman" w:cs="Times New Roman" w:eastAsia="Times New Roman" w:hAnsi="Times New Roman"/>
          <w:sz w:val="28"/>
          <w:szCs w:val="28"/>
          <w:b w:val="1"/>
          <w:bCs w:val="1"/>
          <w:color w:val="auto"/>
          <w:vertAlign w:val="superscript"/>
        </w:rPr>
        <w:t>(1)(2)(3)</w:t>
      </w:r>
    </w:p>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2280" w:type="dxa"/>
            <w:vAlign w:val="bottom"/>
            <w:tcBorders>
              <w:top w:val="single" w:sz="8" w:color="auto"/>
              <w:left w:val="single" w:sz="8" w:color="auto"/>
              <w:right w:val="single" w:sz="8" w:color="auto"/>
            </w:tcBorders>
            <w:vMerge w:val="restart"/>
            <w:shd w:val="clear" w:color="auto" w:fill="2AD2C9"/>
          </w:tcPr>
          <w:p>
            <w:pPr>
              <w:ind w:left="40"/>
              <w:spacing w:after="0"/>
              <w:rPr>
                <w:sz w:val="20"/>
                <w:szCs w:val="20"/>
                <w:color w:val="auto"/>
              </w:rPr>
            </w:pPr>
            <w:r>
              <w:rPr>
                <w:rFonts w:ascii="Arial" w:cs="Arial" w:eastAsia="Arial" w:hAnsi="Arial"/>
                <w:sz w:val="20"/>
                <w:szCs w:val="20"/>
                <w:b w:val="1"/>
                <w:bCs w:val="1"/>
                <w:color w:val="FFFFFF"/>
              </w:rPr>
              <w:t>Structural Loans</w:t>
            </w:r>
          </w:p>
        </w:tc>
        <w:tc>
          <w:tcPr>
            <w:tcW w:w="1000" w:type="dxa"/>
            <w:vAlign w:val="bottom"/>
            <w:tcBorders>
              <w:top w:val="single" w:sz="8" w:color="auto"/>
            </w:tcBorders>
            <w:shd w:val="clear" w:color="auto" w:fill="2AD2C9"/>
          </w:tcPr>
          <w:p>
            <w:pPr>
              <w:spacing w:after="0"/>
              <w:rPr>
                <w:sz w:val="17"/>
                <w:szCs w:val="17"/>
                <w:color w:val="auto"/>
              </w:rPr>
            </w:pPr>
          </w:p>
        </w:tc>
        <w:tc>
          <w:tcPr>
            <w:tcW w:w="100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5"/>
              </w:rPr>
              <w:t>As of</w:t>
            </w:r>
          </w:p>
        </w:tc>
        <w:tc>
          <w:tcPr>
            <w:tcW w:w="1020" w:type="dxa"/>
            <w:vAlign w:val="bottom"/>
            <w:tcBorders>
              <w:top w:val="single" w:sz="8" w:color="auto"/>
              <w:right w:val="single" w:sz="8" w:color="auto"/>
            </w:tcBorders>
            <w:shd w:val="clear" w:color="auto" w:fill="2AD2C9"/>
          </w:tcPr>
          <w:p>
            <w:pPr>
              <w:spacing w:after="0"/>
              <w:rPr>
                <w:sz w:val="17"/>
                <w:szCs w:val="17"/>
                <w:color w:val="auto"/>
              </w:rPr>
            </w:pPr>
          </w:p>
        </w:tc>
        <w:tc>
          <w:tcPr>
            <w:tcW w:w="1680" w:type="dxa"/>
            <w:vAlign w:val="bottom"/>
            <w:tcBorders>
              <w:top w:val="single" w:sz="8" w:color="auto"/>
              <w:right w:val="single" w:sz="8" w:color="auto"/>
            </w:tcBorders>
            <w:gridSpan w:val="2"/>
            <w:vMerge w:val="restart"/>
            <w:shd w:val="clear" w:color="auto" w:fill="2AD2C9"/>
          </w:tcPr>
          <w:p>
            <w:pPr>
              <w:ind w:left="120"/>
              <w:spacing w:after="0"/>
              <w:rPr>
                <w:sz w:val="20"/>
                <w:szCs w:val="20"/>
                <w:color w:val="auto"/>
              </w:rPr>
            </w:pPr>
            <w:r>
              <w:rPr>
                <w:rFonts w:ascii="Arial" w:cs="Arial" w:eastAsia="Arial" w:hAnsi="Arial"/>
                <w:sz w:val="20"/>
                <w:szCs w:val="20"/>
                <w:b w:val="1"/>
                <w:bCs w:val="1"/>
                <w:color w:val="FFFFFF"/>
              </w:rPr>
              <w:t>Volume change</w:t>
            </w:r>
          </w:p>
        </w:tc>
        <w:tc>
          <w:tcPr>
            <w:tcW w:w="1600" w:type="dxa"/>
            <w:vAlign w:val="bottom"/>
            <w:tcBorders>
              <w:top w:val="single" w:sz="8" w:color="auto"/>
              <w:right w:val="single" w:sz="8" w:color="auto"/>
            </w:tcBorders>
            <w:gridSpan w:val="2"/>
            <w:vMerge w:val="restart"/>
            <w:shd w:val="clear" w:color="auto" w:fill="2AD2C9"/>
          </w:tcPr>
          <w:p>
            <w:pPr>
              <w:ind w:left="320"/>
              <w:spacing w:after="0"/>
              <w:rPr>
                <w:sz w:val="20"/>
                <w:szCs w:val="20"/>
                <w:color w:val="auto"/>
              </w:rPr>
            </w:pPr>
            <w:r>
              <w:rPr>
                <w:rFonts w:ascii="Arial" w:cs="Arial" w:eastAsia="Arial" w:hAnsi="Arial"/>
                <w:sz w:val="20"/>
                <w:szCs w:val="20"/>
                <w:b w:val="1"/>
                <w:bCs w:val="1"/>
                <w:color w:val="FFFFFF"/>
              </w:rPr>
              <w:t>% change</w:t>
            </w:r>
          </w:p>
        </w:tc>
        <w:tc>
          <w:tcPr>
            <w:tcW w:w="2660" w:type="dxa"/>
            <w:vAlign w:val="bottom"/>
            <w:tcBorders>
              <w:top w:val="single" w:sz="8" w:color="auto"/>
              <w:right w:val="single" w:sz="8" w:color="auto"/>
            </w:tcBorders>
            <w:gridSpan w:val="3"/>
            <w:shd w:val="clear" w:color="auto" w:fill="2AD2C9"/>
          </w:tcPr>
          <w:p>
            <w:pPr>
              <w:jc w:val="center"/>
              <w:spacing w:after="0" w:line="198" w:lineRule="exact"/>
              <w:rPr>
                <w:sz w:val="20"/>
                <w:szCs w:val="20"/>
                <w:color w:val="auto"/>
              </w:rPr>
            </w:pPr>
            <w:r>
              <w:rPr>
                <w:rFonts w:ascii="Arial" w:cs="Arial" w:eastAsia="Arial" w:hAnsi="Arial"/>
                <w:sz w:val="20"/>
                <w:szCs w:val="20"/>
                <w:b w:val="1"/>
                <w:bCs w:val="1"/>
                <w:color w:val="FFFFFF"/>
                <w:w w:val="97"/>
              </w:rPr>
              <w:t>% Part. in total structural</w:t>
            </w:r>
          </w:p>
        </w:tc>
        <w:tc>
          <w:tcPr>
            <w:tcW w:w="0" w:type="dxa"/>
            <w:vAlign w:val="bottom"/>
          </w:tcPr>
          <w:p>
            <w:pPr>
              <w:spacing w:after="0"/>
              <w:rPr>
                <w:sz w:val="1"/>
                <w:szCs w:val="1"/>
                <w:color w:val="auto"/>
              </w:rPr>
            </w:pPr>
          </w:p>
        </w:tc>
      </w:tr>
      <w:tr>
        <w:trPr>
          <w:trHeight w:val="109"/>
        </w:trPr>
        <w:tc>
          <w:tcPr>
            <w:tcW w:w="2280" w:type="dxa"/>
            <w:vAlign w:val="bottom"/>
            <w:tcBorders>
              <w:left w:val="single" w:sz="8" w:color="auto"/>
              <w:right w:val="single" w:sz="8" w:color="auto"/>
            </w:tcBorders>
            <w:vMerge w:val="continue"/>
            <w:shd w:val="clear" w:color="auto" w:fill="2AD2C9"/>
          </w:tcPr>
          <w:p>
            <w:pPr>
              <w:spacing w:after="0"/>
              <w:rPr>
                <w:sz w:val="9"/>
                <w:szCs w:val="9"/>
                <w:color w:val="auto"/>
              </w:rPr>
            </w:pPr>
          </w:p>
        </w:tc>
        <w:tc>
          <w:tcPr>
            <w:tcW w:w="1000" w:type="dxa"/>
            <w:vAlign w:val="bottom"/>
            <w:shd w:val="clear" w:color="auto" w:fill="2AD2C9"/>
          </w:tcPr>
          <w:p>
            <w:pPr>
              <w:spacing w:after="0"/>
              <w:rPr>
                <w:sz w:val="9"/>
                <w:szCs w:val="9"/>
                <w:color w:val="auto"/>
              </w:rPr>
            </w:pPr>
          </w:p>
        </w:tc>
        <w:tc>
          <w:tcPr>
            <w:tcW w:w="1000" w:type="dxa"/>
            <w:vAlign w:val="bottom"/>
            <w:vMerge w:val="continue"/>
            <w:shd w:val="clear" w:color="auto" w:fill="2AD2C9"/>
          </w:tcPr>
          <w:p>
            <w:pPr>
              <w:spacing w:after="0"/>
              <w:rPr>
                <w:sz w:val="9"/>
                <w:szCs w:val="9"/>
                <w:color w:val="auto"/>
              </w:rPr>
            </w:pPr>
          </w:p>
        </w:tc>
        <w:tc>
          <w:tcPr>
            <w:tcW w:w="1020" w:type="dxa"/>
            <w:vAlign w:val="bottom"/>
            <w:tcBorders>
              <w:right w:val="single" w:sz="8" w:color="auto"/>
            </w:tcBorders>
            <w:shd w:val="clear" w:color="auto" w:fill="2AD2C9"/>
          </w:tcPr>
          <w:p>
            <w:pPr>
              <w:spacing w:after="0"/>
              <w:rPr>
                <w:sz w:val="9"/>
                <w:szCs w:val="9"/>
                <w:color w:val="auto"/>
              </w:rPr>
            </w:pPr>
          </w:p>
        </w:tc>
        <w:tc>
          <w:tcPr>
            <w:tcW w:w="1680" w:type="dxa"/>
            <w:vAlign w:val="bottom"/>
            <w:tcBorders>
              <w:right w:val="single" w:sz="8" w:color="auto"/>
            </w:tcBorders>
            <w:gridSpan w:val="2"/>
            <w:vMerge w:val="continue"/>
            <w:shd w:val="clear" w:color="auto" w:fill="2AD2C9"/>
          </w:tcPr>
          <w:p>
            <w:pPr>
              <w:spacing w:after="0"/>
              <w:rPr>
                <w:sz w:val="9"/>
                <w:szCs w:val="9"/>
                <w:color w:val="auto"/>
              </w:rPr>
            </w:pPr>
          </w:p>
        </w:tc>
        <w:tc>
          <w:tcPr>
            <w:tcW w:w="1600" w:type="dxa"/>
            <w:vAlign w:val="bottom"/>
            <w:tcBorders>
              <w:right w:val="single" w:sz="8" w:color="auto"/>
            </w:tcBorders>
            <w:gridSpan w:val="2"/>
            <w:vMerge w:val="continue"/>
            <w:shd w:val="clear" w:color="auto" w:fill="2AD2C9"/>
          </w:tcPr>
          <w:p>
            <w:pPr>
              <w:spacing w:after="0"/>
              <w:rPr>
                <w:sz w:val="9"/>
                <w:szCs w:val="9"/>
                <w:color w:val="auto"/>
              </w:rPr>
            </w:pPr>
          </w:p>
        </w:tc>
        <w:tc>
          <w:tcPr>
            <w:tcW w:w="880" w:type="dxa"/>
            <w:vAlign w:val="bottom"/>
            <w:shd w:val="clear" w:color="auto" w:fill="2AD2C9"/>
          </w:tcPr>
          <w:p>
            <w:pPr>
              <w:spacing w:after="0"/>
              <w:rPr>
                <w:sz w:val="9"/>
                <w:szCs w:val="9"/>
                <w:color w:val="auto"/>
              </w:rPr>
            </w:pPr>
          </w:p>
        </w:tc>
        <w:tc>
          <w:tcPr>
            <w:tcW w:w="900" w:type="dxa"/>
            <w:vAlign w:val="bottom"/>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9"/>
              </w:rPr>
              <w:t>loans</w:t>
            </w:r>
          </w:p>
        </w:tc>
        <w:tc>
          <w:tcPr>
            <w:tcW w:w="880" w:type="dxa"/>
            <w:vAlign w:val="bottom"/>
            <w:tcBorders>
              <w:right w:val="single" w:sz="8" w:color="auto"/>
            </w:tcBorders>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80" w:type="dxa"/>
            <w:vAlign w:val="bottom"/>
            <w:tcBorders>
              <w:left w:val="single" w:sz="8" w:color="auto"/>
              <w:right w:val="single" w:sz="8" w:color="auto"/>
            </w:tcBorders>
            <w:vMerge w:val="restart"/>
            <w:shd w:val="clear" w:color="auto" w:fill="2AD2C9"/>
          </w:tcPr>
          <w:p>
            <w:pPr>
              <w:ind w:left="40"/>
              <w:spacing w:after="0"/>
              <w:rPr>
                <w:sz w:val="20"/>
                <w:szCs w:val="20"/>
                <w:color w:val="auto"/>
              </w:rPr>
            </w:pPr>
            <w:r>
              <w:rPr>
                <w:rFonts w:ascii="Arial" w:cs="Arial" w:eastAsia="Arial" w:hAnsi="Arial"/>
                <w:sz w:val="20"/>
                <w:szCs w:val="20"/>
                <w:color w:val="FFFFFF"/>
              </w:rPr>
              <w:t>(S/ millions)</w:t>
            </w:r>
          </w:p>
        </w:tc>
        <w:tc>
          <w:tcPr>
            <w:tcW w:w="1000" w:type="dxa"/>
            <w:vAlign w:val="bottom"/>
            <w:shd w:val="clear" w:color="auto" w:fill="2AD2C9"/>
          </w:tcPr>
          <w:p>
            <w:pPr>
              <w:spacing w:after="0"/>
              <w:rPr>
                <w:sz w:val="11"/>
                <w:szCs w:val="11"/>
                <w:color w:val="auto"/>
              </w:rPr>
            </w:pPr>
          </w:p>
        </w:tc>
        <w:tc>
          <w:tcPr>
            <w:tcW w:w="1000" w:type="dxa"/>
            <w:vAlign w:val="bottom"/>
            <w:shd w:val="clear" w:color="auto" w:fill="2AD2C9"/>
          </w:tcPr>
          <w:p>
            <w:pPr>
              <w:spacing w:after="0"/>
              <w:rPr>
                <w:sz w:val="11"/>
                <w:szCs w:val="11"/>
                <w:color w:val="auto"/>
              </w:rPr>
            </w:pPr>
          </w:p>
        </w:tc>
        <w:tc>
          <w:tcPr>
            <w:tcW w:w="1020" w:type="dxa"/>
            <w:vAlign w:val="bottom"/>
            <w:tcBorders>
              <w:right w:val="single" w:sz="8" w:color="auto"/>
            </w:tcBorders>
            <w:shd w:val="clear" w:color="auto" w:fill="2AD2C9"/>
          </w:tcPr>
          <w:p>
            <w:pPr>
              <w:spacing w:after="0"/>
              <w:rPr>
                <w:sz w:val="11"/>
                <w:szCs w:val="11"/>
                <w:color w:val="auto"/>
              </w:rPr>
            </w:pPr>
          </w:p>
        </w:tc>
        <w:tc>
          <w:tcPr>
            <w:tcW w:w="780" w:type="dxa"/>
            <w:vAlign w:val="bottom"/>
            <w:shd w:val="clear" w:color="auto" w:fill="2AD2C9"/>
          </w:tcPr>
          <w:p>
            <w:pPr>
              <w:spacing w:after="0"/>
              <w:rPr>
                <w:sz w:val="11"/>
                <w:szCs w:val="11"/>
                <w:color w:val="auto"/>
              </w:rPr>
            </w:pPr>
          </w:p>
        </w:tc>
        <w:tc>
          <w:tcPr>
            <w:tcW w:w="900" w:type="dxa"/>
            <w:vAlign w:val="bottom"/>
            <w:tcBorders>
              <w:right w:val="single" w:sz="8" w:color="auto"/>
            </w:tcBorders>
            <w:shd w:val="clear" w:color="auto" w:fill="2AD2C9"/>
          </w:tcPr>
          <w:p>
            <w:pPr>
              <w:spacing w:after="0"/>
              <w:rPr>
                <w:sz w:val="11"/>
                <w:szCs w:val="11"/>
                <w:color w:val="auto"/>
              </w:rPr>
            </w:pPr>
          </w:p>
        </w:tc>
        <w:tc>
          <w:tcPr>
            <w:tcW w:w="780" w:type="dxa"/>
            <w:vAlign w:val="bottom"/>
            <w:shd w:val="clear" w:color="auto" w:fill="2AD2C9"/>
          </w:tcPr>
          <w:p>
            <w:pPr>
              <w:spacing w:after="0"/>
              <w:rPr>
                <w:sz w:val="11"/>
                <w:szCs w:val="11"/>
                <w:color w:val="auto"/>
              </w:rPr>
            </w:pPr>
          </w:p>
        </w:tc>
        <w:tc>
          <w:tcPr>
            <w:tcW w:w="820" w:type="dxa"/>
            <w:vAlign w:val="bottom"/>
            <w:tcBorders>
              <w:right w:val="single" w:sz="8" w:color="auto"/>
            </w:tcBorders>
            <w:shd w:val="clear" w:color="auto" w:fill="2AD2C9"/>
          </w:tcPr>
          <w:p>
            <w:pPr>
              <w:spacing w:after="0"/>
              <w:rPr>
                <w:sz w:val="11"/>
                <w:szCs w:val="11"/>
                <w:color w:val="auto"/>
              </w:rPr>
            </w:pPr>
          </w:p>
        </w:tc>
        <w:tc>
          <w:tcPr>
            <w:tcW w:w="880" w:type="dxa"/>
            <w:vAlign w:val="bottom"/>
            <w:shd w:val="clear" w:color="auto" w:fill="2AD2C9"/>
          </w:tcPr>
          <w:p>
            <w:pPr>
              <w:spacing w:after="0"/>
              <w:rPr>
                <w:sz w:val="11"/>
                <w:szCs w:val="11"/>
                <w:color w:val="auto"/>
              </w:rPr>
            </w:pPr>
          </w:p>
        </w:tc>
        <w:tc>
          <w:tcPr>
            <w:tcW w:w="900" w:type="dxa"/>
            <w:vAlign w:val="bottom"/>
            <w:vMerge w:val="continue"/>
            <w:shd w:val="clear" w:color="auto" w:fill="2AD2C9"/>
          </w:tcPr>
          <w:p>
            <w:pPr>
              <w:spacing w:after="0"/>
              <w:rPr>
                <w:sz w:val="11"/>
                <w:szCs w:val="11"/>
                <w:color w:val="auto"/>
              </w:rPr>
            </w:pPr>
          </w:p>
        </w:tc>
        <w:tc>
          <w:tcPr>
            <w:tcW w:w="880" w:type="dxa"/>
            <w:vAlign w:val="bottom"/>
            <w:tcBorders>
              <w:right w:val="single" w:sz="8" w:color="auto"/>
            </w:tcBorders>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tcBorders>
              <w:left w:val="single" w:sz="8" w:color="auto"/>
              <w:right w:val="single" w:sz="8" w:color="auto"/>
            </w:tcBorders>
            <w:vMerge w:val="continue"/>
            <w:shd w:val="clear" w:color="auto" w:fill="2AD2C9"/>
          </w:tcPr>
          <w:p>
            <w:pPr>
              <w:spacing w:after="0"/>
              <w:rPr>
                <w:sz w:val="11"/>
                <w:szCs w:val="11"/>
                <w:color w:val="auto"/>
              </w:rPr>
            </w:pPr>
          </w:p>
        </w:tc>
        <w:tc>
          <w:tcPr>
            <w:tcW w:w="1000" w:type="dxa"/>
            <w:vAlign w:val="bottom"/>
            <w:vMerge w:val="restart"/>
            <w:shd w:val="clear" w:color="auto" w:fill="2AD2C9"/>
          </w:tcPr>
          <w:p>
            <w:pPr>
              <w:ind w:left="180"/>
              <w:spacing w:after="0" w:line="214" w:lineRule="exact"/>
              <w:rPr>
                <w:sz w:val="20"/>
                <w:szCs w:val="20"/>
                <w:color w:val="auto"/>
              </w:rPr>
            </w:pPr>
            <w:r>
              <w:rPr>
                <w:rFonts w:ascii="Arial" w:cs="Arial" w:eastAsia="Arial" w:hAnsi="Arial"/>
                <w:sz w:val="20"/>
                <w:szCs w:val="20"/>
                <w:b w:val="1"/>
                <w:bCs w:val="1"/>
                <w:color w:val="FFFFFF"/>
              </w:rPr>
              <w:t>Sep 21</w:t>
            </w:r>
          </w:p>
        </w:tc>
        <w:tc>
          <w:tcPr>
            <w:tcW w:w="1000" w:type="dxa"/>
            <w:vAlign w:val="bottom"/>
            <w:vMerge w:val="restart"/>
            <w:shd w:val="clear" w:color="auto" w:fill="2AD2C9"/>
          </w:tcPr>
          <w:p>
            <w:pPr>
              <w:jc w:val="center"/>
              <w:spacing w:after="0" w:line="214" w:lineRule="exact"/>
              <w:rPr>
                <w:sz w:val="20"/>
                <w:szCs w:val="20"/>
                <w:color w:val="auto"/>
              </w:rPr>
            </w:pPr>
            <w:r>
              <w:rPr>
                <w:rFonts w:ascii="Arial" w:cs="Arial" w:eastAsia="Arial" w:hAnsi="Arial"/>
                <w:sz w:val="20"/>
                <w:szCs w:val="20"/>
                <w:b w:val="1"/>
                <w:bCs w:val="1"/>
                <w:color w:val="FFFFFF"/>
                <w:w w:val="97"/>
              </w:rPr>
              <w:t>Jun 22</w:t>
            </w:r>
          </w:p>
        </w:tc>
        <w:tc>
          <w:tcPr>
            <w:tcW w:w="1020" w:type="dxa"/>
            <w:vAlign w:val="bottom"/>
            <w:tcBorders>
              <w:right w:val="single" w:sz="8" w:color="auto"/>
            </w:tcBorders>
            <w:vMerge w:val="restart"/>
            <w:shd w:val="clear" w:color="auto" w:fill="2AD2C9"/>
          </w:tcPr>
          <w:p>
            <w:pPr>
              <w:ind w:left="200"/>
              <w:spacing w:after="0" w:line="214" w:lineRule="exact"/>
              <w:rPr>
                <w:sz w:val="20"/>
                <w:szCs w:val="20"/>
                <w:color w:val="auto"/>
              </w:rPr>
            </w:pPr>
            <w:r>
              <w:rPr>
                <w:rFonts w:ascii="Arial" w:cs="Arial" w:eastAsia="Arial" w:hAnsi="Arial"/>
                <w:sz w:val="20"/>
                <w:szCs w:val="20"/>
                <w:b w:val="1"/>
                <w:bCs w:val="1"/>
                <w:color w:val="FFFFFF"/>
              </w:rPr>
              <w:t>Sep 22</w:t>
            </w:r>
          </w:p>
        </w:tc>
        <w:tc>
          <w:tcPr>
            <w:tcW w:w="780" w:type="dxa"/>
            <w:vAlign w:val="bottom"/>
            <w:vMerge w:val="restart"/>
            <w:shd w:val="clear" w:color="auto" w:fill="2AD2C9"/>
          </w:tcPr>
          <w:p>
            <w:pPr>
              <w:ind w:left="180"/>
              <w:spacing w:after="0" w:line="214" w:lineRule="exact"/>
              <w:rPr>
                <w:sz w:val="20"/>
                <w:szCs w:val="20"/>
                <w:color w:val="auto"/>
              </w:rPr>
            </w:pPr>
            <w:r>
              <w:rPr>
                <w:rFonts w:ascii="Arial" w:cs="Arial" w:eastAsia="Arial" w:hAnsi="Arial"/>
                <w:sz w:val="20"/>
                <w:szCs w:val="20"/>
                <w:b w:val="1"/>
                <w:bCs w:val="1"/>
                <w:color w:val="FFFFFF"/>
              </w:rPr>
              <w:t>QoQ</w:t>
            </w:r>
          </w:p>
        </w:tc>
        <w:tc>
          <w:tcPr>
            <w:tcW w:w="900" w:type="dxa"/>
            <w:vAlign w:val="bottom"/>
            <w:tcBorders>
              <w:right w:val="single" w:sz="8" w:color="auto"/>
            </w:tcBorders>
            <w:vMerge w:val="restart"/>
            <w:shd w:val="clear" w:color="auto" w:fill="2AD2C9"/>
          </w:tcPr>
          <w:p>
            <w:pPr>
              <w:ind w:left="260"/>
              <w:spacing w:after="0" w:line="214" w:lineRule="exact"/>
              <w:rPr>
                <w:sz w:val="20"/>
                <w:szCs w:val="20"/>
                <w:color w:val="auto"/>
              </w:rPr>
            </w:pPr>
            <w:r>
              <w:rPr>
                <w:rFonts w:ascii="Arial" w:cs="Arial" w:eastAsia="Arial" w:hAnsi="Arial"/>
                <w:sz w:val="20"/>
                <w:szCs w:val="20"/>
                <w:b w:val="1"/>
                <w:bCs w:val="1"/>
                <w:color w:val="FFFFFF"/>
              </w:rPr>
              <w:t>YoY</w:t>
            </w:r>
          </w:p>
        </w:tc>
        <w:tc>
          <w:tcPr>
            <w:tcW w:w="780" w:type="dxa"/>
            <w:vAlign w:val="bottom"/>
            <w:vMerge w:val="restart"/>
            <w:shd w:val="clear" w:color="auto" w:fill="2AD2C9"/>
          </w:tcPr>
          <w:p>
            <w:pPr>
              <w:ind w:left="180"/>
              <w:spacing w:after="0" w:line="214" w:lineRule="exact"/>
              <w:rPr>
                <w:sz w:val="20"/>
                <w:szCs w:val="20"/>
                <w:color w:val="auto"/>
              </w:rPr>
            </w:pPr>
            <w:r>
              <w:rPr>
                <w:rFonts w:ascii="Arial" w:cs="Arial" w:eastAsia="Arial" w:hAnsi="Arial"/>
                <w:sz w:val="20"/>
                <w:szCs w:val="20"/>
                <w:b w:val="1"/>
                <w:bCs w:val="1"/>
                <w:color w:val="FFFFFF"/>
              </w:rPr>
              <w:t>QoQ</w:t>
            </w:r>
          </w:p>
        </w:tc>
        <w:tc>
          <w:tcPr>
            <w:tcW w:w="820" w:type="dxa"/>
            <w:vAlign w:val="bottom"/>
            <w:tcBorders>
              <w:right w:val="single" w:sz="8" w:color="auto"/>
            </w:tcBorders>
            <w:vMerge w:val="restart"/>
            <w:shd w:val="clear" w:color="auto" w:fill="2AD2C9"/>
          </w:tcPr>
          <w:p>
            <w:pPr>
              <w:ind w:left="200"/>
              <w:spacing w:after="0" w:line="214" w:lineRule="exact"/>
              <w:rPr>
                <w:sz w:val="20"/>
                <w:szCs w:val="20"/>
                <w:color w:val="auto"/>
              </w:rPr>
            </w:pPr>
            <w:r>
              <w:rPr>
                <w:rFonts w:ascii="Arial" w:cs="Arial" w:eastAsia="Arial" w:hAnsi="Arial"/>
                <w:sz w:val="20"/>
                <w:szCs w:val="20"/>
                <w:b w:val="1"/>
                <w:bCs w:val="1"/>
                <w:color w:val="FFFFFF"/>
              </w:rPr>
              <w:t>YoY</w:t>
            </w:r>
          </w:p>
        </w:tc>
        <w:tc>
          <w:tcPr>
            <w:tcW w:w="880" w:type="dxa"/>
            <w:vAlign w:val="bottom"/>
            <w:vMerge w:val="restart"/>
            <w:shd w:val="clear" w:color="auto" w:fill="2AD2C9"/>
          </w:tcPr>
          <w:p>
            <w:pPr>
              <w:ind w:left="120"/>
              <w:spacing w:after="0" w:line="214" w:lineRule="exact"/>
              <w:rPr>
                <w:sz w:val="20"/>
                <w:szCs w:val="20"/>
                <w:color w:val="auto"/>
              </w:rPr>
            </w:pPr>
            <w:r>
              <w:rPr>
                <w:rFonts w:ascii="Arial" w:cs="Arial" w:eastAsia="Arial" w:hAnsi="Arial"/>
                <w:sz w:val="20"/>
                <w:szCs w:val="20"/>
                <w:b w:val="1"/>
                <w:bCs w:val="1"/>
                <w:color w:val="FFFFFF"/>
              </w:rPr>
              <w:t>Sep 21</w:t>
            </w:r>
          </w:p>
        </w:tc>
        <w:tc>
          <w:tcPr>
            <w:tcW w:w="900" w:type="dxa"/>
            <w:vAlign w:val="bottom"/>
            <w:vMerge w:val="restart"/>
            <w:shd w:val="clear" w:color="auto" w:fill="2AD2C9"/>
          </w:tcPr>
          <w:p>
            <w:pPr>
              <w:jc w:val="center"/>
              <w:spacing w:after="0" w:line="214" w:lineRule="exact"/>
              <w:rPr>
                <w:sz w:val="20"/>
                <w:szCs w:val="20"/>
                <w:color w:val="auto"/>
              </w:rPr>
            </w:pPr>
            <w:r>
              <w:rPr>
                <w:rFonts w:ascii="Arial" w:cs="Arial" w:eastAsia="Arial" w:hAnsi="Arial"/>
                <w:sz w:val="20"/>
                <w:szCs w:val="20"/>
                <w:b w:val="1"/>
                <w:bCs w:val="1"/>
                <w:color w:val="FFFFFF"/>
                <w:w w:val="97"/>
              </w:rPr>
              <w:t>Jun 22</w:t>
            </w:r>
          </w:p>
        </w:tc>
        <w:tc>
          <w:tcPr>
            <w:tcW w:w="880" w:type="dxa"/>
            <w:vAlign w:val="bottom"/>
            <w:tcBorders>
              <w:right w:val="single" w:sz="8" w:color="2AD2C9"/>
            </w:tcBorders>
            <w:vMerge w:val="restart"/>
            <w:shd w:val="clear" w:color="auto" w:fill="2AD2C9"/>
          </w:tcPr>
          <w:p>
            <w:pPr>
              <w:ind w:left="120"/>
              <w:spacing w:after="0" w:line="214" w:lineRule="exact"/>
              <w:rPr>
                <w:sz w:val="20"/>
                <w:szCs w:val="20"/>
                <w:color w:val="auto"/>
              </w:rPr>
            </w:pPr>
            <w:r>
              <w:rPr>
                <w:rFonts w:ascii="Arial" w:cs="Arial" w:eastAsia="Arial" w:hAnsi="Arial"/>
                <w:sz w:val="20"/>
                <w:szCs w:val="20"/>
                <w:b w:val="1"/>
                <w:bCs w:val="1"/>
                <w:color w:val="FFFFFF"/>
              </w:rPr>
              <w:t>Sep 22</w:t>
            </w:r>
          </w:p>
        </w:tc>
        <w:tc>
          <w:tcPr>
            <w:tcW w:w="0" w:type="dxa"/>
            <w:vAlign w:val="bottom"/>
          </w:tcPr>
          <w:p>
            <w:pPr>
              <w:spacing w:after="0"/>
              <w:rPr>
                <w:sz w:val="1"/>
                <w:szCs w:val="1"/>
                <w:color w:val="auto"/>
              </w:rPr>
            </w:pPr>
          </w:p>
        </w:tc>
      </w:tr>
      <w:tr>
        <w:trPr>
          <w:trHeight w:val="92"/>
        </w:trPr>
        <w:tc>
          <w:tcPr>
            <w:tcW w:w="2280" w:type="dxa"/>
            <w:vAlign w:val="bottom"/>
            <w:tcBorders>
              <w:left w:val="single" w:sz="8" w:color="auto"/>
              <w:bottom w:val="single" w:sz="8" w:color="auto"/>
              <w:right w:val="single" w:sz="8" w:color="auto"/>
            </w:tcBorders>
            <w:shd w:val="clear" w:color="auto" w:fill="2AD2C9"/>
          </w:tcPr>
          <w:p>
            <w:pPr>
              <w:spacing w:after="0"/>
              <w:rPr>
                <w:sz w:val="8"/>
                <w:szCs w:val="8"/>
                <w:color w:val="auto"/>
              </w:rPr>
            </w:pPr>
          </w:p>
        </w:tc>
        <w:tc>
          <w:tcPr>
            <w:tcW w:w="1000" w:type="dxa"/>
            <w:vAlign w:val="bottom"/>
            <w:tcBorders>
              <w:bottom w:val="single" w:sz="8" w:color="auto"/>
            </w:tcBorders>
            <w:vMerge w:val="continue"/>
            <w:shd w:val="clear" w:color="auto" w:fill="2AD2C9"/>
          </w:tcPr>
          <w:p>
            <w:pPr>
              <w:spacing w:after="0"/>
              <w:rPr>
                <w:sz w:val="8"/>
                <w:szCs w:val="8"/>
                <w:color w:val="auto"/>
              </w:rPr>
            </w:pPr>
          </w:p>
        </w:tc>
        <w:tc>
          <w:tcPr>
            <w:tcW w:w="1000" w:type="dxa"/>
            <w:vAlign w:val="bottom"/>
            <w:tcBorders>
              <w:bottom w:val="single" w:sz="8" w:color="auto"/>
            </w:tcBorders>
            <w:vMerge w:val="continue"/>
            <w:shd w:val="clear" w:color="auto" w:fill="2AD2C9"/>
          </w:tcPr>
          <w:p>
            <w:pPr>
              <w:spacing w:after="0"/>
              <w:rPr>
                <w:sz w:val="8"/>
                <w:szCs w:val="8"/>
                <w:color w:val="auto"/>
              </w:rPr>
            </w:pPr>
          </w:p>
        </w:tc>
        <w:tc>
          <w:tcPr>
            <w:tcW w:w="1020" w:type="dxa"/>
            <w:vAlign w:val="bottom"/>
            <w:tcBorders>
              <w:bottom w:val="single" w:sz="8" w:color="auto"/>
              <w:right w:val="single" w:sz="8" w:color="auto"/>
            </w:tcBorders>
            <w:vMerge w:val="continue"/>
            <w:shd w:val="clear" w:color="auto" w:fill="2AD2C9"/>
          </w:tcPr>
          <w:p>
            <w:pPr>
              <w:spacing w:after="0"/>
              <w:rPr>
                <w:sz w:val="8"/>
                <w:szCs w:val="8"/>
                <w:color w:val="auto"/>
              </w:rPr>
            </w:pPr>
          </w:p>
        </w:tc>
        <w:tc>
          <w:tcPr>
            <w:tcW w:w="780" w:type="dxa"/>
            <w:vAlign w:val="bottom"/>
            <w:tcBorders>
              <w:bottom w:val="single" w:sz="8" w:color="auto"/>
            </w:tcBorders>
            <w:vMerge w:val="continue"/>
            <w:shd w:val="clear" w:color="auto" w:fill="2AD2C9"/>
          </w:tcPr>
          <w:p>
            <w:pPr>
              <w:spacing w:after="0"/>
              <w:rPr>
                <w:sz w:val="8"/>
                <w:szCs w:val="8"/>
                <w:color w:val="auto"/>
              </w:rPr>
            </w:pPr>
          </w:p>
        </w:tc>
        <w:tc>
          <w:tcPr>
            <w:tcW w:w="900" w:type="dxa"/>
            <w:vAlign w:val="bottom"/>
            <w:tcBorders>
              <w:bottom w:val="single" w:sz="8" w:color="auto"/>
              <w:right w:val="single" w:sz="8" w:color="auto"/>
            </w:tcBorders>
            <w:vMerge w:val="continue"/>
            <w:shd w:val="clear" w:color="auto" w:fill="2AD2C9"/>
          </w:tcPr>
          <w:p>
            <w:pPr>
              <w:spacing w:after="0"/>
              <w:rPr>
                <w:sz w:val="8"/>
                <w:szCs w:val="8"/>
                <w:color w:val="auto"/>
              </w:rPr>
            </w:pPr>
          </w:p>
        </w:tc>
        <w:tc>
          <w:tcPr>
            <w:tcW w:w="780" w:type="dxa"/>
            <w:vAlign w:val="bottom"/>
            <w:tcBorders>
              <w:bottom w:val="single" w:sz="8" w:color="auto"/>
            </w:tcBorders>
            <w:vMerge w:val="continue"/>
            <w:shd w:val="clear" w:color="auto" w:fill="2AD2C9"/>
          </w:tcPr>
          <w:p>
            <w:pPr>
              <w:spacing w:after="0"/>
              <w:rPr>
                <w:sz w:val="8"/>
                <w:szCs w:val="8"/>
                <w:color w:val="auto"/>
              </w:rPr>
            </w:pPr>
          </w:p>
        </w:tc>
        <w:tc>
          <w:tcPr>
            <w:tcW w:w="820" w:type="dxa"/>
            <w:vAlign w:val="bottom"/>
            <w:tcBorders>
              <w:bottom w:val="single" w:sz="8" w:color="auto"/>
              <w:right w:val="single" w:sz="8" w:color="auto"/>
            </w:tcBorders>
            <w:vMerge w:val="continue"/>
            <w:shd w:val="clear" w:color="auto" w:fill="2AD2C9"/>
          </w:tcPr>
          <w:p>
            <w:pPr>
              <w:spacing w:after="0"/>
              <w:rPr>
                <w:sz w:val="8"/>
                <w:szCs w:val="8"/>
                <w:color w:val="auto"/>
              </w:rPr>
            </w:pPr>
          </w:p>
        </w:tc>
        <w:tc>
          <w:tcPr>
            <w:tcW w:w="880" w:type="dxa"/>
            <w:vAlign w:val="bottom"/>
            <w:tcBorders>
              <w:bottom w:val="single" w:sz="8" w:color="auto"/>
            </w:tcBorders>
            <w:vMerge w:val="continue"/>
            <w:shd w:val="clear" w:color="auto" w:fill="2AD2C9"/>
          </w:tcPr>
          <w:p>
            <w:pPr>
              <w:spacing w:after="0"/>
              <w:rPr>
                <w:sz w:val="8"/>
                <w:szCs w:val="8"/>
                <w:color w:val="auto"/>
              </w:rPr>
            </w:pPr>
          </w:p>
        </w:tc>
        <w:tc>
          <w:tcPr>
            <w:tcW w:w="900" w:type="dxa"/>
            <w:vAlign w:val="bottom"/>
            <w:tcBorders>
              <w:bottom w:val="single" w:sz="8" w:color="auto"/>
            </w:tcBorders>
            <w:vMerge w:val="continue"/>
            <w:shd w:val="clear" w:color="auto" w:fill="2AD2C9"/>
          </w:tcPr>
          <w:p>
            <w:pPr>
              <w:spacing w:after="0"/>
              <w:rPr>
                <w:sz w:val="8"/>
                <w:szCs w:val="8"/>
                <w:color w:val="auto"/>
              </w:rPr>
            </w:pPr>
          </w:p>
        </w:tc>
        <w:tc>
          <w:tcPr>
            <w:tcW w:w="880" w:type="dxa"/>
            <w:vAlign w:val="bottom"/>
            <w:tcBorders>
              <w:bottom w:val="single" w:sz="8" w:color="auto"/>
              <w:right w:val="single" w:sz="8" w:color="2AD2C9"/>
            </w:tcBorders>
            <w:vMerge w:val="continue"/>
            <w:shd w:val="clear" w:color="auto" w:fill="2AD2C9"/>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40"/>
              <w:spacing w:after="0" w:line="190" w:lineRule="exact"/>
              <w:rPr>
                <w:sz w:val="20"/>
                <w:szCs w:val="20"/>
                <w:color w:val="auto"/>
              </w:rPr>
            </w:pPr>
            <w:r>
              <w:rPr>
                <w:rFonts w:ascii="Arial" w:cs="Arial" w:eastAsia="Arial" w:hAnsi="Arial"/>
                <w:sz w:val="20"/>
                <w:szCs w:val="20"/>
                <w:b w:val="1"/>
                <w:bCs w:val="1"/>
                <w:color w:val="auto"/>
              </w:rPr>
              <w:t>BCP Stand-alone</w:t>
            </w:r>
          </w:p>
        </w:tc>
        <w:tc>
          <w:tcPr>
            <w:tcW w:w="100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6"/>
              </w:rPr>
              <w:t>101,483</w:t>
            </w:r>
          </w:p>
        </w:tc>
        <w:tc>
          <w:tcPr>
            <w:tcW w:w="100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6"/>
              </w:rPr>
              <w:t>106,391</w:t>
            </w:r>
          </w:p>
        </w:tc>
        <w:tc>
          <w:tcPr>
            <w:tcW w:w="10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6"/>
              </w:rPr>
              <w:t>112,276</w:t>
            </w:r>
          </w:p>
        </w:tc>
        <w:tc>
          <w:tcPr>
            <w:tcW w:w="78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5"/>
              </w:rPr>
              <w:t>5,885</w:t>
            </w: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8"/>
              </w:rPr>
              <w:t>10,794</w:t>
            </w:r>
          </w:p>
        </w:tc>
        <w:tc>
          <w:tcPr>
            <w:tcW w:w="78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6"/>
              </w:rPr>
              <w:t>5.5%</w:t>
            </w:r>
          </w:p>
        </w:tc>
        <w:tc>
          <w:tcPr>
            <w:tcW w:w="8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8"/>
              </w:rPr>
              <w:t>10.6%</w:t>
            </w:r>
          </w:p>
        </w:tc>
        <w:tc>
          <w:tcPr>
            <w:tcW w:w="88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5"/>
              </w:rPr>
              <w:t>81.5%</w:t>
            </w:r>
          </w:p>
        </w:tc>
        <w:tc>
          <w:tcPr>
            <w:tcW w:w="90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8"/>
              </w:rPr>
              <w:t>81.5%</w:t>
            </w:r>
          </w:p>
        </w:tc>
        <w:tc>
          <w:tcPr>
            <w:tcW w:w="88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8"/>
              </w:rPr>
              <w:t>81.8%</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200"/>
              <w:spacing w:after="0" w:line="216" w:lineRule="exact"/>
              <w:rPr>
                <w:sz w:val="20"/>
                <w:szCs w:val="20"/>
                <w:color w:val="auto"/>
              </w:rPr>
            </w:pPr>
            <w:r>
              <w:rPr>
                <w:rFonts w:ascii="Arial" w:cs="Arial" w:eastAsia="Arial" w:hAnsi="Arial"/>
                <w:sz w:val="20"/>
                <w:szCs w:val="20"/>
                <w:b w:val="1"/>
                <w:bCs w:val="1"/>
                <w:color w:val="auto"/>
              </w:rPr>
              <w:t>Wholesale Banking</w:t>
            </w:r>
          </w:p>
        </w:tc>
        <w:tc>
          <w:tcPr>
            <w:tcW w:w="10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53,048</w:t>
            </w:r>
          </w:p>
        </w:tc>
        <w:tc>
          <w:tcPr>
            <w:tcW w:w="10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53,460</w:t>
            </w:r>
          </w:p>
        </w:tc>
        <w:tc>
          <w:tcPr>
            <w:tcW w:w="10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56,969</w:t>
            </w:r>
          </w:p>
        </w:tc>
        <w:tc>
          <w:tcPr>
            <w:tcW w:w="7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3,508</w:t>
            </w:r>
          </w:p>
        </w:tc>
        <w:tc>
          <w:tcPr>
            <w:tcW w:w="9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5"/>
              </w:rPr>
              <w:t>3,920</w:t>
            </w:r>
          </w:p>
        </w:tc>
        <w:tc>
          <w:tcPr>
            <w:tcW w:w="7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6"/>
              </w:rPr>
              <w:t>6.6%</w:t>
            </w:r>
          </w:p>
        </w:tc>
        <w:tc>
          <w:tcPr>
            <w:tcW w:w="8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rPr>
              <w:t>7.4%</w:t>
            </w:r>
          </w:p>
        </w:tc>
        <w:tc>
          <w:tcPr>
            <w:tcW w:w="88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42.6%</w:t>
            </w:r>
          </w:p>
        </w:tc>
        <w:tc>
          <w:tcPr>
            <w:tcW w:w="9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41.0%</w:t>
            </w:r>
          </w:p>
        </w:tc>
        <w:tc>
          <w:tcPr>
            <w:tcW w:w="8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41.5%</w:t>
            </w:r>
          </w:p>
        </w:tc>
        <w:tc>
          <w:tcPr>
            <w:tcW w:w="0" w:type="dxa"/>
            <w:vAlign w:val="bottom"/>
          </w:tcPr>
          <w:p>
            <w:pPr>
              <w:spacing w:after="0"/>
              <w:rPr>
                <w:sz w:val="1"/>
                <w:szCs w:val="1"/>
                <w:color w:val="auto"/>
              </w:rPr>
            </w:pPr>
          </w:p>
        </w:tc>
      </w:tr>
      <w:tr>
        <w:trPr>
          <w:trHeight w:val="22"/>
        </w:trPr>
        <w:tc>
          <w:tcPr>
            <w:tcW w:w="2280" w:type="dxa"/>
            <w:vAlign w:val="bottom"/>
            <w:tcBorders>
              <w:left w:val="single" w:sz="8" w:color="auto"/>
              <w:right w:val="single" w:sz="8" w:color="auto"/>
            </w:tcBorders>
            <w:vMerge w:val="restart"/>
          </w:tcPr>
          <w:p>
            <w:pPr>
              <w:ind w:left="360"/>
              <w:spacing w:after="0" w:line="214" w:lineRule="exact"/>
              <w:rPr>
                <w:sz w:val="20"/>
                <w:szCs w:val="20"/>
                <w:color w:val="auto"/>
              </w:rPr>
            </w:pPr>
            <w:r>
              <w:rPr>
                <w:rFonts w:ascii="Arial" w:cs="Arial" w:eastAsia="Arial" w:hAnsi="Arial"/>
                <w:sz w:val="20"/>
                <w:szCs w:val="20"/>
                <w:color w:val="auto"/>
              </w:rPr>
              <w:t>Corporate</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4"/>
              </w:rPr>
              <w:t>32,115</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8"/>
              </w:rPr>
              <w:t>32,099</w:t>
            </w:r>
          </w:p>
        </w:tc>
        <w:tc>
          <w:tcPr>
            <w:tcW w:w="10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8"/>
              </w:rPr>
              <w:t>34,686</w:t>
            </w:r>
          </w:p>
        </w:tc>
        <w:tc>
          <w:tcPr>
            <w:tcW w:w="78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78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6"/>
              </w:rPr>
              <w:t>8.1%</w:t>
            </w:r>
          </w:p>
        </w:tc>
        <w:tc>
          <w:tcPr>
            <w:tcW w:w="8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rPr>
              <w:t>8.0%</w:t>
            </w:r>
          </w:p>
        </w:tc>
        <w:tc>
          <w:tcPr>
            <w:tcW w:w="88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5"/>
              </w:rPr>
              <w:t>25.8%</w:t>
            </w:r>
          </w:p>
        </w:tc>
        <w:tc>
          <w:tcPr>
            <w:tcW w:w="9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8"/>
              </w:rPr>
              <w:t>24.6%</w:t>
            </w:r>
          </w:p>
        </w:tc>
        <w:tc>
          <w:tcPr>
            <w:tcW w:w="88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8"/>
              </w:rPr>
              <w:t>25.3%</w:t>
            </w:r>
          </w:p>
        </w:tc>
        <w:tc>
          <w:tcPr>
            <w:tcW w:w="0" w:type="dxa"/>
            <w:vAlign w:val="bottom"/>
          </w:tcPr>
          <w:p>
            <w:pPr>
              <w:spacing w:after="0" w:line="20" w:lineRule="exact"/>
              <w:rPr>
                <w:sz w:val="1"/>
                <w:szCs w:val="1"/>
                <w:color w:val="auto"/>
              </w:rPr>
            </w:pPr>
          </w:p>
        </w:tc>
      </w:tr>
      <w:tr>
        <w:trPr>
          <w:trHeight w:val="194"/>
        </w:trPr>
        <w:tc>
          <w:tcPr>
            <w:tcW w:w="2280" w:type="dxa"/>
            <w:vAlign w:val="bottom"/>
            <w:tcBorders>
              <w:left w:val="single" w:sz="8" w:color="auto"/>
              <w:right w:val="single" w:sz="8" w:color="auto"/>
            </w:tcBorders>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780" w:type="dxa"/>
            <w:vAlign w:val="bottom"/>
            <w:tcBorders>
              <w:bottom w:val="single" w:sz="8" w:color="26D07C"/>
            </w:tcBorders>
            <w:shd w:val="clear" w:color="auto" w:fill="26D07C"/>
          </w:tcPr>
          <w:p>
            <w:pPr>
              <w:jc w:val="center"/>
              <w:spacing w:after="0" w:line="193" w:lineRule="exact"/>
              <w:rPr>
                <w:sz w:val="20"/>
                <w:szCs w:val="20"/>
                <w:color w:val="auto"/>
              </w:rPr>
            </w:pPr>
            <w:r>
              <w:rPr>
                <w:rFonts w:ascii="Arial" w:cs="Arial" w:eastAsia="Arial" w:hAnsi="Arial"/>
                <w:sz w:val="20"/>
                <w:szCs w:val="20"/>
                <w:color w:val="auto"/>
                <w:w w:val="95"/>
              </w:rPr>
              <w:t>2,587</w:t>
            </w:r>
          </w:p>
        </w:tc>
        <w:tc>
          <w:tcPr>
            <w:tcW w:w="900" w:type="dxa"/>
            <w:vAlign w:val="bottom"/>
            <w:tcBorders>
              <w:bottom w:val="single" w:sz="8" w:color="26D07C"/>
              <w:right w:val="single" w:sz="8" w:color="auto"/>
            </w:tcBorders>
            <w:shd w:val="clear" w:color="auto" w:fill="26D07C"/>
          </w:tcPr>
          <w:p>
            <w:pPr>
              <w:jc w:val="center"/>
              <w:spacing w:after="0" w:line="193" w:lineRule="exact"/>
              <w:rPr>
                <w:sz w:val="20"/>
                <w:szCs w:val="20"/>
                <w:color w:val="auto"/>
              </w:rPr>
            </w:pPr>
            <w:r>
              <w:rPr>
                <w:rFonts w:ascii="Arial" w:cs="Arial" w:eastAsia="Arial" w:hAnsi="Arial"/>
                <w:sz w:val="20"/>
                <w:szCs w:val="20"/>
                <w:color w:val="auto"/>
                <w:w w:val="95"/>
              </w:rPr>
              <w:t>2,571</w:t>
            </w:r>
          </w:p>
        </w:tc>
        <w:tc>
          <w:tcPr>
            <w:tcW w:w="780" w:type="dxa"/>
            <w:vAlign w:val="bottom"/>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80" w:type="dxa"/>
            <w:vAlign w:val="bottom"/>
            <w:tcBorders>
              <w:left w:val="single" w:sz="8" w:color="auto"/>
              <w:right w:val="single" w:sz="8" w:color="auto"/>
            </w:tcBorders>
          </w:tcPr>
          <w:p>
            <w:pPr>
              <w:ind w:left="360"/>
              <w:spacing w:after="0" w:line="190" w:lineRule="exact"/>
              <w:rPr>
                <w:sz w:val="20"/>
                <w:szCs w:val="20"/>
                <w:color w:val="auto"/>
              </w:rPr>
            </w:pPr>
            <w:r>
              <w:rPr>
                <w:rFonts w:ascii="Arial" w:cs="Arial" w:eastAsia="Arial" w:hAnsi="Arial"/>
                <w:sz w:val="20"/>
                <w:szCs w:val="20"/>
                <w:color w:val="auto"/>
              </w:rPr>
              <w:t>Middle - Market</w:t>
            </w:r>
          </w:p>
        </w:tc>
        <w:tc>
          <w:tcPr>
            <w:tcW w:w="1000" w:type="dxa"/>
            <w:vAlign w:val="bottom"/>
          </w:tcPr>
          <w:p>
            <w:pPr>
              <w:jc w:val="center"/>
              <w:spacing w:after="0" w:line="190" w:lineRule="exact"/>
              <w:rPr>
                <w:sz w:val="20"/>
                <w:szCs w:val="20"/>
                <w:color w:val="auto"/>
              </w:rPr>
            </w:pPr>
            <w:r>
              <w:rPr>
                <w:rFonts w:ascii="Arial" w:cs="Arial" w:eastAsia="Arial" w:hAnsi="Arial"/>
                <w:sz w:val="20"/>
                <w:szCs w:val="20"/>
                <w:color w:val="auto"/>
                <w:w w:val="98"/>
              </w:rPr>
              <w:t>20,933</w:t>
            </w:r>
          </w:p>
        </w:tc>
        <w:tc>
          <w:tcPr>
            <w:tcW w:w="1000" w:type="dxa"/>
            <w:vAlign w:val="bottom"/>
          </w:tcPr>
          <w:p>
            <w:pPr>
              <w:jc w:val="center"/>
              <w:spacing w:after="0" w:line="190" w:lineRule="exact"/>
              <w:rPr>
                <w:sz w:val="20"/>
                <w:szCs w:val="20"/>
                <w:color w:val="auto"/>
              </w:rPr>
            </w:pPr>
            <w:r>
              <w:rPr>
                <w:rFonts w:ascii="Arial" w:cs="Arial" w:eastAsia="Arial" w:hAnsi="Arial"/>
                <w:sz w:val="20"/>
                <w:szCs w:val="20"/>
                <w:color w:val="auto"/>
                <w:w w:val="98"/>
              </w:rPr>
              <w:t>21,361</w:t>
            </w:r>
          </w:p>
        </w:tc>
        <w:tc>
          <w:tcPr>
            <w:tcW w:w="10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8"/>
              </w:rPr>
              <w:t>22,282</w:t>
            </w:r>
          </w:p>
        </w:tc>
        <w:tc>
          <w:tcPr>
            <w:tcW w:w="780" w:type="dxa"/>
            <w:vAlign w:val="bottom"/>
            <w:tcBorders>
              <w:bottom w:val="single" w:sz="8" w:color="26D07C"/>
            </w:tcBorders>
            <w:shd w:val="clear" w:color="auto" w:fill="26D07C"/>
          </w:tcPr>
          <w:p>
            <w:pPr>
              <w:jc w:val="center"/>
              <w:spacing w:after="0" w:line="190" w:lineRule="exact"/>
              <w:rPr>
                <w:sz w:val="20"/>
                <w:szCs w:val="20"/>
                <w:color w:val="auto"/>
              </w:rPr>
            </w:pPr>
            <w:r>
              <w:rPr>
                <w:rFonts w:ascii="Arial" w:cs="Arial" w:eastAsia="Arial" w:hAnsi="Arial"/>
                <w:sz w:val="20"/>
                <w:szCs w:val="20"/>
                <w:color w:val="auto"/>
                <w:w w:val="95"/>
              </w:rPr>
              <w:t>921</w:t>
            </w: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5"/>
              </w:rPr>
              <w:t>1,349</w:t>
            </w:r>
          </w:p>
        </w:tc>
        <w:tc>
          <w:tcPr>
            <w:tcW w:w="780" w:type="dxa"/>
            <w:vAlign w:val="bottom"/>
          </w:tcPr>
          <w:p>
            <w:pPr>
              <w:jc w:val="center"/>
              <w:spacing w:after="0" w:line="190" w:lineRule="exact"/>
              <w:rPr>
                <w:sz w:val="20"/>
                <w:szCs w:val="20"/>
                <w:color w:val="auto"/>
              </w:rPr>
            </w:pPr>
            <w:r>
              <w:rPr>
                <w:rFonts w:ascii="Arial" w:cs="Arial" w:eastAsia="Arial" w:hAnsi="Arial"/>
                <w:sz w:val="20"/>
                <w:szCs w:val="20"/>
                <w:color w:val="auto"/>
                <w:w w:val="96"/>
              </w:rPr>
              <w:t>4.3%</w:t>
            </w:r>
          </w:p>
        </w:tc>
        <w:tc>
          <w:tcPr>
            <w:tcW w:w="8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rPr>
              <w:t>6.4%</w:t>
            </w:r>
          </w:p>
        </w:tc>
        <w:tc>
          <w:tcPr>
            <w:tcW w:w="880" w:type="dxa"/>
            <w:vAlign w:val="bottom"/>
          </w:tcPr>
          <w:p>
            <w:pPr>
              <w:jc w:val="center"/>
              <w:spacing w:after="0" w:line="190" w:lineRule="exact"/>
              <w:rPr>
                <w:sz w:val="20"/>
                <w:szCs w:val="20"/>
                <w:color w:val="auto"/>
              </w:rPr>
            </w:pPr>
            <w:r>
              <w:rPr>
                <w:rFonts w:ascii="Arial" w:cs="Arial" w:eastAsia="Arial" w:hAnsi="Arial"/>
                <w:sz w:val="20"/>
                <w:szCs w:val="20"/>
                <w:color w:val="auto"/>
                <w:w w:val="95"/>
              </w:rPr>
              <w:t>16.8%</w:t>
            </w:r>
          </w:p>
        </w:tc>
        <w:tc>
          <w:tcPr>
            <w:tcW w:w="900" w:type="dxa"/>
            <w:vAlign w:val="bottom"/>
          </w:tcPr>
          <w:p>
            <w:pPr>
              <w:jc w:val="center"/>
              <w:spacing w:after="0" w:line="190" w:lineRule="exact"/>
              <w:rPr>
                <w:sz w:val="20"/>
                <w:szCs w:val="20"/>
                <w:color w:val="auto"/>
              </w:rPr>
            </w:pPr>
            <w:r>
              <w:rPr>
                <w:rFonts w:ascii="Arial" w:cs="Arial" w:eastAsia="Arial" w:hAnsi="Arial"/>
                <w:sz w:val="20"/>
                <w:szCs w:val="20"/>
                <w:color w:val="auto"/>
                <w:w w:val="98"/>
              </w:rPr>
              <w:t>16.4%</w:t>
            </w:r>
          </w:p>
        </w:tc>
        <w:tc>
          <w:tcPr>
            <w:tcW w:w="88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8"/>
              </w:rPr>
              <w:t>16.2%</w:t>
            </w:r>
          </w:p>
        </w:tc>
        <w:tc>
          <w:tcPr>
            <w:tcW w:w="0" w:type="dxa"/>
            <w:vAlign w:val="bottom"/>
          </w:tcPr>
          <w:p>
            <w:pPr>
              <w:spacing w:after="0"/>
              <w:rPr>
                <w:sz w:val="1"/>
                <w:szCs w:val="1"/>
                <w:color w:val="auto"/>
              </w:rPr>
            </w:pPr>
          </w:p>
        </w:tc>
      </w:tr>
      <w:tr>
        <w:trPr>
          <w:trHeight w:val="193"/>
        </w:trPr>
        <w:tc>
          <w:tcPr>
            <w:tcW w:w="2280" w:type="dxa"/>
            <w:vAlign w:val="bottom"/>
            <w:tcBorders>
              <w:left w:val="single" w:sz="8" w:color="auto"/>
              <w:right w:val="single" w:sz="8" w:color="auto"/>
            </w:tcBorders>
          </w:tcPr>
          <w:p>
            <w:pPr>
              <w:ind w:left="200"/>
              <w:spacing w:after="0" w:line="193" w:lineRule="exact"/>
              <w:rPr>
                <w:sz w:val="20"/>
                <w:szCs w:val="20"/>
                <w:color w:val="auto"/>
              </w:rPr>
            </w:pPr>
            <w:r>
              <w:rPr>
                <w:rFonts w:ascii="Arial" w:cs="Arial" w:eastAsia="Arial" w:hAnsi="Arial"/>
                <w:sz w:val="20"/>
                <w:szCs w:val="20"/>
                <w:b w:val="1"/>
                <w:bCs w:val="1"/>
                <w:color w:val="auto"/>
              </w:rPr>
              <w:t>Retail Banking</w:t>
            </w:r>
          </w:p>
        </w:tc>
        <w:tc>
          <w:tcPr>
            <w:tcW w:w="100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8"/>
              </w:rPr>
              <w:t>48,434</w:t>
            </w:r>
          </w:p>
        </w:tc>
        <w:tc>
          <w:tcPr>
            <w:tcW w:w="100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8"/>
              </w:rPr>
              <w:t>52,931</w:t>
            </w:r>
          </w:p>
        </w:tc>
        <w:tc>
          <w:tcPr>
            <w:tcW w:w="10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b w:val="1"/>
                <w:bCs w:val="1"/>
                <w:color w:val="auto"/>
                <w:w w:val="98"/>
              </w:rPr>
              <w:t>55,308</w:t>
            </w:r>
          </w:p>
        </w:tc>
        <w:tc>
          <w:tcPr>
            <w:tcW w:w="78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5"/>
              </w:rPr>
              <w:t>2,377</w:t>
            </w:r>
          </w:p>
        </w:tc>
        <w:tc>
          <w:tcPr>
            <w:tcW w:w="9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b w:val="1"/>
                <w:bCs w:val="1"/>
                <w:color w:val="auto"/>
                <w:w w:val="95"/>
              </w:rPr>
              <w:t>6,874</w:t>
            </w:r>
          </w:p>
        </w:tc>
        <w:tc>
          <w:tcPr>
            <w:tcW w:w="78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6"/>
              </w:rPr>
              <w:t>4.5%</w:t>
            </w:r>
          </w:p>
        </w:tc>
        <w:tc>
          <w:tcPr>
            <w:tcW w:w="8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b w:val="1"/>
                <w:bCs w:val="1"/>
                <w:color w:val="auto"/>
                <w:w w:val="98"/>
              </w:rPr>
              <w:t>14.2%</w:t>
            </w:r>
          </w:p>
        </w:tc>
        <w:tc>
          <w:tcPr>
            <w:tcW w:w="88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5"/>
              </w:rPr>
              <w:t>38.9%</w:t>
            </w:r>
          </w:p>
        </w:tc>
        <w:tc>
          <w:tcPr>
            <w:tcW w:w="90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8"/>
              </w:rPr>
              <w:t>40.6%</w:t>
            </w:r>
          </w:p>
        </w:tc>
        <w:tc>
          <w:tcPr>
            <w:tcW w:w="88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b w:val="1"/>
                <w:bCs w:val="1"/>
                <w:color w:val="auto"/>
                <w:w w:val="98"/>
              </w:rPr>
              <w:t>40.3%</w:t>
            </w:r>
          </w:p>
        </w:tc>
        <w:tc>
          <w:tcPr>
            <w:tcW w:w="0" w:type="dxa"/>
            <w:vAlign w:val="bottom"/>
          </w:tcPr>
          <w:p>
            <w:pPr>
              <w:spacing w:after="0"/>
              <w:rPr>
                <w:sz w:val="1"/>
                <w:szCs w:val="1"/>
                <w:color w:val="auto"/>
              </w:rPr>
            </w:pPr>
          </w:p>
        </w:tc>
      </w:tr>
      <w:tr>
        <w:trPr>
          <w:trHeight w:val="22"/>
        </w:trPr>
        <w:tc>
          <w:tcPr>
            <w:tcW w:w="2280" w:type="dxa"/>
            <w:vAlign w:val="bottom"/>
            <w:tcBorders>
              <w:left w:val="single" w:sz="8" w:color="auto"/>
              <w:right w:val="single" w:sz="8" w:color="auto"/>
            </w:tcBorders>
            <w:vMerge w:val="restart"/>
          </w:tcPr>
          <w:p>
            <w:pPr>
              <w:ind w:left="360"/>
              <w:spacing w:after="0" w:line="214" w:lineRule="exact"/>
              <w:rPr>
                <w:sz w:val="20"/>
                <w:szCs w:val="20"/>
                <w:color w:val="auto"/>
              </w:rPr>
            </w:pPr>
            <w:r>
              <w:rPr>
                <w:rFonts w:ascii="Arial" w:cs="Arial" w:eastAsia="Arial" w:hAnsi="Arial"/>
                <w:sz w:val="20"/>
                <w:szCs w:val="20"/>
                <w:color w:val="auto"/>
              </w:rPr>
              <w:t>SME - Business</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9"/>
              </w:rPr>
              <w:t>5,524</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9"/>
              </w:rPr>
              <w:t>5,143</w:t>
            </w:r>
          </w:p>
        </w:tc>
        <w:tc>
          <w:tcPr>
            <w:tcW w:w="10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9"/>
              </w:rPr>
              <w:t>5,714</w:t>
            </w:r>
          </w:p>
        </w:tc>
        <w:tc>
          <w:tcPr>
            <w:tcW w:w="780" w:type="dxa"/>
            <w:vAlign w:val="bottom"/>
          </w:tcPr>
          <w:p>
            <w:pPr>
              <w:spacing w:after="0" w:line="20" w:lineRule="exact"/>
              <w:rPr>
                <w:sz w:val="1"/>
                <w:szCs w:val="1"/>
                <w:color w:val="auto"/>
              </w:rPr>
            </w:pPr>
          </w:p>
        </w:tc>
        <w:tc>
          <w:tcPr>
            <w:tcW w:w="90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5"/>
              </w:rPr>
              <w:t>191</w:t>
            </w:r>
          </w:p>
        </w:tc>
        <w:tc>
          <w:tcPr>
            <w:tcW w:w="78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5"/>
              </w:rPr>
              <w:t>11.1%</w:t>
            </w:r>
          </w:p>
        </w:tc>
        <w:tc>
          <w:tcPr>
            <w:tcW w:w="8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rPr>
              <w:t>3.5%</w:t>
            </w:r>
          </w:p>
        </w:tc>
        <w:tc>
          <w:tcPr>
            <w:tcW w:w="88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rPr>
              <w:t>4.4%</w:t>
            </w:r>
          </w:p>
        </w:tc>
        <w:tc>
          <w:tcPr>
            <w:tcW w:w="9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6"/>
              </w:rPr>
              <w:t>3.9%</w:t>
            </w:r>
          </w:p>
        </w:tc>
        <w:tc>
          <w:tcPr>
            <w:tcW w:w="88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6"/>
              </w:rPr>
              <w:t>4.2%</w:t>
            </w:r>
          </w:p>
        </w:tc>
        <w:tc>
          <w:tcPr>
            <w:tcW w:w="0" w:type="dxa"/>
            <w:vAlign w:val="bottom"/>
          </w:tcPr>
          <w:p>
            <w:pPr>
              <w:spacing w:after="0" w:line="20" w:lineRule="exact"/>
              <w:rPr>
                <w:sz w:val="1"/>
                <w:szCs w:val="1"/>
                <w:color w:val="auto"/>
              </w:rPr>
            </w:pPr>
          </w:p>
        </w:tc>
      </w:tr>
      <w:tr>
        <w:trPr>
          <w:trHeight w:val="193"/>
        </w:trPr>
        <w:tc>
          <w:tcPr>
            <w:tcW w:w="2280" w:type="dxa"/>
            <w:vAlign w:val="bottom"/>
            <w:tcBorders>
              <w:left w:val="single" w:sz="8" w:color="auto"/>
              <w:right w:val="single" w:sz="8" w:color="auto"/>
            </w:tcBorders>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780" w:type="dxa"/>
            <w:vAlign w:val="bottom"/>
            <w:shd w:val="clear" w:color="auto" w:fill="26D07C"/>
          </w:tcPr>
          <w:p>
            <w:pPr>
              <w:jc w:val="center"/>
              <w:spacing w:after="0" w:line="193" w:lineRule="exact"/>
              <w:rPr>
                <w:sz w:val="20"/>
                <w:szCs w:val="20"/>
                <w:color w:val="auto"/>
              </w:rPr>
            </w:pPr>
            <w:r>
              <w:rPr>
                <w:rFonts w:ascii="Arial" w:cs="Arial" w:eastAsia="Arial" w:hAnsi="Arial"/>
                <w:sz w:val="20"/>
                <w:szCs w:val="20"/>
                <w:color w:val="auto"/>
                <w:w w:val="95"/>
              </w:rPr>
              <w:t>571</w:t>
            </w:r>
          </w:p>
        </w:tc>
        <w:tc>
          <w:tcPr>
            <w:tcW w:w="900" w:type="dxa"/>
            <w:vAlign w:val="bottom"/>
            <w:tcBorders>
              <w:right w:val="single" w:sz="8" w:color="auto"/>
            </w:tcBorders>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2280" w:type="dxa"/>
            <w:vAlign w:val="bottom"/>
            <w:tcBorders>
              <w:left w:val="single" w:sz="8" w:color="auto"/>
              <w:right w:val="single" w:sz="8" w:color="auto"/>
            </w:tcBorders>
            <w:vMerge w:val="restart"/>
          </w:tcPr>
          <w:p>
            <w:pPr>
              <w:ind w:left="360"/>
              <w:spacing w:after="0" w:line="214" w:lineRule="exact"/>
              <w:rPr>
                <w:sz w:val="20"/>
                <w:szCs w:val="20"/>
                <w:color w:val="auto"/>
              </w:rPr>
            </w:pPr>
            <w:r>
              <w:rPr>
                <w:rFonts w:ascii="Arial" w:cs="Arial" w:eastAsia="Arial" w:hAnsi="Arial"/>
                <w:sz w:val="20"/>
                <w:szCs w:val="20"/>
                <w:color w:val="auto"/>
              </w:rPr>
              <w:t>SME - Pyme</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4"/>
              </w:rPr>
              <w:t>11,046</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8"/>
              </w:rPr>
              <w:t>12,204</w:t>
            </w:r>
          </w:p>
        </w:tc>
        <w:tc>
          <w:tcPr>
            <w:tcW w:w="10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8"/>
              </w:rPr>
              <w:t>12,637</w:t>
            </w:r>
          </w:p>
        </w:tc>
        <w:tc>
          <w:tcPr>
            <w:tcW w:w="780" w:type="dxa"/>
            <w:vAlign w:val="bottom"/>
            <w:vMerge w:val="restart"/>
            <w:shd w:val="clear" w:color="auto" w:fill="26D07C"/>
          </w:tcPr>
          <w:p>
            <w:pPr>
              <w:jc w:val="center"/>
              <w:spacing w:after="0" w:line="214" w:lineRule="exact"/>
              <w:rPr>
                <w:sz w:val="20"/>
                <w:szCs w:val="20"/>
                <w:color w:val="auto"/>
              </w:rPr>
            </w:pPr>
            <w:r>
              <w:rPr>
                <w:rFonts w:ascii="Arial" w:cs="Arial" w:eastAsia="Arial" w:hAnsi="Arial"/>
                <w:sz w:val="20"/>
                <w:szCs w:val="20"/>
                <w:color w:val="auto"/>
                <w:w w:val="95"/>
              </w:rPr>
              <w:t>432</w:t>
            </w:r>
          </w:p>
        </w:tc>
        <w:tc>
          <w:tcPr>
            <w:tcW w:w="900" w:type="dxa"/>
            <w:vAlign w:val="bottom"/>
            <w:tcBorders>
              <w:right w:val="single" w:sz="8" w:color="auto"/>
            </w:tcBorders>
          </w:tcPr>
          <w:p>
            <w:pPr>
              <w:spacing w:after="0" w:line="20" w:lineRule="exact"/>
              <w:rPr>
                <w:sz w:val="1"/>
                <w:szCs w:val="1"/>
                <w:color w:val="auto"/>
              </w:rPr>
            </w:pPr>
          </w:p>
        </w:tc>
        <w:tc>
          <w:tcPr>
            <w:tcW w:w="78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6"/>
              </w:rPr>
              <w:t>3.5%</w:t>
            </w:r>
          </w:p>
        </w:tc>
        <w:tc>
          <w:tcPr>
            <w:tcW w:w="8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8"/>
              </w:rPr>
              <w:t>14.4%</w:t>
            </w:r>
          </w:p>
        </w:tc>
        <w:tc>
          <w:tcPr>
            <w:tcW w:w="88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rPr>
              <w:t>8.9%</w:t>
            </w:r>
          </w:p>
        </w:tc>
        <w:tc>
          <w:tcPr>
            <w:tcW w:w="9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6"/>
              </w:rPr>
              <w:t>9.4%</w:t>
            </w:r>
          </w:p>
        </w:tc>
        <w:tc>
          <w:tcPr>
            <w:tcW w:w="88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6"/>
              </w:rPr>
              <w:t>9.2%</w:t>
            </w:r>
          </w:p>
        </w:tc>
        <w:tc>
          <w:tcPr>
            <w:tcW w:w="0" w:type="dxa"/>
            <w:vAlign w:val="bottom"/>
          </w:tcPr>
          <w:p>
            <w:pPr>
              <w:spacing w:after="0" w:line="20" w:lineRule="exact"/>
              <w:rPr>
                <w:sz w:val="1"/>
                <w:szCs w:val="1"/>
                <w:color w:val="auto"/>
              </w:rPr>
            </w:pPr>
          </w:p>
        </w:tc>
      </w:tr>
      <w:tr>
        <w:trPr>
          <w:trHeight w:val="193"/>
        </w:trPr>
        <w:tc>
          <w:tcPr>
            <w:tcW w:w="2280" w:type="dxa"/>
            <w:vAlign w:val="bottom"/>
            <w:tcBorders>
              <w:left w:val="single" w:sz="8" w:color="auto"/>
              <w:right w:val="single" w:sz="8" w:color="auto"/>
            </w:tcBorders>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780" w:type="dxa"/>
            <w:vAlign w:val="bottom"/>
            <w:vMerge w:val="continue"/>
            <w:shd w:val="clear" w:color="auto" w:fill="26D07C"/>
          </w:tcPr>
          <w:p>
            <w:pPr>
              <w:spacing w:after="0"/>
              <w:rPr>
                <w:sz w:val="16"/>
                <w:szCs w:val="16"/>
                <w:color w:val="auto"/>
              </w:rPr>
            </w:pPr>
          </w:p>
        </w:tc>
        <w:tc>
          <w:tcPr>
            <w:tcW w:w="900" w:type="dxa"/>
            <w:vAlign w:val="bottom"/>
            <w:tcBorders>
              <w:right w:val="single" w:sz="8" w:color="auto"/>
            </w:tcBorders>
            <w:shd w:val="clear" w:color="auto" w:fill="26D07C"/>
          </w:tcPr>
          <w:p>
            <w:pPr>
              <w:jc w:val="center"/>
              <w:spacing w:after="0" w:line="193" w:lineRule="exact"/>
              <w:rPr>
                <w:sz w:val="20"/>
                <w:szCs w:val="20"/>
                <w:color w:val="auto"/>
              </w:rPr>
            </w:pPr>
            <w:r>
              <w:rPr>
                <w:rFonts w:ascii="Arial" w:cs="Arial" w:eastAsia="Arial" w:hAnsi="Arial"/>
                <w:sz w:val="20"/>
                <w:szCs w:val="20"/>
                <w:color w:val="auto"/>
                <w:w w:val="95"/>
              </w:rPr>
              <w:t>1,590</w:t>
            </w:r>
          </w:p>
        </w:tc>
        <w:tc>
          <w:tcPr>
            <w:tcW w:w="780" w:type="dxa"/>
            <w:vAlign w:val="bottom"/>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280" w:type="dxa"/>
            <w:vAlign w:val="bottom"/>
            <w:tcBorders>
              <w:left w:val="single" w:sz="8" w:color="auto"/>
              <w:right w:val="single" w:sz="8" w:color="auto"/>
            </w:tcBorders>
          </w:tcPr>
          <w:p>
            <w:pPr>
              <w:ind w:left="360"/>
              <w:spacing w:after="0" w:line="214" w:lineRule="exact"/>
              <w:rPr>
                <w:sz w:val="20"/>
                <w:szCs w:val="20"/>
                <w:color w:val="auto"/>
              </w:rPr>
            </w:pPr>
            <w:r>
              <w:rPr>
                <w:rFonts w:ascii="Arial" w:cs="Arial" w:eastAsia="Arial" w:hAnsi="Arial"/>
                <w:sz w:val="20"/>
                <w:szCs w:val="20"/>
                <w:color w:val="auto"/>
              </w:rPr>
              <w:t>Mortgage</w:t>
            </w: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8"/>
              </w:rPr>
              <w:t>18,133</w:t>
            </w: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8"/>
              </w:rPr>
              <w:t>19,301</w:t>
            </w:r>
          </w:p>
        </w:tc>
        <w:tc>
          <w:tcPr>
            <w:tcW w:w="10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19,739</w:t>
            </w:r>
          </w:p>
        </w:tc>
        <w:tc>
          <w:tcPr>
            <w:tcW w:w="780" w:type="dxa"/>
            <w:vAlign w:val="bottom"/>
            <w:shd w:val="clear" w:color="auto" w:fill="26D07C"/>
          </w:tcPr>
          <w:p>
            <w:pPr>
              <w:jc w:val="center"/>
              <w:spacing w:after="0" w:line="214" w:lineRule="exact"/>
              <w:rPr>
                <w:sz w:val="20"/>
                <w:szCs w:val="20"/>
                <w:color w:val="auto"/>
              </w:rPr>
            </w:pPr>
            <w:r>
              <w:rPr>
                <w:rFonts w:ascii="Arial" w:cs="Arial" w:eastAsia="Arial" w:hAnsi="Arial"/>
                <w:sz w:val="20"/>
                <w:szCs w:val="20"/>
                <w:color w:val="auto"/>
                <w:w w:val="95"/>
              </w:rPr>
              <w:t>438</w:t>
            </w:r>
          </w:p>
        </w:tc>
        <w:tc>
          <w:tcPr>
            <w:tcW w:w="900" w:type="dxa"/>
            <w:vAlign w:val="bottom"/>
            <w:tcBorders>
              <w:right w:val="single" w:sz="8" w:color="auto"/>
            </w:tcBorders>
            <w:shd w:val="clear" w:color="auto" w:fill="26D07C"/>
          </w:tcPr>
          <w:p>
            <w:pPr>
              <w:jc w:val="center"/>
              <w:spacing w:after="0" w:line="214" w:lineRule="exact"/>
              <w:rPr>
                <w:sz w:val="20"/>
                <w:szCs w:val="20"/>
                <w:color w:val="auto"/>
              </w:rPr>
            </w:pPr>
            <w:r>
              <w:rPr>
                <w:rFonts w:ascii="Arial" w:cs="Arial" w:eastAsia="Arial" w:hAnsi="Arial"/>
                <w:sz w:val="20"/>
                <w:szCs w:val="20"/>
                <w:color w:val="auto"/>
                <w:w w:val="95"/>
              </w:rPr>
              <w:t>1,606</w:t>
            </w:r>
          </w:p>
        </w:tc>
        <w:tc>
          <w:tcPr>
            <w:tcW w:w="780" w:type="dxa"/>
            <w:vAlign w:val="bottom"/>
          </w:tcPr>
          <w:p>
            <w:pPr>
              <w:jc w:val="center"/>
              <w:spacing w:after="0" w:line="214" w:lineRule="exact"/>
              <w:rPr>
                <w:sz w:val="20"/>
                <w:szCs w:val="20"/>
                <w:color w:val="auto"/>
              </w:rPr>
            </w:pPr>
            <w:r>
              <w:rPr>
                <w:rFonts w:ascii="Arial" w:cs="Arial" w:eastAsia="Arial" w:hAnsi="Arial"/>
                <w:sz w:val="20"/>
                <w:szCs w:val="20"/>
                <w:color w:val="auto"/>
                <w:w w:val="96"/>
              </w:rPr>
              <w:t>2.3%</w:t>
            </w:r>
          </w:p>
        </w:tc>
        <w:tc>
          <w:tcPr>
            <w:tcW w:w="8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rPr>
              <w:t>8.9%</w:t>
            </w:r>
          </w:p>
        </w:tc>
        <w:tc>
          <w:tcPr>
            <w:tcW w:w="880" w:type="dxa"/>
            <w:vAlign w:val="bottom"/>
          </w:tcPr>
          <w:p>
            <w:pPr>
              <w:jc w:val="center"/>
              <w:spacing w:after="0" w:line="214" w:lineRule="exact"/>
              <w:rPr>
                <w:sz w:val="20"/>
                <w:szCs w:val="20"/>
                <w:color w:val="auto"/>
              </w:rPr>
            </w:pPr>
            <w:r>
              <w:rPr>
                <w:rFonts w:ascii="Arial" w:cs="Arial" w:eastAsia="Arial" w:hAnsi="Arial"/>
                <w:sz w:val="20"/>
                <w:szCs w:val="20"/>
                <w:color w:val="auto"/>
                <w:w w:val="95"/>
              </w:rPr>
              <w:t>14.6%</w:t>
            </w:r>
          </w:p>
        </w:tc>
        <w:tc>
          <w:tcPr>
            <w:tcW w:w="900" w:type="dxa"/>
            <w:vAlign w:val="bottom"/>
          </w:tcPr>
          <w:p>
            <w:pPr>
              <w:jc w:val="center"/>
              <w:spacing w:after="0" w:line="214" w:lineRule="exact"/>
              <w:rPr>
                <w:sz w:val="20"/>
                <w:szCs w:val="20"/>
                <w:color w:val="auto"/>
              </w:rPr>
            </w:pPr>
            <w:r>
              <w:rPr>
                <w:rFonts w:ascii="Arial" w:cs="Arial" w:eastAsia="Arial" w:hAnsi="Arial"/>
                <w:sz w:val="20"/>
                <w:szCs w:val="20"/>
                <w:color w:val="auto"/>
                <w:w w:val="98"/>
              </w:rPr>
              <w:t>14.8%</w:t>
            </w:r>
          </w:p>
        </w:tc>
        <w:tc>
          <w:tcPr>
            <w:tcW w:w="88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14.4%</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ind w:left="360"/>
              <w:spacing w:after="0" w:line="214" w:lineRule="exact"/>
              <w:rPr>
                <w:sz w:val="20"/>
                <w:szCs w:val="20"/>
                <w:color w:val="auto"/>
              </w:rPr>
            </w:pPr>
            <w:r>
              <w:rPr>
                <w:rFonts w:ascii="Arial" w:cs="Arial" w:eastAsia="Arial" w:hAnsi="Arial"/>
                <w:sz w:val="20"/>
                <w:szCs w:val="20"/>
                <w:color w:val="auto"/>
              </w:rPr>
              <w:t>Consumer</w:t>
            </w: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8"/>
              </w:rPr>
              <w:t>10,000</w:t>
            </w: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4"/>
              </w:rPr>
              <w:t>11,848</w:t>
            </w:r>
          </w:p>
        </w:tc>
        <w:tc>
          <w:tcPr>
            <w:tcW w:w="10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12,444</w:t>
            </w:r>
          </w:p>
        </w:tc>
        <w:tc>
          <w:tcPr>
            <w:tcW w:w="780" w:type="dxa"/>
            <w:vAlign w:val="bottom"/>
            <w:tcBorders>
              <w:bottom w:val="single" w:sz="8" w:color="26D07C"/>
            </w:tcBorders>
            <w:shd w:val="clear" w:color="auto" w:fill="26D07C"/>
          </w:tcPr>
          <w:p>
            <w:pPr>
              <w:jc w:val="center"/>
              <w:spacing w:after="0" w:line="214" w:lineRule="exact"/>
              <w:rPr>
                <w:sz w:val="20"/>
                <w:szCs w:val="20"/>
                <w:color w:val="auto"/>
              </w:rPr>
            </w:pPr>
            <w:r>
              <w:rPr>
                <w:rFonts w:ascii="Arial" w:cs="Arial" w:eastAsia="Arial" w:hAnsi="Arial"/>
                <w:sz w:val="20"/>
                <w:szCs w:val="20"/>
                <w:color w:val="auto"/>
                <w:w w:val="95"/>
              </w:rPr>
              <w:t>597</w:t>
            </w:r>
          </w:p>
        </w:tc>
        <w:tc>
          <w:tcPr>
            <w:tcW w:w="900" w:type="dxa"/>
            <w:vAlign w:val="bottom"/>
            <w:tcBorders>
              <w:bottom w:val="single" w:sz="8" w:color="26D07C"/>
              <w:right w:val="single" w:sz="8" w:color="auto"/>
            </w:tcBorders>
            <w:shd w:val="clear" w:color="auto" w:fill="26D07C"/>
          </w:tcPr>
          <w:p>
            <w:pPr>
              <w:jc w:val="center"/>
              <w:spacing w:after="0" w:line="214" w:lineRule="exact"/>
              <w:rPr>
                <w:sz w:val="20"/>
                <w:szCs w:val="20"/>
                <w:color w:val="auto"/>
              </w:rPr>
            </w:pPr>
            <w:r>
              <w:rPr>
                <w:rFonts w:ascii="Arial" w:cs="Arial" w:eastAsia="Arial" w:hAnsi="Arial"/>
                <w:sz w:val="20"/>
                <w:szCs w:val="20"/>
                <w:color w:val="auto"/>
                <w:w w:val="95"/>
              </w:rPr>
              <w:t>2,444</w:t>
            </w:r>
          </w:p>
        </w:tc>
        <w:tc>
          <w:tcPr>
            <w:tcW w:w="780" w:type="dxa"/>
            <w:vAlign w:val="bottom"/>
          </w:tcPr>
          <w:p>
            <w:pPr>
              <w:jc w:val="center"/>
              <w:spacing w:after="0" w:line="214" w:lineRule="exact"/>
              <w:rPr>
                <w:sz w:val="20"/>
                <w:szCs w:val="20"/>
                <w:color w:val="auto"/>
              </w:rPr>
            </w:pPr>
            <w:r>
              <w:rPr>
                <w:rFonts w:ascii="Arial" w:cs="Arial" w:eastAsia="Arial" w:hAnsi="Arial"/>
                <w:sz w:val="20"/>
                <w:szCs w:val="20"/>
                <w:color w:val="auto"/>
                <w:w w:val="96"/>
              </w:rPr>
              <w:t>5.0%</w:t>
            </w:r>
          </w:p>
        </w:tc>
        <w:tc>
          <w:tcPr>
            <w:tcW w:w="8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24.4%</w:t>
            </w:r>
          </w:p>
        </w:tc>
        <w:tc>
          <w:tcPr>
            <w:tcW w:w="880" w:type="dxa"/>
            <w:vAlign w:val="bottom"/>
          </w:tcPr>
          <w:p>
            <w:pPr>
              <w:jc w:val="center"/>
              <w:spacing w:after="0" w:line="214" w:lineRule="exact"/>
              <w:rPr>
                <w:sz w:val="20"/>
                <w:szCs w:val="20"/>
                <w:color w:val="auto"/>
              </w:rPr>
            </w:pPr>
            <w:r>
              <w:rPr>
                <w:rFonts w:ascii="Arial" w:cs="Arial" w:eastAsia="Arial" w:hAnsi="Arial"/>
                <w:sz w:val="20"/>
                <w:szCs w:val="20"/>
                <w:color w:val="auto"/>
              </w:rPr>
              <w:t>8.0%</w:t>
            </w:r>
          </w:p>
        </w:tc>
        <w:tc>
          <w:tcPr>
            <w:tcW w:w="900" w:type="dxa"/>
            <w:vAlign w:val="bottom"/>
          </w:tcPr>
          <w:p>
            <w:pPr>
              <w:jc w:val="center"/>
              <w:spacing w:after="0" w:line="214" w:lineRule="exact"/>
              <w:rPr>
                <w:sz w:val="20"/>
                <w:szCs w:val="20"/>
                <w:color w:val="auto"/>
              </w:rPr>
            </w:pPr>
            <w:r>
              <w:rPr>
                <w:rFonts w:ascii="Arial" w:cs="Arial" w:eastAsia="Arial" w:hAnsi="Arial"/>
                <w:sz w:val="20"/>
                <w:szCs w:val="20"/>
                <w:color w:val="auto"/>
                <w:w w:val="96"/>
              </w:rPr>
              <w:t>9.1%</w:t>
            </w:r>
          </w:p>
        </w:tc>
        <w:tc>
          <w:tcPr>
            <w:tcW w:w="88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9.1%</w:t>
            </w: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360"/>
              <w:spacing w:after="0" w:line="190" w:lineRule="exact"/>
              <w:rPr>
                <w:sz w:val="20"/>
                <w:szCs w:val="20"/>
                <w:color w:val="auto"/>
              </w:rPr>
            </w:pPr>
            <w:r>
              <w:rPr>
                <w:rFonts w:ascii="Arial" w:cs="Arial" w:eastAsia="Arial" w:hAnsi="Arial"/>
                <w:sz w:val="20"/>
                <w:szCs w:val="20"/>
                <w:color w:val="auto"/>
              </w:rPr>
              <w:t>Credit Card</w:t>
            </w:r>
          </w:p>
        </w:tc>
        <w:tc>
          <w:tcPr>
            <w:tcW w:w="1000" w:type="dxa"/>
            <w:vAlign w:val="bottom"/>
          </w:tcPr>
          <w:p>
            <w:pPr>
              <w:jc w:val="center"/>
              <w:spacing w:after="0" w:line="190" w:lineRule="exact"/>
              <w:rPr>
                <w:sz w:val="20"/>
                <w:szCs w:val="20"/>
                <w:color w:val="auto"/>
              </w:rPr>
            </w:pPr>
            <w:r>
              <w:rPr>
                <w:rFonts w:ascii="Arial" w:cs="Arial" w:eastAsia="Arial" w:hAnsi="Arial"/>
                <w:sz w:val="20"/>
                <w:szCs w:val="20"/>
                <w:color w:val="auto"/>
                <w:w w:val="99"/>
              </w:rPr>
              <w:t>3,731</w:t>
            </w:r>
          </w:p>
        </w:tc>
        <w:tc>
          <w:tcPr>
            <w:tcW w:w="1000" w:type="dxa"/>
            <w:vAlign w:val="bottom"/>
          </w:tcPr>
          <w:p>
            <w:pPr>
              <w:jc w:val="center"/>
              <w:spacing w:after="0" w:line="190" w:lineRule="exact"/>
              <w:rPr>
                <w:sz w:val="20"/>
                <w:szCs w:val="20"/>
                <w:color w:val="auto"/>
              </w:rPr>
            </w:pPr>
            <w:r>
              <w:rPr>
                <w:rFonts w:ascii="Arial" w:cs="Arial" w:eastAsia="Arial" w:hAnsi="Arial"/>
                <w:sz w:val="20"/>
                <w:szCs w:val="20"/>
                <w:color w:val="auto"/>
                <w:w w:val="99"/>
              </w:rPr>
              <w:t>4,435</w:t>
            </w:r>
          </w:p>
        </w:tc>
        <w:tc>
          <w:tcPr>
            <w:tcW w:w="10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9"/>
              </w:rPr>
              <w:t>4,774</w:t>
            </w:r>
          </w:p>
        </w:tc>
        <w:tc>
          <w:tcPr>
            <w:tcW w:w="780" w:type="dxa"/>
            <w:vAlign w:val="bottom"/>
          </w:tcPr>
          <w:p>
            <w:pPr>
              <w:jc w:val="center"/>
              <w:spacing w:after="0" w:line="190" w:lineRule="exact"/>
              <w:rPr>
                <w:sz w:val="20"/>
                <w:szCs w:val="20"/>
                <w:color w:val="auto"/>
              </w:rPr>
            </w:pPr>
            <w:r>
              <w:rPr>
                <w:rFonts w:ascii="Arial" w:cs="Arial" w:eastAsia="Arial" w:hAnsi="Arial"/>
                <w:sz w:val="20"/>
                <w:szCs w:val="20"/>
                <w:color w:val="auto"/>
                <w:w w:val="95"/>
              </w:rPr>
              <w:t>339</w:t>
            </w: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5"/>
              </w:rPr>
              <w:t>1,042</w:t>
            </w:r>
          </w:p>
        </w:tc>
        <w:tc>
          <w:tcPr>
            <w:tcW w:w="780" w:type="dxa"/>
            <w:vAlign w:val="bottom"/>
          </w:tcPr>
          <w:p>
            <w:pPr>
              <w:jc w:val="center"/>
              <w:spacing w:after="0" w:line="190" w:lineRule="exact"/>
              <w:rPr>
                <w:sz w:val="20"/>
                <w:szCs w:val="20"/>
                <w:color w:val="auto"/>
              </w:rPr>
            </w:pPr>
            <w:r>
              <w:rPr>
                <w:rFonts w:ascii="Arial" w:cs="Arial" w:eastAsia="Arial" w:hAnsi="Arial"/>
                <w:sz w:val="20"/>
                <w:szCs w:val="20"/>
                <w:color w:val="auto"/>
                <w:w w:val="96"/>
              </w:rPr>
              <w:t>7.6%</w:t>
            </w:r>
          </w:p>
        </w:tc>
        <w:tc>
          <w:tcPr>
            <w:tcW w:w="8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8"/>
              </w:rPr>
              <w:t>27.9%</w:t>
            </w:r>
          </w:p>
        </w:tc>
        <w:tc>
          <w:tcPr>
            <w:tcW w:w="880" w:type="dxa"/>
            <w:vAlign w:val="bottom"/>
          </w:tcPr>
          <w:p>
            <w:pPr>
              <w:jc w:val="center"/>
              <w:spacing w:after="0" w:line="190" w:lineRule="exact"/>
              <w:rPr>
                <w:sz w:val="20"/>
                <w:szCs w:val="20"/>
                <w:color w:val="auto"/>
              </w:rPr>
            </w:pPr>
            <w:r>
              <w:rPr>
                <w:rFonts w:ascii="Arial" w:cs="Arial" w:eastAsia="Arial" w:hAnsi="Arial"/>
                <w:sz w:val="20"/>
                <w:szCs w:val="20"/>
                <w:color w:val="auto"/>
              </w:rPr>
              <w:t>3.0%</w:t>
            </w:r>
          </w:p>
        </w:tc>
        <w:tc>
          <w:tcPr>
            <w:tcW w:w="900" w:type="dxa"/>
            <w:vAlign w:val="bottom"/>
          </w:tcPr>
          <w:p>
            <w:pPr>
              <w:jc w:val="center"/>
              <w:spacing w:after="0" w:line="190" w:lineRule="exact"/>
              <w:rPr>
                <w:sz w:val="20"/>
                <w:szCs w:val="20"/>
                <w:color w:val="auto"/>
              </w:rPr>
            </w:pPr>
            <w:r>
              <w:rPr>
                <w:rFonts w:ascii="Arial" w:cs="Arial" w:eastAsia="Arial" w:hAnsi="Arial"/>
                <w:sz w:val="20"/>
                <w:szCs w:val="20"/>
                <w:color w:val="auto"/>
                <w:w w:val="96"/>
              </w:rPr>
              <w:t>3.4%</w:t>
            </w:r>
          </w:p>
        </w:tc>
        <w:tc>
          <w:tcPr>
            <w:tcW w:w="88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6"/>
              </w:rPr>
              <w:t>3.5%</w:t>
            </w:r>
          </w:p>
        </w:tc>
        <w:tc>
          <w:tcPr>
            <w:tcW w:w="0" w:type="dxa"/>
            <w:vAlign w:val="bottom"/>
          </w:tcPr>
          <w:p>
            <w:pPr>
              <w:spacing w:after="0"/>
              <w:rPr>
                <w:sz w:val="1"/>
                <w:szCs w:val="1"/>
                <w:color w:val="auto"/>
              </w:rPr>
            </w:pPr>
          </w:p>
        </w:tc>
      </w:tr>
      <w:tr>
        <w:trPr>
          <w:trHeight w:val="24"/>
        </w:trPr>
        <w:tc>
          <w:tcPr>
            <w:tcW w:w="2280" w:type="dxa"/>
            <w:vAlign w:val="bottom"/>
            <w:tcBorders>
              <w:left w:val="single" w:sz="8" w:color="auto"/>
              <w:right w:val="single" w:sz="8" w:color="auto"/>
            </w:tcBorders>
            <w:vMerge w:val="restart"/>
          </w:tcPr>
          <w:p>
            <w:pPr>
              <w:ind w:left="40"/>
              <w:spacing w:after="0" w:line="214" w:lineRule="exact"/>
              <w:rPr>
                <w:sz w:val="20"/>
                <w:szCs w:val="20"/>
                <w:color w:val="auto"/>
              </w:rPr>
            </w:pPr>
            <w:r>
              <w:rPr>
                <w:rFonts w:ascii="Arial" w:cs="Arial" w:eastAsia="Arial" w:hAnsi="Arial"/>
                <w:sz w:val="20"/>
                <w:szCs w:val="20"/>
                <w:b w:val="1"/>
                <w:bCs w:val="1"/>
                <w:color w:val="auto"/>
              </w:rPr>
              <w:t>Mibanco</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8"/>
              </w:rPr>
              <w:t>10,429</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8"/>
              </w:rPr>
              <w:t>12,313</w:t>
            </w:r>
          </w:p>
        </w:tc>
        <w:tc>
          <w:tcPr>
            <w:tcW w:w="10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b w:val="1"/>
                <w:bCs w:val="1"/>
                <w:color w:val="auto"/>
                <w:w w:val="98"/>
              </w:rPr>
              <w:t>12,782</w:t>
            </w:r>
          </w:p>
        </w:tc>
        <w:tc>
          <w:tcPr>
            <w:tcW w:w="780" w:type="dxa"/>
            <w:vAlign w:val="bottom"/>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78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6"/>
              </w:rPr>
              <w:t>3.8%</w:t>
            </w:r>
          </w:p>
        </w:tc>
        <w:tc>
          <w:tcPr>
            <w:tcW w:w="8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b w:val="1"/>
                <w:bCs w:val="1"/>
                <w:color w:val="auto"/>
                <w:w w:val="98"/>
              </w:rPr>
              <w:t>22.6%</w:t>
            </w:r>
          </w:p>
        </w:tc>
        <w:tc>
          <w:tcPr>
            <w:tcW w:w="88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rPr>
              <w:t>8.4%</w:t>
            </w:r>
          </w:p>
        </w:tc>
        <w:tc>
          <w:tcPr>
            <w:tcW w:w="90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6"/>
              </w:rPr>
              <w:t>9.4%</w:t>
            </w:r>
          </w:p>
        </w:tc>
        <w:tc>
          <w:tcPr>
            <w:tcW w:w="88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b w:val="1"/>
                <w:bCs w:val="1"/>
                <w:color w:val="auto"/>
                <w:w w:val="96"/>
              </w:rPr>
              <w:t>9.3%</w:t>
            </w:r>
          </w:p>
        </w:tc>
        <w:tc>
          <w:tcPr>
            <w:tcW w:w="0" w:type="dxa"/>
            <w:vAlign w:val="bottom"/>
          </w:tcPr>
          <w:p>
            <w:pPr>
              <w:spacing w:after="0" w:line="20" w:lineRule="exact"/>
              <w:rPr>
                <w:sz w:val="1"/>
                <w:szCs w:val="1"/>
                <w:color w:val="auto"/>
              </w:rPr>
            </w:pPr>
          </w:p>
        </w:tc>
      </w:tr>
      <w:tr>
        <w:trPr>
          <w:trHeight w:val="194"/>
        </w:trPr>
        <w:tc>
          <w:tcPr>
            <w:tcW w:w="2280" w:type="dxa"/>
            <w:vAlign w:val="bottom"/>
            <w:tcBorders>
              <w:left w:val="single" w:sz="8" w:color="auto"/>
              <w:right w:val="single" w:sz="8" w:color="auto"/>
            </w:tcBorders>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780" w:type="dxa"/>
            <w:vAlign w:val="bottom"/>
            <w:tcBorders>
              <w:bottom w:val="single" w:sz="8" w:color="26D07C"/>
            </w:tcBorders>
            <w:shd w:val="clear" w:color="auto" w:fill="26D07C"/>
          </w:tcPr>
          <w:p>
            <w:pPr>
              <w:jc w:val="center"/>
              <w:spacing w:after="0" w:line="190" w:lineRule="exact"/>
              <w:rPr>
                <w:sz w:val="20"/>
                <w:szCs w:val="20"/>
                <w:color w:val="auto"/>
              </w:rPr>
            </w:pPr>
            <w:r>
              <w:rPr>
                <w:rFonts w:ascii="Arial" w:cs="Arial" w:eastAsia="Arial" w:hAnsi="Arial"/>
                <w:sz w:val="20"/>
                <w:szCs w:val="20"/>
                <w:b w:val="1"/>
                <w:bCs w:val="1"/>
                <w:color w:val="auto"/>
                <w:w w:val="95"/>
              </w:rPr>
              <w:t>469</w:t>
            </w:r>
          </w:p>
        </w:tc>
        <w:tc>
          <w:tcPr>
            <w:tcW w:w="900" w:type="dxa"/>
            <w:vAlign w:val="bottom"/>
            <w:tcBorders>
              <w:bottom w:val="single" w:sz="8" w:color="26D07C"/>
              <w:right w:val="single" w:sz="8" w:color="auto"/>
            </w:tcBorders>
            <w:shd w:val="clear" w:color="auto" w:fill="26D07C"/>
          </w:tcPr>
          <w:p>
            <w:pPr>
              <w:jc w:val="center"/>
              <w:spacing w:after="0" w:line="190" w:lineRule="exact"/>
              <w:rPr>
                <w:sz w:val="20"/>
                <w:szCs w:val="20"/>
                <w:color w:val="auto"/>
              </w:rPr>
            </w:pPr>
            <w:r>
              <w:rPr>
                <w:rFonts w:ascii="Arial" w:cs="Arial" w:eastAsia="Arial" w:hAnsi="Arial"/>
                <w:sz w:val="20"/>
                <w:szCs w:val="20"/>
                <w:b w:val="1"/>
                <w:bCs w:val="1"/>
                <w:color w:val="auto"/>
                <w:w w:val="95"/>
              </w:rPr>
              <w:t>2,354</w:t>
            </w:r>
          </w:p>
        </w:tc>
        <w:tc>
          <w:tcPr>
            <w:tcW w:w="780" w:type="dxa"/>
            <w:vAlign w:val="bottom"/>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tcPr>
          <w:p>
            <w:pPr>
              <w:ind w:left="40"/>
              <w:spacing w:after="0" w:line="190" w:lineRule="exact"/>
              <w:rPr>
                <w:sz w:val="20"/>
                <w:szCs w:val="20"/>
                <w:color w:val="auto"/>
              </w:rPr>
            </w:pPr>
            <w:r>
              <w:rPr>
                <w:rFonts w:ascii="Arial" w:cs="Arial" w:eastAsia="Arial" w:hAnsi="Arial"/>
                <w:sz w:val="20"/>
                <w:szCs w:val="20"/>
                <w:b w:val="1"/>
                <w:bCs w:val="1"/>
                <w:color w:val="auto"/>
              </w:rPr>
              <w:t>Mibanco Colombia</w:t>
            </w:r>
          </w:p>
        </w:tc>
        <w:tc>
          <w:tcPr>
            <w:tcW w:w="100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9"/>
              </w:rPr>
              <w:t>1,047</w:t>
            </w:r>
          </w:p>
        </w:tc>
        <w:tc>
          <w:tcPr>
            <w:tcW w:w="100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9"/>
              </w:rPr>
              <w:t>1,152</w:t>
            </w:r>
          </w:p>
        </w:tc>
        <w:tc>
          <w:tcPr>
            <w:tcW w:w="10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9"/>
              </w:rPr>
              <w:t>1,163</w:t>
            </w:r>
          </w:p>
        </w:tc>
        <w:tc>
          <w:tcPr>
            <w:tcW w:w="78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89"/>
              </w:rPr>
              <w:t>11</w:t>
            </w:r>
          </w:p>
        </w:tc>
        <w:tc>
          <w:tcPr>
            <w:tcW w:w="9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5"/>
              </w:rPr>
              <w:t>116</w:t>
            </w:r>
          </w:p>
        </w:tc>
        <w:tc>
          <w:tcPr>
            <w:tcW w:w="78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6"/>
              </w:rPr>
              <w:t>1.0%</w:t>
            </w:r>
          </w:p>
        </w:tc>
        <w:tc>
          <w:tcPr>
            <w:tcW w:w="8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5"/>
              </w:rPr>
              <w:t>11.1%</w:t>
            </w:r>
          </w:p>
        </w:tc>
        <w:tc>
          <w:tcPr>
            <w:tcW w:w="88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rPr>
              <w:t>0.8%</w:t>
            </w:r>
          </w:p>
        </w:tc>
        <w:tc>
          <w:tcPr>
            <w:tcW w:w="90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6"/>
              </w:rPr>
              <w:t>0.9%</w:t>
            </w:r>
          </w:p>
        </w:tc>
        <w:tc>
          <w:tcPr>
            <w:tcW w:w="88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6"/>
              </w:rPr>
              <w:t>0.8%</w:t>
            </w:r>
          </w:p>
        </w:tc>
        <w:tc>
          <w:tcPr>
            <w:tcW w:w="0" w:type="dxa"/>
            <w:vAlign w:val="bottom"/>
          </w:tcPr>
          <w:p>
            <w:pPr>
              <w:spacing w:after="0"/>
              <w:rPr>
                <w:sz w:val="1"/>
                <w:szCs w:val="1"/>
                <w:color w:val="auto"/>
              </w:rPr>
            </w:pPr>
          </w:p>
        </w:tc>
      </w:tr>
      <w:tr>
        <w:trPr>
          <w:trHeight w:val="24"/>
        </w:trPr>
        <w:tc>
          <w:tcPr>
            <w:tcW w:w="2280" w:type="dxa"/>
            <w:vAlign w:val="bottom"/>
            <w:tcBorders>
              <w:left w:val="single" w:sz="8" w:color="auto"/>
              <w:right w:val="single" w:sz="8" w:color="auto"/>
            </w:tcBorders>
            <w:vMerge w:val="restart"/>
          </w:tcPr>
          <w:p>
            <w:pPr>
              <w:ind w:left="40"/>
              <w:spacing w:after="0" w:line="214" w:lineRule="exact"/>
              <w:rPr>
                <w:sz w:val="20"/>
                <w:szCs w:val="20"/>
                <w:color w:val="auto"/>
              </w:rPr>
            </w:pPr>
            <w:r>
              <w:rPr>
                <w:rFonts w:ascii="Arial" w:cs="Arial" w:eastAsia="Arial" w:hAnsi="Arial"/>
                <w:sz w:val="20"/>
                <w:szCs w:val="20"/>
                <w:b w:val="1"/>
                <w:bCs w:val="1"/>
                <w:color w:val="auto"/>
              </w:rPr>
              <w:t>Bolivia</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9"/>
              </w:rPr>
              <w:t>9,408</w:t>
            </w:r>
          </w:p>
        </w:tc>
        <w:tc>
          <w:tcPr>
            <w:tcW w:w="100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9"/>
              </w:rPr>
              <w:t>8,622</w:t>
            </w:r>
          </w:p>
        </w:tc>
        <w:tc>
          <w:tcPr>
            <w:tcW w:w="10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b w:val="1"/>
                <w:bCs w:val="1"/>
                <w:color w:val="auto"/>
                <w:w w:val="99"/>
              </w:rPr>
              <w:t>8,992</w:t>
            </w:r>
          </w:p>
        </w:tc>
        <w:tc>
          <w:tcPr>
            <w:tcW w:w="78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5"/>
              </w:rPr>
              <w:t>370</w:t>
            </w:r>
          </w:p>
        </w:tc>
        <w:tc>
          <w:tcPr>
            <w:tcW w:w="900" w:type="dxa"/>
            <w:vAlign w:val="bottom"/>
            <w:tcBorders>
              <w:right w:val="single" w:sz="8" w:color="auto"/>
            </w:tcBorders>
          </w:tcPr>
          <w:p>
            <w:pPr>
              <w:spacing w:after="0"/>
              <w:rPr>
                <w:sz w:val="2"/>
                <w:szCs w:val="2"/>
                <w:color w:val="auto"/>
              </w:rPr>
            </w:pPr>
          </w:p>
        </w:tc>
        <w:tc>
          <w:tcPr>
            <w:tcW w:w="78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6"/>
              </w:rPr>
              <w:t>4.3%</w:t>
            </w:r>
          </w:p>
        </w:tc>
        <w:tc>
          <w:tcPr>
            <w:tcW w:w="8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b w:val="1"/>
                <w:bCs w:val="1"/>
                <w:color w:val="auto"/>
                <w:w w:val="95"/>
              </w:rPr>
              <w:t>-4.4%</w:t>
            </w:r>
          </w:p>
        </w:tc>
        <w:tc>
          <w:tcPr>
            <w:tcW w:w="88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rPr>
              <w:t>7.6%</w:t>
            </w:r>
          </w:p>
        </w:tc>
        <w:tc>
          <w:tcPr>
            <w:tcW w:w="90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6"/>
              </w:rPr>
              <w:t>6.6%</w:t>
            </w:r>
          </w:p>
        </w:tc>
        <w:tc>
          <w:tcPr>
            <w:tcW w:w="88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b w:val="1"/>
                <w:bCs w:val="1"/>
                <w:color w:val="auto"/>
                <w:w w:val="96"/>
              </w:rPr>
              <w:t>6.5%</w:t>
            </w:r>
          </w:p>
        </w:tc>
        <w:tc>
          <w:tcPr>
            <w:tcW w:w="0" w:type="dxa"/>
            <w:vAlign w:val="bottom"/>
          </w:tcPr>
          <w:p>
            <w:pPr>
              <w:spacing w:after="0" w:line="20" w:lineRule="exact"/>
              <w:rPr>
                <w:sz w:val="1"/>
                <w:szCs w:val="1"/>
                <w:color w:val="auto"/>
              </w:rPr>
            </w:pPr>
          </w:p>
        </w:tc>
      </w:tr>
      <w:tr>
        <w:trPr>
          <w:trHeight w:val="194"/>
        </w:trPr>
        <w:tc>
          <w:tcPr>
            <w:tcW w:w="2280" w:type="dxa"/>
            <w:vAlign w:val="bottom"/>
            <w:tcBorders>
              <w:left w:val="single" w:sz="8" w:color="auto"/>
              <w:right w:val="single" w:sz="8" w:color="auto"/>
            </w:tcBorders>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900" w:type="dxa"/>
            <w:vAlign w:val="bottom"/>
            <w:tcBorders>
              <w:bottom w:val="single" w:sz="8" w:color="E93CAC"/>
              <w:right w:val="single" w:sz="8" w:color="auto"/>
            </w:tcBorders>
            <w:shd w:val="clear" w:color="auto" w:fill="E93CAC"/>
          </w:tcPr>
          <w:p>
            <w:pPr>
              <w:jc w:val="center"/>
              <w:spacing w:after="0" w:line="190" w:lineRule="exact"/>
              <w:rPr>
                <w:sz w:val="20"/>
                <w:szCs w:val="20"/>
                <w:color w:val="auto"/>
              </w:rPr>
            </w:pPr>
            <w:r>
              <w:rPr>
                <w:rFonts w:ascii="Arial" w:cs="Arial" w:eastAsia="Arial" w:hAnsi="Arial"/>
                <w:sz w:val="20"/>
                <w:szCs w:val="20"/>
                <w:b w:val="1"/>
                <w:bCs w:val="1"/>
                <w:color w:val="auto"/>
                <w:w w:val="99"/>
              </w:rPr>
              <w:t>-416</w:t>
            </w:r>
          </w:p>
        </w:tc>
        <w:tc>
          <w:tcPr>
            <w:tcW w:w="780" w:type="dxa"/>
            <w:vAlign w:val="bottom"/>
            <w:vMerge w:val="continue"/>
          </w:tcPr>
          <w:p>
            <w:pPr>
              <w:spacing w:after="0"/>
              <w:rPr>
                <w:sz w:val="16"/>
                <w:szCs w:val="16"/>
                <w:color w:val="auto"/>
              </w:rPr>
            </w:pPr>
          </w:p>
        </w:tc>
        <w:tc>
          <w:tcPr>
            <w:tcW w:w="820" w:type="dxa"/>
            <w:vAlign w:val="bottom"/>
            <w:tcBorders>
              <w:right w:val="single" w:sz="8" w:color="auto"/>
            </w:tcBorders>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28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ASB</w:t>
            </w:r>
          </w:p>
        </w:tc>
        <w:tc>
          <w:tcPr>
            <w:tcW w:w="10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9"/>
              </w:rPr>
              <w:t>2,123</w:t>
            </w:r>
          </w:p>
        </w:tc>
        <w:tc>
          <w:tcPr>
            <w:tcW w:w="10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9"/>
              </w:rPr>
              <w:t>2,030</w:t>
            </w:r>
          </w:p>
        </w:tc>
        <w:tc>
          <w:tcPr>
            <w:tcW w:w="10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9"/>
              </w:rPr>
              <w:t>2,084</w:t>
            </w:r>
          </w:p>
        </w:tc>
        <w:tc>
          <w:tcPr>
            <w:tcW w:w="7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54</w:t>
            </w:r>
          </w:p>
        </w:tc>
        <w:tc>
          <w:tcPr>
            <w:tcW w:w="90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-39</w:t>
            </w:r>
          </w:p>
        </w:tc>
        <w:tc>
          <w:tcPr>
            <w:tcW w:w="7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2.7%</w:t>
            </w:r>
          </w:p>
        </w:tc>
        <w:tc>
          <w:tcPr>
            <w:tcW w:w="8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5"/>
              </w:rPr>
              <w:t>-1.8%</w:t>
            </w:r>
          </w:p>
        </w:tc>
        <w:tc>
          <w:tcPr>
            <w:tcW w:w="8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rPr>
              <w:t>1.7%</w:t>
            </w:r>
          </w:p>
        </w:tc>
        <w:tc>
          <w:tcPr>
            <w:tcW w:w="9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1.6%</w:t>
            </w:r>
          </w:p>
        </w:tc>
        <w:tc>
          <w:tcPr>
            <w:tcW w:w="88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1.5%</w:t>
            </w:r>
          </w:p>
        </w:tc>
        <w:tc>
          <w:tcPr>
            <w:tcW w:w="0" w:type="dxa"/>
            <w:vAlign w:val="bottom"/>
          </w:tcPr>
          <w:p>
            <w:pPr>
              <w:spacing w:after="0"/>
              <w:rPr>
                <w:sz w:val="1"/>
                <w:szCs w:val="1"/>
                <w:color w:val="auto"/>
              </w:rPr>
            </w:pPr>
          </w:p>
        </w:tc>
      </w:tr>
      <w:tr>
        <w:trPr>
          <w:trHeight w:val="221"/>
        </w:trPr>
        <w:tc>
          <w:tcPr>
            <w:tcW w:w="228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BAP's total loans</w:t>
            </w:r>
          </w:p>
        </w:tc>
        <w:tc>
          <w:tcPr>
            <w:tcW w:w="10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124,488</w:t>
            </w:r>
          </w:p>
        </w:tc>
        <w:tc>
          <w:tcPr>
            <w:tcW w:w="10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130,508</w:t>
            </w:r>
          </w:p>
        </w:tc>
        <w:tc>
          <w:tcPr>
            <w:tcW w:w="10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137,298</w:t>
            </w:r>
          </w:p>
        </w:tc>
        <w:tc>
          <w:tcPr>
            <w:tcW w:w="7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5"/>
              </w:rPr>
              <w:t>6,790</w:t>
            </w:r>
          </w:p>
        </w:tc>
        <w:tc>
          <w:tcPr>
            <w:tcW w:w="90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12,809</w:t>
            </w:r>
          </w:p>
        </w:tc>
        <w:tc>
          <w:tcPr>
            <w:tcW w:w="7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5.2%</w:t>
            </w:r>
          </w:p>
        </w:tc>
        <w:tc>
          <w:tcPr>
            <w:tcW w:w="8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10.3%</w:t>
            </w:r>
          </w:p>
        </w:tc>
        <w:tc>
          <w:tcPr>
            <w:tcW w:w="8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100.0%</w:t>
            </w:r>
          </w:p>
        </w:tc>
        <w:tc>
          <w:tcPr>
            <w:tcW w:w="9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100.0%</w:t>
            </w:r>
          </w:p>
        </w:tc>
        <w:tc>
          <w:tcPr>
            <w:tcW w:w="88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rPr>
              <w:t>100.0%</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0"/>
        <w:spacing w:after="0"/>
        <w:rPr>
          <w:sz w:val="20"/>
          <w:szCs w:val="20"/>
          <w:color w:val="auto"/>
        </w:rPr>
      </w:pPr>
      <w:r>
        <w:rPr>
          <w:rFonts w:ascii="Arial" w:cs="Arial" w:eastAsia="Arial" w:hAnsi="Arial"/>
          <w:sz w:val="11"/>
          <w:szCs w:val="11"/>
          <w:color w:val="auto"/>
        </w:rPr>
        <w:t>For consolidation purposes, Loans generated in Foreign Currency (FC) are converted to Local Currency (LC).</w:t>
      </w:r>
    </w:p>
    <w:p>
      <w:pPr>
        <w:spacing w:after="0" w:line="61" w:lineRule="exact"/>
        <w:rPr>
          <w:sz w:val="20"/>
          <w:szCs w:val="20"/>
          <w:color w:val="auto"/>
        </w:rPr>
      </w:pPr>
    </w:p>
    <w:p>
      <w:pPr>
        <w:ind w:left="200" w:hanging="163"/>
        <w:spacing w:after="0"/>
        <w:tabs>
          <w:tab w:leader="none" w:pos="200" w:val="left"/>
        </w:tabs>
        <w:numPr>
          <w:ilvl w:val="1"/>
          <w:numId w:val="11"/>
        </w:numPr>
        <w:rPr>
          <w:rFonts w:ascii="Arial" w:cs="Arial" w:eastAsia="Arial" w:hAnsi="Arial"/>
          <w:sz w:val="11"/>
          <w:szCs w:val="11"/>
          <w:color w:val="auto"/>
        </w:rPr>
      </w:pPr>
      <w:r>
        <w:rPr>
          <w:rFonts w:ascii="Arial" w:cs="Arial" w:eastAsia="Arial" w:hAnsi="Arial"/>
          <w:sz w:val="11"/>
          <w:szCs w:val="11"/>
          <w:color w:val="auto"/>
        </w:rPr>
        <w:t>Includes Work out unit, and other banking. For Quarter-end Balances figures, please refer to “12. Annexes – 12.2 Loan Portfolio Quality”.</w:t>
      </w:r>
    </w:p>
    <w:p>
      <w:pPr>
        <w:spacing w:after="0" w:line="4" w:lineRule="exact"/>
        <w:rPr>
          <w:rFonts w:ascii="Arial" w:cs="Arial" w:eastAsia="Arial" w:hAnsi="Arial"/>
          <w:sz w:val="11"/>
          <w:szCs w:val="11"/>
          <w:color w:val="auto"/>
        </w:rPr>
      </w:pPr>
    </w:p>
    <w:p>
      <w:pPr>
        <w:ind w:left="200" w:hanging="163"/>
        <w:spacing w:after="0"/>
        <w:tabs>
          <w:tab w:leader="none" w:pos="200" w:val="left"/>
        </w:tabs>
        <w:numPr>
          <w:ilvl w:val="1"/>
          <w:numId w:val="11"/>
        </w:numPr>
        <w:rPr>
          <w:rFonts w:ascii="Arial" w:cs="Arial" w:eastAsia="Arial" w:hAnsi="Arial"/>
          <w:sz w:val="11"/>
          <w:szCs w:val="11"/>
          <w:color w:val="auto"/>
        </w:rPr>
      </w:pPr>
      <w:r>
        <w:rPr>
          <w:rFonts w:ascii="Arial" w:cs="Arial" w:eastAsia="Arial" w:hAnsi="Arial"/>
          <w:sz w:val="11"/>
          <w:szCs w:val="11"/>
          <w:color w:val="auto"/>
        </w:rPr>
        <w:t>Structural Portfolio excludes the Loans offered through Reactiva Peru and FAE-Mype Government Programs (GP).</w:t>
      </w:r>
    </w:p>
    <w:p>
      <w:pPr>
        <w:spacing w:after="0" w:line="117" w:lineRule="exact"/>
        <w:rPr>
          <w:rFonts w:ascii="Arial" w:cs="Arial" w:eastAsia="Arial" w:hAnsi="Arial"/>
          <w:sz w:val="11"/>
          <w:szCs w:val="11"/>
          <w:color w:val="auto"/>
        </w:rPr>
      </w:pPr>
    </w:p>
    <w:p>
      <w:pPr>
        <w:ind w:left="160" w:hanging="153"/>
        <w:spacing w:after="0"/>
        <w:tabs>
          <w:tab w:leader="none" w:pos="1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Internal Management Figures</w:t>
      </w:r>
    </w:p>
    <w:p>
      <w:pPr>
        <w:sectPr>
          <w:pgSz w:w="11900" w:h="16838" w:orient="portrait"/>
          <w:cols w:equalWidth="0" w:num="1">
            <w:col w:w="11240"/>
          </w:cols>
          <w:pgMar w:left="320" w:top="451" w:right="339" w:bottom="1440" w:gutter="0" w:footer="0" w:header="0"/>
        </w:sectPr>
      </w:pPr>
    </w:p>
    <w:p>
      <w:pPr>
        <w:spacing w:after="0" w:line="293" w:lineRule="exact"/>
        <w:rPr>
          <w:sz w:val="20"/>
          <w:szCs w:val="20"/>
          <w:color w:val="auto"/>
        </w:rPr>
      </w:pPr>
    </w:p>
    <w:p>
      <w:pPr>
        <w:ind w:right="7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QoQ, </w:t>
      </w:r>
      <w:r>
        <w:rPr>
          <w:rFonts w:ascii="Times New Roman" w:cs="Times New Roman" w:eastAsia="Times New Roman" w:hAnsi="Times New Roman"/>
          <w:sz w:val="18"/>
          <w:szCs w:val="18"/>
          <w:color w:val="auto"/>
        </w:rPr>
        <w:t>if we exclude the exchange rate effect (USDPEN: +4.1%), loans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increased 4.3%. Growth was driven primarily by:</w:t>
      </w:r>
    </w:p>
    <w:p>
      <w:pPr>
        <w:spacing w:after="0" w:line="158" w:lineRule="exact"/>
        <w:rPr>
          <w:sz w:val="20"/>
          <w:szCs w:val="20"/>
          <w:color w:val="auto"/>
        </w:rPr>
      </w:pPr>
    </w:p>
    <w:p>
      <w:pPr>
        <w:jc w:val="both"/>
        <w:ind w:left="640" w:right="70" w:hanging="312"/>
        <w:spacing w:after="0" w:line="241"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Wholesale Banking, which registered growth in short term transactions in both Foreign Currency (FC) and Local Currency (LC) in the Corporate Banking segment and secondarily, Middle Market Banking, via an uptick in financing for working capital.</w:t>
      </w:r>
    </w:p>
    <w:p>
      <w:pPr>
        <w:spacing w:after="0" w:line="179" w:lineRule="exact"/>
        <w:rPr>
          <w:rFonts w:ascii="Arial" w:cs="Arial" w:eastAsia="Arial" w:hAnsi="Arial"/>
          <w:sz w:val="18"/>
          <w:szCs w:val="18"/>
          <w:color w:val="auto"/>
        </w:rPr>
      </w:pPr>
    </w:p>
    <w:p>
      <w:pPr>
        <w:jc w:val="both"/>
        <w:ind w:left="640" w:right="70" w:hanging="312"/>
        <w:spacing w:after="0" w:line="241"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uptick in Consumer, after improvements were made to the Credito Efectivo to satisfy the needs of digital clients and initiatives were rolled out to capture clients from the competition through debt purchase offers via traditional channels.</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jc w:val="both"/>
        <w:ind w:left="330" w:hanging="330"/>
        <w:spacing w:after="0" w:line="249" w:lineRule="auto"/>
        <w:tabs>
          <w:tab w:leader="none" w:pos="3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SME-Business, driven by working capital loans growth due to growth in working capital loans after clients paid off Reactiva loans.</w:t>
      </w:r>
    </w:p>
    <w:p>
      <w:pPr>
        <w:spacing w:after="0" w:line="199" w:lineRule="exact"/>
        <w:rPr>
          <w:rFonts w:ascii="Arial" w:cs="Arial" w:eastAsia="Arial" w:hAnsi="Arial"/>
          <w:sz w:val="18"/>
          <w:szCs w:val="18"/>
          <w:color w:val="auto"/>
        </w:rPr>
      </w:pPr>
    </w:p>
    <w:p>
      <w:pPr>
        <w:jc w:val="both"/>
        <w:ind w:left="330" w:right="20" w:hanging="330"/>
        <w:spacing w:after="0" w:line="249" w:lineRule="auto"/>
        <w:tabs>
          <w:tab w:leader="none" w:pos="3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Mortgage, given that a lower level of prepayments this quarter offset the drop in disbursements generated by an increase in market rates.</w:t>
      </w:r>
    </w:p>
    <w:p>
      <w:pPr>
        <w:spacing w:after="0" w:line="199" w:lineRule="exact"/>
        <w:rPr>
          <w:rFonts w:ascii="Arial" w:cs="Arial" w:eastAsia="Arial" w:hAnsi="Arial"/>
          <w:sz w:val="18"/>
          <w:szCs w:val="18"/>
          <w:color w:val="auto"/>
        </w:rPr>
      </w:pPr>
    </w:p>
    <w:p>
      <w:pPr>
        <w:jc w:val="both"/>
        <w:ind w:left="330" w:right="20" w:hanging="330"/>
        <w:spacing w:after="0" w:line="243" w:lineRule="auto"/>
        <w:tabs>
          <w:tab w:leader="none" w:pos="3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SME-Pyme, which registered growth among the smallest clients in the portfolio (loans &lt;90 thousand soles). The higher level of risk in this segment is offset by higher rates.</w:t>
      </w:r>
    </w:p>
    <w:p>
      <w:pPr>
        <w:spacing w:after="0" w:line="206" w:lineRule="exact"/>
        <w:rPr>
          <w:rFonts w:ascii="Arial" w:cs="Arial" w:eastAsia="Arial" w:hAnsi="Arial"/>
          <w:sz w:val="18"/>
          <w:szCs w:val="18"/>
          <w:color w:val="auto"/>
        </w:rPr>
      </w:pPr>
    </w:p>
    <w:p>
      <w:pPr>
        <w:jc w:val="both"/>
        <w:ind w:left="330" w:right="20" w:hanging="330"/>
        <w:spacing w:after="0" w:line="243" w:lineRule="auto"/>
        <w:tabs>
          <w:tab w:leader="none" w:pos="3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uptick in Mibanco, due to growth in sales by Relationship Managers, who reported higher levels of productivity (levels increased to 15.4 operations per month in 3Q22 versus 14.3 in 2Q22).</w:t>
      </w:r>
    </w:p>
    <w:p>
      <w:pPr>
        <w:spacing w:after="0" w:line="200" w:lineRule="exact"/>
        <w:rPr>
          <w:sz w:val="20"/>
          <w:szCs w:val="20"/>
          <w:color w:val="auto"/>
        </w:rPr>
      </w:pPr>
    </w:p>
    <w:p>
      <w:pPr>
        <w:sectPr>
          <w:pgSz w:w="11900" w:h="16838" w:orient="portrait"/>
          <w:cols w:equalWidth="0" w:num="2">
            <w:col w:w="5450" w:space="720"/>
            <w:col w:w="5070"/>
          </w:cols>
          <w:pgMar w:left="320" w:top="451" w:right="339" w:bottom="1440" w:gutter="0" w:footer="0" w:header="0"/>
          <w:type w:val="continuous"/>
        </w:sectPr>
      </w:pPr>
    </w:p>
    <w:p>
      <w:pPr>
        <w:spacing w:after="0" w:line="16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type w:val="continuous"/>
        </w:sectPr>
      </w:pPr>
    </w:p>
    <w:bookmarkStart w:id="17" w:name="page18"/>
    <w:bookmarkEnd w:id="17"/>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p>
      <w:pPr>
        <w:spacing w:after="0" w:line="247" w:lineRule="exact"/>
        <w:rPr>
          <w:sz w:val="20"/>
          <w:szCs w:val="20"/>
          <w:color w:val="auto"/>
        </w:rPr>
      </w:pPr>
    </w:p>
    <w:p>
      <w:pPr>
        <w:ind w:right="50"/>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YoY, </w:t>
      </w:r>
      <w:r>
        <w:rPr>
          <w:rFonts w:ascii="Times New Roman" w:cs="Times New Roman" w:eastAsia="Times New Roman" w:hAnsi="Times New Roman"/>
          <w:sz w:val="18"/>
          <w:szCs w:val="18"/>
          <w:color w:val="auto"/>
        </w:rPr>
        <w:t>if we exclude the exchange rate effect (USDPEN: -3.7%), loans grew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12.6%. Growth was driven primarily by:</w:t>
      </w:r>
    </w:p>
    <w:p>
      <w:pPr>
        <w:spacing w:after="0" w:line="158" w:lineRule="exact"/>
        <w:rPr>
          <w:sz w:val="20"/>
          <w:szCs w:val="20"/>
          <w:color w:val="auto"/>
        </w:rPr>
      </w:pPr>
    </w:p>
    <w:p>
      <w:pPr>
        <w:jc w:val="both"/>
        <w:ind w:left="640" w:right="70" w:hanging="312"/>
        <w:spacing w:after="0" w:line="23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Wholesale Banking, where the Corporate and Middle Market segments reported growth, which reflected an increase in needs for Working Capital and a base effect in 3Q21, when some clients amortized their debt. It is important to note that the MS of Wholesale Banking has increased 36bps since the beginning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Program Loans (in Average Daily Balances – S/ millions)</w:t>
      </w:r>
    </w:p>
    <w:p>
      <w:pPr>
        <w:spacing w:after="0" w:line="252" w:lineRule="exact"/>
        <w:rPr>
          <w:sz w:val="20"/>
          <w:szCs w:val="20"/>
          <w:color w:val="auto"/>
        </w:rPr>
      </w:pPr>
    </w:p>
    <w:p>
      <w:pPr>
        <w:jc w:val="both"/>
        <w:ind w:right="50"/>
        <w:spacing w:after="0" w:line="263" w:lineRule="auto"/>
        <w:rPr>
          <w:sz w:val="20"/>
          <w:szCs w:val="20"/>
          <w:color w:val="auto"/>
        </w:rPr>
      </w:pPr>
      <w:r>
        <w:rPr>
          <w:rFonts w:ascii="Times New Roman" w:cs="Times New Roman" w:eastAsia="Times New Roman" w:hAnsi="Times New Roman"/>
          <w:sz w:val="18"/>
          <w:szCs w:val="18"/>
          <w:color w:val="auto"/>
        </w:rPr>
        <w:t>Government program loans dropped 15.5% QoQ and 39.1% YoY in average daily balances due to amortizations in Middle Market Banking and in SME Business at BCP Stand-alone.</w:t>
      </w:r>
    </w:p>
    <w:p>
      <w:pPr>
        <w:spacing w:after="0" w:line="203" w:lineRule="exact"/>
        <w:rPr>
          <w:sz w:val="20"/>
          <w:szCs w:val="20"/>
          <w:color w:val="auto"/>
        </w:rPr>
      </w:pPr>
    </w:p>
    <w:p>
      <w:pPr>
        <w:jc w:val="both"/>
        <w:ind w:right="70"/>
        <w:spacing w:after="0" w:line="278" w:lineRule="auto"/>
        <w:rPr>
          <w:sz w:val="20"/>
          <w:szCs w:val="20"/>
          <w:color w:val="auto"/>
        </w:rPr>
      </w:pPr>
      <w:r>
        <w:rPr>
          <w:rFonts w:ascii="Times New Roman" w:cs="Times New Roman" w:eastAsia="Times New Roman" w:hAnsi="Times New Roman"/>
          <w:sz w:val="18"/>
          <w:szCs w:val="18"/>
          <w:color w:val="auto"/>
        </w:rPr>
        <w:t>It is important to note that GP loans in quarter-end balances represented 8% of total loans (vs 10% in Jun22 and 14% in Sep21).</w:t>
      </w:r>
    </w:p>
    <w:p>
      <w:pPr>
        <w:spacing w:after="0" w:line="190" w:lineRule="exact"/>
        <w:rPr>
          <w:sz w:val="20"/>
          <w:szCs w:val="20"/>
          <w:color w:val="auto"/>
        </w:rPr>
      </w:pPr>
    </w:p>
    <w:p>
      <w:pPr>
        <w:jc w:val="both"/>
        <w:ind w:right="50"/>
        <w:spacing w:after="0" w:line="263" w:lineRule="auto"/>
        <w:rPr>
          <w:sz w:val="20"/>
          <w:szCs w:val="20"/>
          <w:color w:val="auto"/>
        </w:rPr>
      </w:pPr>
      <w:r>
        <w:rPr>
          <w:rFonts w:ascii="Times New Roman" w:cs="Times New Roman" w:eastAsia="Times New Roman" w:hAnsi="Times New Roman"/>
          <w:sz w:val="18"/>
          <w:szCs w:val="18"/>
          <w:color w:val="auto"/>
        </w:rPr>
        <w:t>The term for total amortization of GP loans in the Wholesale Banking, Retail Banking and Mibanco portfolios expires, on average, in 1.2, 1.6 and 2.7 years respectively.</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both"/>
        <w:ind w:left="330" w:hanging="330"/>
        <w:spacing w:after="0" w:line="243"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Retail Banking at BCP, where the Consumer segment and SME-Pyme led expansion followed by the Mortgage and Credit Card segments. These dynamics were driven by an upswing in consumption due to economic reactivation.</w:t>
      </w:r>
    </w:p>
    <w:p>
      <w:pPr>
        <w:spacing w:after="0" w:line="112" w:lineRule="exact"/>
        <w:rPr>
          <w:rFonts w:ascii="Arial" w:cs="Arial" w:eastAsia="Arial" w:hAnsi="Arial"/>
          <w:sz w:val="18"/>
          <w:szCs w:val="18"/>
          <w:color w:val="auto"/>
        </w:rPr>
      </w:pPr>
    </w:p>
    <w:p>
      <w:pPr>
        <w:jc w:val="both"/>
        <w:ind w:left="330" w:hanging="330"/>
        <w:spacing w:after="0" w:line="237" w:lineRule="auto"/>
        <w:tabs>
          <w:tab w:leader="none" w:pos="3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Mibanco, where disbursements rose after the hybrid model facilitated centralized assessment and led to improvements in distribution channels. At the end of September 22, disbursements through leads (centralized assessment) represented 74.3% of total disbursements vs 70.0% in September 21. It is important to note the sustained growth in the average disbursement ticket, which was driven by an uptick in leads to clients with better risk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266065</wp:posOffset>
            </wp:positionV>
            <wp:extent cx="2550795" cy="1504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50795" cy="1504950"/>
                    </a:xfrm>
                    <a:prstGeom prst="rect">
                      <a:avLst/>
                    </a:prstGeom>
                    <a:noFill/>
                  </pic:spPr>
                </pic:pic>
              </a:graphicData>
            </a:graphic>
          </wp:anchor>
        </w:drawing>
      </w:r>
    </w:p>
    <w:p>
      <w:pPr>
        <w:spacing w:after="0" w:line="2897" w:lineRule="exact"/>
        <w:rPr>
          <w:sz w:val="20"/>
          <w:szCs w:val="20"/>
          <w:color w:val="auto"/>
        </w:rPr>
      </w:pPr>
    </w:p>
    <w:p>
      <w:pPr>
        <w:sectPr>
          <w:pgSz w:w="11900" w:h="16838" w:orient="portrait"/>
          <w:cols w:equalWidth="0" w:num="2">
            <w:col w:w="5450" w:space="720"/>
            <w:col w:w="5070"/>
          </w:cols>
          <w:pgMar w:left="320" w:top="45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Total loans (in Average Daily Balances) </w:t>
      </w:r>
      <w:r>
        <w:rPr>
          <w:rFonts w:ascii="Times New Roman" w:cs="Times New Roman" w:eastAsia="Times New Roman" w:hAnsi="Times New Roman"/>
          <w:sz w:val="29"/>
          <w:szCs w:val="29"/>
          <w:b w:val="1"/>
          <w:bCs w:val="1"/>
          <w:color w:val="auto"/>
          <w:vertAlign w:val="superscript"/>
        </w:rPr>
        <w:t>(1) (2)</w:t>
      </w:r>
    </w:p>
    <w:tbl>
      <w:tblPr>
        <w:tblLayout w:type="fixed"/>
        <w:tblInd w:w="570" w:type="dxa"/>
        <w:tblCellMar>
          <w:top w:w="0" w:type="dxa"/>
          <w:left w:w="0" w:type="dxa"/>
          <w:bottom w:w="0" w:type="dxa"/>
          <w:right w:w="0" w:type="dxa"/>
        </w:tblCellMar>
      </w:tblPr>
      <w:tr>
        <w:trPr>
          <w:trHeight w:val="197"/>
        </w:trPr>
        <w:tc>
          <w:tcPr>
            <w:tcW w:w="2120" w:type="dxa"/>
            <w:vAlign w:val="bottom"/>
            <w:tcBorders>
              <w:top w:val="single" w:sz="8" w:color="auto"/>
              <w:left w:val="single" w:sz="8" w:color="auto"/>
              <w:right w:val="single" w:sz="8" w:color="auto"/>
            </w:tcBorders>
            <w:shd w:val="clear" w:color="auto" w:fill="2AD2C9"/>
          </w:tcPr>
          <w:p>
            <w:pPr>
              <w:ind w:left="40"/>
              <w:spacing w:after="0" w:line="198" w:lineRule="exact"/>
              <w:rPr>
                <w:sz w:val="20"/>
                <w:szCs w:val="20"/>
                <w:color w:val="auto"/>
              </w:rPr>
            </w:pPr>
            <w:r>
              <w:rPr>
                <w:rFonts w:ascii="Arial" w:cs="Arial" w:eastAsia="Arial" w:hAnsi="Arial"/>
                <w:sz w:val="20"/>
                <w:szCs w:val="20"/>
                <w:b w:val="1"/>
                <w:bCs w:val="1"/>
                <w:color w:val="FFFFFF"/>
              </w:rPr>
              <w:t>Total Loans</w:t>
            </w:r>
          </w:p>
        </w:tc>
        <w:tc>
          <w:tcPr>
            <w:tcW w:w="800" w:type="dxa"/>
            <w:vAlign w:val="bottom"/>
            <w:tcBorders>
              <w:top w:val="single" w:sz="8" w:color="auto"/>
            </w:tcBorders>
            <w:vMerge w:val="restart"/>
            <w:shd w:val="clear" w:color="auto" w:fill="2AD2C9"/>
          </w:tcPr>
          <w:p>
            <w:pPr>
              <w:ind w:left="80"/>
              <w:spacing w:after="0"/>
              <w:rPr>
                <w:sz w:val="20"/>
                <w:szCs w:val="20"/>
                <w:color w:val="auto"/>
              </w:rPr>
            </w:pPr>
            <w:r>
              <w:rPr>
                <w:rFonts w:ascii="Arial" w:cs="Arial" w:eastAsia="Arial" w:hAnsi="Arial"/>
                <w:sz w:val="20"/>
                <w:szCs w:val="20"/>
                <w:b w:val="1"/>
                <w:bCs w:val="1"/>
                <w:color w:val="FFFFFF"/>
              </w:rPr>
              <w:t>Sep 21</w:t>
            </w:r>
          </w:p>
        </w:tc>
        <w:tc>
          <w:tcPr>
            <w:tcW w:w="740" w:type="dxa"/>
            <w:vAlign w:val="bottom"/>
            <w:tcBorders>
              <w:top w:val="single" w:sz="8" w:color="auto"/>
            </w:tcBorders>
            <w:shd w:val="clear" w:color="auto" w:fill="2AD2C9"/>
          </w:tcPr>
          <w:p>
            <w:pPr>
              <w:jc w:val="center"/>
              <w:spacing w:after="0" w:line="198" w:lineRule="exact"/>
              <w:rPr>
                <w:sz w:val="20"/>
                <w:szCs w:val="20"/>
                <w:color w:val="auto"/>
              </w:rPr>
            </w:pPr>
            <w:r>
              <w:rPr>
                <w:rFonts w:ascii="Arial" w:cs="Arial" w:eastAsia="Arial" w:hAnsi="Arial"/>
                <w:sz w:val="20"/>
                <w:szCs w:val="20"/>
                <w:b w:val="1"/>
                <w:bCs w:val="1"/>
                <w:color w:val="FFFFFF"/>
                <w:w w:val="95"/>
              </w:rPr>
              <w:t>As of</w:t>
            </w:r>
          </w:p>
        </w:tc>
        <w:tc>
          <w:tcPr>
            <w:tcW w:w="760" w:type="dxa"/>
            <w:vAlign w:val="bottom"/>
            <w:tcBorders>
              <w:top w:val="single" w:sz="8" w:color="auto"/>
              <w:right w:val="single" w:sz="8" w:color="auto"/>
            </w:tcBorders>
            <w:shd w:val="clear" w:color="auto" w:fill="2AD2C9"/>
          </w:tcPr>
          <w:p>
            <w:pPr>
              <w:spacing w:after="0"/>
              <w:rPr>
                <w:sz w:val="17"/>
                <w:szCs w:val="17"/>
                <w:color w:val="auto"/>
              </w:rPr>
            </w:pPr>
          </w:p>
        </w:tc>
        <w:tc>
          <w:tcPr>
            <w:tcW w:w="1520" w:type="dxa"/>
            <w:vAlign w:val="bottom"/>
            <w:tcBorders>
              <w:top w:val="single" w:sz="8" w:color="auto"/>
              <w:right w:val="single" w:sz="8" w:color="auto"/>
            </w:tcBorders>
            <w:gridSpan w:val="2"/>
            <w:shd w:val="clear" w:color="auto" w:fill="2AD2C9"/>
          </w:tcPr>
          <w:p>
            <w:pPr>
              <w:ind w:left="40"/>
              <w:spacing w:after="0" w:line="198" w:lineRule="exact"/>
              <w:rPr>
                <w:sz w:val="20"/>
                <w:szCs w:val="20"/>
                <w:color w:val="auto"/>
              </w:rPr>
            </w:pPr>
            <w:r>
              <w:rPr>
                <w:rFonts w:ascii="Arial" w:cs="Arial" w:eastAsia="Arial" w:hAnsi="Arial"/>
                <w:sz w:val="20"/>
                <w:szCs w:val="20"/>
                <w:b w:val="1"/>
                <w:bCs w:val="1"/>
                <w:color w:val="FFFFFF"/>
                <w:w w:val="97"/>
              </w:rPr>
              <w:t>Volume change</w:t>
            </w:r>
          </w:p>
        </w:tc>
        <w:tc>
          <w:tcPr>
            <w:tcW w:w="1560" w:type="dxa"/>
            <w:vAlign w:val="bottom"/>
            <w:tcBorders>
              <w:top w:val="single" w:sz="8" w:color="auto"/>
              <w:right w:val="single" w:sz="8" w:color="auto"/>
            </w:tcBorders>
            <w:gridSpan w:val="2"/>
            <w:shd w:val="clear" w:color="auto" w:fill="2AD2C9"/>
          </w:tcPr>
          <w:p>
            <w:pPr>
              <w:ind w:left="300"/>
              <w:spacing w:after="0" w:line="198" w:lineRule="exact"/>
              <w:rPr>
                <w:sz w:val="20"/>
                <w:szCs w:val="20"/>
                <w:color w:val="auto"/>
              </w:rPr>
            </w:pPr>
            <w:r>
              <w:rPr>
                <w:rFonts w:ascii="Arial" w:cs="Arial" w:eastAsia="Arial" w:hAnsi="Arial"/>
                <w:sz w:val="20"/>
                <w:szCs w:val="20"/>
                <w:b w:val="1"/>
                <w:bCs w:val="1"/>
                <w:color w:val="FFFFFF"/>
              </w:rPr>
              <w:t>% change</w:t>
            </w:r>
          </w:p>
        </w:tc>
        <w:tc>
          <w:tcPr>
            <w:tcW w:w="2620" w:type="dxa"/>
            <w:vAlign w:val="bottom"/>
            <w:tcBorders>
              <w:top w:val="single" w:sz="8" w:color="auto"/>
              <w:right w:val="single" w:sz="8" w:color="auto"/>
            </w:tcBorders>
            <w:gridSpan w:val="3"/>
            <w:shd w:val="clear" w:color="auto" w:fill="2AD2C9"/>
          </w:tcPr>
          <w:p>
            <w:pPr>
              <w:jc w:val="center"/>
              <w:spacing w:after="0" w:line="198" w:lineRule="exact"/>
              <w:rPr>
                <w:sz w:val="20"/>
                <w:szCs w:val="20"/>
                <w:color w:val="auto"/>
              </w:rPr>
            </w:pPr>
            <w:r>
              <w:rPr>
                <w:rFonts w:ascii="Arial" w:cs="Arial" w:eastAsia="Arial" w:hAnsi="Arial"/>
                <w:sz w:val="20"/>
                <w:szCs w:val="20"/>
                <w:b w:val="1"/>
                <w:bCs w:val="1"/>
                <w:color w:val="FFFFFF"/>
              </w:rPr>
              <w:t>% Part. in total loans</w:t>
            </w:r>
          </w:p>
        </w:tc>
        <w:tc>
          <w:tcPr>
            <w:tcW w:w="0" w:type="dxa"/>
            <w:vAlign w:val="bottom"/>
          </w:tcPr>
          <w:p>
            <w:pPr>
              <w:spacing w:after="0"/>
              <w:rPr>
                <w:sz w:val="1"/>
                <w:szCs w:val="1"/>
                <w:color w:val="auto"/>
              </w:rPr>
            </w:pPr>
          </w:p>
        </w:tc>
      </w:tr>
      <w:tr>
        <w:trPr>
          <w:trHeight w:val="245"/>
        </w:trPr>
        <w:tc>
          <w:tcPr>
            <w:tcW w:w="212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20"/>
                <w:szCs w:val="20"/>
                <w:color w:val="FFFFFF"/>
              </w:rPr>
              <w:t>(S/ millions)</w:t>
            </w:r>
          </w:p>
        </w:tc>
        <w:tc>
          <w:tcPr>
            <w:tcW w:w="800" w:type="dxa"/>
            <w:vAlign w:val="bottom"/>
            <w:tcBorders>
              <w:bottom w:val="single" w:sz="8" w:color="auto"/>
            </w:tcBorders>
            <w:vMerge w:val="continue"/>
            <w:shd w:val="clear" w:color="auto" w:fill="2AD2C9"/>
          </w:tcPr>
          <w:p>
            <w:pPr>
              <w:spacing w:after="0"/>
              <w:rPr>
                <w:sz w:val="21"/>
                <w:szCs w:val="21"/>
                <w:color w:val="auto"/>
              </w:rPr>
            </w:pPr>
          </w:p>
        </w:tc>
        <w:tc>
          <w:tcPr>
            <w:tcW w:w="1500" w:type="dxa"/>
            <w:vAlign w:val="bottom"/>
            <w:tcBorders>
              <w:bottom w:val="single" w:sz="8" w:color="auto"/>
              <w:right w:val="single" w:sz="8" w:color="auto"/>
            </w:tcBorders>
            <w:gridSpan w:val="2"/>
            <w:shd w:val="clear" w:color="auto" w:fill="2AD2C9"/>
          </w:tcPr>
          <w:p>
            <w:pPr>
              <w:ind w:left="60"/>
              <w:spacing w:after="0"/>
              <w:rPr>
                <w:sz w:val="20"/>
                <w:szCs w:val="20"/>
                <w:color w:val="auto"/>
              </w:rPr>
            </w:pPr>
            <w:r>
              <w:rPr>
                <w:rFonts w:ascii="Arial" w:cs="Arial" w:eastAsia="Arial" w:hAnsi="Arial"/>
                <w:sz w:val="20"/>
                <w:szCs w:val="20"/>
                <w:b w:val="1"/>
                <w:bCs w:val="1"/>
                <w:color w:val="FFFFFF"/>
              </w:rPr>
              <w:t>Jun 22 Sep 22</w:t>
            </w:r>
          </w:p>
        </w:tc>
        <w:tc>
          <w:tcPr>
            <w:tcW w:w="72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20"/>
                <w:szCs w:val="20"/>
                <w:b w:val="1"/>
                <w:bCs w:val="1"/>
                <w:color w:val="FFFFFF"/>
              </w:rPr>
              <w:t>QoQ</w:t>
            </w:r>
          </w:p>
        </w:tc>
        <w:tc>
          <w:tcPr>
            <w:tcW w:w="80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20"/>
                <w:szCs w:val="20"/>
                <w:b w:val="1"/>
                <w:bCs w:val="1"/>
                <w:color w:val="FFFFFF"/>
              </w:rPr>
              <w:t>YoY</w:t>
            </w:r>
          </w:p>
        </w:tc>
        <w:tc>
          <w:tcPr>
            <w:tcW w:w="720" w:type="dxa"/>
            <w:vAlign w:val="bottom"/>
            <w:tcBorders>
              <w:bottom w:val="single" w:sz="8" w:color="auto"/>
            </w:tcBorders>
            <w:shd w:val="clear" w:color="auto" w:fill="2AD2C9"/>
          </w:tcPr>
          <w:p>
            <w:pPr>
              <w:ind w:left="140"/>
              <w:spacing w:after="0"/>
              <w:rPr>
                <w:sz w:val="20"/>
                <w:szCs w:val="20"/>
                <w:color w:val="auto"/>
              </w:rPr>
            </w:pPr>
            <w:r>
              <w:rPr>
                <w:rFonts w:ascii="Arial" w:cs="Arial" w:eastAsia="Arial" w:hAnsi="Arial"/>
                <w:sz w:val="20"/>
                <w:szCs w:val="20"/>
                <w:b w:val="1"/>
                <w:bCs w:val="1"/>
                <w:color w:val="FFFFFF"/>
              </w:rPr>
              <w:t>QoQ</w:t>
            </w:r>
          </w:p>
        </w:tc>
        <w:tc>
          <w:tcPr>
            <w:tcW w:w="840" w:type="dxa"/>
            <w:vAlign w:val="bottom"/>
            <w:tcBorders>
              <w:bottom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20"/>
                <w:szCs w:val="20"/>
                <w:b w:val="1"/>
                <w:bCs w:val="1"/>
                <w:color w:val="FFFFFF"/>
              </w:rPr>
              <w:t>YoY</w:t>
            </w:r>
          </w:p>
        </w:tc>
        <w:tc>
          <w:tcPr>
            <w:tcW w:w="84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20"/>
                <w:szCs w:val="20"/>
                <w:b w:val="1"/>
                <w:bCs w:val="1"/>
                <w:color w:val="FFFFFF"/>
              </w:rPr>
              <w:t>Jun 21</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7"/>
              </w:rPr>
              <w:t>Mar 22</w:t>
            </w:r>
          </w:p>
        </w:tc>
        <w:tc>
          <w:tcPr>
            <w:tcW w:w="920" w:type="dxa"/>
            <w:vAlign w:val="bottom"/>
            <w:tcBorders>
              <w:bottom w:val="single" w:sz="8" w:color="auto"/>
              <w:right w:val="single" w:sz="8" w:color="auto"/>
            </w:tcBorders>
            <w:shd w:val="clear" w:color="auto" w:fill="2AD2C9"/>
          </w:tcPr>
          <w:p>
            <w:pPr>
              <w:ind w:left="140"/>
              <w:spacing w:after="0"/>
              <w:rPr>
                <w:sz w:val="20"/>
                <w:szCs w:val="20"/>
                <w:color w:val="auto"/>
              </w:rPr>
            </w:pPr>
            <w:r>
              <w:rPr>
                <w:rFonts w:ascii="Arial" w:cs="Arial" w:eastAsia="Arial" w:hAnsi="Arial"/>
                <w:sz w:val="20"/>
                <w:szCs w:val="20"/>
                <w:b w:val="1"/>
                <w:bCs w:val="1"/>
                <w:color w:val="FFFFFF"/>
              </w:rPr>
              <w:t>Jun 22</w:t>
            </w:r>
          </w:p>
        </w:tc>
        <w:tc>
          <w:tcPr>
            <w:tcW w:w="0" w:type="dxa"/>
            <w:vAlign w:val="bottom"/>
          </w:tcPr>
          <w:p>
            <w:pPr>
              <w:spacing w:after="0"/>
              <w:rPr>
                <w:sz w:val="1"/>
                <w:szCs w:val="1"/>
                <w:color w:val="auto"/>
              </w:rPr>
            </w:pPr>
          </w:p>
        </w:tc>
      </w:tr>
      <w:tr>
        <w:trPr>
          <w:trHeight w:val="191"/>
        </w:trPr>
        <w:tc>
          <w:tcPr>
            <w:tcW w:w="2120" w:type="dxa"/>
            <w:vAlign w:val="bottom"/>
            <w:tcBorders>
              <w:left w:val="single" w:sz="8" w:color="auto"/>
              <w:right w:val="single" w:sz="8" w:color="auto"/>
            </w:tcBorders>
          </w:tcPr>
          <w:p>
            <w:pPr>
              <w:ind w:left="40"/>
              <w:spacing w:after="0" w:line="190" w:lineRule="exact"/>
              <w:rPr>
                <w:sz w:val="20"/>
                <w:szCs w:val="20"/>
                <w:color w:val="auto"/>
              </w:rPr>
            </w:pPr>
            <w:r>
              <w:rPr>
                <w:rFonts w:ascii="Arial" w:cs="Arial" w:eastAsia="Arial" w:hAnsi="Arial"/>
                <w:sz w:val="20"/>
                <w:szCs w:val="20"/>
                <w:b w:val="1"/>
                <w:bCs w:val="1"/>
                <w:color w:val="auto"/>
              </w:rPr>
              <w:t>BCP Stand-alone</w:t>
            </w:r>
          </w:p>
        </w:tc>
        <w:tc>
          <w:tcPr>
            <w:tcW w:w="2300" w:type="dxa"/>
            <w:vAlign w:val="bottom"/>
            <w:tcBorders>
              <w:right w:val="single" w:sz="8" w:color="auto"/>
            </w:tcBorders>
            <w:gridSpan w:val="3"/>
          </w:tcPr>
          <w:p>
            <w:pPr>
              <w:jc w:val="center"/>
              <w:spacing w:after="0" w:line="190" w:lineRule="exact"/>
              <w:rPr>
                <w:sz w:val="20"/>
                <w:szCs w:val="20"/>
                <w:color w:val="auto"/>
              </w:rPr>
            </w:pPr>
            <w:r>
              <w:rPr>
                <w:rFonts w:ascii="Arial" w:cs="Arial" w:eastAsia="Arial" w:hAnsi="Arial"/>
                <w:sz w:val="20"/>
                <w:szCs w:val="20"/>
                <w:b w:val="1"/>
                <w:bCs w:val="1"/>
                <w:color w:val="auto"/>
                <w:w w:val="99"/>
              </w:rPr>
              <w:t>120,722 120,299124,101</w:t>
            </w:r>
          </w:p>
        </w:tc>
        <w:tc>
          <w:tcPr>
            <w:tcW w:w="72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5"/>
              </w:rPr>
              <w:t>3,801</w:t>
            </w:r>
          </w:p>
        </w:tc>
        <w:tc>
          <w:tcPr>
            <w:tcW w:w="8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9"/>
              </w:rPr>
              <w:t>3,379</w:t>
            </w:r>
          </w:p>
        </w:tc>
        <w:tc>
          <w:tcPr>
            <w:tcW w:w="72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6"/>
              </w:rPr>
              <w:t>3.2%</w:t>
            </w:r>
          </w:p>
        </w:tc>
        <w:tc>
          <w:tcPr>
            <w:tcW w:w="84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6"/>
              </w:rPr>
              <w:t>2.8%</w:t>
            </w:r>
          </w:p>
        </w:tc>
        <w:tc>
          <w:tcPr>
            <w:tcW w:w="84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5"/>
              </w:rPr>
              <w:t>82.5%</w:t>
            </w:r>
          </w:p>
        </w:tc>
        <w:tc>
          <w:tcPr>
            <w:tcW w:w="86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8"/>
              </w:rPr>
              <w:t>82.2%</w:t>
            </w: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5"/>
              </w:rPr>
              <w:t>82.4%</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ind w:left="200"/>
              <w:spacing w:after="0" w:line="216" w:lineRule="exact"/>
              <w:rPr>
                <w:sz w:val="20"/>
                <w:szCs w:val="20"/>
                <w:color w:val="auto"/>
              </w:rPr>
            </w:pPr>
            <w:r>
              <w:rPr>
                <w:rFonts w:ascii="Arial" w:cs="Arial" w:eastAsia="Arial" w:hAnsi="Arial"/>
                <w:sz w:val="20"/>
                <w:szCs w:val="20"/>
                <w:b w:val="1"/>
                <w:bCs w:val="1"/>
                <w:color w:val="auto"/>
              </w:rPr>
              <w:t>Wholesale Banking</w:t>
            </w:r>
          </w:p>
        </w:tc>
        <w:tc>
          <w:tcPr>
            <w:tcW w:w="8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57,831</w:t>
            </w:r>
          </w:p>
        </w:tc>
        <w:tc>
          <w:tcPr>
            <w:tcW w:w="7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56,447</w:t>
            </w:r>
          </w:p>
        </w:tc>
        <w:tc>
          <w:tcPr>
            <w:tcW w:w="7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59,387</w:t>
            </w:r>
          </w:p>
        </w:tc>
        <w:tc>
          <w:tcPr>
            <w:tcW w:w="7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2,940</w:t>
            </w:r>
          </w:p>
        </w:tc>
        <w:tc>
          <w:tcPr>
            <w:tcW w:w="8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9"/>
              </w:rPr>
              <w:t>1,556</w:t>
            </w:r>
          </w:p>
        </w:tc>
        <w:tc>
          <w:tcPr>
            <w:tcW w:w="72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6"/>
              </w:rPr>
              <w:t>5.2%</w:t>
            </w:r>
          </w:p>
        </w:tc>
        <w:tc>
          <w:tcPr>
            <w:tcW w:w="84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6"/>
              </w:rPr>
              <w:t>2.7%</w:t>
            </w:r>
          </w:p>
        </w:tc>
        <w:tc>
          <w:tcPr>
            <w:tcW w:w="8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5"/>
              </w:rPr>
              <w:t>39.5%</w:t>
            </w:r>
          </w:p>
        </w:tc>
        <w:tc>
          <w:tcPr>
            <w:tcW w:w="8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8"/>
              </w:rPr>
              <w:t>38.6%</w:t>
            </w:r>
          </w:p>
        </w:tc>
        <w:tc>
          <w:tcPr>
            <w:tcW w:w="92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5"/>
              </w:rPr>
              <w:t>39.4%</w:t>
            </w:r>
          </w:p>
        </w:tc>
        <w:tc>
          <w:tcPr>
            <w:tcW w:w="0" w:type="dxa"/>
            <w:vAlign w:val="bottom"/>
          </w:tcPr>
          <w:p>
            <w:pPr>
              <w:spacing w:after="0"/>
              <w:rPr>
                <w:sz w:val="1"/>
                <w:szCs w:val="1"/>
                <w:color w:val="auto"/>
              </w:rPr>
            </w:pPr>
          </w:p>
        </w:tc>
      </w:tr>
      <w:tr>
        <w:trPr>
          <w:trHeight w:val="22"/>
        </w:trPr>
        <w:tc>
          <w:tcPr>
            <w:tcW w:w="2120" w:type="dxa"/>
            <w:vAlign w:val="bottom"/>
            <w:tcBorders>
              <w:left w:val="single" w:sz="8" w:color="auto"/>
              <w:right w:val="single" w:sz="8" w:color="auto"/>
            </w:tcBorders>
            <w:vMerge w:val="restart"/>
          </w:tcPr>
          <w:p>
            <w:pPr>
              <w:ind w:left="360"/>
              <w:spacing w:after="0" w:line="214" w:lineRule="exact"/>
              <w:rPr>
                <w:sz w:val="20"/>
                <w:szCs w:val="20"/>
                <w:color w:val="auto"/>
              </w:rPr>
            </w:pPr>
            <w:r>
              <w:rPr>
                <w:rFonts w:ascii="Arial" w:cs="Arial" w:eastAsia="Arial" w:hAnsi="Arial"/>
                <w:sz w:val="20"/>
                <w:szCs w:val="20"/>
                <w:color w:val="auto"/>
              </w:rPr>
              <w:t>Corporate</w:t>
            </w:r>
          </w:p>
        </w:tc>
        <w:tc>
          <w:tcPr>
            <w:tcW w:w="8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8"/>
              </w:rPr>
              <w:t>32,610</w:t>
            </w:r>
          </w:p>
        </w:tc>
        <w:tc>
          <w:tcPr>
            <w:tcW w:w="74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8"/>
              </w:rPr>
              <w:t>32,435</w:t>
            </w:r>
          </w:p>
        </w:tc>
        <w:tc>
          <w:tcPr>
            <w:tcW w:w="76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8"/>
              </w:rPr>
              <w:t>34,961</w:t>
            </w:r>
          </w:p>
        </w:tc>
        <w:tc>
          <w:tcPr>
            <w:tcW w:w="7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2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6"/>
              </w:rPr>
              <w:t>7.8%</w:t>
            </w:r>
          </w:p>
        </w:tc>
        <w:tc>
          <w:tcPr>
            <w:tcW w:w="84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6"/>
              </w:rPr>
              <w:t>7.2%</w:t>
            </w:r>
          </w:p>
        </w:tc>
        <w:tc>
          <w:tcPr>
            <w:tcW w:w="84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5"/>
              </w:rPr>
              <w:t>22.3%</w:t>
            </w:r>
          </w:p>
        </w:tc>
        <w:tc>
          <w:tcPr>
            <w:tcW w:w="86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8"/>
              </w:rPr>
              <w:t>22.2%</w:t>
            </w:r>
          </w:p>
        </w:tc>
        <w:tc>
          <w:tcPr>
            <w:tcW w:w="9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5"/>
              </w:rPr>
              <w:t>23.2%</w:t>
            </w:r>
          </w:p>
        </w:tc>
        <w:tc>
          <w:tcPr>
            <w:tcW w:w="0" w:type="dxa"/>
            <w:vAlign w:val="bottom"/>
          </w:tcPr>
          <w:p>
            <w:pPr>
              <w:spacing w:after="0" w:line="20" w:lineRule="exact"/>
              <w:rPr>
                <w:sz w:val="1"/>
                <w:szCs w:val="1"/>
                <w:color w:val="auto"/>
              </w:rPr>
            </w:pPr>
          </w:p>
        </w:tc>
      </w:tr>
      <w:tr>
        <w:trPr>
          <w:trHeight w:val="194"/>
        </w:trPr>
        <w:tc>
          <w:tcPr>
            <w:tcW w:w="2120" w:type="dxa"/>
            <w:vAlign w:val="bottom"/>
            <w:tcBorders>
              <w:left w:val="single" w:sz="8" w:color="auto"/>
              <w:right w:val="single" w:sz="8" w:color="auto"/>
            </w:tcBorders>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720" w:type="dxa"/>
            <w:vAlign w:val="bottom"/>
            <w:tcBorders>
              <w:bottom w:val="single" w:sz="8" w:color="26D07C"/>
            </w:tcBorders>
            <w:shd w:val="clear" w:color="auto" w:fill="26D07C"/>
          </w:tcPr>
          <w:p>
            <w:pPr>
              <w:jc w:val="center"/>
              <w:spacing w:after="0" w:line="193" w:lineRule="exact"/>
              <w:rPr>
                <w:sz w:val="20"/>
                <w:szCs w:val="20"/>
                <w:color w:val="auto"/>
              </w:rPr>
            </w:pPr>
            <w:r>
              <w:rPr>
                <w:rFonts w:ascii="Arial" w:cs="Arial" w:eastAsia="Arial" w:hAnsi="Arial"/>
                <w:sz w:val="20"/>
                <w:szCs w:val="20"/>
                <w:color w:val="auto"/>
                <w:w w:val="95"/>
              </w:rPr>
              <w:t>2,526</w:t>
            </w:r>
          </w:p>
        </w:tc>
        <w:tc>
          <w:tcPr>
            <w:tcW w:w="800" w:type="dxa"/>
            <w:vAlign w:val="bottom"/>
            <w:tcBorders>
              <w:bottom w:val="single" w:sz="8" w:color="26D07C"/>
              <w:right w:val="single" w:sz="8" w:color="auto"/>
            </w:tcBorders>
            <w:shd w:val="clear" w:color="auto" w:fill="26D07C"/>
          </w:tcPr>
          <w:p>
            <w:pPr>
              <w:jc w:val="center"/>
              <w:spacing w:after="0" w:line="193" w:lineRule="exact"/>
              <w:rPr>
                <w:sz w:val="20"/>
                <w:szCs w:val="20"/>
                <w:color w:val="auto"/>
              </w:rPr>
            </w:pPr>
            <w:r>
              <w:rPr>
                <w:rFonts w:ascii="Arial" w:cs="Arial" w:eastAsia="Arial" w:hAnsi="Arial"/>
                <w:sz w:val="20"/>
                <w:szCs w:val="20"/>
                <w:color w:val="auto"/>
                <w:w w:val="99"/>
              </w:rPr>
              <w:t>2,351</w:t>
            </w:r>
          </w:p>
        </w:tc>
        <w:tc>
          <w:tcPr>
            <w:tcW w:w="720" w:type="dxa"/>
            <w:vAlign w:val="bottom"/>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120" w:type="dxa"/>
            <w:vAlign w:val="bottom"/>
            <w:tcBorders>
              <w:left w:val="single" w:sz="8" w:color="auto"/>
              <w:right w:val="single" w:sz="8" w:color="auto"/>
            </w:tcBorders>
          </w:tcPr>
          <w:p>
            <w:pPr>
              <w:ind w:left="360"/>
              <w:spacing w:after="0" w:line="190" w:lineRule="exact"/>
              <w:rPr>
                <w:sz w:val="20"/>
                <w:szCs w:val="20"/>
                <w:color w:val="auto"/>
              </w:rPr>
            </w:pPr>
            <w:r>
              <w:rPr>
                <w:rFonts w:ascii="Arial" w:cs="Arial" w:eastAsia="Arial" w:hAnsi="Arial"/>
                <w:sz w:val="20"/>
                <w:szCs w:val="20"/>
                <w:color w:val="auto"/>
              </w:rPr>
              <w:t>Middle - Market</w:t>
            </w:r>
          </w:p>
        </w:tc>
        <w:tc>
          <w:tcPr>
            <w:tcW w:w="800" w:type="dxa"/>
            <w:vAlign w:val="bottom"/>
          </w:tcPr>
          <w:p>
            <w:pPr>
              <w:jc w:val="center"/>
              <w:spacing w:after="0" w:line="190" w:lineRule="exact"/>
              <w:rPr>
                <w:sz w:val="20"/>
                <w:szCs w:val="20"/>
                <w:color w:val="auto"/>
              </w:rPr>
            </w:pPr>
            <w:r>
              <w:rPr>
                <w:rFonts w:ascii="Arial" w:cs="Arial" w:eastAsia="Arial" w:hAnsi="Arial"/>
                <w:sz w:val="20"/>
                <w:szCs w:val="20"/>
                <w:color w:val="auto"/>
                <w:w w:val="98"/>
              </w:rPr>
              <w:t>25,221</w:t>
            </w:r>
          </w:p>
        </w:tc>
        <w:tc>
          <w:tcPr>
            <w:tcW w:w="740" w:type="dxa"/>
            <w:vAlign w:val="bottom"/>
          </w:tcPr>
          <w:p>
            <w:pPr>
              <w:jc w:val="center"/>
              <w:spacing w:after="0" w:line="190" w:lineRule="exact"/>
              <w:rPr>
                <w:sz w:val="20"/>
                <w:szCs w:val="20"/>
                <w:color w:val="auto"/>
              </w:rPr>
            </w:pPr>
            <w:r>
              <w:rPr>
                <w:rFonts w:ascii="Arial" w:cs="Arial" w:eastAsia="Arial" w:hAnsi="Arial"/>
                <w:sz w:val="20"/>
                <w:szCs w:val="20"/>
                <w:color w:val="auto"/>
                <w:w w:val="98"/>
              </w:rPr>
              <w:t>24,012</w:t>
            </w:r>
          </w:p>
        </w:tc>
        <w:tc>
          <w:tcPr>
            <w:tcW w:w="7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8"/>
              </w:rPr>
              <w:t>24,426</w:t>
            </w:r>
          </w:p>
        </w:tc>
        <w:tc>
          <w:tcPr>
            <w:tcW w:w="720" w:type="dxa"/>
            <w:vAlign w:val="bottom"/>
            <w:tcBorders>
              <w:bottom w:val="single" w:sz="8" w:color="26D07C"/>
            </w:tcBorders>
            <w:shd w:val="clear" w:color="auto" w:fill="26D07C"/>
          </w:tcPr>
          <w:p>
            <w:pPr>
              <w:jc w:val="center"/>
              <w:spacing w:after="0" w:line="190" w:lineRule="exact"/>
              <w:rPr>
                <w:sz w:val="20"/>
                <w:szCs w:val="20"/>
                <w:color w:val="auto"/>
              </w:rPr>
            </w:pPr>
            <w:r>
              <w:rPr>
                <w:rFonts w:ascii="Arial" w:cs="Arial" w:eastAsia="Arial" w:hAnsi="Arial"/>
                <w:sz w:val="20"/>
                <w:szCs w:val="20"/>
                <w:color w:val="auto"/>
                <w:w w:val="95"/>
              </w:rPr>
              <w:t>414</w:t>
            </w:r>
          </w:p>
        </w:tc>
        <w:tc>
          <w:tcPr>
            <w:tcW w:w="800" w:type="dxa"/>
            <w:vAlign w:val="bottom"/>
            <w:tcBorders>
              <w:bottom w:val="single" w:sz="8" w:color="E93CAC"/>
              <w:right w:val="single" w:sz="8" w:color="auto"/>
            </w:tcBorders>
            <w:shd w:val="clear" w:color="auto" w:fill="E93CAC"/>
          </w:tcPr>
          <w:p>
            <w:pPr>
              <w:jc w:val="center"/>
              <w:spacing w:after="0" w:line="190" w:lineRule="exact"/>
              <w:rPr>
                <w:sz w:val="20"/>
                <w:szCs w:val="20"/>
                <w:color w:val="auto"/>
              </w:rPr>
            </w:pPr>
            <w:r>
              <w:rPr>
                <w:rFonts w:ascii="Arial" w:cs="Arial" w:eastAsia="Arial" w:hAnsi="Arial"/>
                <w:sz w:val="20"/>
                <w:szCs w:val="20"/>
                <w:color w:val="auto"/>
                <w:w w:val="99"/>
              </w:rPr>
              <w:t>-795</w:t>
            </w:r>
          </w:p>
        </w:tc>
        <w:tc>
          <w:tcPr>
            <w:tcW w:w="720" w:type="dxa"/>
            <w:vAlign w:val="bottom"/>
          </w:tcPr>
          <w:p>
            <w:pPr>
              <w:jc w:val="center"/>
              <w:spacing w:after="0" w:line="190" w:lineRule="exact"/>
              <w:rPr>
                <w:sz w:val="20"/>
                <w:szCs w:val="20"/>
                <w:color w:val="auto"/>
              </w:rPr>
            </w:pPr>
            <w:r>
              <w:rPr>
                <w:rFonts w:ascii="Arial" w:cs="Arial" w:eastAsia="Arial" w:hAnsi="Arial"/>
                <w:sz w:val="20"/>
                <w:szCs w:val="20"/>
                <w:color w:val="auto"/>
                <w:w w:val="96"/>
              </w:rPr>
              <w:t>1.7%</w:t>
            </w:r>
          </w:p>
        </w:tc>
        <w:tc>
          <w:tcPr>
            <w:tcW w:w="84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9"/>
              </w:rPr>
              <w:t>-3.2%</w:t>
            </w:r>
          </w:p>
        </w:tc>
        <w:tc>
          <w:tcPr>
            <w:tcW w:w="840" w:type="dxa"/>
            <w:vAlign w:val="bottom"/>
          </w:tcPr>
          <w:p>
            <w:pPr>
              <w:jc w:val="center"/>
              <w:spacing w:after="0" w:line="190" w:lineRule="exact"/>
              <w:rPr>
                <w:sz w:val="20"/>
                <w:szCs w:val="20"/>
                <w:color w:val="auto"/>
              </w:rPr>
            </w:pPr>
            <w:r>
              <w:rPr>
                <w:rFonts w:ascii="Arial" w:cs="Arial" w:eastAsia="Arial" w:hAnsi="Arial"/>
                <w:sz w:val="20"/>
                <w:szCs w:val="20"/>
                <w:color w:val="auto"/>
                <w:w w:val="95"/>
              </w:rPr>
              <w:t>17.2%</w:t>
            </w:r>
          </w:p>
        </w:tc>
        <w:tc>
          <w:tcPr>
            <w:tcW w:w="860" w:type="dxa"/>
            <w:vAlign w:val="bottom"/>
          </w:tcPr>
          <w:p>
            <w:pPr>
              <w:jc w:val="center"/>
              <w:spacing w:after="0" w:line="190" w:lineRule="exact"/>
              <w:rPr>
                <w:sz w:val="20"/>
                <w:szCs w:val="20"/>
                <w:color w:val="auto"/>
              </w:rPr>
            </w:pPr>
            <w:r>
              <w:rPr>
                <w:rFonts w:ascii="Arial" w:cs="Arial" w:eastAsia="Arial" w:hAnsi="Arial"/>
                <w:sz w:val="20"/>
                <w:szCs w:val="20"/>
                <w:color w:val="auto"/>
                <w:w w:val="98"/>
              </w:rPr>
              <w:t>16.4%</w:t>
            </w: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5"/>
              </w:rPr>
              <w:t>16.2%</w:t>
            </w:r>
          </w:p>
        </w:tc>
        <w:tc>
          <w:tcPr>
            <w:tcW w:w="0" w:type="dxa"/>
            <w:vAlign w:val="bottom"/>
          </w:tcPr>
          <w:p>
            <w:pPr>
              <w:spacing w:after="0"/>
              <w:rPr>
                <w:sz w:val="1"/>
                <w:szCs w:val="1"/>
                <w:color w:val="auto"/>
              </w:rPr>
            </w:pPr>
          </w:p>
        </w:tc>
      </w:tr>
      <w:tr>
        <w:trPr>
          <w:trHeight w:val="193"/>
        </w:trPr>
        <w:tc>
          <w:tcPr>
            <w:tcW w:w="2120" w:type="dxa"/>
            <w:vAlign w:val="bottom"/>
            <w:tcBorders>
              <w:left w:val="single" w:sz="8" w:color="auto"/>
              <w:right w:val="single" w:sz="8" w:color="auto"/>
            </w:tcBorders>
          </w:tcPr>
          <w:p>
            <w:pPr>
              <w:ind w:left="200"/>
              <w:spacing w:after="0" w:line="193" w:lineRule="exact"/>
              <w:rPr>
                <w:sz w:val="20"/>
                <w:szCs w:val="20"/>
                <w:color w:val="auto"/>
              </w:rPr>
            </w:pPr>
            <w:r>
              <w:rPr>
                <w:rFonts w:ascii="Arial" w:cs="Arial" w:eastAsia="Arial" w:hAnsi="Arial"/>
                <w:sz w:val="20"/>
                <w:szCs w:val="20"/>
                <w:b w:val="1"/>
                <w:bCs w:val="1"/>
                <w:color w:val="auto"/>
              </w:rPr>
              <w:t>Retail Banking</w:t>
            </w:r>
          </w:p>
        </w:tc>
        <w:tc>
          <w:tcPr>
            <w:tcW w:w="80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8"/>
              </w:rPr>
              <w:t>62,891</w:t>
            </w:r>
          </w:p>
        </w:tc>
        <w:tc>
          <w:tcPr>
            <w:tcW w:w="74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8"/>
              </w:rPr>
              <w:t>63,852</w:t>
            </w:r>
          </w:p>
        </w:tc>
        <w:tc>
          <w:tcPr>
            <w:tcW w:w="7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b w:val="1"/>
                <w:bCs w:val="1"/>
                <w:color w:val="auto"/>
                <w:w w:val="98"/>
              </w:rPr>
              <w:t>64,713</w:t>
            </w:r>
          </w:p>
        </w:tc>
        <w:tc>
          <w:tcPr>
            <w:tcW w:w="72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5"/>
              </w:rPr>
              <w:t>861</w:t>
            </w:r>
          </w:p>
        </w:tc>
        <w:tc>
          <w:tcPr>
            <w:tcW w:w="8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b w:val="1"/>
                <w:bCs w:val="1"/>
                <w:color w:val="auto"/>
                <w:w w:val="99"/>
              </w:rPr>
              <w:t>1,823</w:t>
            </w:r>
          </w:p>
        </w:tc>
        <w:tc>
          <w:tcPr>
            <w:tcW w:w="72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6"/>
              </w:rPr>
              <w:t>1.3%</w:t>
            </w:r>
          </w:p>
        </w:tc>
        <w:tc>
          <w:tcPr>
            <w:tcW w:w="8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b w:val="1"/>
                <w:bCs w:val="1"/>
                <w:color w:val="auto"/>
                <w:w w:val="96"/>
              </w:rPr>
              <w:t>2.9%</w:t>
            </w:r>
          </w:p>
        </w:tc>
        <w:tc>
          <w:tcPr>
            <w:tcW w:w="84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5"/>
              </w:rPr>
              <w:t>43.0%</w:t>
            </w:r>
          </w:p>
        </w:tc>
        <w:tc>
          <w:tcPr>
            <w:tcW w:w="860" w:type="dxa"/>
            <w:vAlign w:val="bottom"/>
          </w:tcPr>
          <w:p>
            <w:pPr>
              <w:jc w:val="center"/>
              <w:spacing w:after="0" w:line="193" w:lineRule="exact"/>
              <w:rPr>
                <w:sz w:val="20"/>
                <w:szCs w:val="20"/>
                <w:color w:val="auto"/>
              </w:rPr>
            </w:pPr>
            <w:r>
              <w:rPr>
                <w:rFonts w:ascii="Arial" w:cs="Arial" w:eastAsia="Arial" w:hAnsi="Arial"/>
                <w:sz w:val="20"/>
                <w:szCs w:val="20"/>
                <w:b w:val="1"/>
                <w:bCs w:val="1"/>
                <w:color w:val="auto"/>
                <w:w w:val="98"/>
              </w:rPr>
              <w:t>43.7%</w:t>
            </w:r>
          </w:p>
        </w:tc>
        <w:tc>
          <w:tcPr>
            <w:tcW w:w="9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b w:val="1"/>
                <w:bCs w:val="1"/>
                <w:color w:val="auto"/>
                <w:w w:val="95"/>
              </w:rPr>
              <w:t>43.0%</w:t>
            </w:r>
          </w:p>
        </w:tc>
        <w:tc>
          <w:tcPr>
            <w:tcW w:w="0" w:type="dxa"/>
            <w:vAlign w:val="bottom"/>
          </w:tcPr>
          <w:p>
            <w:pPr>
              <w:spacing w:after="0"/>
              <w:rPr>
                <w:sz w:val="1"/>
                <w:szCs w:val="1"/>
                <w:color w:val="auto"/>
              </w:rPr>
            </w:pPr>
          </w:p>
        </w:tc>
      </w:tr>
      <w:tr>
        <w:trPr>
          <w:trHeight w:val="22"/>
        </w:trPr>
        <w:tc>
          <w:tcPr>
            <w:tcW w:w="2120" w:type="dxa"/>
            <w:vAlign w:val="bottom"/>
            <w:tcBorders>
              <w:left w:val="single" w:sz="8" w:color="auto"/>
              <w:right w:val="single" w:sz="8" w:color="auto"/>
            </w:tcBorders>
            <w:vMerge w:val="restart"/>
          </w:tcPr>
          <w:p>
            <w:pPr>
              <w:ind w:left="360"/>
              <w:spacing w:after="0" w:line="214" w:lineRule="exact"/>
              <w:rPr>
                <w:sz w:val="20"/>
                <w:szCs w:val="20"/>
                <w:color w:val="auto"/>
              </w:rPr>
            </w:pPr>
            <w:r>
              <w:rPr>
                <w:rFonts w:ascii="Arial" w:cs="Arial" w:eastAsia="Arial" w:hAnsi="Arial"/>
                <w:sz w:val="20"/>
                <w:szCs w:val="20"/>
                <w:color w:val="auto"/>
              </w:rPr>
              <w:t>SME - Business</w:t>
            </w:r>
          </w:p>
        </w:tc>
        <w:tc>
          <w:tcPr>
            <w:tcW w:w="80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8"/>
              </w:rPr>
              <w:t>11,400</w:t>
            </w:r>
          </w:p>
        </w:tc>
        <w:tc>
          <w:tcPr>
            <w:tcW w:w="74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5"/>
              </w:rPr>
              <w:t>9,330</w:t>
            </w:r>
          </w:p>
        </w:tc>
        <w:tc>
          <w:tcPr>
            <w:tcW w:w="76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9"/>
              </w:rPr>
              <w:t>9,219</w:t>
            </w:r>
          </w:p>
        </w:tc>
        <w:tc>
          <w:tcPr>
            <w:tcW w:w="720" w:type="dxa"/>
            <w:vAlign w:val="bottom"/>
          </w:tcPr>
          <w:p>
            <w:pPr>
              <w:spacing w:after="0" w:line="20" w:lineRule="exact"/>
              <w:rPr>
                <w:sz w:val="1"/>
                <w:szCs w:val="1"/>
                <w:color w:val="auto"/>
              </w:rPr>
            </w:pPr>
          </w:p>
        </w:tc>
        <w:tc>
          <w:tcPr>
            <w:tcW w:w="800" w:type="dxa"/>
            <w:vAlign w:val="bottom"/>
            <w:tcBorders>
              <w:right w:val="single" w:sz="8" w:color="auto"/>
            </w:tcBorders>
          </w:tcPr>
          <w:p>
            <w:pPr>
              <w:spacing w:after="0" w:line="20" w:lineRule="exact"/>
              <w:rPr>
                <w:sz w:val="1"/>
                <w:szCs w:val="1"/>
                <w:color w:val="auto"/>
              </w:rPr>
            </w:pPr>
          </w:p>
        </w:tc>
        <w:tc>
          <w:tcPr>
            <w:tcW w:w="72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9"/>
              </w:rPr>
              <w:t>-1.2%</w:t>
            </w:r>
          </w:p>
        </w:tc>
        <w:tc>
          <w:tcPr>
            <w:tcW w:w="84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rPr>
              <w:t>-19.1%</w:t>
            </w:r>
          </w:p>
        </w:tc>
        <w:tc>
          <w:tcPr>
            <w:tcW w:w="84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rPr>
              <w:t>7.8%</w:t>
            </w:r>
          </w:p>
        </w:tc>
        <w:tc>
          <w:tcPr>
            <w:tcW w:w="86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6"/>
              </w:rPr>
              <w:t>6.4%</w:t>
            </w:r>
          </w:p>
        </w:tc>
        <w:tc>
          <w:tcPr>
            <w:tcW w:w="9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rPr>
              <w:t>6.1%</w:t>
            </w:r>
          </w:p>
        </w:tc>
        <w:tc>
          <w:tcPr>
            <w:tcW w:w="0" w:type="dxa"/>
            <w:vAlign w:val="bottom"/>
          </w:tcPr>
          <w:p>
            <w:pPr>
              <w:spacing w:after="0" w:line="20" w:lineRule="exact"/>
              <w:rPr>
                <w:sz w:val="1"/>
                <w:szCs w:val="1"/>
                <w:color w:val="auto"/>
              </w:rPr>
            </w:pPr>
          </w:p>
        </w:tc>
      </w:tr>
      <w:tr>
        <w:trPr>
          <w:trHeight w:val="193"/>
        </w:trPr>
        <w:tc>
          <w:tcPr>
            <w:tcW w:w="2120" w:type="dxa"/>
            <w:vAlign w:val="bottom"/>
            <w:tcBorders>
              <w:left w:val="single" w:sz="8" w:color="auto"/>
              <w:right w:val="single" w:sz="8" w:color="auto"/>
            </w:tcBorders>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720" w:type="dxa"/>
            <w:vAlign w:val="bottom"/>
            <w:shd w:val="clear" w:color="auto" w:fill="E93CAC"/>
          </w:tcPr>
          <w:p>
            <w:pPr>
              <w:jc w:val="center"/>
              <w:spacing w:after="0" w:line="193" w:lineRule="exact"/>
              <w:rPr>
                <w:sz w:val="20"/>
                <w:szCs w:val="20"/>
                <w:color w:val="auto"/>
              </w:rPr>
            </w:pPr>
            <w:r>
              <w:rPr>
                <w:rFonts w:ascii="Arial" w:cs="Arial" w:eastAsia="Arial" w:hAnsi="Arial"/>
                <w:sz w:val="20"/>
                <w:szCs w:val="20"/>
                <w:color w:val="auto"/>
                <w:w w:val="94"/>
              </w:rPr>
              <w:t>-110</w:t>
            </w:r>
          </w:p>
        </w:tc>
        <w:tc>
          <w:tcPr>
            <w:tcW w:w="800" w:type="dxa"/>
            <w:vAlign w:val="bottom"/>
            <w:tcBorders>
              <w:right w:val="single" w:sz="8" w:color="auto"/>
            </w:tcBorders>
            <w:shd w:val="clear" w:color="auto" w:fill="E93CAC"/>
          </w:tcPr>
          <w:p>
            <w:pPr>
              <w:jc w:val="center"/>
              <w:spacing w:after="0" w:line="193" w:lineRule="exact"/>
              <w:rPr>
                <w:sz w:val="20"/>
                <w:szCs w:val="20"/>
                <w:color w:val="auto"/>
              </w:rPr>
            </w:pPr>
            <w:r>
              <w:rPr>
                <w:rFonts w:ascii="Arial" w:cs="Arial" w:eastAsia="Arial" w:hAnsi="Arial"/>
                <w:sz w:val="20"/>
                <w:szCs w:val="20"/>
                <w:color w:val="auto"/>
                <w:w w:val="98"/>
              </w:rPr>
              <w:t>-2,181</w:t>
            </w:r>
          </w:p>
        </w:tc>
        <w:tc>
          <w:tcPr>
            <w:tcW w:w="720" w:type="dxa"/>
            <w:vAlign w:val="bottom"/>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ind w:left="360"/>
              <w:spacing w:after="0" w:line="214" w:lineRule="exact"/>
              <w:rPr>
                <w:sz w:val="20"/>
                <w:szCs w:val="20"/>
                <w:color w:val="auto"/>
              </w:rPr>
            </w:pPr>
            <w:r>
              <w:rPr>
                <w:rFonts w:ascii="Arial" w:cs="Arial" w:eastAsia="Arial" w:hAnsi="Arial"/>
                <w:sz w:val="20"/>
                <w:szCs w:val="20"/>
                <w:color w:val="auto"/>
              </w:rPr>
              <w:t>SME - Pyme</w:t>
            </w:r>
          </w:p>
        </w:tc>
        <w:tc>
          <w:tcPr>
            <w:tcW w:w="800" w:type="dxa"/>
            <w:vAlign w:val="bottom"/>
          </w:tcPr>
          <w:p>
            <w:pPr>
              <w:jc w:val="center"/>
              <w:spacing w:after="0" w:line="214" w:lineRule="exact"/>
              <w:rPr>
                <w:sz w:val="20"/>
                <w:szCs w:val="20"/>
                <w:color w:val="auto"/>
              </w:rPr>
            </w:pPr>
            <w:r>
              <w:rPr>
                <w:rFonts w:ascii="Arial" w:cs="Arial" w:eastAsia="Arial" w:hAnsi="Arial"/>
                <w:sz w:val="20"/>
                <w:szCs w:val="20"/>
                <w:color w:val="auto"/>
                <w:w w:val="98"/>
              </w:rPr>
              <w:t>19,626</w:t>
            </w:r>
          </w:p>
        </w:tc>
        <w:tc>
          <w:tcPr>
            <w:tcW w:w="740" w:type="dxa"/>
            <w:vAlign w:val="bottom"/>
          </w:tcPr>
          <w:p>
            <w:pPr>
              <w:jc w:val="center"/>
              <w:spacing w:after="0" w:line="214" w:lineRule="exact"/>
              <w:rPr>
                <w:sz w:val="20"/>
                <w:szCs w:val="20"/>
                <w:color w:val="auto"/>
              </w:rPr>
            </w:pPr>
            <w:r>
              <w:rPr>
                <w:rFonts w:ascii="Arial" w:cs="Arial" w:eastAsia="Arial" w:hAnsi="Arial"/>
                <w:sz w:val="20"/>
                <w:szCs w:val="20"/>
                <w:color w:val="auto"/>
                <w:w w:val="98"/>
              </w:rPr>
              <w:t>18,939</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18,537</w:t>
            </w:r>
          </w:p>
        </w:tc>
        <w:tc>
          <w:tcPr>
            <w:tcW w:w="720" w:type="dxa"/>
            <w:vAlign w:val="bottom"/>
            <w:tcBorders>
              <w:bottom w:val="single" w:sz="8" w:color="E93CAC"/>
            </w:tcBorders>
            <w:shd w:val="clear" w:color="auto" w:fill="E93CAC"/>
          </w:tcPr>
          <w:p>
            <w:pPr>
              <w:jc w:val="center"/>
              <w:spacing w:after="0" w:line="214" w:lineRule="exact"/>
              <w:rPr>
                <w:sz w:val="20"/>
                <w:szCs w:val="20"/>
                <w:color w:val="auto"/>
              </w:rPr>
            </w:pPr>
            <w:r>
              <w:rPr>
                <w:rFonts w:ascii="Arial" w:cs="Arial" w:eastAsia="Arial" w:hAnsi="Arial"/>
                <w:sz w:val="20"/>
                <w:szCs w:val="20"/>
                <w:color w:val="auto"/>
                <w:w w:val="99"/>
              </w:rPr>
              <w:t>-402</w:t>
            </w:r>
          </w:p>
        </w:tc>
        <w:tc>
          <w:tcPr>
            <w:tcW w:w="800" w:type="dxa"/>
            <w:vAlign w:val="bottom"/>
            <w:tcBorders>
              <w:bottom w:val="single" w:sz="8" w:color="E93CAC"/>
              <w:right w:val="single" w:sz="8" w:color="auto"/>
            </w:tcBorders>
            <w:shd w:val="clear" w:color="auto" w:fill="E93CAC"/>
          </w:tcPr>
          <w:p>
            <w:pPr>
              <w:jc w:val="center"/>
              <w:spacing w:after="0" w:line="214" w:lineRule="exact"/>
              <w:rPr>
                <w:sz w:val="20"/>
                <w:szCs w:val="20"/>
                <w:color w:val="auto"/>
              </w:rPr>
            </w:pPr>
            <w:r>
              <w:rPr>
                <w:rFonts w:ascii="Arial" w:cs="Arial" w:eastAsia="Arial" w:hAnsi="Arial"/>
                <w:sz w:val="20"/>
                <w:szCs w:val="20"/>
                <w:color w:val="auto"/>
                <w:w w:val="98"/>
              </w:rPr>
              <w:t>-1,089</w:t>
            </w:r>
          </w:p>
        </w:tc>
        <w:tc>
          <w:tcPr>
            <w:tcW w:w="720" w:type="dxa"/>
            <w:vAlign w:val="bottom"/>
          </w:tcPr>
          <w:p>
            <w:pPr>
              <w:jc w:val="center"/>
              <w:spacing w:after="0" w:line="214" w:lineRule="exact"/>
              <w:rPr>
                <w:sz w:val="20"/>
                <w:szCs w:val="20"/>
                <w:color w:val="auto"/>
              </w:rPr>
            </w:pPr>
            <w:r>
              <w:rPr>
                <w:rFonts w:ascii="Arial" w:cs="Arial" w:eastAsia="Arial" w:hAnsi="Arial"/>
                <w:sz w:val="20"/>
                <w:szCs w:val="20"/>
                <w:color w:val="auto"/>
                <w:w w:val="99"/>
              </w:rPr>
              <w:t>-2.1%</w:t>
            </w:r>
          </w:p>
        </w:tc>
        <w:tc>
          <w:tcPr>
            <w:tcW w:w="8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-5.5%</w:t>
            </w:r>
          </w:p>
        </w:tc>
        <w:tc>
          <w:tcPr>
            <w:tcW w:w="840" w:type="dxa"/>
            <w:vAlign w:val="bottom"/>
          </w:tcPr>
          <w:p>
            <w:pPr>
              <w:jc w:val="center"/>
              <w:spacing w:after="0" w:line="214" w:lineRule="exact"/>
              <w:rPr>
                <w:sz w:val="20"/>
                <w:szCs w:val="20"/>
                <w:color w:val="auto"/>
              </w:rPr>
            </w:pPr>
            <w:r>
              <w:rPr>
                <w:rFonts w:ascii="Arial" w:cs="Arial" w:eastAsia="Arial" w:hAnsi="Arial"/>
                <w:sz w:val="20"/>
                <w:szCs w:val="20"/>
                <w:color w:val="auto"/>
                <w:w w:val="95"/>
              </w:rPr>
              <w:t>13.4%</w:t>
            </w:r>
          </w:p>
        </w:tc>
        <w:tc>
          <w:tcPr>
            <w:tcW w:w="860" w:type="dxa"/>
            <w:vAlign w:val="bottom"/>
          </w:tcPr>
          <w:p>
            <w:pPr>
              <w:jc w:val="center"/>
              <w:spacing w:after="0" w:line="214" w:lineRule="exact"/>
              <w:rPr>
                <w:sz w:val="20"/>
                <w:szCs w:val="20"/>
                <w:color w:val="auto"/>
              </w:rPr>
            </w:pPr>
            <w:r>
              <w:rPr>
                <w:rFonts w:ascii="Arial" w:cs="Arial" w:eastAsia="Arial" w:hAnsi="Arial"/>
                <w:sz w:val="20"/>
                <w:szCs w:val="20"/>
                <w:color w:val="auto"/>
                <w:w w:val="98"/>
              </w:rPr>
              <w:t>12.9%</w:t>
            </w:r>
          </w:p>
        </w:tc>
        <w:tc>
          <w:tcPr>
            <w:tcW w:w="9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12.3%</w:t>
            </w:r>
          </w:p>
        </w:tc>
        <w:tc>
          <w:tcPr>
            <w:tcW w:w="0" w:type="dxa"/>
            <w:vAlign w:val="bottom"/>
          </w:tcPr>
          <w:p>
            <w:pPr>
              <w:spacing w:after="0"/>
              <w:rPr>
                <w:sz w:val="1"/>
                <w:szCs w:val="1"/>
                <w:color w:val="auto"/>
              </w:rPr>
            </w:pPr>
          </w:p>
        </w:tc>
      </w:tr>
      <w:tr>
        <w:trPr>
          <w:trHeight w:val="193"/>
        </w:trPr>
        <w:tc>
          <w:tcPr>
            <w:tcW w:w="2120" w:type="dxa"/>
            <w:vAlign w:val="bottom"/>
            <w:tcBorders>
              <w:left w:val="single" w:sz="8" w:color="auto"/>
              <w:right w:val="single" w:sz="8" w:color="auto"/>
            </w:tcBorders>
          </w:tcPr>
          <w:p>
            <w:pPr>
              <w:ind w:left="360"/>
              <w:spacing w:after="0" w:line="193" w:lineRule="exact"/>
              <w:rPr>
                <w:sz w:val="20"/>
                <w:szCs w:val="20"/>
                <w:color w:val="auto"/>
              </w:rPr>
            </w:pPr>
            <w:r>
              <w:rPr>
                <w:rFonts w:ascii="Arial" w:cs="Arial" w:eastAsia="Arial" w:hAnsi="Arial"/>
                <w:sz w:val="20"/>
                <w:szCs w:val="20"/>
                <w:color w:val="auto"/>
              </w:rPr>
              <w:t>Mortgage</w:t>
            </w:r>
          </w:p>
        </w:tc>
        <w:tc>
          <w:tcPr>
            <w:tcW w:w="800" w:type="dxa"/>
            <w:vAlign w:val="bottom"/>
          </w:tcPr>
          <w:p>
            <w:pPr>
              <w:jc w:val="center"/>
              <w:spacing w:after="0" w:line="193" w:lineRule="exact"/>
              <w:rPr>
                <w:sz w:val="20"/>
                <w:szCs w:val="20"/>
                <w:color w:val="auto"/>
              </w:rPr>
            </w:pPr>
            <w:r>
              <w:rPr>
                <w:rFonts w:ascii="Arial" w:cs="Arial" w:eastAsia="Arial" w:hAnsi="Arial"/>
                <w:sz w:val="20"/>
                <w:szCs w:val="20"/>
                <w:color w:val="auto"/>
                <w:w w:val="98"/>
              </w:rPr>
              <w:t>18,133</w:t>
            </w:r>
          </w:p>
        </w:tc>
        <w:tc>
          <w:tcPr>
            <w:tcW w:w="740" w:type="dxa"/>
            <w:vAlign w:val="bottom"/>
          </w:tcPr>
          <w:p>
            <w:pPr>
              <w:jc w:val="center"/>
              <w:spacing w:after="0" w:line="193" w:lineRule="exact"/>
              <w:rPr>
                <w:sz w:val="20"/>
                <w:szCs w:val="20"/>
                <w:color w:val="auto"/>
              </w:rPr>
            </w:pPr>
            <w:r>
              <w:rPr>
                <w:rFonts w:ascii="Arial" w:cs="Arial" w:eastAsia="Arial" w:hAnsi="Arial"/>
                <w:sz w:val="20"/>
                <w:szCs w:val="20"/>
                <w:color w:val="auto"/>
                <w:w w:val="98"/>
              </w:rPr>
              <w:t>19,301</w:t>
            </w:r>
          </w:p>
        </w:tc>
        <w:tc>
          <w:tcPr>
            <w:tcW w:w="7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8"/>
              </w:rPr>
              <w:t>19,739</w:t>
            </w:r>
          </w:p>
        </w:tc>
        <w:tc>
          <w:tcPr>
            <w:tcW w:w="720" w:type="dxa"/>
            <w:vAlign w:val="bottom"/>
            <w:shd w:val="clear" w:color="auto" w:fill="26D07C"/>
          </w:tcPr>
          <w:p>
            <w:pPr>
              <w:jc w:val="center"/>
              <w:spacing w:after="0" w:line="193" w:lineRule="exact"/>
              <w:rPr>
                <w:sz w:val="20"/>
                <w:szCs w:val="20"/>
                <w:color w:val="auto"/>
              </w:rPr>
            </w:pPr>
            <w:r>
              <w:rPr>
                <w:rFonts w:ascii="Arial" w:cs="Arial" w:eastAsia="Arial" w:hAnsi="Arial"/>
                <w:sz w:val="20"/>
                <w:szCs w:val="20"/>
                <w:color w:val="auto"/>
                <w:w w:val="95"/>
              </w:rPr>
              <w:t>438</w:t>
            </w:r>
          </w:p>
        </w:tc>
        <w:tc>
          <w:tcPr>
            <w:tcW w:w="800" w:type="dxa"/>
            <w:vAlign w:val="bottom"/>
            <w:tcBorders>
              <w:right w:val="single" w:sz="8" w:color="auto"/>
            </w:tcBorders>
            <w:shd w:val="clear" w:color="auto" w:fill="26D07C"/>
          </w:tcPr>
          <w:p>
            <w:pPr>
              <w:jc w:val="center"/>
              <w:spacing w:after="0" w:line="193" w:lineRule="exact"/>
              <w:rPr>
                <w:sz w:val="20"/>
                <w:szCs w:val="20"/>
                <w:color w:val="auto"/>
              </w:rPr>
            </w:pPr>
            <w:r>
              <w:rPr>
                <w:rFonts w:ascii="Arial" w:cs="Arial" w:eastAsia="Arial" w:hAnsi="Arial"/>
                <w:sz w:val="20"/>
                <w:szCs w:val="20"/>
                <w:color w:val="auto"/>
                <w:w w:val="99"/>
              </w:rPr>
              <w:t>1,606</w:t>
            </w:r>
          </w:p>
        </w:tc>
        <w:tc>
          <w:tcPr>
            <w:tcW w:w="720" w:type="dxa"/>
            <w:vAlign w:val="bottom"/>
          </w:tcPr>
          <w:p>
            <w:pPr>
              <w:jc w:val="center"/>
              <w:spacing w:after="0" w:line="193" w:lineRule="exact"/>
              <w:rPr>
                <w:sz w:val="20"/>
                <w:szCs w:val="20"/>
                <w:color w:val="auto"/>
              </w:rPr>
            </w:pPr>
            <w:r>
              <w:rPr>
                <w:rFonts w:ascii="Arial" w:cs="Arial" w:eastAsia="Arial" w:hAnsi="Arial"/>
                <w:sz w:val="20"/>
                <w:szCs w:val="20"/>
                <w:color w:val="auto"/>
                <w:w w:val="96"/>
              </w:rPr>
              <w:t>2.3%</w:t>
            </w:r>
          </w:p>
        </w:tc>
        <w:tc>
          <w:tcPr>
            <w:tcW w:w="8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8.9%</w:t>
            </w:r>
          </w:p>
        </w:tc>
        <w:tc>
          <w:tcPr>
            <w:tcW w:w="840" w:type="dxa"/>
            <w:vAlign w:val="bottom"/>
          </w:tcPr>
          <w:p>
            <w:pPr>
              <w:jc w:val="center"/>
              <w:spacing w:after="0" w:line="193" w:lineRule="exact"/>
              <w:rPr>
                <w:sz w:val="20"/>
                <w:szCs w:val="20"/>
                <w:color w:val="auto"/>
              </w:rPr>
            </w:pPr>
            <w:r>
              <w:rPr>
                <w:rFonts w:ascii="Arial" w:cs="Arial" w:eastAsia="Arial" w:hAnsi="Arial"/>
                <w:sz w:val="20"/>
                <w:szCs w:val="20"/>
                <w:color w:val="auto"/>
                <w:w w:val="95"/>
              </w:rPr>
              <w:t>12.4%</w:t>
            </w:r>
          </w:p>
        </w:tc>
        <w:tc>
          <w:tcPr>
            <w:tcW w:w="860" w:type="dxa"/>
            <w:vAlign w:val="bottom"/>
          </w:tcPr>
          <w:p>
            <w:pPr>
              <w:jc w:val="center"/>
              <w:spacing w:after="0" w:line="193" w:lineRule="exact"/>
              <w:rPr>
                <w:sz w:val="20"/>
                <w:szCs w:val="20"/>
                <w:color w:val="auto"/>
              </w:rPr>
            </w:pPr>
            <w:r>
              <w:rPr>
                <w:rFonts w:ascii="Arial" w:cs="Arial" w:eastAsia="Arial" w:hAnsi="Arial"/>
                <w:sz w:val="20"/>
                <w:szCs w:val="20"/>
                <w:color w:val="auto"/>
                <w:w w:val="98"/>
              </w:rPr>
              <w:t>13.2%</w:t>
            </w:r>
          </w:p>
        </w:tc>
        <w:tc>
          <w:tcPr>
            <w:tcW w:w="9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5"/>
              </w:rPr>
              <w:t>13.1%</w:t>
            </w:r>
          </w:p>
        </w:tc>
        <w:tc>
          <w:tcPr>
            <w:tcW w:w="0" w:type="dxa"/>
            <w:vAlign w:val="bottom"/>
          </w:tcPr>
          <w:p>
            <w:pPr>
              <w:spacing w:after="0"/>
              <w:rPr>
                <w:sz w:val="1"/>
                <w:szCs w:val="1"/>
                <w:color w:val="auto"/>
              </w:rPr>
            </w:pPr>
          </w:p>
        </w:tc>
      </w:tr>
      <w:tr>
        <w:trPr>
          <w:trHeight w:val="216"/>
        </w:trPr>
        <w:tc>
          <w:tcPr>
            <w:tcW w:w="2120" w:type="dxa"/>
            <w:vAlign w:val="bottom"/>
            <w:tcBorders>
              <w:left w:val="single" w:sz="8" w:color="auto"/>
              <w:right w:val="single" w:sz="8" w:color="auto"/>
            </w:tcBorders>
          </w:tcPr>
          <w:p>
            <w:pPr>
              <w:ind w:left="360"/>
              <w:spacing w:after="0" w:line="214" w:lineRule="exact"/>
              <w:rPr>
                <w:sz w:val="20"/>
                <w:szCs w:val="20"/>
                <w:color w:val="auto"/>
              </w:rPr>
            </w:pPr>
            <w:r>
              <w:rPr>
                <w:rFonts w:ascii="Arial" w:cs="Arial" w:eastAsia="Arial" w:hAnsi="Arial"/>
                <w:sz w:val="20"/>
                <w:szCs w:val="20"/>
                <w:color w:val="auto"/>
              </w:rPr>
              <w:t>Consumer</w:t>
            </w:r>
          </w:p>
        </w:tc>
        <w:tc>
          <w:tcPr>
            <w:tcW w:w="800" w:type="dxa"/>
            <w:vAlign w:val="bottom"/>
          </w:tcPr>
          <w:p>
            <w:pPr>
              <w:jc w:val="center"/>
              <w:spacing w:after="0" w:line="214" w:lineRule="exact"/>
              <w:rPr>
                <w:sz w:val="20"/>
                <w:szCs w:val="20"/>
                <w:color w:val="auto"/>
              </w:rPr>
            </w:pPr>
            <w:r>
              <w:rPr>
                <w:rFonts w:ascii="Arial" w:cs="Arial" w:eastAsia="Arial" w:hAnsi="Arial"/>
                <w:sz w:val="20"/>
                <w:szCs w:val="20"/>
                <w:color w:val="auto"/>
                <w:w w:val="98"/>
              </w:rPr>
              <w:t>10,000</w:t>
            </w:r>
          </w:p>
        </w:tc>
        <w:tc>
          <w:tcPr>
            <w:tcW w:w="740" w:type="dxa"/>
            <w:vAlign w:val="bottom"/>
          </w:tcPr>
          <w:p>
            <w:pPr>
              <w:jc w:val="center"/>
              <w:spacing w:after="0" w:line="214" w:lineRule="exact"/>
              <w:rPr>
                <w:sz w:val="20"/>
                <w:szCs w:val="20"/>
                <w:color w:val="auto"/>
              </w:rPr>
            </w:pPr>
            <w:r>
              <w:rPr>
                <w:rFonts w:ascii="Arial" w:cs="Arial" w:eastAsia="Arial" w:hAnsi="Arial"/>
                <w:sz w:val="20"/>
                <w:szCs w:val="20"/>
                <w:color w:val="auto"/>
                <w:w w:val="94"/>
              </w:rPr>
              <w:t>11,848</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12,444</w:t>
            </w:r>
          </w:p>
        </w:tc>
        <w:tc>
          <w:tcPr>
            <w:tcW w:w="720" w:type="dxa"/>
            <w:vAlign w:val="bottom"/>
            <w:tcBorders>
              <w:bottom w:val="single" w:sz="8" w:color="26D07C"/>
            </w:tcBorders>
            <w:shd w:val="clear" w:color="auto" w:fill="26D07C"/>
          </w:tcPr>
          <w:p>
            <w:pPr>
              <w:jc w:val="center"/>
              <w:spacing w:after="0" w:line="214" w:lineRule="exact"/>
              <w:rPr>
                <w:sz w:val="20"/>
                <w:szCs w:val="20"/>
                <w:color w:val="auto"/>
              </w:rPr>
            </w:pPr>
            <w:r>
              <w:rPr>
                <w:rFonts w:ascii="Arial" w:cs="Arial" w:eastAsia="Arial" w:hAnsi="Arial"/>
                <w:sz w:val="20"/>
                <w:szCs w:val="20"/>
                <w:color w:val="auto"/>
                <w:w w:val="95"/>
              </w:rPr>
              <w:t>597</w:t>
            </w:r>
          </w:p>
        </w:tc>
        <w:tc>
          <w:tcPr>
            <w:tcW w:w="800" w:type="dxa"/>
            <w:vAlign w:val="bottom"/>
            <w:tcBorders>
              <w:bottom w:val="single" w:sz="8" w:color="26D07C"/>
              <w:right w:val="single" w:sz="8" w:color="auto"/>
            </w:tcBorders>
            <w:shd w:val="clear" w:color="auto" w:fill="26D07C"/>
          </w:tcPr>
          <w:p>
            <w:pPr>
              <w:jc w:val="center"/>
              <w:spacing w:after="0" w:line="214" w:lineRule="exact"/>
              <w:rPr>
                <w:sz w:val="20"/>
                <w:szCs w:val="20"/>
                <w:color w:val="auto"/>
              </w:rPr>
            </w:pPr>
            <w:r>
              <w:rPr>
                <w:rFonts w:ascii="Arial" w:cs="Arial" w:eastAsia="Arial" w:hAnsi="Arial"/>
                <w:sz w:val="20"/>
                <w:szCs w:val="20"/>
                <w:color w:val="auto"/>
                <w:w w:val="99"/>
              </w:rPr>
              <w:t>2,444</w:t>
            </w:r>
          </w:p>
        </w:tc>
        <w:tc>
          <w:tcPr>
            <w:tcW w:w="720" w:type="dxa"/>
            <w:vAlign w:val="bottom"/>
          </w:tcPr>
          <w:p>
            <w:pPr>
              <w:jc w:val="center"/>
              <w:spacing w:after="0" w:line="214" w:lineRule="exact"/>
              <w:rPr>
                <w:sz w:val="20"/>
                <w:szCs w:val="20"/>
                <w:color w:val="auto"/>
              </w:rPr>
            </w:pPr>
            <w:r>
              <w:rPr>
                <w:rFonts w:ascii="Arial" w:cs="Arial" w:eastAsia="Arial" w:hAnsi="Arial"/>
                <w:sz w:val="20"/>
                <w:szCs w:val="20"/>
                <w:color w:val="auto"/>
                <w:w w:val="96"/>
              </w:rPr>
              <w:t>5.0%</w:t>
            </w:r>
          </w:p>
        </w:tc>
        <w:tc>
          <w:tcPr>
            <w:tcW w:w="8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24.4%</w:t>
            </w:r>
          </w:p>
        </w:tc>
        <w:tc>
          <w:tcPr>
            <w:tcW w:w="840" w:type="dxa"/>
            <w:vAlign w:val="bottom"/>
          </w:tcPr>
          <w:p>
            <w:pPr>
              <w:jc w:val="center"/>
              <w:spacing w:after="0" w:line="214" w:lineRule="exact"/>
              <w:rPr>
                <w:sz w:val="20"/>
                <w:szCs w:val="20"/>
                <w:color w:val="auto"/>
              </w:rPr>
            </w:pPr>
            <w:r>
              <w:rPr>
                <w:rFonts w:ascii="Arial" w:cs="Arial" w:eastAsia="Arial" w:hAnsi="Arial"/>
                <w:sz w:val="20"/>
                <w:szCs w:val="20"/>
                <w:color w:val="auto"/>
              </w:rPr>
              <w:t>6.8%</w:t>
            </w:r>
          </w:p>
        </w:tc>
        <w:tc>
          <w:tcPr>
            <w:tcW w:w="860" w:type="dxa"/>
            <w:vAlign w:val="bottom"/>
          </w:tcPr>
          <w:p>
            <w:pPr>
              <w:jc w:val="center"/>
              <w:spacing w:after="0" w:line="214" w:lineRule="exact"/>
              <w:rPr>
                <w:sz w:val="20"/>
                <w:szCs w:val="20"/>
                <w:color w:val="auto"/>
              </w:rPr>
            </w:pPr>
            <w:r>
              <w:rPr>
                <w:rFonts w:ascii="Arial" w:cs="Arial" w:eastAsia="Arial" w:hAnsi="Arial"/>
                <w:sz w:val="20"/>
                <w:szCs w:val="20"/>
                <w:color w:val="auto"/>
                <w:w w:val="96"/>
              </w:rPr>
              <w:t>8.1%</w:t>
            </w:r>
          </w:p>
        </w:tc>
        <w:tc>
          <w:tcPr>
            <w:tcW w:w="9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rPr>
              <w:t>8.3%</w:t>
            </w:r>
          </w:p>
        </w:tc>
        <w:tc>
          <w:tcPr>
            <w:tcW w:w="0" w:type="dxa"/>
            <w:vAlign w:val="bottom"/>
          </w:tcPr>
          <w:p>
            <w:pPr>
              <w:spacing w:after="0"/>
              <w:rPr>
                <w:sz w:val="1"/>
                <w:szCs w:val="1"/>
                <w:color w:val="auto"/>
              </w:rPr>
            </w:pPr>
          </w:p>
        </w:tc>
      </w:tr>
      <w:tr>
        <w:trPr>
          <w:trHeight w:val="191"/>
        </w:trPr>
        <w:tc>
          <w:tcPr>
            <w:tcW w:w="2120" w:type="dxa"/>
            <w:vAlign w:val="bottom"/>
            <w:tcBorders>
              <w:left w:val="single" w:sz="8" w:color="auto"/>
              <w:right w:val="single" w:sz="8" w:color="auto"/>
            </w:tcBorders>
          </w:tcPr>
          <w:p>
            <w:pPr>
              <w:ind w:left="360"/>
              <w:spacing w:after="0" w:line="190" w:lineRule="exact"/>
              <w:rPr>
                <w:sz w:val="20"/>
                <w:szCs w:val="20"/>
                <w:color w:val="auto"/>
              </w:rPr>
            </w:pPr>
            <w:r>
              <w:rPr>
                <w:rFonts w:ascii="Arial" w:cs="Arial" w:eastAsia="Arial" w:hAnsi="Arial"/>
                <w:sz w:val="20"/>
                <w:szCs w:val="20"/>
                <w:color w:val="auto"/>
              </w:rPr>
              <w:t>Credit Card</w:t>
            </w:r>
          </w:p>
        </w:tc>
        <w:tc>
          <w:tcPr>
            <w:tcW w:w="800" w:type="dxa"/>
            <w:vAlign w:val="bottom"/>
          </w:tcPr>
          <w:p>
            <w:pPr>
              <w:jc w:val="center"/>
              <w:spacing w:after="0" w:line="190" w:lineRule="exact"/>
              <w:rPr>
                <w:sz w:val="20"/>
                <w:szCs w:val="20"/>
                <w:color w:val="auto"/>
              </w:rPr>
            </w:pPr>
            <w:r>
              <w:rPr>
                <w:rFonts w:ascii="Arial" w:cs="Arial" w:eastAsia="Arial" w:hAnsi="Arial"/>
                <w:sz w:val="20"/>
                <w:szCs w:val="20"/>
                <w:color w:val="auto"/>
                <w:w w:val="95"/>
              </w:rPr>
              <w:t>3,731</w:t>
            </w:r>
          </w:p>
        </w:tc>
        <w:tc>
          <w:tcPr>
            <w:tcW w:w="740" w:type="dxa"/>
            <w:vAlign w:val="bottom"/>
          </w:tcPr>
          <w:p>
            <w:pPr>
              <w:jc w:val="center"/>
              <w:spacing w:after="0" w:line="190" w:lineRule="exact"/>
              <w:rPr>
                <w:sz w:val="20"/>
                <w:szCs w:val="20"/>
                <w:color w:val="auto"/>
              </w:rPr>
            </w:pPr>
            <w:r>
              <w:rPr>
                <w:rFonts w:ascii="Arial" w:cs="Arial" w:eastAsia="Arial" w:hAnsi="Arial"/>
                <w:sz w:val="20"/>
                <w:szCs w:val="20"/>
                <w:color w:val="auto"/>
                <w:w w:val="95"/>
              </w:rPr>
              <w:t>4,435</w:t>
            </w:r>
          </w:p>
        </w:tc>
        <w:tc>
          <w:tcPr>
            <w:tcW w:w="7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9"/>
              </w:rPr>
              <w:t>4,774</w:t>
            </w:r>
          </w:p>
        </w:tc>
        <w:tc>
          <w:tcPr>
            <w:tcW w:w="720" w:type="dxa"/>
            <w:vAlign w:val="bottom"/>
          </w:tcPr>
          <w:p>
            <w:pPr>
              <w:jc w:val="center"/>
              <w:spacing w:after="0" w:line="190" w:lineRule="exact"/>
              <w:rPr>
                <w:sz w:val="20"/>
                <w:szCs w:val="20"/>
                <w:color w:val="auto"/>
              </w:rPr>
            </w:pPr>
            <w:r>
              <w:rPr>
                <w:rFonts w:ascii="Arial" w:cs="Arial" w:eastAsia="Arial" w:hAnsi="Arial"/>
                <w:sz w:val="20"/>
                <w:szCs w:val="20"/>
                <w:color w:val="auto"/>
                <w:w w:val="95"/>
              </w:rPr>
              <w:t>339</w:t>
            </w:r>
          </w:p>
        </w:tc>
        <w:tc>
          <w:tcPr>
            <w:tcW w:w="8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9"/>
              </w:rPr>
              <w:t>1,042</w:t>
            </w:r>
          </w:p>
        </w:tc>
        <w:tc>
          <w:tcPr>
            <w:tcW w:w="720" w:type="dxa"/>
            <w:vAlign w:val="bottom"/>
          </w:tcPr>
          <w:p>
            <w:pPr>
              <w:jc w:val="center"/>
              <w:spacing w:after="0" w:line="190" w:lineRule="exact"/>
              <w:rPr>
                <w:sz w:val="20"/>
                <w:szCs w:val="20"/>
                <w:color w:val="auto"/>
              </w:rPr>
            </w:pPr>
            <w:r>
              <w:rPr>
                <w:rFonts w:ascii="Arial" w:cs="Arial" w:eastAsia="Arial" w:hAnsi="Arial"/>
                <w:sz w:val="20"/>
                <w:szCs w:val="20"/>
                <w:color w:val="auto"/>
                <w:w w:val="96"/>
              </w:rPr>
              <w:t>7.6%</w:t>
            </w:r>
          </w:p>
        </w:tc>
        <w:tc>
          <w:tcPr>
            <w:tcW w:w="84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8"/>
              </w:rPr>
              <w:t>27.9%</w:t>
            </w:r>
          </w:p>
        </w:tc>
        <w:tc>
          <w:tcPr>
            <w:tcW w:w="840" w:type="dxa"/>
            <w:vAlign w:val="bottom"/>
          </w:tcPr>
          <w:p>
            <w:pPr>
              <w:jc w:val="center"/>
              <w:spacing w:after="0" w:line="190" w:lineRule="exact"/>
              <w:rPr>
                <w:sz w:val="20"/>
                <w:szCs w:val="20"/>
                <w:color w:val="auto"/>
              </w:rPr>
            </w:pPr>
            <w:r>
              <w:rPr>
                <w:rFonts w:ascii="Arial" w:cs="Arial" w:eastAsia="Arial" w:hAnsi="Arial"/>
                <w:sz w:val="20"/>
                <w:szCs w:val="20"/>
                <w:color w:val="auto"/>
              </w:rPr>
              <w:t>2.5%</w:t>
            </w:r>
          </w:p>
        </w:tc>
        <w:tc>
          <w:tcPr>
            <w:tcW w:w="860" w:type="dxa"/>
            <w:vAlign w:val="bottom"/>
          </w:tcPr>
          <w:p>
            <w:pPr>
              <w:jc w:val="center"/>
              <w:spacing w:after="0" w:line="190" w:lineRule="exact"/>
              <w:rPr>
                <w:sz w:val="20"/>
                <w:szCs w:val="20"/>
                <w:color w:val="auto"/>
              </w:rPr>
            </w:pPr>
            <w:r>
              <w:rPr>
                <w:rFonts w:ascii="Arial" w:cs="Arial" w:eastAsia="Arial" w:hAnsi="Arial"/>
                <w:sz w:val="20"/>
                <w:szCs w:val="20"/>
                <w:color w:val="auto"/>
                <w:w w:val="96"/>
              </w:rPr>
              <w:t>3.0%</w:t>
            </w: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4"/>
        </w:trPr>
        <w:tc>
          <w:tcPr>
            <w:tcW w:w="2120" w:type="dxa"/>
            <w:vAlign w:val="bottom"/>
            <w:tcBorders>
              <w:left w:val="single" w:sz="8" w:color="auto"/>
              <w:right w:val="single" w:sz="8" w:color="auto"/>
            </w:tcBorders>
            <w:vMerge w:val="restart"/>
          </w:tcPr>
          <w:p>
            <w:pPr>
              <w:ind w:left="40"/>
              <w:spacing w:after="0" w:line="214" w:lineRule="exact"/>
              <w:rPr>
                <w:sz w:val="20"/>
                <w:szCs w:val="20"/>
                <w:color w:val="auto"/>
              </w:rPr>
            </w:pPr>
            <w:r>
              <w:rPr>
                <w:rFonts w:ascii="Arial" w:cs="Arial" w:eastAsia="Arial" w:hAnsi="Arial"/>
                <w:sz w:val="20"/>
                <w:szCs w:val="20"/>
                <w:b w:val="1"/>
                <w:bCs w:val="1"/>
                <w:color w:val="auto"/>
              </w:rPr>
              <w:t>Mibanco</w:t>
            </w:r>
          </w:p>
        </w:tc>
        <w:tc>
          <w:tcPr>
            <w:tcW w:w="80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8"/>
              </w:rPr>
              <w:t>13,083</w:t>
            </w:r>
          </w:p>
        </w:tc>
        <w:tc>
          <w:tcPr>
            <w:tcW w:w="74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8"/>
              </w:rPr>
              <w:t>14,172</w:t>
            </w:r>
          </w:p>
        </w:tc>
        <w:tc>
          <w:tcPr>
            <w:tcW w:w="76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b w:val="1"/>
                <w:bCs w:val="1"/>
                <w:color w:val="auto"/>
                <w:w w:val="98"/>
              </w:rPr>
              <w:t>14,286</w:t>
            </w:r>
          </w:p>
        </w:tc>
        <w:tc>
          <w:tcPr>
            <w:tcW w:w="72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5"/>
              </w:rPr>
              <w:t>114</w:t>
            </w:r>
          </w:p>
        </w:tc>
        <w:tc>
          <w:tcPr>
            <w:tcW w:w="800" w:type="dxa"/>
            <w:vAlign w:val="bottom"/>
            <w:tcBorders>
              <w:right w:val="single" w:sz="8" w:color="auto"/>
            </w:tcBorders>
          </w:tcPr>
          <w:p>
            <w:pPr>
              <w:spacing w:after="0"/>
              <w:rPr>
                <w:sz w:val="2"/>
                <w:szCs w:val="2"/>
                <w:color w:val="auto"/>
              </w:rPr>
            </w:pPr>
          </w:p>
        </w:tc>
        <w:tc>
          <w:tcPr>
            <w:tcW w:w="72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6"/>
              </w:rPr>
              <w:t>0.8%</w:t>
            </w:r>
          </w:p>
        </w:tc>
        <w:tc>
          <w:tcPr>
            <w:tcW w:w="84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b w:val="1"/>
                <w:bCs w:val="1"/>
                <w:color w:val="auto"/>
                <w:w w:val="96"/>
              </w:rPr>
              <w:t>9.2%</w:t>
            </w:r>
          </w:p>
        </w:tc>
        <w:tc>
          <w:tcPr>
            <w:tcW w:w="84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rPr>
              <w:t>8.9%</w:t>
            </w:r>
          </w:p>
        </w:tc>
        <w:tc>
          <w:tcPr>
            <w:tcW w:w="860" w:type="dxa"/>
            <w:vAlign w:val="bottom"/>
            <w:vMerge w:val="restart"/>
          </w:tcPr>
          <w:p>
            <w:pPr>
              <w:jc w:val="center"/>
              <w:spacing w:after="0" w:line="214" w:lineRule="exact"/>
              <w:rPr>
                <w:sz w:val="20"/>
                <w:szCs w:val="20"/>
                <w:color w:val="auto"/>
              </w:rPr>
            </w:pPr>
            <w:r>
              <w:rPr>
                <w:rFonts w:ascii="Arial" w:cs="Arial" w:eastAsia="Arial" w:hAnsi="Arial"/>
                <w:sz w:val="20"/>
                <w:szCs w:val="20"/>
                <w:b w:val="1"/>
                <w:bCs w:val="1"/>
                <w:color w:val="auto"/>
                <w:w w:val="96"/>
              </w:rPr>
              <w:t>9.7%</w:t>
            </w:r>
          </w:p>
        </w:tc>
        <w:tc>
          <w:tcPr>
            <w:tcW w:w="92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b w:val="1"/>
                <w:bCs w:val="1"/>
                <w:color w:val="auto"/>
              </w:rPr>
              <w:t>9.5%</w:t>
            </w:r>
          </w:p>
        </w:tc>
        <w:tc>
          <w:tcPr>
            <w:tcW w:w="0" w:type="dxa"/>
            <w:vAlign w:val="bottom"/>
          </w:tcPr>
          <w:p>
            <w:pPr>
              <w:spacing w:after="0" w:line="20" w:lineRule="exact"/>
              <w:rPr>
                <w:sz w:val="1"/>
                <w:szCs w:val="1"/>
                <w:color w:val="auto"/>
              </w:rPr>
            </w:pPr>
          </w:p>
        </w:tc>
      </w:tr>
      <w:tr>
        <w:trPr>
          <w:trHeight w:val="194"/>
        </w:trPr>
        <w:tc>
          <w:tcPr>
            <w:tcW w:w="2120" w:type="dxa"/>
            <w:vAlign w:val="bottom"/>
            <w:tcBorders>
              <w:left w:val="single" w:sz="8" w:color="auto"/>
              <w:right w:val="single" w:sz="8" w:color="auto"/>
            </w:tcBorders>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0" w:type="dxa"/>
            <w:vAlign w:val="bottom"/>
            <w:tcBorders>
              <w:bottom w:val="single" w:sz="8" w:color="26D07C"/>
              <w:right w:val="single" w:sz="8" w:color="auto"/>
            </w:tcBorders>
            <w:shd w:val="clear" w:color="auto" w:fill="26D07C"/>
          </w:tcPr>
          <w:p>
            <w:pPr>
              <w:jc w:val="center"/>
              <w:spacing w:after="0" w:line="190" w:lineRule="exact"/>
              <w:rPr>
                <w:sz w:val="20"/>
                <w:szCs w:val="20"/>
                <w:color w:val="auto"/>
              </w:rPr>
            </w:pPr>
            <w:r>
              <w:rPr>
                <w:rFonts w:ascii="Arial" w:cs="Arial" w:eastAsia="Arial" w:hAnsi="Arial"/>
                <w:sz w:val="20"/>
                <w:szCs w:val="20"/>
                <w:b w:val="1"/>
                <w:bCs w:val="1"/>
                <w:color w:val="auto"/>
                <w:w w:val="99"/>
              </w:rPr>
              <w:t>1,203</w:t>
            </w:r>
          </w:p>
        </w:tc>
        <w:tc>
          <w:tcPr>
            <w:tcW w:w="720" w:type="dxa"/>
            <w:vAlign w:val="bottom"/>
            <w:vMerge w:val="continue"/>
          </w:tcPr>
          <w:p>
            <w:pPr>
              <w:spacing w:after="0"/>
              <w:rPr>
                <w:sz w:val="16"/>
                <w:szCs w:val="16"/>
                <w:color w:val="auto"/>
              </w:rPr>
            </w:pPr>
          </w:p>
        </w:tc>
        <w:tc>
          <w:tcPr>
            <w:tcW w:w="840" w:type="dxa"/>
            <w:vAlign w:val="bottom"/>
            <w:tcBorders>
              <w:right w:val="single" w:sz="8" w:color="auto"/>
            </w:tcBorders>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20" w:type="dxa"/>
            <w:vAlign w:val="bottom"/>
            <w:tcBorders>
              <w:left w:val="single" w:sz="8" w:color="auto"/>
              <w:right w:val="single" w:sz="8" w:color="auto"/>
            </w:tcBorders>
          </w:tcPr>
          <w:p>
            <w:pPr>
              <w:ind w:left="40"/>
              <w:spacing w:after="0" w:line="190" w:lineRule="exact"/>
              <w:rPr>
                <w:sz w:val="20"/>
                <w:szCs w:val="20"/>
                <w:color w:val="auto"/>
              </w:rPr>
            </w:pPr>
            <w:r>
              <w:rPr>
                <w:rFonts w:ascii="Arial" w:cs="Arial" w:eastAsia="Arial" w:hAnsi="Arial"/>
                <w:sz w:val="20"/>
                <w:szCs w:val="20"/>
                <w:b w:val="1"/>
                <w:bCs w:val="1"/>
                <w:color w:val="auto"/>
              </w:rPr>
              <w:t>Mibanco Colombia</w:t>
            </w:r>
          </w:p>
        </w:tc>
        <w:tc>
          <w:tcPr>
            <w:tcW w:w="80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5"/>
              </w:rPr>
              <w:t>1,047</w:t>
            </w:r>
          </w:p>
        </w:tc>
        <w:tc>
          <w:tcPr>
            <w:tcW w:w="74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5"/>
              </w:rPr>
              <w:t>1,152</w:t>
            </w:r>
          </w:p>
        </w:tc>
        <w:tc>
          <w:tcPr>
            <w:tcW w:w="7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9"/>
              </w:rPr>
              <w:t>1,163</w:t>
            </w:r>
          </w:p>
        </w:tc>
        <w:tc>
          <w:tcPr>
            <w:tcW w:w="72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89"/>
              </w:rPr>
              <w:t>11</w:t>
            </w:r>
          </w:p>
        </w:tc>
        <w:tc>
          <w:tcPr>
            <w:tcW w:w="80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5"/>
              </w:rPr>
              <w:t>116</w:t>
            </w:r>
          </w:p>
        </w:tc>
        <w:tc>
          <w:tcPr>
            <w:tcW w:w="72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6"/>
              </w:rPr>
              <w:t>1.0%</w:t>
            </w:r>
          </w:p>
        </w:tc>
        <w:tc>
          <w:tcPr>
            <w:tcW w:w="84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8"/>
              </w:rPr>
              <w:t>11.1%</w:t>
            </w:r>
          </w:p>
        </w:tc>
        <w:tc>
          <w:tcPr>
            <w:tcW w:w="84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rPr>
              <w:t>0.7%</w:t>
            </w:r>
          </w:p>
        </w:tc>
        <w:tc>
          <w:tcPr>
            <w:tcW w:w="86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6"/>
              </w:rPr>
              <w:t>0.8%</w:t>
            </w:r>
          </w:p>
        </w:tc>
        <w:tc>
          <w:tcPr>
            <w:tcW w:w="9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rPr>
              <w:t>0.8%</w:t>
            </w:r>
          </w:p>
        </w:tc>
        <w:tc>
          <w:tcPr>
            <w:tcW w:w="0" w:type="dxa"/>
            <w:vAlign w:val="bottom"/>
          </w:tcPr>
          <w:p>
            <w:pPr>
              <w:spacing w:after="0"/>
              <w:rPr>
                <w:sz w:val="1"/>
                <w:szCs w:val="1"/>
                <w:color w:val="auto"/>
              </w:rPr>
            </w:pPr>
          </w:p>
        </w:tc>
      </w:tr>
      <w:tr>
        <w:trPr>
          <w:trHeight w:val="214"/>
        </w:trPr>
        <w:tc>
          <w:tcPr>
            <w:tcW w:w="212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Bolivia</w:t>
            </w:r>
          </w:p>
        </w:tc>
        <w:tc>
          <w:tcPr>
            <w:tcW w:w="800" w:type="dxa"/>
            <w:vAlign w:val="bottom"/>
          </w:tcPr>
          <w:p>
            <w:pPr>
              <w:jc w:val="center"/>
              <w:spacing w:after="0" w:line="214" w:lineRule="exact"/>
              <w:rPr>
                <w:sz w:val="20"/>
                <w:szCs w:val="20"/>
                <w:color w:val="auto"/>
              </w:rPr>
            </w:pPr>
            <w:r>
              <w:rPr>
                <w:rFonts w:ascii="Arial" w:cs="Arial" w:eastAsia="Arial" w:hAnsi="Arial"/>
                <w:sz w:val="20"/>
                <w:szCs w:val="20"/>
                <w:b w:val="1"/>
                <w:bCs w:val="1"/>
                <w:color w:val="auto"/>
                <w:w w:val="95"/>
              </w:rPr>
              <w:t>9,408</w:t>
            </w:r>
          </w:p>
        </w:tc>
        <w:tc>
          <w:tcPr>
            <w:tcW w:w="740" w:type="dxa"/>
            <w:vAlign w:val="bottom"/>
          </w:tcPr>
          <w:p>
            <w:pPr>
              <w:jc w:val="center"/>
              <w:spacing w:after="0" w:line="214" w:lineRule="exact"/>
              <w:rPr>
                <w:sz w:val="20"/>
                <w:szCs w:val="20"/>
                <w:color w:val="auto"/>
              </w:rPr>
            </w:pPr>
            <w:r>
              <w:rPr>
                <w:rFonts w:ascii="Arial" w:cs="Arial" w:eastAsia="Arial" w:hAnsi="Arial"/>
                <w:sz w:val="20"/>
                <w:szCs w:val="20"/>
                <w:b w:val="1"/>
                <w:bCs w:val="1"/>
                <w:color w:val="auto"/>
                <w:w w:val="95"/>
              </w:rPr>
              <w:t>8,622</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9"/>
              </w:rPr>
              <w:t>8,992</w:t>
            </w:r>
          </w:p>
        </w:tc>
        <w:tc>
          <w:tcPr>
            <w:tcW w:w="720" w:type="dxa"/>
            <w:vAlign w:val="bottom"/>
          </w:tcPr>
          <w:p>
            <w:pPr>
              <w:jc w:val="center"/>
              <w:spacing w:after="0" w:line="214" w:lineRule="exact"/>
              <w:rPr>
                <w:sz w:val="20"/>
                <w:szCs w:val="20"/>
                <w:color w:val="auto"/>
              </w:rPr>
            </w:pPr>
            <w:r>
              <w:rPr>
                <w:rFonts w:ascii="Arial" w:cs="Arial" w:eastAsia="Arial" w:hAnsi="Arial"/>
                <w:sz w:val="20"/>
                <w:szCs w:val="20"/>
                <w:b w:val="1"/>
                <w:bCs w:val="1"/>
                <w:color w:val="auto"/>
                <w:w w:val="95"/>
              </w:rPr>
              <w:t>370</w:t>
            </w:r>
          </w:p>
        </w:tc>
        <w:tc>
          <w:tcPr>
            <w:tcW w:w="8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9"/>
              </w:rPr>
              <w:t>-416</w:t>
            </w:r>
          </w:p>
        </w:tc>
        <w:tc>
          <w:tcPr>
            <w:tcW w:w="720" w:type="dxa"/>
            <w:vAlign w:val="bottom"/>
          </w:tcPr>
          <w:p>
            <w:pPr>
              <w:jc w:val="center"/>
              <w:spacing w:after="0" w:line="214" w:lineRule="exact"/>
              <w:rPr>
                <w:sz w:val="20"/>
                <w:szCs w:val="20"/>
                <w:color w:val="auto"/>
              </w:rPr>
            </w:pPr>
            <w:r>
              <w:rPr>
                <w:rFonts w:ascii="Arial" w:cs="Arial" w:eastAsia="Arial" w:hAnsi="Arial"/>
                <w:sz w:val="20"/>
                <w:szCs w:val="20"/>
                <w:b w:val="1"/>
                <w:bCs w:val="1"/>
                <w:color w:val="auto"/>
                <w:w w:val="96"/>
              </w:rPr>
              <w:t>4.3%</w:t>
            </w:r>
          </w:p>
        </w:tc>
        <w:tc>
          <w:tcPr>
            <w:tcW w:w="8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9"/>
              </w:rPr>
              <w:t>-4.4%</w:t>
            </w:r>
          </w:p>
        </w:tc>
        <w:tc>
          <w:tcPr>
            <w:tcW w:w="840" w:type="dxa"/>
            <w:vAlign w:val="bottom"/>
          </w:tcPr>
          <w:p>
            <w:pPr>
              <w:jc w:val="center"/>
              <w:spacing w:after="0" w:line="214" w:lineRule="exact"/>
              <w:rPr>
                <w:sz w:val="20"/>
                <w:szCs w:val="20"/>
                <w:color w:val="auto"/>
              </w:rPr>
            </w:pPr>
            <w:r>
              <w:rPr>
                <w:rFonts w:ascii="Arial" w:cs="Arial" w:eastAsia="Arial" w:hAnsi="Arial"/>
                <w:sz w:val="20"/>
                <w:szCs w:val="20"/>
                <w:b w:val="1"/>
                <w:bCs w:val="1"/>
                <w:color w:val="auto"/>
              </w:rPr>
              <w:t>6.4%</w:t>
            </w:r>
          </w:p>
        </w:tc>
        <w:tc>
          <w:tcPr>
            <w:tcW w:w="860" w:type="dxa"/>
            <w:vAlign w:val="bottom"/>
          </w:tcPr>
          <w:p>
            <w:pPr>
              <w:jc w:val="center"/>
              <w:spacing w:after="0" w:line="214" w:lineRule="exact"/>
              <w:rPr>
                <w:sz w:val="20"/>
                <w:szCs w:val="20"/>
                <w:color w:val="auto"/>
              </w:rPr>
            </w:pPr>
            <w:r>
              <w:rPr>
                <w:rFonts w:ascii="Arial" w:cs="Arial" w:eastAsia="Arial" w:hAnsi="Arial"/>
                <w:sz w:val="20"/>
                <w:szCs w:val="20"/>
                <w:b w:val="1"/>
                <w:bCs w:val="1"/>
                <w:color w:val="auto"/>
                <w:w w:val="96"/>
              </w:rPr>
              <w:t>5.9%</w:t>
            </w:r>
          </w:p>
        </w:tc>
        <w:tc>
          <w:tcPr>
            <w:tcW w:w="9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rPr>
              <w:t>6.0%</w:t>
            </w:r>
          </w:p>
        </w:tc>
        <w:tc>
          <w:tcPr>
            <w:tcW w:w="0" w:type="dxa"/>
            <w:vAlign w:val="bottom"/>
          </w:tcPr>
          <w:p>
            <w:pPr>
              <w:spacing w:after="0"/>
              <w:rPr>
                <w:sz w:val="1"/>
                <w:szCs w:val="1"/>
                <w:color w:val="auto"/>
              </w:rPr>
            </w:pPr>
          </w:p>
        </w:tc>
      </w:tr>
      <w:tr>
        <w:trPr>
          <w:trHeight w:val="245"/>
        </w:trPr>
        <w:tc>
          <w:tcPr>
            <w:tcW w:w="2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ASB</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2,123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2,030</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2,084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54</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-39</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2.7%</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-1.8%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1.5%</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1.4%</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1.4%</w:t>
            </w:r>
          </w:p>
        </w:tc>
        <w:tc>
          <w:tcPr>
            <w:tcW w:w="0" w:type="dxa"/>
            <w:vAlign w:val="bottom"/>
          </w:tcPr>
          <w:p>
            <w:pPr>
              <w:spacing w:after="0"/>
              <w:rPr>
                <w:sz w:val="1"/>
                <w:szCs w:val="1"/>
                <w:color w:val="auto"/>
              </w:rPr>
            </w:pPr>
          </w:p>
        </w:tc>
      </w:tr>
      <w:tr>
        <w:trPr>
          <w:trHeight w:val="221"/>
        </w:trPr>
        <w:tc>
          <w:tcPr>
            <w:tcW w:w="212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BAP's total loans</w:t>
            </w:r>
          </w:p>
        </w:tc>
        <w:tc>
          <w:tcPr>
            <w:tcW w:w="2300" w:type="dxa"/>
            <w:vAlign w:val="bottom"/>
            <w:tcBorders>
              <w:bottom w:val="single" w:sz="8" w:color="auto"/>
              <w:right w:val="single" w:sz="8" w:color="auto"/>
            </w:tcBorders>
            <w:gridSpan w:val="3"/>
          </w:tcPr>
          <w:p>
            <w:pPr>
              <w:jc w:val="center"/>
              <w:spacing w:after="0" w:line="214" w:lineRule="exact"/>
              <w:rPr>
                <w:sz w:val="20"/>
                <w:szCs w:val="20"/>
                <w:color w:val="auto"/>
              </w:rPr>
            </w:pPr>
            <w:r>
              <w:rPr>
                <w:rFonts w:ascii="Arial" w:cs="Arial" w:eastAsia="Arial" w:hAnsi="Arial"/>
                <w:sz w:val="20"/>
                <w:szCs w:val="20"/>
                <w:b w:val="1"/>
                <w:bCs w:val="1"/>
                <w:color w:val="auto"/>
                <w:w w:val="99"/>
              </w:rPr>
              <w:t>146,382 146,275150,626</w:t>
            </w:r>
          </w:p>
        </w:tc>
        <w:tc>
          <w:tcPr>
            <w:tcW w:w="72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5"/>
              </w:rPr>
              <w:t>4,351</w:t>
            </w:r>
          </w:p>
        </w:tc>
        <w:tc>
          <w:tcPr>
            <w:tcW w:w="80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9"/>
              </w:rPr>
              <w:t>4,244</w:t>
            </w:r>
          </w:p>
        </w:tc>
        <w:tc>
          <w:tcPr>
            <w:tcW w:w="72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3.0%</w:t>
            </w:r>
          </w:p>
        </w:tc>
        <w:tc>
          <w:tcPr>
            <w:tcW w:w="84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2.9%</w:t>
            </w:r>
          </w:p>
        </w:tc>
        <w:tc>
          <w:tcPr>
            <w:tcW w:w="8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100.0%</w:t>
            </w:r>
          </w:p>
        </w:tc>
        <w:tc>
          <w:tcPr>
            <w:tcW w:w="86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100.0%</w:t>
            </w:r>
          </w:p>
        </w:tc>
        <w:tc>
          <w:tcPr>
            <w:tcW w:w="9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100.0%</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1"/>
          <w:szCs w:val="11"/>
          <w:color w:val="auto"/>
        </w:rPr>
        <w:t>For consolidation purposes, Loans generated in Foreign Currency (FC) are converted 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29845</wp:posOffset>
            </wp:positionV>
            <wp:extent cx="1113790" cy="1955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3790" cy="195580"/>
                    </a:xfrm>
                    <a:prstGeom prst="rect">
                      <a:avLst/>
                    </a:prstGeom>
                    <a:noFill/>
                  </pic:spPr>
                </pic:pic>
              </a:graphicData>
            </a:graphic>
          </wp:anchor>
        </w:drawing>
      </w:r>
    </w:p>
    <w:p>
      <w:pPr>
        <w:spacing w:after="0" w:line="68" w:lineRule="exact"/>
        <w:rPr>
          <w:sz w:val="20"/>
          <w:szCs w:val="20"/>
          <w:color w:val="auto"/>
        </w:rPr>
      </w:pPr>
    </w:p>
    <w:p>
      <w:pPr>
        <w:ind w:right="5720" w:firstLine="7"/>
        <w:spacing w:after="0" w:line="256" w:lineRule="auto"/>
        <w:tabs>
          <w:tab w:leader="none" w:pos="161"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Includes Work out unit, and other banking. For Quarter-end Balances figures, please refer to “12. Annexes – 12.2 Loan Portfolio Quality”.</w:t>
      </w:r>
    </w:p>
    <w:p>
      <w:pPr>
        <w:spacing w:after="0" w:line="51" w:lineRule="exact"/>
        <w:rPr>
          <w:rFonts w:ascii="Arial" w:cs="Arial" w:eastAsia="Arial" w:hAnsi="Arial"/>
          <w:sz w:val="11"/>
          <w:szCs w:val="11"/>
          <w:color w:val="auto"/>
        </w:rPr>
      </w:pPr>
    </w:p>
    <w:p>
      <w:pPr>
        <w:ind w:left="160" w:hanging="153"/>
        <w:spacing w:after="0"/>
        <w:tabs>
          <w:tab w:leader="none" w:pos="160" w:val="left"/>
        </w:tabs>
        <w:numPr>
          <w:ilvl w:val="0"/>
          <w:numId w:val="17"/>
        </w:numPr>
        <w:rPr>
          <w:rFonts w:ascii="Arial" w:cs="Arial" w:eastAsia="Arial" w:hAnsi="Arial"/>
          <w:sz w:val="11"/>
          <w:szCs w:val="11"/>
          <w:color w:val="auto"/>
        </w:rPr>
      </w:pPr>
      <w:r>
        <w:rPr>
          <w:rFonts w:ascii="Arial" w:cs="Arial" w:eastAsia="Arial" w:hAnsi="Arial"/>
          <w:sz w:val="11"/>
          <w:szCs w:val="11"/>
          <w:color w:val="auto"/>
        </w:rPr>
        <w:t>Internal Management Figures</w:t>
      </w:r>
    </w:p>
    <w:p>
      <w:pPr>
        <w:spacing w:after="0" w:line="27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QoQ and YoY, loan growth was driven by the positive results of the structural portfolio at BCP Stand-alone. This improvement was offset by the contraction in GP loans.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type w:val="continuous"/>
        </w:sectPr>
      </w:pPr>
    </w:p>
    <w:bookmarkStart w:id="18" w:name="page19"/>
    <w:bookmarkEnd w:id="18"/>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Evolution of the Dollarization Level of Loans (in Average Daily Balances) </w:t>
      </w:r>
      <w:r>
        <w:rPr>
          <w:rFonts w:ascii="Times New Roman" w:cs="Times New Roman" w:eastAsia="Times New Roman" w:hAnsi="Times New Roman"/>
          <w:sz w:val="29"/>
          <w:szCs w:val="29"/>
          <w:b w:val="1"/>
          <w:bCs w:val="1"/>
          <w:color w:val="auto"/>
          <w:vertAlign w:val="superscript"/>
        </w:rPr>
        <w:t>(1)(2)</w:t>
      </w:r>
    </w:p>
    <w:tbl>
      <w:tblPr>
        <w:tblLayout w:type="fixed"/>
        <w:tblInd w:w="10" w:type="dxa"/>
        <w:tblCellMar>
          <w:top w:w="0" w:type="dxa"/>
          <w:left w:w="0" w:type="dxa"/>
          <w:bottom w:w="0" w:type="dxa"/>
          <w:right w:w="0" w:type="dxa"/>
        </w:tblCellMar>
      </w:tblPr>
      <w:tr>
        <w:trPr>
          <w:trHeight w:val="158"/>
        </w:trPr>
        <w:tc>
          <w:tcPr>
            <w:tcW w:w="1520" w:type="dxa"/>
            <w:vAlign w:val="bottom"/>
            <w:tcBorders>
              <w:top w:val="single" w:sz="8" w:color="auto"/>
              <w:left w:val="single" w:sz="8" w:color="auto"/>
              <w:right w:val="single" w:sz="8" w:color="auto"/>
            </w:tcBorders>
            <w:shd w:val="clear" w:color="auto" w:fill="2AD2C9"/>
          </w:tcPr>
          <w:p>
            <w:pPr>
              <w:spacing w:after="0"/>
              <w:rPr>
                <w:sz w:val="13"/>
                <w:szCs w:val="13"/>
                <w:color w:val="auto"/>
              </w:rPr>
            </w:pPr>
          </w:p>
        </w:tc>
        <w:tc>
          <w:tcPr>
            <w:tcW w:w="2720" w:type="dxa"/>
            <w:vAlign w:val="bottom"/>
            <w:tcBorders>
              <w:top w:val="single" w:sz="8" w:color="auto"/>
            </w:tcBorders>
            <w:gridSpan w:val="5"/>
            <w:vMerge w:val="restart"/>
            <w:shd w:val="clear" w:color="auto" w:fill="2AD2C9"/>
          </w:tcPr>
          <w:p>
            <w:pPr>
              <w:jc w:val="right"/>
              <w:spacing w:after="0"/>
              <w:rPr>
                <w:sz w:val="20"/>
                <w:szCs w:val="20"/>
                <w:color w:val="auto"/>
              </w:rPr>
            </w:pPr>
            <w:r>
              <w:rPr>
                <w:rFonts w:ascii="Arial" w:cs="Arial" w:eastAsia="Arial" w:hAnsi="Arial"/>
                <w:sz w:val="14"/>
                <w:szCs w:val="14"/>
                <w:b w:val="1"/>
                <w:bCs w:val="1"/>
                <w:color w:val="FFFFFF"/>
              </w:rPr>
              <w:t>Local Currency (LC) - S/ millions</w:t>
            </w:r>
          </w:p>
        </w:tc>
        <w:tc>
          <w:tcPr>
            <w:tcW w:w="500" w:type="dxa"/>
            <w:vAlign w:val="bottom"/>
            <w:tcBorders>
              <w:top w:val="single" w:sz="8" w:color="auto"/>
              <w:right w:val="single" w:sz="8" w:color="auto"/>
            </w:tcBorders>
            <w:shd w:val="clear" w:color="auto" w:fill="2AD2C9"/>
          </w:tcPr>
          <w:p>
            <w:pPr>
              <w:spacing w:after="0"/>
              <w:rPr>
                <w:sz w:val="13"/>
                <w:szCs w:val="13"/>
                <w:color w:val="auto"/>
              </w:rPr>
            </w:pPr>
          </w:p>
        </w:tc>
        <w:tc>
          <w:tcPr>
            <w:tcW w:w="400" w:type="dxa"/>
            <w:vAlign w:val="bottom"/>
            <w:tcBorders>
              <w:top w:val="single" w:sz="8" w:color="auto"/>
            </w:tcBorders>
            <w:shd w:val="clear" w:color="auto" w:fill="2AD2C9"/>
          </w:tcPr>
          <w:p>
            <w:pPr>
              <w:spacing w:after="0"/>
              <w:rPr>
                <w:sz w:val="13"/>
                <w:szCs w:val="13"/>
                <w:color w:val="auto"/>
              </w:rPr>
            </w:pPr>
          </w:p>
        </w:tc>
        <w:tc>
          <w:tcPr>
            <w:tcW w:w="500" w:type="dxa"/>
            <w:vAlign w:val="bottom"/>
            <w:tcBorders>
              <w:top w:val="single" w:sz="8" w:color="auto"/>
              <w:right w:val="single" w:sz="8" w:color="auto"/>
            </w:tcBorders>
            <w:shd w:val="clear" w:color="auto" w:fill="2AD2C9"/>
          </w:tcPr>
          <w:p>
            <w:pPr>
              <w:spacing w:after="0"/>
              <w:rPr>
                <w:sz w:val="13"/>
                <w:szCs w:val="13"/>
                <w:color w:val="auto"/>
              </w:rPr>
            </w:pPr>
          </w:p>
        </w:tc>
        <w:tc>
          <w:tcPr>
            <w:tcW w:w="820" w:type="dxa"/>
            <w:vAlign w:val="bottom"/>
            <w:tcBorders>
              <w:top w:val="single" w:sz="8" w:color="auto"/>
              <w:right w:val="single" w:sz="8" w:color="auto"/>
            </w:tcBorders>
            <w:gridSpan w:val="2"/>
            <w:shd w:val="clear" w:color="auto" w:fill="2AD2C9"/>
          </w:tcPr>
          <w:p>
            <w:pPr>
              <w:jc w:val="center"/>
              <w:spacing w:after="0" w:line="158" w:lineRule="exact"/>
              <w:rPr>
                <w:sz w:val="20"/>
                <w:szCs w:val="20"/>
                <w:color w:val="auto"/>
              </w:rPr>
            </w:pPr>
            <w:r>
              <w:rPr>
                <w:rFonts w:ascii="Arial" w:cs="Arial" w:eastAsia="Arial" w:hAnsi="Arial"/>
                <w:sz w:val="14"/>
                <w:szCs w:val="14"/>
                <w:b w:val="1"/>
                <w:bCs w:val="1"/>
                <w:color w:val="FFFFFF"/>
              </w:rPr>
              <w:t>%</w:t>
            </w:r>
          </w:p>
        </w:tc>
        <w:tc>
          <w:tcPr>
            <w:tcW w:w="2520" w:type="dxa"/>
            <w:vAlign w:val="bottom"/>
            <w:tcBorders>
              <w:top w:val="single" w:sz="8" w:color="auto"/>
              <w:right w:val="single" w:sz="8" w:color="auto"/>
            </w:tcBorders>
            <w:gridSpan w:val="3"/>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rPr>
              <w:t>Foreign Currency (FC) - US$ millions</w:t>
            </w:r>
          </w:p>
        </w:tc>
        <w:tc>
          <w:tcPr>
            <w:tcW w:w="420" w:type="dxa"/>
            <w:vAlign w:val="bottom"/>
            <w:tcBorders>
              <w:top w:val="single" w:sz="8" w:color="auto"/>
            </w:tcBorders>
            <w:shd w:val="clear" w:color="auto" w:fill="2AD2C9"/>
          </w:tcPr>
          <w:p>
            <w:pPr>
              <w:spacing w:after="0"/>
              <w:rPr>
                <w:sz w:val="13"/>
                <w:szCs w:val="13"/>
                <w:color w:val="auto"/>
              </w:rPr>
            </w:pPr>
          </w:p>
        </w:tc>
        <w:tc>
          <w:tcPr>
            <w:tcW w:w="460" w:type="dxa"/>
            <w:vAlign w:val="bottom"/>
            <w:tcBorders>
              <w:top w:val="single" w:sz="8" w:color="auto"/>
              <w:right w:val="single" w:sz="8" w:color="auto"/>
            </w:tcBorders>
            <w:shd w:val="clear" w:color="auto" w:fill="2AD2C9"/>
          </w:tcPr>
          <w:p>
            <w:pPr>
              <w:spacing w:after="0"/>
              <w:rPr>
                <w:sz w:val="13"/>
                <w:szCs w:val="13"/>
                <w:color w:val="auto"/>
              </w:rPr>
            </w:pPr>
          </w:p>
        </w:tc>
        <w:tc>
          <w:tcPr>
            <w:tcW w:w="1380" w:type="dxa"/>
            <w:vAlign w:val="bottom"/>
            <w:tcBorders>
              <w:top w:val="single" w:sz="8" w:color="auto"/>
              <w:right w:val="single" w:sz="8" w:color="auto"/>
            </w:tcBorders>
            <w:gridSpan w:val="2"/>
            <w:vMerge w:val="restart"/>
            <w:shd w:val="clear" w:color="auto" w:fill="2AD2C9"/>
          </w:tcPr>
          <w:p>
            <w:pPr>
              <w:jc w:val="center"/>
              <w:spacing w:after="0"/>
              <w:rPr>
                <w:sz w:val="20"/>
                <w:szCs w:val="20"/>
                <w:color w:val="auto"/>
              </w:rPr>
            </w:pPr>
            <w:r>
              <w:rPr>
                <w:rFonts w:ascii="Arial" w:cs="Arial" w:eastAsia="Arial" w:hAnsi="Arial"/>
                <w:sz w:val="14"/>
                <w:szCs w:val="14"/>
                <w:b w:val="1"/>
                <w:bCs w:val="1"/>
                <w:color w:val="FFFFFF"/>
              </w:rPr>
              <w:t>% part. by currency</w:t>
            </w:r>
          </w:p>
        </w:tc>
        <w:tc>
          <w:tcPr>
            <w:tcW w:w="0" w:type="dxa"/>
            <w:vAlign w:val="bottom"/>
          </w:tcPr>
          <w:p>
            <w:pPr>
              <w:spacing w:after="0"/>
              <w:rPr>
                <w:sz w:val="1"/>
                <w:szCs w:val="1"/>
                <w:color w:val="auto"/>
              </w:rPr>
            </w:pPr>
          </w:p>
        </w:tc>
      </w:tr>
      <w:tr>
        <w:trPr>
          <w:trHeight w:val="143"/>
        </w:trPr>
        <w:tc>
          <w:tcPr>
            <w:tcW w:w="1520" w:type="dxa"/>
            <w:vAlign w:val="bottom"/>
            <w:tcBorders>
              <w:left w:val="single" w:sz="8" w:color="auto"/>
              <w:right w:val="single" w:sz="8" w:color="auto"/>
            </w:tcBorders>
            <w:shd w:val="clear" w:color="auto" w:fill="2AD2C9"/>
          </w:tcPr>
          <w:p>
            <w:pPr>
              <w:spacing w:after="0"/>
              <w:rPr>
                <w:sz w:val="12"/>
                <w:szCs w:val="12"/>
                <w:color w:val="auto"/>
              </w:rPr>
            </w:pPr>
          </w:p>
        </w:tc>
        <w:tc>
          <w:tcPr>
            <w:tcW w:w="2720" w:type="dxa"/>
            <w:vAlign w:val="bottom"/>
            <w:gridSpan w:val="5"/>
            <w:vMerge w:val="continue"/>
            <w:shd w:val="clear" w:color="auto" w:fill="2AD2C9"/>
          </w:tcPr>
          <w:p>
            <w:pPr>
              <w:spacing w:after="0"/>
              <w:rPr>
                <w:sz w:val="12"/>
                <w:szCs w:val="12"/>
                <w:color w:val="auto"/>
              </w:rPr>
            </w:pPr>
          </w:p>
        </w:tc>
        <w:tc>
          <w:tcPr>
            <w:tcW w:w="500" w:type="dxa"/>
            <w:vAlign w:val="bottom"/>
            <w:tcBorders>
              <w:right w:val="single" w:sz="8" w:color="auto"/>
            </w:tcBorders>
            <w:shd w:val="clear" w:color="auto" w:fill="2AD2C9"/>
          </w:tcPr>
          <w:p>
            <w:pPr>
              <w:spacing w:after="0"/>
              <w:rPr>
                <w:sz w:val="12"/>
                <w:szCs w:val="12"/>
                <w:color w:val="auto"/>
              </w:rPr>
            </w:pPr>
          </w:p>
        </w:tc>
        <w:tc>
          <w:tcPr>
            <w:tcW w:w="900" w:type="dxa"/>
            <w:vAlign w:val="bottom"/>
            <w:tcBorders>
              <w:right w:val="single" w:sz="8" w:color="auto"/>
            </w:tcBorders>
            <w:gridSpan w:val="2"/>
            <w:shd w:val="clear" w:color="auto" w:fill="2AD2C9"/>
          </w:tcPr>
          <w:p>
            <w:pPr>
              <w:jc w:val="right"/>
              <w:ind w:right="69"/>
              <w:spacing w:after="0" w:line="143" w:lineRule="exact"/>
              <w:rPr>
                <w:sz w:val="20"/>
                <w:szCs w:val="20"/>
                <w:color w:val="auto"/>
              </w:rPr>
            </w:pPr>
            <w:r>
              <w:rPr>
                <w:rFonts w:ascii="Arial" w:cs="Arial" w:eastAsia="Arial" w:hAnsi="Arial"/>
                <w:sz w:val="14"/>
                <w:szCs w:val="14"/>
                <w:b w:val="1"/>
                <w:bCs w:val="1"/>
                <w:color w:val="FFFFFF"/>
              </w:rPr>
              <w:t>% change</w:t>
            </w:r>
          </w:p>
        </w:tc>
        <w:tc>
          <w:tcPr>
            <w:tcW w:w="820" w:type="dxa"/>
            <w:vAlign w:val="bottom"/>
            <w:tcBorders>
              <w:right w:val="single" w:sz="8" w:color="auto"/>
            </w:tcBorders>
            <w:gridSpan w:val="2"/>
            <w:shd w:val="clear" w:color="auto" w:fill="2AD2C9"/>
          </w:tcPr>
          <w:p>
            <w:pPr>
              <w:jc w:val="center"/>
              <w:spacing w:after="0" w:line="143" w:lineRule="exact"/>
              <w:rPr>
                <w:sz w:val="20"/>
                <w:szCs w:val="20"/>
                <w:color w:val="auto"/>
              </w:rPr>
            </w:pPr>
            <w:r>
              <w:rPr>
                <w:rFonts w:ascii="Arial" w:cs="Arial" w:eastAsia="Arial" w:hAnsi="Arial"/>
                <w:sz w:val="14"/>
                <w:szCs w:val="14"/>
                <w:b w:val="1"/>
                <w:bCs w:val="1"/>
                <w:color w:val="FFFFFF"/>
                <w:w w:val="99"/>
              </w:rPr>
              <w:t>Structural</w:t>
            </w:r>
          </w:p>
        </w:tc>
        <w:tc>
          <w:tcPr>
            <w:tcW w:w="2520" w:type="dxa"/>
            <w:vAlign w:val="bottom"/>
            <w:tcBorders>
              <w:right w:val="single" w:sz="8" w:color="auto"/>
            </w:tcBorders>
            <w:gridSpan w:val="3"/>
            <w:vMerge w:val="continue"/>
            <w:shd w:val="clear" w:color="auto" w:fill="2AD2C9"/>
          </w:tcPr>
          <w:p>
            <w:pPr>
              <w:spacing w:after="0"/>
              <w:rPr>
                <w:sz w:val="12"/>
                <w:szCs w:val="12"/>
                <w:color w:val="auto"/>
              </w:rPr>
            </w:pPr>
          </w:p>
        </w:tc>
        <w:tc>
          <w:tcPr>
            <w:tcW w:w="880" w:type="dxa"/>
            <w:vAlign w:val="bottom"/>
            <w:tcBorders>
              <w:right w:val="single" w:sz="8" w:color="auto"/>
            </w:tcBorders>
            <w:gridSpan w:val="2"/>
            <w:shd w:val="clear" w:color="auto" w:fill="2AD2C9"/>
          </w:tcPr>
          <w:p>
            <w:pPr>
              <w:ind w:left="100"/>
              <w:spacing w:after="0" w:line="143" w:lineRule="exact"/>
              <w:rPr>
                <w:sz w:val="20"/>
                <w:szCs w:val="20"/>
                <w:color w:val="auto"/>
              </w:rPr>
            </w:pPr>
            <w:r>
              <w:rPr>
                <w:rFonts w:ascii="Arial" w:cs="Arial" w:eastAsia="Arial" w:hAnsi="Arial"/>
                <w:sz w:val="14"/>
                <w:szCs w:val="14"/>
                <w:b w:val="1"/>
                <w:bCs w:val="1"/>
                <w:color w:val="FFFFFF"/>
              </w:rPr>
              <w:t>% change</w:t>
            </w:r>
          </w:p>
        </w:tc>
        <w:tc>
          <w:tcPr>
            <w:tcW w:w="1380" w:type="dxa"/>
            <w:vAlign w:val="bottom"/>
            <w:tcBorders>
              <w:right w:val="single" w:sz="8" w:color="auto"/>
            </w:tcBorders>
            <w:gridSpan w:val="2"/>
            <w:vMerge w:val="continue"/>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520" w:type="dxa"/>
            <w:vAlign w:val="bottom"/>
            <w:tcBorders>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Total Loans</w:t>
            </w:r>
          </w:p>
        </w:tc>
        <w:tc>
          <w:tcPr>
            <w:tcW w:w="580" w:type="dxa"/>
            <w:vAlign w:val="bottom"/>
            <w:shd w:val="clear" w:color="auto" w:fill="2AD2C9"/>
          </w:tcPr>
          <w:p>
            <w:pPr>
              <w:spacing w:after="0"/>
              <w:rPr>
                <w:sz w:val="16"/>
                <w:szCs w:val="16"/>
                <w:color w:val="auto"/>
              </w:rPr>
            </w:pPr>
          </w:p>
        </w:tc>
        <w:tc>
          <w:tcPr>
            <w:tcW w:w="60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Total</w:t>
            </w:r>
          </w:p>
        </w:tc>
        <w:tc>
          <w:tcPr>
            <w:tcW w:w="560" w:type="dxa"/>
            <w:vAlign w:val="bottom"/>
            <w:shd w:val="clear" w:color="auto" w:fill="2AD2C9"/>
          </w:tcPr>
          <w:p>
            <w:pPr>
              <w:spacing w:after="0"/>
              <w:rPr>
                <w:sz w:val="16"/>
                <w:szCs w:val="16"/>
                <w:color w:val="auto"/>
              </w:rPr>
            </w:pPr>
          </w:p>
        </w:tc>
        <w:tc>
          <w:tcPr>
            <w:tcW w:w="1480" w:type="dxa"/>
            <w:vAlign w:val="bottom"/>
            <w:tcBorders>
              <w:right w:val="single" w:sz="8" w:color="auto"/>
            </w:tcBorders>
            <w:gridSpan w:val="3"/>
            <w:shd w:val="clear" w:color="auto" w:fill="2AD2C9"/>
          </w:tcPr>
          <w:p>
            <w:pPr>
              <w:ind w:left="400"/>
              <w:spacing w:after="0"/>
              <w:rPr>
                <w:sz w:val="20"/>
                <w:szCs w:val="20"/>
                <w:color w:val="auto"/>
              </w:rPr>
            </w:pPr>
            <w:r>
              <w:rPr>
                <w:rFonts w:ascii="Arial" w:cs="Arial" w:eastAsia="Arial" w:hAnsi="Arial"/>
                <w:sz w:val="14"/>
                <w:szCs w:val="14"/>
                <w:b w:val="1"/>
                <w:bCs w:val="1"/>
                <w:color w:val="FFFFFF"/>
              </w:rPr>
              <w:t>Structural</w:t>
            </w:r>
          </w:p>
        </w:tc>
        <w:tc>
          <w:tcPr>
            <w:tcW w:w="400" w:type="dxa"/>
            <w:vAlign w:val="bottom"/>
            <w:shd w:val="clear" w:color="auto" w:fill="2AD2C9"/>
          </w:tcPr>
          <w:p>
            <w:pPr>
              <w:spacing w:after="0"/>
              <w:rPr>
                <w:sz w:val="16"/>
                <w:szCs w:val="16"/>
                <w:color w:val="auto"/>
              </w:rPr>
            </w:pPr>
          </w:p>
        </w:tc>
        <w:tc>
          <w:tcPr>
            <w:tcW w:w="500" w:type="dxa"/>
            <w:vAlign w:val="bottom"/>
            <w:tcBorders>
              <w:right w:val="single" w:sz="8" w:color="auto"/>
            </w:tcBorders>
            <w:shd w:val="clear" w:color="auto" w:fill="2AD2C9"/>
          </w:tcPr>
          <w:p>
            <w:pPr>
              <w:spacing w:after="0"/>
              <w:rPr>
                <w:sz w:val="16"/>
                <w:szCs w:val="16"/>
                <w:color w:val="auto"/>
              </w:rPr>
            </w:pPr>
          </w:p>
        </w:tc>
        <w:tc>
          <w:tcPr>
            <w:tcW w:w="820" w:type="dxa"/>
            <w:vAlign w:val="bottom"/>
            <w:tcBorders>
              <w:right w:val="single" w:sz="8" w:color="auto"/>
            </w:tcBorders>
            <w:gridSpan w:val="2"/>
            <w:shd w:val="clear" w:color="auto" w:fill="2AD2C9"/>
          </w:tcPr>
          <w:p>
            <w:pPr>
              <w:jc w:val="center"/>
              <w:spacing w:after="0"/>
              <w:rPr>
                <w:sz w:val="20"/>
                <w:szCs w:val="20"/>
                <w:color w:val="auto"/>
              </w:rPr>
            </w:pPr>
            <w:r>
              <w:rPr>
                <w:rFonts w:ascii="Arial" w:cs="Arial" w:eastAsia="Arial" w:hAnsi="Arial"/>
                <w:sz w:val="14"/>
                <w:szCs w:val="14"/>
                <w:b w:val="1"/>
                <w:bCs w:val="1"/>
                <w:color w:val="FFFFFF"/>
              </w:rPr>
              <w:t>change</w:t>
            </w:r>
          </w:p>
        </w:tc>
        <w:tc>
          <w:tcPr>
            <w:tcW w:w="800" w:type="dxa"/>
            <w:vAlign w:val="bottom"/>
            <w:shd w:val="clear" w:color="auto" w:fill="2AD2C9"/>
          </w:tcPr>
          <w:p>
            <w:pPr>
              <w:spacing w:after="0"/>
              <w:rPr>
                <w:sz w:val="16"/>
                <w:szCs w:val="16"/>
                <w:color w:val="auto"/>
              </w:rPr>
            </w:pPr>
          </w:p>
        </w:tc>
        <w:tc>
          <w:tcPr>
            <w:tcW w:w="840" w:type="dxa"/>
            <w:vAlign w:val="bottom"/>
            <w:shd w:val="clear" w:color="auto" w:fill="2AD2C9"/>
          </w:tcPr>
          <w:p>
            <w:pPr>
              <w:jc w:val="center"/>
              <w:spacing w:after="0"/>
              <w:rPr>
                <w:sz w:val="20"/>
                <w:szCs w:val="20"/>
                <w:color w:val="auto"/>
              </w:rPr>
            </w:pPr>
            <w:r>
              <w:rPr>
                <w:rFonts w:ascii="Arial" w:cs="Arial" w:eastAsia="Arial" w:hAnsi="Arial"/>
                <w:sz w:val="14"/>
                <w:szCs w:val="14"/>
                <w:b w:val="1"/>
                <w:bCs w:val="1"/>
                <w:color w:val="FFFFFF"/>
              </w:rPr>
              <w:t>Total</w:t>
            </w:r>
          </w:p>
        </w:tc>
        <w:tc>
          <w:tcPr>
            <w:tcW w:w="880" w:type="dxa"/>
            <w:vAlign w:val="bottom"/>
            <w:tcBorders>
              <w:right w:val="single" w:sz="8" w:color="auto"/>
            </w:tcBorders>
            <w:shd w:val="clear" w:color="auto" w:fill="2AD2C9"/>
          </w:tcPr>
          <w:p>
            <w:pPr>
              <w:spacing w:after="0"/>
              <w:rPr>
                <w:sz w:val="16"/>
                <w:szCs w:val="16"/>
                <w:color w:val="auto"/>
              </w:rPr>
            </w:pPr>
          </w:p>
        </w:tc>
        <w:tc>
          <w:tcPr>
            <w:tcW w:w="420" w:type="dxa"/>
            <w:vAlign w:val="bottom"/>
            <w:shd w:val="clear" w:color="auto" w:fill="2AD2C9"/>
          </w:tcPr>
          <w:p>
            <w:pPr>
              <w:spacing w:after="0"/>
              <w:rPr>
                <w:sz w:val="16"/>
                <w:szCs w:val="16"/>
                <w:color w:val="auto"/>
              </w:rPr>
            </w:pPr>
          </w:p>
        </w:tc>
        <w:tc>
          <w:tcPr>
            <w:tcW w:w="460" w:type="dxa"/>
            <w:vAlign w:val="bottom"/>
            <w:tcBorders>
              <w:right w:val="single" w:sz="8" w:color="auto"/>
            </w:tcBorders>
            <w:shd w:val="clear" w:color="auto" w:fill="2AD2C9"/>
          </w:tcPr>
          <w:p>
            <w:pPr>
              <w:spacing w:after="0"/>
              <w:rPr>
                <w:sz w:val="16"/>
                <w:szCs w:val="16"/>
                <w:color w:val="auto"/>
              </w:rPr>
            </w:pPr>
          </w:p>
        </w:tc>
        <w:tc>
          <w:tcPr>
            <w:tcW w:w="1380" w:type="dxa"/>
            <w:vAlign w:val="bottom"/>
            <w:tcBorders>
              <w:right w:val="single" w:sz="8" w:color="auto"/>
            </w:tcBorders>
            <w:gridSpan w:val="2"/>
            <w:shd w:val="clear" w:color="auto" w:fill="2AD2C9"/>
          </w:tcPr>
          <w:p>
            <w:pPr>
              <w:jc w:val="center"/>
              <w:spacing w:after="0"/>
              <w:rPr>
                <w:sz w:val="20"/>
                <w:szCs w:val="20"/>
                <w:color w:val="auto"/>
              </w:rPr>
            </w:pPr>
            <w:r>
              <w:rPr>
                <w:rFonts w:ascii="Arial" w:cs="Arial" w:eastAsia="Arial" w:hAnsi="Arial"/>
                <w:sz w:val="14"/>
                <w:szCs w:val="14"/>
                <w:b w:val="1"/>
                <w:bCs w:val="1"/>
                <w:color w:val="FFFFFF"/>
              </w:rPr>
              <w:t>Sep 22</w:t>
            </w:r>
          </w:p>
        </w:tc>
        <w:tc>
          <w:tcPr>
            <w:tcW w:w="0" w:type="dxa"/>
            <w:vAlign w:val="bottom"/>
          </w:tcPr>
          <w:p>
            <w:pPr>
              <w:spacing w:after="0"/>
              <w:rPr>
                <w:sz w:val="1"/>
                <w:szCs w:val="1"/>
                <w:color w:val="auto"/>
              </w:rPr>
            </w:pPr>
          </w:p>
        </w:tc>
      </w:tr>
      <w:tr>
        <w:trPr>
          <w:trHeight w:val="167"/>
        </w:trPr>
        <w:tc>
          <w:tcPr>
            <w:tcW w:w="152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580" w:type="dxa"/>
            <w:vAlign w:val="bottom"/>
            <w:tcBorders>
              <w:bottom w:val="single" w:sz="8" w:color="auto"/>
            </w:tcBorders>
            <w:shd w:val="clear" w:color="auto" w:fill="2AD2C9"/>
          </w:tcPr>
          <w:p>
            <w:pPr>
              <w:ind w:left="60"/>
              <w:spacing w:after="0"/>
              <w:rPr>
                <w:sz w:val="20"/>
                <w:szCs w:val="20"/>
                <w:color w:val="auto"/>
              </w:rPr>
            </w:pPr>
            <w:r>
              <w:rPr>
                <w:rFonts w:ascii="Arial" w:cs="Arial" w:eastAsia="Arial" w:hAnsi="Arial"/>
                <w:sz w:val="14"/>
                <w:szCs w:val="14"/>
                <w:b w:val="1"/>
                <w:bCs w:val="1"/>
                <w:color w:val="FFFFFF"/>
              </w:rPr>
              <w:t>Sep 21</w:t>
            </w:r>
          </w:p>
        </w:tc>
        <w:tc>
          <w:tcPr>
            <w:tcW w:w="6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Jun-22</w:t>
            </w:r>
          </w:p>
        </w:tc>
        <w:tc>
          <w:tcPr>
            <w:tcW w:w="2040" w:type="dxa"/>
            <w:vAlign w:val="bottom"/>
            <w:tcBorders>
              <w:bottom w:val="single" w:sz="8" w:color="auto"/>
              <w:right w:val="single" w:sz="8" w:color="auto"/>
            </w:tcBorders>
            <w:gridSpan w:val="4"/>
            <w:shd w:val="clear" w:color="auto" w:fill="2AD2C9"/>
          </w:tcPr>
          <w:p>
            <w:pPr>
              <w:ind w:left="60"/>
              <w:spacing w:after="0"/>
              <w:rPr>
                <w:sz w:val="20"/>
                <w:szCs w:val="20"/>
                <w:color w:val="auto"/>
              </w:rPr>
            </w:pPr>
            <w:r>
              <w:rPr>
                <w:rFonts w:ascii="Arial" w:cs="Arial" w:eastAsia="Arial" w:hAnsi="Arial"/>
                <w:sz w:val="14"/>
                <w:szCs w:val="14"/>
                <w:b w:val="1"/>
                <w:bCs w:val="1"/>
                <w:color w:val="FFFFFF"/>
              </w:rPr>
              <w:t>Sep 22 Sep 21Jun-22Sep 22</w:t>
            </w:r>
          </w:p>
        </w:tc>
        <w:tc>
          <w:tcPr>
            <w:tcW w:w="400" w:type="dxa"/>
            <w:vAlign w:val="bottom"/>
            <w:tcBorders>
              <w:bottom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QoQ</w:t>
            </w:r>
          </w:p>
        </w:tc>
        <w:tc>
          <w:tcPr>
            <w:tcW w:w="500" w:type="dxa"/>
            <w:vAlign w:val="bottom"/>
            <w:tcBorders>
              <w:bottom w:val="single" w:sz="8" w:color="auto"/>
              <w:right w:val="single" w:sz="8" w:color="auto"/>
            </w:tcBorders>
            <w:shd w:val="clear" w:color="auto" w:fill="2AD2C9"/>
          </w:tcPr>
          <w:p>
            <w:pPr>
              <w:jc w:val="right"/>
              <w:ind w:right="69"/>
              <w:spacing w:after="0"/>
              <w:rPr>
                <w:sz w:val="20"/>
                <w:szCs w:val="20"/>
                <w:color w:val="auto"/>
              </w:rPr>
            </w:pPr>
            <w:r>
              <w:rPr>
                <w:rFonts w:ascii="Arial" w:cs="Arial" w:eastAsia="Arial" w:hAnsi="Arial"/>
                <w:sz w:val="14"/>
                <w:szCs w:val="14"/>
                <w:b w:val="1"/>
                <w:bCs w:val="1"/>
                <w:color w:val="FFFFFF"/>
              </w:rPr>
              <w:t>YoY</w:t>
            </w:r>
          </w:p>
        </w:tc>
        <w:tc>
          <w:tcPr>
            <w:tcW w:w="360" w:type="dxa"/>
            <w:vAlign w:val="bottom"/>
            <w:tcBorders>
              <w:bottom w:val="single" w:sz="8" w:color="auto"/>
            </w:tcBorders>
            <w:shd w:val="clear" w:color="auto" w:fill="2AD2C9"/>
          </w:tcPr>
          <w:p>
            <w:pPr>
              <w:jc w:val="right"/>
              <w:spacing w:after="0"/>
              <w:rPr>
                <w:sz w:val="20"/>
                <w:szCs w:val="20"/>
                <w:color w:val="auto"/>
              </w:rPr>
            </w:pPr>
            <w:r>
              <w:rPr>
                <w:rFonts w:ascii="Arial" w:cs="Arial" w:eastAsia="Arial" w:hAnsi="Arial"/>
                <w:sz w:val="14"/>
                <w:szCs w:val="14"/>
                <w:b w:val="1"/>
                <w:bCs w:val="1"/>
                <w:color w:val="FFFFFF"/>
              </w:rPr>
              <w:t>QoQ</w:t>
            </w:r>
          </w:p>
        </w:tc>
        <w:tc>
          <w:tcPr>
            <w:tcW w:w="460" w:type="dxa"/>
            <w:vAlign w:val="bottom"/>
            <w:tcBorders>
              <w:bottom w:val="single" w:sz="8" w:color="auto"/>
              <w:right w:val="single" w:sz="8" w:color="auto"/>
            </w:tcBorders>
            <w:shd w:val="clear" w:color="auto" w:fill="2AD2C9"/>
          </w:tcPr>
          <w:p>
            <w:pPr>
              <w:jc w:val="right"/>
              <w:ind w:right="29"/>
              <w:spacing w:after="0"/>
              <w:rPr>
                <w:sz w:val="20"/>
                <w:szCs w:val="20"/>
                <w:color w:val="auto"/>
              </w:rPr>
            </w:pPr>
            <w:r>
              <w:rPr>
                <w:rFonts w:ascii="Arial" w:cs="Arial" w:eastAsia="Arial" w:hAnsi="Arial"/>
                <w:sz w:val="14"/>
                <w:szCs w:val="14"/>
                <w:b w:val="1"/>
                <w:bCs w:val="1"/>
                <w:color w:val="FFFFFF"/>
              </w:rPr>
              <w:t>YoY</w:t>
            </w:r>
          </w:p>
        </w:tc>
        <w:tc>
          <w:tcPr>
            <w:tcW w:w="80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4"/>
                <w:szCs w:val="14"/>
                <w:b w:val="1"/>
                <w:bCs w:val="1"/>
                <w:color w:val="FFFFFF"/>
              </w:rPr>
              <w:t>Sep 21</w:t>
            </w:r>
          </w:p>
        </w:tc>
        <w:tc>
          <w:tcPr>
            <w:tcW w:w="84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4"/>
                <w:szCs w:val="14"/>
                <w:b w:val="1"/>
                <w:bCs w:val="1"/>
                <w:color w:val="FFFFFF"/>
              </w:rPr>
              <w:t>Jun-22</w:t>
            </w:r>
          </w:p>
        </w:tc>
        <w:tc>
          <w:tcPr>
            <w:tcW w:w="88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4"/>
                <w:szCs w:val="14"/>
                <w:b w:val="1"/>
                <w:bCs w:val="1"/>
                <w:color w:val="FFFFFF"/>
              </w:rPr>
              <w:t>Sep 22</w:t>
            </w:r>
          </w:p>
        </w:tc>
        <w:tc>
          <w:tcPr>
            <w:tcW w:w="420" w:type="dxa"/>
            <w:vAlign w:val="bottom"/>
            <w:tcBorders>
              <w:bottom w:val="single" w:sz="8" w:color="auto"/>
            </w:tcBorders>
            <w:shd w:val="clear" w:color="auto" w:fill="2AD2C9"/>
          </w:tcPr>
          <w:p>
            <w:pPr>
              <w:ind w:left="60"/>
              <w:spacing w:after="0"/>
              <w:rPr>
                <w:sz w:val="20"/>
                <w:szCs w:val="20"/>
                <w:color w:val="auto"/>
              </w:rPr>
            </w:pPr>
            <w:r>
              <w:rPr>
                <w:rFonts w:ascii="Arial" w:cs="Arial" w:eastAsia="Arial" w:hAnsi="Arial"/>
                <w:sz w:val="14"/>
                <w:szCs w:val="14"/>
                <w:b w:val="1"/>
                <w:bCs w:val="1"/>
                <w:color w:val="FFFFFF"/>
              </w:rPr>
              <w:t>QoQ</w:t>
            </w:r>
          </w:p>
        </w:tc>
        <w:tc>
          <w:tcPr>
            <w:tcW w:w="460" w:type="dxa"/>
            <w:vAlign w:val="bottom"/>
            <w:tcBorders>
              <w:bottom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4"/>
                <w:szCs w:val="14"/>
                <w:b w:val="1"/>
                <w:bCs w:val="1"/>
                <w:color w:val="FFFFFF"/>
              </w:rPr>
              <w:t>YoY</w:t>
            </w:r>
          </w:p>
        </w:tc>
        <w:tc>
          <w:tcPr>
            <w:tcW w:w="740" w:type="dxa"/>
            <w:vAlign w:val="bottom"/>
            <w:tcBorders>
              <w:bottom w:val="single" w:sz="8" w:color="auto"/>
            </w:tcBorders>
            <w:shd w:val="clear" w:color="auto" w:fill="2AD2C9"/>
          </w:tcPr>
          <w:p>
            <w:pPr>
              <w:jc w:val="center"/>
              <w:ind w:left="49"/>
              <w:spacing w:after="0"/>
              <w:rPr>
                <w:sz w:val="20"/>
                <w:szCs w:val="20"/>
                <w:color w:val="auto"/>
              </w:rPr>
            </w:pPr>
            <w:r>
              <w:rPr>
                <w:rFonts w:ascii="Arial" w:cs="Arial" w:eastAsia="Arial" w:hAnsi="Arial"/>
                <w:sz w:val="14"/>
                <w:szCs w:val="14"/>
                <w:b w:val="1"/>
                <w:bCs w:val="1"/>
                <w:color w:val="FFFFFF"/>
                <w:w w:val="96"/>
              </w:rPr>
              <w:t>LC</w:t>
            </w:r>
          </w:p>
        </w:tc>
        <w:tc>
          <w:tcPr>
            <w:tcW w:w="640" w:type="dxa"/>
            <w:vAlign w:val="bottom"/>
            <w:tcBorders>
              <w:bottom w:val="single" w:sz="8" w:color="auto"/>
              <w:right w:val="single" w:sz="8" w:color="auto"/>
            </w:tcBorders>
            <w:shd w:val="clear" w:color="auto" w:fill="2AD2C9"/>
          </w:tcPr>
          <w:p>
            <w:pPr>
              <w:ind w:left="280"/>
              <w:spacing w:after="0"/>
              <w:rPr>
                <w:sz w:val="20"/>
                <w:szCs w:val="20"/>
                <w:color w:val="auto"/>
              </w:rPr>
            </w:pPr>
            <w:r>
              <w:rPr>
                <w:rFonts w:ascii="Arial" w:cs="Arial" w:eastAsia="Arial" w:hAnsi="Arial"/>
                <w:sz w:val="14"/>
                <w:szCs w:val="14"/>
                <w:b w:val="1"/>
                <w:bCs w:val="1"/>
                <w:color w:val="FFFFFF"/>
              </w:rPr>
              <w:t>FC</w:t>
            </w:r>
          </w:p>
        </w:tc>
        <w:tc>
          <w:tcPr>
            <w:tcW w:w="0" w:type="dxa"/>
            <w:vAlign w:val="bottom"/>
          </w:tcPr>
          <w:p>
            <w:pPr>
              <w:spacing w:after="0"/>
              <w:rPr>
                <w:sz w:val="1"/>
                <w:szCs w:val="1"/>
                <w:color w:val="auto"/>
              </w:rPr>
            </w:pPr>
          </w:p>
        </w:tc>
      </w:tr>
      <w:tr>
        <w:trPr>
          <w:trHeight w:val="151"/>
        </w:trPr>
        <w:tc>
          <w:tcPr>
            <w:tcW w:w="15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BCP Stand-alone</w:t>
            </w:r>
          </w:p>
        </w:tc>
        <w:tc>
          <w:tcPr>
            <w:tcW w:w="5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83,442</w:t>
            </w:r>
          </w:p>
        </w:tc>
        <w:tc>
          <w:tcPr>
            <w:tcW w:w="6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85,162</w:t>
            </w:r>
          </w:p>
        </w:tc>
        <w:tc>
          <w:tcPr>
            <w:tcW w:w="5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85,871</w:t>
            </w:r>
          </w:p>
        </w:tc>
        <w:tc>
          <w:tcPr>
            <w:tcW w:w="980" w:type="dxa"/>
            <w:vAlign w:val="bottom"/>
            <w:gridSpan w:val="2"/>
          </w:tcPr>
          <w:p>
            <w:pPr>
              <w:jc w:val="right"/>
              <w:spacing w:after="0" w:line="151" w:lineRule="exact"/>
              <w:rPr>
                <w:sz w:val="20"/>
                <w:szCs w:val="20"/>
                <w:color w:val="auto"/>
              </w:rPr>
            </w:pPr>
            <w:r>
              <w:rPr>
                <w:rFonts w:ascii="Arial" w:cs="Arial" w:eastAsia="Arial" w:hAnsi="Arial"/>
                <w:sz w:val="14"/>
                <w:szCs w:val="14"/>
                <w:b w:val="1"/>
                <w:bCs w:val="1"/>
                <w:color w:val="auto"/>
              </w:rPr>
              <w:t>64,202 71,254</w:t>
            </w:r>
          </w:p>
        </w:tc>
        <w:tc>
          <w:tcPr>
            <w:tcW w:w="5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74,047</w:t>
            </w:r>
          </w:p>
        </w:tc>
        <w:tc>
          <w:tcPr>
            <w:tcW w:w="4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0.8%</w:t>
            </w:r>
          </w:p>
        </w:tc>
        <w:tc>
          <w:tcPr>
            <w:tcW w:w="5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2.9%</w:t>
            </w:r>
          </w:p>
        </w:tc>
        <w:tc>
          <w:tcPr>
            <w:tcW w:w="360" w:type="dxa"/>
            <w:vAlign w:val="bottom"/>
          </w:tcPr>
          <w:p>
            <w:pPr>
              <w:jc w:val="right"/>
              <w:spacing w:after="0" w:line="151" w:lineRule="exact"/>
              <w:rPr>
                <w:sz w:val="20"/>
                <w:szCs w:val="20"/>
                <w:color w:val="auto"/>
              </w:rPr>
            </w:pPr>
            <w:r>
              <w:rPr>
                <w:rFonts w:ascii="Arial" w:cs="Arial" w:eastAsia="Arial" w:hAnsi="Arial"/>
                <w:sz w:val="14"/>
                <w:szCs w:val="14"/>
                <w:b w:val="1"/>
                <w:bCs w:val="1"/>
                <w:color w:val="auto"/>
              </w:rPr>
              <w:t>3.9%</w:t>
            </w:r>
          </w:p>
        </w:tc>
        <w:tc>
          <w:tcPr>
            <w:tcW w:w="46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15.3%</w:t>
            </w:r>
          </w:p>
        </w:tc>
        <w:tc>
          <w:tcPr>
            <w:tcW w:w="80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9,127</w:t>
            </w:r>
          </w:p>
        </w:tc>
        <w:tc>
          <w:tcPr>
            <w:tcW w:w="84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9,278</w:t>
            </w:r>
          </w:p>
        </w:tc>
        <w:tc>
          <w:tcPr>
            <w:tcW w:w="8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6"/>
              </w:rPr>
              <w:t>9,765</w:t>
            </w:r>
          </w:p>
        </w:tc>
        <w:tc>
          <w:tcPr>
            <w:tcW w:w="4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5.2%</w:t>
            </w:r>
          </w:p>
        </w:tc>
        <w:tc>
          <w:tcPr>
            <w:tcW w:w="4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rPr>
              <w:t>7.0%</w:t>
            </w:r>
          </w:p>
        </w:tc>
        <w:tc>
          <w:tcPr>
            <w:tcW w:w="740" w:type="dxa"/>
            <w:vAlign w:val="bottom"/>
          </w:tcPr>
          <w:p>
            <w:pPr>
              <w:jc w:val="center"/>
              <w:ind w:left="49"/>
              <w:spacing w:after="0" w:line="151" w:lineRule="exact"/>
              <w:rPr>
                <w:sz w:val="20"/>
                <w:szCs w:val="20"/>
                <w:color w:val="auto"/>
              </w:rPr>
            </w:pPr>
            <w:r>
              <w:rPr>
                <w:rFonts w:ascii="Arial" w:cs="Arial" w:eastAsia="Arial" w:hAnsi="Arial"/>
                <w:sz w:val="14"/>
                <w:szCs w:val="14"/>
                <w:b w:val="1"/>
                <w:bCs w:val="1"/>
                <w:color w:val="auto"/>
              </w:rPr>
              <w:t>69.2%</w:t>
            </w:r>
          </w:p>
        </w:tc>
        <w:tc>
          <w:tcPr>
            <w:tcW w:w="640" w:type="dxa"/>
            <w:vAlign w:val="bottom"/>
            <w:tcBorders>
              <w:right w:val="single" w:sz="8" w:color="auto"/>
            </w:tcBorders>
          </w:tcPr>
          <w:p>
            <w:pPr>
              <w:jc w:val="center"/>
              <w:ind w:left="9"/>
              <w:spacing w:after="0" w:line="151" w:lineRule="exact"/>
              <w:rPr>
                <w:sz w:val="20"/>
                <w:szCs w:val="20"/>
                <w:color w:val="auto"/>
              </w:rPr>
            </w:pPr>
            <w:r>
              <w:rPr>
                <w:rFonts w:ascii="Arial" w:cs="Arial" w:eastAsia="Arial" w:hAnsi="Arial"/>
                <w:sz w:val="14"/>
                <w:szCs w:val="14"/>
                <w:b w:val="1"/>
                <w:bCs w:val="1"/>
                <w:color w:val="auto"/>
              </w:rPr>
              <w:t>30.8%</w:t>
            </w:r>
          </w:p>
        </w:tc>
        <w:tc>
          <w:tcPr>
            <w:tcW w:w="0" w:type="dxa"/>
            <w:vAlign w:val="bottom"/>
          </w:tcPr>
          <w:p>
            <w:pPr>
              <w:spacing w:after="0"/>
              <w:rPr>
                <w:sz w:val="1"/>
                <w:szCs w:val="1"/>
                <w:color w:val="auto"/>
              </w:rPr>
            </w:pPr>
          </w:p>
        </w:tc>
      </w:tr>
      <w:tr>
        <w:trPr>
          <w:trHeight w:val="170"/>
        </w:trPr>
        <w:tc>
          <w:tcPr>
            <w:tcW w:w="15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Wholesale Banking</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28,562</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28,411</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28,943</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23,779 25,424</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26,524</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1.9%</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7,165</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7,403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7,777</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5.1%</w:t>
            </w: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8.5%</w:t>
            </w:r>
          </w:p>
        </w:tc>
        <w:tc>
          <w:tcPr>
            <w:tcW w:w="740" w:type="dxa"/>
            <w:vAlign w:val="bottom"/>
          </w:tcPr>
          <w:p>
            <w:pPr>
              <w:jc w:val="center"/>
              <w:ind w:left="49"/>
              <w:spacing w:after="0"/>
              <w:rPr>
                <w:sz w:val="20"/>
                <w:szCs w:val="20"/>
                <w:color w:val="auto"/>
              </w:rPr>
            </w:pPr>
            <w:r>
              <w:rPr>
                <w:rFonts w:ascii="Arial" w:cs="Arial" w:eastAsia="Arial" w:hAnsi="Arial"/>
                <w:sz w:val="14"/>
                <w:szCs w:val="14"/>
                <w:b w:val="1"/>
                <w:bCs w:val="1"/>
                <w:color w:val="auto"/>
              </w:rPr>
              <w:t>48.7%</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51.3%</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Corporate</w:t>
            </w:r>
          </w:p>
        </w:tc>
        <w:tc>
          <w:tcPr>
            <w:tcW w:w="580" w:type="dxa"/>
            <w:vAlign w:val="bottom"/>
          </w:tcPr>
          <w:p>
            <w:pPr>
              <w:jc w:val="center"/>
              <w:spacing w:after="0"/>
              <w:rPr>
                <w:sz w:val="20"/>
                <w:szCs w:val="20"/>
                <w:color w:val="auto"/>
              </w:rPr>
            </w:pPr>
            <w:r>
              <w:rPr>
                <w:rFonts w:ascii="Arial" w:cs="Arial" w:eastAsia="Arial" w:hAnsi="Arial"/>
                <w:sz w:val="14"/>
                <w:szCs w:val="14"/>
                <w:color w:val="auto"/>
              </w:rPr>
              <w:t>14,771</w:t>
            </w:r>
          </w:p>
        </w:tc>
        <w:tc>
          <w:tcPr>
            <w:tcW w:w="600" w:type="dxa"/>
            <w:vAlign w:val="bottom"/>
          </w:tcPr>
          <w:p>
            <w:pPr>
              <w:jc w:val="center"/>
              <w:spacing w:after="0"/>
              <w:rPr>
                <w:sz w:val="20"/>
                <w:szCs w:val="20"/>
                <w:color w:val="auto"/>
              </w:rPr>
            </w:pPr>
            <w:r>
              <w:rPr>
                <w:rFonts w:ascii="Arial" w:cs="Arial" w:eastAsia="Arial" w:hAnsi="Arial"/>
                <w:sz w:val="14"/>
                <w:szCs w:val="14"/>
                <w:color w:val="auto"/>
              </w:rPr>
              <w:t>15,375</w:t>
            </w:r>
          </w:p>
        </w:tc>
        <w:tc>
          <w:tcPr>
            <w:tcW w:w="560" w:type="dxa"/>
            <w:vAlign w:val="bottom"/>
          </w:tcPr>
          <w:p>
            <w:pPr>
              <w:jc w:val="center"/>
              <w:spacing w:after="0"/>
              <w:rPr>
                <w:sz w:val="20"/>
                <w:szCs w:val="20"/>
                <w:color w:val="auto"/>
              </w:rPr>
            </w:pPr>
            <w:r>
              <w:rPr>
                <w:rFonts w:ascii="Arial" w:cs="Arial" w:eastAsia="Arial" w:hAnsi="Arial"/>
                <w:sz w:val="14"/>
                <w:szCs w:val="14"/>
                <w:color w:val="auto"/>
              </w:rPr>
              <w:t>16,303</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14,276 15,039</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16,029</w:t>
            </w:r>
          </w:p>
        </w:tc>
        <w:tc>
          <w:tcPr>
            <w:tcW w:w="40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6.0%</w:t>
            </w:r>
          </w:p>
        </w:tc>
        <w:tc>
          <w:tcPr>
            <w:tcW w:w="50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10.4%</w:t>
            </w:r>
          </w:p>
        </w:tc>
        <w:tc>
          <w:tcPr>
            <w:tcW w:w="360" w:type="dxa"/>
            <w:vAlign w:val="bottom"/>
            <w:shd w:val="clear" w:color="auto" w:fill="26D07C"/>
          </w:tcPr>
          <w:p>
            <w:pPr>
              <w:jc w:val="right"/>
              <w:spacing w:after="0"/>
              <w:rPr>
                <w:sz w:val="20"/>
                <w:szCs w:val="20"/>
                <w:color w:val="auto"/>
              </w:rPr>
            </w:pPr>
            <w:r>
              <w:rPr>
                <w:rFonts w:ascii="Arial" w:cs="Arial" w:eastAsia="Arial" w:hAnsi="Arial"/>
                <w:sz w:val="14"/>
                <w:szCs w:val="14"/>
                <w:color w:val="auto"/>
              </w:rPr>
              <w:t>6.6%</w:t>
            </w:r>
          </w:p>
        </w:tc>
        <w:tc>
          <w:tcPr>
            <w:tcW w:w="460" w:type="dxa"/>
            <w:vAlign w:val="bottom"/>
            <w:tcBorders>
              <w:right w:val="single" w:sz="8" w:color="auto"/>
            </w:tcBorders>
            <w:shd w:val="clear" w:color="auto" w:fill="26D07C"/>
          </w:tcPr>
          <w:p>
            <w:pPr>
              <w:jc w:val="right"/>
              <w:spacing w:after="0"/>
              <w:rPr>
                <w:sz w:val="20"/>
                <w:szCs w:val="20"/>
                <w:color w:val="auto"/>
              </w:rPr>
            </w:pPr>
            <w:r>
              <w:rPr>
                <w:rFonts w:ascii="Arial" w:cs="Arial" w:eastAsia="Arial" w:hAnsi="Arial"/>
                <w:sz w:val="14"/>
                <w:szCs w:val="14"/>
                <w:color w:val="auto"/>
              </w:rPr>
              <w:t>12.3%</w:t>
            </w:r>
          </w:p>
        </w:tc>
        <w:tc>
          <w:tcPr>
            <w:tcW w:w="800" w:type="dxa"/>
            <w:vAlign w:val="bottom"/>
          </w:tcPr>
          <w:p>
            <w:pPr>
              <w:jc w:val="center"/>
              <w:spacing w:after="0"/>
              <w:rPr>
                <w:sz w:val="20"/>
                <w:szCs w:val="20"/>
                <w:color w:val="auto"/>
              </w:rPr>
            </w:pPr>
            <w:r>
              <w:rPr>
                <w:rFonts w:ascii="Arial" w:cs="Arial" w:eastAsia="Arial" w:hAnsi="Arial"/>
                <w:sz w:val="14"/>
                <w:szCs w:val="14"/>
                <w:color w:val="auto"/>
              </w:rPr>
              <w:t>4,367</w:t>
            </w:r>
          </w:p>
        </w:tc>
        <w:tc>
          <w:tcPr>
            <w:tcW w:w="840" w:type="dxa"/>
            <w:vAlign w:val="bottom"/>
          </w:tcPr>
          <w:p>
            <w:pPr>
              <w:jc w:val="center"/>
              <w:spacing w:after="0"/>
              <w:rPr>
                <w:sz w:val="20"/>
                <w:szCs w:val="20"/>
                <w:color w:val="auto"/>
              </w:rPr>
            </w:pPr>
            <w:r>
              <w:rPr>
                <w:rFonts w:ascii="Arial" w:cs="Arial" w:eastAsia="Arial" w:hAnsi="Arial"/>
                <w:sz w:val="14"/>
                <w:szCs w:val="14"/>
                <w:color w:val="auto"/>
              </w:rPr>
              <w:t>4,505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4,767</w:t>
            </w:r>
          </w:p>
        </w:tc>
        <w:tc>
          <w:tcPr>
            <w:tcW w:w="42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5.8%</w:t>
            </w:r>
          </w:p>
        </w:tc>
        <w:tc>
          <w:tcPr>
            <w:tcW w:w="46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9.1%</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rPr>
              <w:t>46.6%</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Middle-Market</w:t>
            </w:r>
          </w:p>
        </w:tc>
        <w:tc>
          <w:tcPr>
            <w:tcW w:w="580" w:type="dxa"/>
            <w:vAlign w:val="bottom"/>
          </w:tcPr>
          <w:p>
            <w:pPr>
              <w:jc w:val="center"/>
              <w:spacing w:after="0"/>
              <w:rPr>
                <w:sz w:val="20"/>
                <w:szCs w:val="20"/>
                <w:color w:val="auto"/>
              </w:rPr>
            </w:pPr>
            <w:r>
              <w:rPr>
                <w:rFonts w:ascii="Arial" w:cs="Arial" w:eastAsia="Arial" w:hAnsi="Arial"/>
                <w:sz w:val="14"/>
                <w:szCs w:val="14"/>
                <w:color w:val="auto"/>
              </w:rPr>
              <w:t>13,791</w:t>
            </w:r>
          </w:p>
        </w:tc>
        <w:tc>
          <w:tcPr>
            <w:tcW w:w="600" w:type="dxa"/>
            <w:vAlign w:val="bottom"/>
          </w:tcPr>
          <w:p>
            <w:pPr>
              <w:jc w:val="center"/>
              <w:spacing w:after="0"/>
              <w:rPr>
                <w:sz w:val="20"/>
                <w:szCs w:val="20"/>
                <w:color w:val="auto"/>
              </w:rPr>
            </w:pPr>
            <w:r>
              <w:rPr>
                <w:rFonts w:ascii="Arial" w:cs="Arial" w:eastAsia="Arial" w:hAnsi="Arial"/>
                <w:sz w:val="14"/>
                <w:szCs w:val="14"/>
                <w:color w:val="auto"/>
              </w:rPr>
              <w:t>13,036</w:t>
            </w:r>
          </w:p>
        </w:tc>
        <w:tc>
          <w:tcPr>
            <w:tcW w:w="560" w:type="dxa"/>
            <w:vAlign w:val="bottom"/>
          </w:tcPr>
          <w:p>
            <w:pPr>
              <w:jc w:val="center"/>
              <w:spacing w:after="0"/>
              <w:rPr>
                <w:sz w:val="20"/>
                <w:szCs w:val="20"/>
                <w:color w:val="auto"/>
              </w:rPr>
            </w:pPr>
            <w:r>
              <w:rPr>
                <w:rFonts w:ascii="Arial" w:cs="Arial" w:eastAsia="Arial" w:hAnsi="Arial"/>
                <w:sz w:val="14"/>
                <w:szCs w:val="14"/>
                <w:color w:val="auto"/>
              </w:rPr>
              <w:t>12,639</w:t>
            </w:r>
          </w:p>
        </w:tc>
        <w:tc>
          <w:tcPr>
            <w:tcW w:w="480" w:type="dxa"/>
            <w:vAlign w:val="bottom"/>
          </w:tcPr>
          <w:p>
            <w:pPr>
              <w:jc w:val="center"/>
              <w:ind w:left="9"/>
              <w:spacing w:after="0"/>
              <w:rPr>
                <w:sz w:val="20"/>
                <w:szCs w:val="20"/>
                <w:color w:val="auto"/>
              </w:rPr>
            </w:pPr>
            <w:r>
              <w:rPr>
                <w:rFonts w:ascii="Arial" w:cs="Arial" w:eastAsia="Arial" w:hAnsi="Arial"/>
                <w:sz w:val="14"/>
                <w:szCs w:val="14"/>
                <w:color w:val="auto"/>
              </w:rPr>
              <w:t>9,503</w:t>
            </w:r>
          </w:p>
        </w:tc>
        <w:tc>
          <w:tcPr>
            <w:tcW w:w="500" w:type="dxa"/>
            <w:vAlign w:val="bottom"/>
          </w:tcPr>
          <w:p>
            <w:pPr>
              <w:jc w:val="right"/>
              <w:spacing w:after="0"/>
              <w:rPr>
                <w:sz w:val="20"/>
                <w:szCs w:val="20"/>
                <w:color w:val="auto"/>
              </w:rPr>
            </w:pPr>
            <w:r>
              <w:rPr>
                <w:rFonts w:ascii="Arial" w:cs="Arial" w:eastAsia="Arial" w:hAnsi="Arial"/>
                <w:sz w:val="14"/>
                <w:szCs w:val="14"/>
                <w:color w:val="auto"/>
              </w:rPr>
              <w:t>10,385</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10,495</w:t>
            </w:r>
          </w:p>
        </w:tc>
        <w:tc>
          <w:tcPr>
            <w:tcW w:w="900" w:type="dxa"/>
            <w:vAlign w:val="bottom"/>
            <w:tcBorders>
              <w:right w:val="single" w:sz="8" w:color="auto"/>
            </w:tcBorders>
            <w:gridSpan w:val="2"/>
            <w:shd w:val="clear" w:color="auto" w:fill="E93CAC"/>
          </w:tcPr>
          <w:p>
            <w:pPr>
              <w:jc w:val="right"/>
              <w:ind w:right="9"/>
              <w:spacing w:after="0"/>
              <w:rPr>
                <w:sz w:val="20"/>
                <w:szCs w:val="20"/>
                <w:color w:val="auto"/>
              </w:rPr>
            </w:pPr>
            <w:r>
              <w:rPr>
                <w:rFonts w:ascii="Arial" w:cs="Arial" w:eastAsia="Arial" w:hAnsi="Arial"/>
                <w:sz w:val="14"/>
                <w:szCs w:val="14"/>
                <w:color w:val="auto"/>
              </w:rPr>
              <w:t>-3.0% -8.4%</w:t>
            </w:r>
          </w:p>
        </w:tc>
        <w:tc>
          <w:tcPr>
            <w:tcW w:w="360" w:type="dxa"/>
            <w:vAlign w:val="bottom"/>
          </w:tcPr>
          <w:p>
            <w:pPr>
              <w:jc w:val="right"/>
              <w:spacing w:after="0"/>
              <w:rPr>
                <w:sz w:val="20"/>
                <w:szCs w:val="20"/>
                <w:color w:val="auto"/>
              </w:rPr>
            </w:pPr>
            <w:r>
              <w:rPr>
                <w:rFonts w:ascii="Arial" w:cs="Arial" w:eastAsia="Arial" w:hAnsi="Arial"/>
                <w:sz w:val="14"/>
                <w:szCs w:val="14"/>
                <w:color w:val="auto"/>
              </w:rPr>
              <w:t>1.1%</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800" w:type="dxa"/>
            <w:vAlign w:val="bottom"/>
          </w:tcPr>
          <w:p>
            <w:pPr>
              <w:jc w:val="center"/>
              <w:spacing w:after="0"/>
              <w:rPr>
                <w:sz w:val="20"/>
                <w:szCs w:val="20"/>
                <w:color w:val="auto"/>
              </w:rPr>
            </w:pPr>
            <w:r>
              <w:rPr>
                <w:rFonts w:ascii="Arial" w:cs="Arial" w:eastAsia="Arial" w:hAnsi="Arial"/>
                <w:sz w:val="14"/>
                <w:szCs w:val="14"/>
                <w:color w:val="auto"/>
              </w:rPr>
              <w:t>2,798</w:t>
            </w:r>
          </w:p>
        </w:tc>
        <w:tc>
          <w:tcPr>
            <w:tcW w:w="840" w:type="dxa"/>
            <w:vAlign w:val="bottom"/>
          </w:tcPr>
          <w:p>
            <w:pPr>
              <w:jc w:val="center"/>
              <w:spacing w:after="0"/>
              <w:rPr>
                <w:sz w:val="20"/>
                <w:szCs w:val="20"/>
                <w:color w:val="auto"/>
              </w:rPr>
            </w:pPr>
            <w:r>
              <w:rPr>
                <w:rFonts w:ascii="Arial" w:cs="Arial" w:eastAsia="Arial" w:hAnsi="Arial"/>
                <w:sz w:val="14"/>
                <w:szCs w:val="14"/>
                <w:color w:val="auto"/>
              </w:rPr>
              <w:t>2,899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6"/>
              </w:rPr>
              <w:t>3,011</w:t>
            </w:r>
          </w:p>
        </w:tc>
        <w:tc>
          <w:tcPr>
            <w:tcW w:w="42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3.9%</w:t>
            </w:r>
          </w:p>
        </w:tc>
        <w:tc>
          <w:tcPr>
            <w:tcW w:w="46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7.6%</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rPr>
              <w:t>51.7%</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Retail Banking</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54,880</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56,751</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56,929</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40,423 45,830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47,523</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0.3%</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3.7%</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17.6%</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1,962</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1,875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1,988</w:t>
            </w: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6.0%</w:t>
            </w: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w:t>
            </w:r>
          </w:p>
        </w:tc>
        <w:tc>
          <w:tcPr>
            <w:tcW w:w="740" w:type="dxa"/>
            <w:vAlign w:val="bottom"/>
          </w:tcPr>
          <w:p>
            <w:pPr>
              <w:jc w:val="center"/>
              <w:ind w:left="49"/>
              <w:spacing w:after="0"/>
              <w:rPr>
                <w:sz w:val="20"/>
                <w:szCs w:val="20"/>
                <w:color w:val="auto"/>
              </w:rPr>
            </w:pPr>
            <w:r>
              <w:rPr>
                <w:rFonts w:ascii="Arial" w:cs="Arial" w:eastAsia="Arial" w:hAnsi="Arial"/>
                <w:sz w:val="14"/>
                <w:szCs w:val="14"/>
                <w:b w:val="1"/>
                <w:bCs w:val="1"/>
                <w:color w:val="auto"/>
              </w:rPr>
              <w:t>88.0%</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12.0%</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SME - Business</w:t>
            </w:r>
          </w:p>
        </w:tc>
        <w:tc>
          <w:tcPr>
            <w:tcW w:w="580" w:type="dxa"/>
            <w:vAlign w:val="bottom"/>
          </w:tcPr>
          <w:p>
            <w:pPr>
              <w:jc w:val="center"/>
              <w:spacing w:after="0"/>
              <w:rPr>
                <w:sz w:val="20"/>
                <w:szCs w:val="20"/>
                <w:color w:val="auto"/>
              </w:rPr>
            </w:pPr>
            <w:r>
              <w:rPr>
                <w:rFonts w:ascii="Arial" w:cs="Arial" w:eastAsia="Arial" w:hAnsi="Arial"/>
                <w:sz w:val="14"/>
                <w:szCs w:val="14"/>
                <w:color w:val="auto"/>
              </w:rPr>
              <w:t>8,076</w:t>
            </w:r>
          </w:p>
        </w:tc>
        <w:tc>
          <w:tcPr>
            <w:tcW w:w="600" w:type="dxa"/>
            <w:vAlign w:val="bottom"/>
          </w:tcPr>
          <w:p>
            <w:pPr>
              <w:jc w:val="center"/>
              <w:spacing w:after="0"/>
              <w:rPr>
                <w:sz w:val="20"/>
                <w:szCs w:val="20"/>
                <w:color w:val="auto"/>
              </w:rPr>
            </w:pPr>
            <w:r>
              <w:rPr>
                <w:rFonts w:ascii="Arial" w:cs="Arial" w:eastAsia="Arial" w:hAnsi="Arial"/>
                <w:sz w:val="14"/>
                <w:szCs w:val="14"/>
                <w:color w:val="auto"/>
              </w:rPr>
              <w:t>6,586</w:t>
            </w:r>
          </w:p>
        </w:tc>
        <w:tc>
          <w:tcPr>
            <w:tcW w:w="560" w:type="dxa"/>
            <w:vAlign w:val="bottom"/>
          </w:tcPr>
          <w:p>
            <w:pPr>
              <w:jc w:val="center"/>
              <w:spacing w:after="0"/>
              <w:rPr>
                <w:sz w:val="20"/>
                <w:szCs w:val="20"/>
                <w:color w:val="auto"/>
              </w:rPr>
            </w:pPr>
            <w:r>
              <w:rPr>
                <w:rFonts w:ascii="Arial" w:cs="Arial" w:eastAsia="Arial" w:hAnsi="Arial"/>
                <w:sz w:val="14"/>
                <w:szCs w:val="14"/>
                <w:color w:val="auto"/>
              </w:rPr>
              <w:t>6,100</w:t>
            </w:r>
          </w:p>
        </w:tc>
        <w:tc>
          <w:tcPr>
            <w:tcW w:w="480" w:type="dxa"/>
            <w:vAlign w:val="bottom"/>
          </w:tcPr>
          <w:p>
            <w:pPr>
              <w:jc w:val="center"/>
              <w:ind w:left="9"/>
              <w:spacing w:after="0"/>
              <w:rPr>
                <w:sz w:val="20"/>
                <w:szCs w:val="20"/>
                <w:color w:val="auto"/>
              </w:rPr>
            </w:pPr>
            <w:r>
              <w:rPr>
                <w:rFonts w:ascii="Arial" w:cs="Arial" w:eastAsia="Arial" w:hAnsi="Arial"/>
                <w:sz w:val="14"/>
                <w:szCs w:val="14"/>
                <w:color w:val="auto"/>
              </w:rPr>
              <w:t>2,199</w:t>
            </w:r>
          </w:p>
        </w:tc>
        <w:tc>
          <w:tcPr>
            <w:tcW w:w="500" w:type="dxa"/>
            <w:vAlign w:val="bottom"/>
          </w:tcPr>
          <w:p>
            <w:pPr>
              <w:jc w:val="center"/>
              <w:spacing w:after="0"/>
              <w:rPr>
                <w:sz w:val="20"/>
                <w:szCs w:val="20"/>
                <w:color w:val="auto"/>
              </w:rPr>
            </w:pPr>
            <w:r>
              <w:rPr>
                <w:rFonts w:ascii="Arial" w:cs="Arial" w:eastAsia="Arial" w:hAnsi="Arial"/>
                <w:sz w:val="14"/>
                <w:szCs w:val="14"/>
                <w:color w:val="auto"/>
              </w:rPr>
              <w:t>2,400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2,595</w:t>
            </w:r>
          </w:p>
        </w:tc>
        <w:tc>
          <w:tcPr>
            <w:tcW w:w="400" w:type="dxa"/>
            <w:vAlign w:val="bottom"/>
            <w:shd w:val="clear" w:color="auto" w:fill="E93CAC"/>
          </w:tcPr>
          <w:p>
            <w:pPr>
              <w:jc w:val="center"/>
              <w:spacing w:after="0"/>
              <w:rPr>
                <w:sz w:val="20"/>
                <w:szCs w:val="20"/>
                <w:color w:val="auto"/>
              </w:rPr>
            </w:pPr>
            <w:r>
              <w:rPr>
                <w:rFonts w:ascii="Arial" w:cs="Arial" w:eastAsia="Arial" w:hAnsi="Arial"/>
                <w:sz w:val="14"/>
                <w:szCs w:val="14"/>
                <w:color w:val="auto"/>
              </w:rPr>
              <w:t>-7.4%</w:t>
            </w:r>
          </w:p>
        </w:tc>
        <w:tc>
          <w:tcPr>
            <w:tcW w:w="50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4"/>
                <w:szCs w:val="14"/>
                <w:color w:val="auto"/>
              </w:rPr>
              <w:t>-24.5%</w:t>
            </w: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8.2% 18.0%</w:t>
            </w:r>
          </w:p>
        </w:tc>
        <w:tc>
          <w:tcPr>
            <w:tcW w:w="800" w:type="dxa"/>
            <w:vAlign w:val="bottom"/>
          </w:tcPr>
          <w:p>
            <w:pPr>
              <w:jc w:val="center"/>
              <w:spacing w:after="0"/>
              <w:rPr>
                <w:sz w:val="20"/>
                <w:szCs w:val="20"/>
                <w:color w:val="auto"/>
              </w:rPr>
            </w:pPr>
            <w:r>
              <w:rPr>
                <w:rFonts w:ascii="Arial" w:cs="Arial" w:eastAsia="Arial" w:hAnsi="Arial"/>
                <w:sz w:val="14"/>
                <w:szCs w:val="14"/>
                <w:color w:val="auto"/>
              </w:rPr>
              <w:t>815</w:t>
            </w:r>
          </w:p>
        </w:tc>
        <w:tc>
          <w:tcPr>
            <w:tcW w:w="840" w:type="dxa"/>
            <w:vAlign w:val="bottom"/>
          </w:tcPr>
          <w:p>
            <w:pPr>
              <w:jc w:val="center"/>
              <w:spacing w:after="0"/>
              <w:rPr>
                <w:sz w:val="20"/>
                <w:szCs w:val="20"/>
                <w:color w:val="auto"/>
              </w:rPr>
            </w:pPr>
            <w:r>
              <w:rPr>
                <w:rFonts w:ascii="Arial" w:cs="Arial" w:eastAsia="Arial" w:hAnsi="Arial"/>
                <w:sz w:val="14"/>
                <w:szCs w:val="14"/>
                <w:color w:val="auto"/>
              </w:rPr>
              <w:t>724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797</w:t>
            </w:r>
          </w:p>
        </w:tc>
        <w:tc>
          <w:tcPr>
            <w:tcW w:w="42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10.0%</w:t>
            </w:r>
          </w:p>
        </w:tc>
        <w:tc>
          <w:tcPr>
            <w:tcW w:w="4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4"/>
                <w:szCs w:val="14"/>
                <w:color w:val="auto"/>
                <w:w w:val="98"/>
              </w:rPr>
              <w:t>-2.3%</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rPr>
              <w:t>66.2%</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SME - Pyme</w:t>
            </w:r>
          </w:p>
        </w:tc>
        <w:tc>
          <w:tcPr>
            <w:tcW w:w="580" w:type="dxa"/>
            <w:vAlign w:val="bottom"/>
          </w:tcPr>
          <w:p>
            <w:pPr>
              <w:jc w:val="center"/>
              <w:spacing w:after="0"/>
              <w:rPr>
                <w:sz w:val="20"/>
                <w:szCs w:val="20"/>
                <w:color w:val="auto"/>
              </w:rPr>
            </w:pPr>
            <w:r>
              <w:rPr>
                <w:rFonts w:ascii="Arial" w:cs="Arial" w:eastAsia="Arial" w:hAnsi="Arial"/>
                <w:sz w:val="14"/>
                <w:szCs w:val="14"/>
                <w:color w:val="auto"/>
              </w:rPr>
              <w:t>19,441</w:t>
            </w:r>
          </w:p>
        </w:tc>
        <w:tc>
          <w:tcPr>
            <w:tcW w:w="600" w:type="dxa"/>
            <w:vAlign w:val="bottom"/>
          </w:tcPr>
          <w:p>
            <w:pPr>
              <w:jc w:val="center"/>
              <w:spacing w:after="0"/>
              <w:rPr>
                <w:sz w:val="20"/>
                <w:szCs w:val="20"/>
                <w:color w:val="auto"/>
              </w:rPr>
            </w:pPr>
            <w:r>
              <w:rPr>
                <w:rFonts w:ascii="Arial" w:cs="Arial" w:eastAsia="Arial" w:hAnsi="Arial"/>
                <w:sz w:val="14"/>
                <w:szCs w:val="14"/>
                <w:color w:val="auto"/>
              </w:rPr>
              <w:t>18,775</w:t>
            </w:r>
          </w:p>
        </w:tc>
        <w:tc>
          <w:tcPr>
            <w:tcW w:w="560" w:type="dxa"/>
            <w:vAlign w:val="bottom"/>
          </w:tcPr>
          <w:p>
            <w:pPr>
              <w:jc w:val="center"/>
              <w:spacing w:after="0"/>
              <w:rPr>
                <w:sz w:val="20"/>
                <w:szCs w:val="20"/>
                <w:color w:val="auto"/>
              </w:rPr>
            </w:pPr>
            <w:r>
              <w:rPr>
                <w:rFonts w:ascii="Arial" w:cs="Arial" w:eastAsia="Arial" w:hAnsi="Arial"/>
                <w:sz w:val="14"/>
                <w:szCs w:val="14"/>
                <w:color w:val="auto"/>
              </w:rPr>
              <w:t>18,368</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10,861 12,040</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12,467</w:t>
            </w:r>
          </w:p>
        </w:tc>
        <w:tc>
          <w:tcPr>
            <w:tcW w:w="400" w:type="dxa"/>
            <w:vAlign w:val="bottom"/>
            <w:shd w:val="clear" w:color="auto" w:fill="E93CAC"/>
          </w:tcPr>
          <w:p>
            <w:pPr>
              <w:jc w:val="center"/>
              <w:spacing w:after="0"/>
              <w:rPr>
                <w:sz w:val="20"/>
                <w:szCs w:val="20"/>
                <w:color w:val="auto"/>
              </w:rPr>
            </w:pPr>
            <w:r>
              <w:rPr>
                <w:rFonts w:ascii="Arial" w:cs="Arial" w:eastAsia="Arial" w:hAnsi="Arial"/>
                <w:sz w:val="14"/>
                <w:szCs w:val="14"/>
                <w:color w:val="auto"/>
              </w:rPr>
              <w:t>-2.2%</w:t>
            </w:r>
          </w:p>
        </w:tc>
        <w:tc>
          <w:tcPr>
            <w:tcW w:w="50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4"/>
                <w:szCs w:val="14"/>
                <w:color w:val="auto"/>
              </w:rPr>
              <w:t>-5.5%</w:t>
            </w:r>
          </w:p>
        </w:tc>
        <w:tc>
          <w:tcPr>
            <w:tcW w:w="820" w:type="dxa"/>
            <w:vAlign w:val="bottom"/>
            <w:tcBorders>
              <w:right w:val="single" w:sz="8" w:color="auto"/>
            </w:tcBorders>
            <w:gridSpan w:val="2"/>
            <w:shd w:val="clear" w:color="auto" w:fill="26D07C"/>
          </w:tcPr>
          <w:p>
            <w:pPr>
              <w:jc w:val="right"/>
              <w:spacing w:after="0"/>
              <w:rPr>
                <w:sz w:val="20"/>
                <w:szCs w:val="20"/>
                <w:color w:val="auto"/>
              </w:rPr>
            </w:pPr>
            <w:r>
              <w:rPr>
                <w:rFonts w:ascii="Arial" w:cs="Arial" w:eastAsia="Arial" w:hAnsi="Arial"/>
                <w:sz w:val="14"/>
                <w:szCs w:val="14"/>
                <w:color w:val="auto"/>
              </w:rPr>
              <w:t>3.5% 14.8%</w:t>
            </w:r>
          </w:p>
        </w:tc>
        <w:tc>
          <w:tcPr>
            <w:tcW w:w="800" w:type="dxa"/>
            <w:vAlign w:val="bottom"/>
          </w:tcPr>
          <w:p>
            <w:pPr>
              <w:jc w:val="center"/>
              <w:spacing w:after="0"/>
              <w:rPr>
                <w:sz w:val="20"/>
                <w:szCs w:val="20"/>
                <w:color w:val="auto"/>
              </w:rPr>
            </w:pPr>
            <w:r>
              <w:rPr>
                <w:rFonts w:ascii="Arial" w:cs="Arial" w:eastAsia="Arial" w:hAnsi="Arial"/>
                <w:sz w:val="14"/>
                <w:szCs w:val="14"/>
                <w:color w:val="auto"/>
              </w:rPr>
              <w:t>45</w:t>
            </w:r>
          </w:p>
        </w:tc>
        <w:tc>
          <w:tcPr>
            <w:tcW w:w="840" w:type="dxa"/>
            <w:vAlign w:val="bottom"/>
          </w:tcPr>
          <w:p>
            <w:pPr>
              <w:jc w:val="center"/>
              <w:spacing w:after="0"/>
              <w:rPr>
                <w:sz w:val="20"/>
                <w:szCs w:val="20"/>
                <w:color w:val="auto"/>
              </w:rPr>
            </w:pPr>
            <w:r>
              <w:rPr>
                <w:rFonts w:ascii="Arial" w:cs="Arial" w:eastAsia="Arial" w:hAnsi="Arial"/>
                <w:sz w:val="14"/>
                <w:szCs w:val="14"/>
                <w:color w:val="auto"/>
              </w:rPr>
              <w:t>43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9"/>
              </w:rPr>
              <w:t>43</w:t>
            </w:r>
          </w:p>
        </w:tc>
        <w:tc>
          <w:tcPr>
            <w:tcW w:w="420" w:type="dxa"/>
            <w:vAlign w:val="bottom"/>
          </w:tcPr>
          <w:p>
            <w:pPr>
              <w:jc w:val="center"/>
              <w:spacing w:after="0"/>
              <w:rPr>
                <w:sz w:val="20"/>
                <w:szCs w:val="20"/>
                <w:color w:val="auto"/>
              </w:rPr>
            </w:pPr>
            <w:r>
              <w:rPr>
                <w:rFonts w:ascii="Arial" w:cs="Arial" w:eastAsia="Arial" w:hAnsi="Arial"/>
                <w:sz w:val="14"/>
                <w:szCs w:val="14"/>
                <w:color w:val="auto"/>
              </w:rPr>
              <w:t>-0.3%</w:t>
            </w:r>
          </w:p>
        </w:tc>
        <w:tc>
          <w:tcPr>
            <w:tcW w:w="4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4"/>
                <w:szCs w:val="14"/>
                <w:color w:val="auto"/>
                <w:w w:val="98"/>
              </w:rPr>
              <w:t>-4.4%</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rPr>
              <w:t>99.1%</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Mortgage</w:t>
            </w:r>
          </w:p>
        </w:tc>
        <w:tc>
          <w:tcPr>
            <w:tcW w:w="580" w:type="dxa"/>
            <w:vAlign w:val="bottom"/>
          </w:tcPr>
          <w:p>
            <w:pPr>
              <w:jc w:val="center"/>
              <w:spacing w:after="0"/>
              <w:rPr>
                <w:sz w:val="20"/>
                <w:szCs w:val="20"/>
                <w:color w:val="auto"/>
              </w:rPr>
            </w:pPr>
            <w:r>
              <w:rPr>
                <w:rFonts w:ascii="Arial" w:cs="Arial" w:eastAsia="Arial" w:hAnsi="Arial"/>
                <w:sz w:val="14"/>
                <w:szCs w:val="14"/>
                <w:color w:val="auto"/>
              </w:rPr>
              <w:t>15,960</w:t>
            </w:r>
          </w:p>
        </w:tc>
        <w:tc>
          <w:tcPr>
            <w:tcW w:w="600" w:type="dxa"/>
            <w:vAlign w:val="bottom"/>
          </w:tcPr>
          <w:p>
            <w:pPr>
              <w:jc w:val="center"/>
              <w:spacing w:after="0"/>
              <w:rPr>
                <w:sz w:val="20"/>
                <w:szCs w:val="20"/>
                <w:color w:val="auto"/>
              </w:rPr>
            </w:pPr>
            <w:r>
              <w:rPr>
                <w:rFonts w:ascii="Arial" w:cs="Arial" w:eastAsia="Arial" w:hAnsi="Arial"/>
                <w:sz w:val="14"/>
                <w:szCs w:val="14"/>
                <w:color w:val="auto"/>
              </w:rPr>
              <w:t>17,353</w:t>
            </w:r>
          </w:p>
        </w:tc>
        <w:tc>
          <w:tcPr>
            <w:tcW w:w="560" w:type="dxa"/>
            <w:vAlign w:val="bottom"/>
          </w:tcPr>
          <w:p>
            <w:pPr>
              <w:jc w:val="center"/>
              <w:spacing w:after="0"/>
              <w:rPr>
                <w:sz w:val="20"/>
                <w:szCs w:val="20"/>
                <w:color w:val="auto"/>
              </w:rPr>
            </w:pPr>
            <w:r>
              <w:rPr>
                <w:rFonts w:ascii="Arial" w:cs="Arial" w:eastAsia="Arial" w:hAnsi="Arial"/>
                <w:sz w:val="14"/>
                <w:szCs w:val="14"/>
                <w:color w:val="auto"/>
              </w:rPr>
              <w:t>17,684</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15,960 17,353</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17,684</w:t>
            </w:r>
          </w:p>
        </w:tc>
        <w:tc>
          <w:tcPr>
            <w:tcW w:w="400" w:type="dxa"/>
            <w:vAlign w:val="bottom"/>
          </w:tcPr>
          <w:p>
            <w:pPr>
              <w:jc w:val="center"/>
              <w:spacing w:after="0"/>
              <w:rPr>
                <w:sz w:val="20"/>
                <w:szCs w:val="20"/>
                <w:color w:val="auto"/>
              </w:rPr>
            </w:pPr>
            <w:r>
              <w:rPr>
                <w:rFonts w:ascii="Arial" w:cs="Arial" w:eastAsia="Arial" w:hAnsi="Arial"/>
                <w:sz w:val="14"/>
                <w:szCs w:val="14"/>
                <w:color w:val="auto"/>
              </w:rPr>
              <w:t>1.9%</w:t>
            </w:r>
          </w:p>
        </w:tc>
        <w:tc>
          <w:tcPr>
            <w:tcW w:w="50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10.8%</w:t>
            </w:r>
          </w:p>
        </w:tc>
        <w:tc>
          <w:tcPr>
            <w:tcW w:w="820" w:type="dxa"/>
            <w:vAlign w:val="bottom"/>
            <w:tcBorders>
              <w:right w:val="single" w:sz="8" w:color="auto"/>
            </w:tcBorders>
            <w:gridSpan w:val="2"/>
          </w:tcPr>
          <w:p>
            <w:pPr>
              <w:jc w:val="right"/>
              <w:spacing w:after="0"/>
              <w:rPr>
                <w:sz w:val="20"/>
                <w:szCs w:val="20"/>
                <w:color w:val="auto"/>
              </w:rPr>
            </w:pPr>
            <w:r>
              <w:rPr>
                <w:rFonts w:ascii="Arial" w:cs="Arial" w:eastAsia="Arial" w:hAnsi="Arial"/>
                <w:sz w:val="14"/>
                <w:szCs w:val="14"/>
                <w:color w:val="auto"/>
              </w:rPr>
              <w:t>1.9% 10.8%</w:t>
            </w:r>
          </w:p>
        </w:tc>
        <w:tc>
          <w:tcPr>
            <w:tcW w:w="800" w:type="dxa"/>
            <w:vAlign w:val="bottom"/>
          </w:tcPr>
          <w:p>
            <w:pPr>
              <w:jc w:val="center"/>
              <w:spacing w:after="0"/>
              <w:rPr>
                <w:sz w:val="20"/>
                <w:szCs w:val="20"/>
                <w:color w:val="auto"/>
              </w:rPr>
            </w:pPr>
            <w:r>
              <w:rPr>
                <w:rFonts w:ascii="Arial" w:cs="Arial" w:eastAsia="Arial" w:hAnsi="Arial"/>
                <w:sz w:val="14"/>
                <w:szCs w:val="14"/>
                <w:color w:val="auto"/>
              </w:rPr>
              <w:t>532</w:t>
            </w:r>
          </w:p>
        </w:tc>
        <w:tc>
          <w:tcPr>
            <w:tcW w:w="840" w:type="dxa"/>
            <w:vAlign w:val="bottom"/>
          </w:tcPr>
          <w:p>
            <w:pPr>
              <w:jc w:val="center"/>
              <w:spacing w:after="0"/>
              <w:rPr>
                <w:sz w:val="20"/>
                <w:szCs w:val="20"/>
                <w:color w:val="auto"/>
              </w:rPr>
            </w:pPr>
            <w:r>
              <w:rPr>
                <w:rFonts w:ascii="Arial" w:cs="Arial" w:eastAsia="Arial" w:hAnsi="Arial"/>
                <w:sz w:val="14"/>
                <w:szCs w:val="14"/>
                <w:color w:val="auto"/>
              </w:rPr>
              <w:t>514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525</w:t>
            </w:r>
          </w:p>
        </w:tc>
        <w:tc>
          <w:tcPr>
            <w:tcW w:w="420" w:type="dxa"/>
            <w:vAlign w:val="bottom"/>
          </w:tcPr>
          <w:p>
            <w:pPr>
              <w:jc w:val="center"/>
              <w:spacing w:after="0"/>
              <w:rPr>
                <w:sz w:val="20"/>
                <w:szCs w:val="20"/>
                <w:color w:val="auto"/>
              </w:rPr>
            </w:pPr>
            <w:r>
              <w:rPr>
                <w:rFonts w:ascii="Arial" w:cs="Arial" w:eastAsia="Arial" w:hAnsi="Arial"/>
                <w:sz w:val="14"/>
                <w:szCs w:val="14"/>
                <w:color w:val="auto"/>
              </w:rPr>
              <w:t>2.1%</w:t>
            </w:r>
          </w:p>
        </w:tc>
        <w:tc>
          <w:tcPr>
            <w:tcW w:w="4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4"/>
                <w:szCs w:val="14"/>
                <w:color w:val="auto"/>
                <w:w w:val="98"/>
              </w:rPr>
              <w:t>-1.3%</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rPr>
              <w:t>89.6%</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Consumer</w:t>
            </w:r>
          </w:p>
        </w:tc>
        <w:tc>
          <w:tcPr>
            <w:tcW w:w="580" w:type="dxa"/>
            <w:vAlign w:val="bottom"/>
          </w:tcPr>
          <w:p>
            <w:pPr>
              <w:jc w:val="center"/>
              <w:spacing w:after="0"/>
              <w:rPr>
                <w:sz w:val="20"/>
                <w:szCs w:val="20"/>
                <w:color w:val="auto"/>
              </w:rPr>
            </w:pPr>
            <w:r>
              <w:rPr>
                <w:rFonts w:ascii="Arial" w:cs="Arial" w:eastAsia="Arial" w:hAnsi="Arial"/>
                <w:sz w:val="14"/>
                <w:szCs w:val="14"/>
                <w:color w:val="auto"/>
              </w:rPr>
              <w:t>8,469</w:t>
            </w:r>
          </w:p>
        </w:tc>
        <w:tc>
          <w:tcPr>
            <w:tcW w:w="600" w:type="dxa"/>
            <w:vAlign w:val="bottom"/>
          </w:tcPr>
          <w:p>
            <w:pPr>
              <w:jc w:val="center"/>
              <w:spacing w:after="0"/>
              <w:rPr>
                <w:sz w:val="20"/>
                <w:szCs w:val="20"/>
                <w:color w:val="auto"/>
              </w:rPr>
            </w:pPr>
            <w:r>
              <w:rPr>
                <w:rFonts w:ascii="Arial" w:cs="Arial" w:eastAsia="Arial" w:hAnsi="Arial"/>
                <w:sz w:val="14"/>
                <w:szCs w:val="14"/>
                <w:color w:val="auto"/>
              </w:rPr>
              <w:t>10,373</w:t>
            </w:r>
          </w:p>
        </w:tc>
        <w:tc>
          <w:tcPr>
            <w:tcW w:w="560" w:type="dxa"/>
            <w:vAlign w:val="bottom"/>
          </w:tcPr>
          <w:p>
            <w:pPr>
              <w:jc w:val="center"/>
              <w:spacing w:after="0"/>
              <w:rPr>
                <w:sz w:val="20"/>
                <w:szCs w:val="20"/>
                <w:color w:val="auto"/>
              </w:rPr>
            </w:pPr>
            <w:r>
              <w:rPr>
                <w:rFonts w:ascii="Arial" w:cs="Arial" w:eastAsia="Arial" w:hAnsi="Arial"/>
                <w:sz w:val="14"/>
                <w:szCs w:val="14"/>
                <w:color w:val="auto"/>
              </w:rPr>
              <w:t>10,850</w:t>
            </w:r>
          </w:p>
        </w:tc>
        <w:tc>
          <w:tcPr>
            <w:tcW w:w="480" w:type="dxa"/>
            <w:vAlign w:val="bottom"/>
          </w:tcPr>
          <w:p>
            <w:pPr>
              <w:jc w:val="center"/>
              <w:ind w:left="9"/>
              <w:spacing w:after="0"/>
              <w:rPr>
                <w:sz w:val="20"/>
                <w:szCs w:val="20"/>
                <w:color w:val="auto"/>
              </w:rPr>
            </w:pPr>
            <w:r>
              <w:rPr>
                <w:rFonts w:ascii="Arial" w:cs="Arial" w:eastAsia="Arial" w:hAnsi="Arial"/>
                <w:sz w:val="14"/>
                <w:szCs w:val="14"/>
                <w:color w:val="auto"/>
              </w:rPr>
              <w:t>8,469</w:t>
            </w:r>
          </w:p>
        </w:tc>
        <w:tc>
          <w:tcPr>
            <w:tcW w:w="500" w:type="dxa"/>
            <w:vAlign w:val="bottom"/>
          </w:tcPr>
          <w:p>
            <w:pPr>
              <w:jc w:val="right"/>
              <w:spacing w:after="0"/>
              <w:rPr>
                <w:sz w:val="20"/>
                <w:szCs w:val="20"/>
                <w:color w:val="auto"/>
              </w:rPr>
            </w:pPr>
            <w:r>
              <w:rPr>
                <w:rFonts w:ascii="Arial" w:cs="Arial" w:eastAsia="Arial" w:hAnsi="Arial"/>
                <w:sz w:val="14"/>
                <w:szCs w:val="14"/>
                <w:color w:val="auto"/>
              </w:rPr>
              <w:t>10,373</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10,850</w:t>
            </w:r>
          </w:p>
        </w:tc>
        <w:tc>
          <w:tcPr>
            <w:tcW w:w="40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4.6%</w:t>
            </w:r>
          </w:p>
        </w:tc>
        <w:tc>
          <w:tcPr>
            <w:tcW w:w="50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28.1%</w:t>
            </w:r>
          </w:p>
        </w:tc>
        <w:tc>
          <w:tcPr>
            <w:tcW w:w="820" w:type="dxa"/>
            <w:vAlign w:val="bottom"/>
            <w:tcBorders>
              <w:right w:val="single" w:sz="8" w:color="auto"/>
            </w:tcBorders>
            <w:gridSpan w:val="2"/>
            <w:shd w:val="clear" w:color="auto" w:fill="26D07C"/>
          </w:tcPr>
          <w:p>
            <w:pPr>
              <w:jc w:val="right"/>
              <w:spacing w:after="0"/>
              <w:rPr>
                <w:sz w:val="20"/>
                <w:szCs w:val="20"/>
                <w:color w:val="auto"/>
              </w:rPr>
            </w:pPr>
            <w:r>
              <w:rPr>
                <w:rFonts w:ascii="Arial" w:cs="Arial" w:eastAsia="Arial" w:hAnsi="Arial"/>
                <w:sz w:val="14"/>
                <w:szCs w:val="14"/>
                <w:color w:val="auto"/>
              </w:rPr>
              <w:t>4.6% 28.1%</w:t>
            </w:r>
          </w:p>
        </w:tc>
        <w:tc>
          <w:tcPr>
            <w:tcW w:w="800" w:type="dxa"/>
            <w:vAlign w:val="bottom"/>
          </w:tcPr>
          <w:p>
            <w:pPr>
              <w:jc w:val="center"/>
              <w:spacing w:after="0"/>
              <w:rPr>
                <w:sz w:val="20"/>
                <w:szCs w:val="20"/>
                <w:color w:val="auto"/>
              </w:rPr>
            </w:pPr>
            <w:r>
              <w:rPr>
                <w:rFonts w:ascii="Arial" w:cs="Arial" w:eastAsia="Arial" w:hAnsi="Arial"/>
                <w:sz w:val="14"/>
                <w:szCs w:val="14"/>
                <w:color w:val="auto"/>
              </w:rPr>
              <w:t>375</w:t>
            </w:r>
          </w:p>
        </w:tc>
        <w:tc>
          <w:tcPr>
            <w:tcW w:w="840" w:type="dxa"/>
            <w:vAlign w:val="bottom"/>
          </w:tcPr>
          <w:p>
            <w:pPr>
              <w:jc w:val="center"/>
              <w:spacing w:after="0"/>
              <w:rPr>
                <w:sz w:val="20"/>
                <w:szCs w:val="20"/>
                <w:color w:val="auto"/>
              </w:rPr>
            </w:pPr>
            <w:r>
              <w:rPr>
                <w:rFonts w:ascii="Arial" w:cs="Arial" w:eastAsia="Arial" w:hAnsi="Arial"/>
                <w:sz w:val="14"/>
                <w:szCs w:val="14"/>
                <w:color w:val="auto"/>
              </w:rPr>
              <w:t>390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407</w:t>
            </w:r>
          </w:p>
        </w:tc>
        <w:tc>
          <w:tcPr>
            <w:tcW w:w="42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4.6%</w:t>
            </w:r>
          </w:p>
        </w:tc>
        <w:tc>
          <w:tcPr>
            <w:tcW w:w="46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8.7%</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rPr>
              <w:t>87.2%</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Credit Card</w:t>
            </w:r>
          </w:p>
        </w:tc>
        <w:tc>
          <w:tcPr>
            <w:tcW w:w="580" w:type="dxa"/>
            <w:vAlign w:val="bottom"/>
          </w:tcPr>
          <w:p>
            <w:pPr>
              <w:jc w:val="center"/>
              <w:spacing w:after="0"/>
              <w:rPr>
                <w:sz w:val="20"/>
                <w:szCs w:val="20"/>
                <w:color w:val="auto"/>
              </w:rPr>
            </w:pPr>
            <w:r>
              <w:rPr>
                <w:rFonts w:ascii="Arial" w:cs="Arial" w:eastAsia="Arial" w:hAnsi="Arial"/>
                <w:sz w:val="14"/>
                <w:szCs w:val="14"/>
                <w:color w:val="auto"/>
              </w:rPr>
              <w:t>2,933</w:t>
            </w:r>
          </w:p>
        </w:tc>
        <w:tc>
          <w:tcPr>
            <w:tcW w:w="600" w:type="dxa"/>
            <w:vAlign w:val="bottom"/>
          </w:tcPr>
          <w:p>
            <w:pPr>
              <w:jc w:val="center"/>
              <w:spacing w:after="0"/>
              <w:rPr>
                <w:sz w:val="20"/>
                <w:szCs w:val="20"/>
                <w:color w:val="auto"/>
              </w:rPr>
            </w:pPr>
            <w:r>
              <w:rPr>
                <w:rFonts w:ascii="Arial" w:cs="Arial" w:eastAsia="Arial" w:hAnsi="Arial"/>
                <w:sz w:val="14"/>
                <w:szCs w:val="14"/>
                <w:color w:val="auto"/>
              </w:rPr>
              <w:t>3,664</w:t>
            </w:r>
          </w:p>
        </w:tc>
        <w:tc>
          <w:tcPr>
            <w:tcW w:w="560" w:type="dxa"/>
            <w:vAlign w:val="bottom"/>
          </w:tcPr>
          <w:p>
            <w:pPr>
              <w:jc w:val="center"/>
              <w:spacing w:after="0"/>
              <w:rPr>
                <w:sz w:val="20"/>
                <w:szCs w:val="20"/>
                <w:color w:val="auto"/>
              </w:rPr>
            </w:pPr>
            <w:r>
              <w:rPr>
                <w:rFonts w:ascii="Arial" w:cs="Arial" w:eastAsia="Arial" w:hAnsi="Arial"/>
                <w:sz w:val="14"/>
                <w:szCs w:val="14"/>
                <w:color w:val="auto"/>
              </w:rPr>
              <w:t>3,927</w:t>
            </w:r>
          </w:p>
        </w:tc>
        <w:tc>
          <w:tcPr>
            <w:tcW w:w="480" w:type="dxa"/>
            <w:vAlign w:val="bottom"/>
          </w:tcPr>
          <w:p>
            <w:pPr>
              <w:jc w:val="center"/>
              <w:ind w:left="9"/>
              <w:spacing w:after="0"/>
              <w:rPr>
                <w:sz w:val="20"/>
                <w:szCs w:val="20"/>
                <w:color w:val="auto"/>
              </w:rPr>
            </w:pPr>
            <w:r>
              <w:rPr>
                <w:rFonts w:ascii="Arial" w:cs="Arial" w:eastAsia="Arial" w:hAnsi="Arial"/>
                <w:sz w:val="14"/>
                <w:szCs w:val="14"/>
                <w:color w:val="auto"/>
              </w:rPr>
              <w:t>2,933</w:t>
            </w:r>
          </w:p>
        </w:tc>
        <w:tc>
          <w:tcPr>
            <w:tcW w:w="500" w:type="dxa"/>
            <w:vAlign w:val="bottom"/>
          </w:tcPr>
          <w:p>
            <w:pPr>
              <w:jc w:val="center"/>
              <w:spacing w:after="0"/>
              <w:rPr>
                <w:sz w:val="20"/>
                <w:szCs w:val="20"/>
                <w:color w:val="auto"/>
              </w:rPr>
            </w:pPr>
            <w:r>
              <w:rPr>
                <w:rFonts w:ascii="Arial" w:cs="Arial" w:eastAsia="Arial" w:hAnsi="Arial"/>
                <w:sz w:val="14"/>
                <w:szCs w:val="14"/>
                <w:color w:val="auto"/>
              </w:rPr>
              <w:t>3,664</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3,927</w:t>
            </w:r>
          </w:p>
        </w:tc>
        <w:tc>
          <w:tcPr>
            <w:tcW w:w="400" w:type="dxa"/>
            <w:vAlign w:val="bottom"/>
            <w:shd w:val="clear" w:color="auto" w:fill="26D07C"/>
          </w:tcPr>
          <w:p>
            <w:pPr>
              <w:jc w:val="center"/>
              <w:spacing w:after="0"/>
              <w:rPr>
                <w:sz w:val="20"/>
                <w:szCs w:val="20"/>
                <w:color w:val="auto"/>
              </w:rPr>
            </w:pPr>
            <w:r>
              <w:rPr>
                <w:rFonts w:ascii="Arial" w:cs="Arial" w:eastAsia="Arial" w:hAnsi="Arial"/>
                <w:sz w:val="14"/>
                <w:szCs w:val="14"/>
                <w:color w:val="auto"/>
              </w:rPr>
              <w:t>7.2%</w:t>
            </w:r>
          </w:p>
        </w:tc>
        <w:tc>
          <w:tcPr>
            <w:tcW w:w="50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rPr>
              <w:t>33.9%</w:t>
            </w:r>
          </w:p>
        </w:tc>
        <w:tc>
          <w:tcPr>
            <w:tcW w:w="360" w:type="dxa"/>
            <w:vAlign w:val="bottom"/>
          </w:tcPr>
          <w:p>
            <w:pPr>
              <w:jc w:val="right"/>
              <w:spacing w:after="0"/>
              <w:rPr>
                <w:sz w:val="20"/>
                <w:szCs w:val="20"/>
                <w:color w:val="auto"/>
              </w:rPr>
            </w:pPr>
            <w:r>
              <w:rPr>
                <w:rFonts w:ascii="Arial" w:cs="Arial" w:eastAsia="Arial" w:hAnsi="Arial"/>
                <w:sz w:val="14"/>
                <w:szCs w:val="14"/>
                <w:color w:val="auto"/>
              </w:rPr>
              <w:t>7.2%</w:t>
            </w:r>
          </w:p>
        </w:tc>
        <w:tc>
          <w:tcPr>
            <w:tcW w:w="460" w:type="dxa"/>
            <w:vAlign w:val="bottom"/>
            <w:tcBorders>
              <w:right w:val="single" w:sz="8" w:color="auto"/>
            </w:tcBorders>
            <w:shd w:val="clear" w:color="auto" w:fill="26D07C"/>
          </w:tcPr>
          <w:p>
            <w:pPr>
              <w:jc w:val="right"/>
              <w:spacing w:after="0"/>
              <w:rPr>
                <w:sz w:val="20"/>
                <w:szCs w:val="20"/>
                <w:color w:val="auto"/>
              </w:rPr>
            </w:pPr>
            <w:r>
              <w:rPr>
                <w:rFonts w:ascii="Arial" w:cs="Arial" w:eastAsia="Arial" w:hAnsi="Arial"/>
                <w:sz w:val="14"/>
                <w:szCs w:val="14"/>
                <w:color w:val="auto"/>
                <w:shd w:val="clear" w:color="auto" w:fill="26D07C"/>
              </w:rPr>
              <w:t>33.9%</w:t>
            </w:r>
          </w:p>
        </w:tc>
        <w:tc>
          <w:tcPr>
            <w:tcW w:w="800" w:type="dxa"/>
            <w:vAlign w:val="bottom"/>
          </w:tcPr>
          <w:p>
            <w:pPr>
              <w:jc w:val="center"/>
              <w:spacing w:after="0"/>
              <w:rPr>
                <w:sz w:val="20"/>
                <w:szCs w:val="20"/>
                <w:color w:val="auto"/>
              </w:rPr>
            </w:pPr>
            <w:r>
              <w:rPr>
                <w:rFonts w:ascii="Arial" w:cs="Arial" w:eastAsia="Arial" w:hAnsi="Arial"/>
                <w:sz w:val="14"/>
                <w:szCs w:val="14"/>
                <w:color w:val="auto"/>
              </w:rPr>
              <w:t>195</w:t>
            </w:r>
          </w:p>
        </w:tc>
        <w:tc>
          <w:tcPr>
            <w:tcW w:w="840" w:type="dxa"/>
            <w:vAlign w:val="bottom"/>
          </w:tcPr>
          <w:p>
            <w:pPr>
              <w:jc w:val="center"/>
              <w:spacing w:after="0"/>
              <w:rPr>
                <w:sz w:val="20"/>
                <w:szCs w:val="20"/>
                <w:color w:val="auto"/>
              </w:rPr>
            </w:pPr>
            <w:r>
              <w:rPr>
                <w:rFonts w:ascii="Arial" w:cs="Arial" w:eastAsia="Arial" w:hAnsi="Arial"/>
                <w:sz w:val="14"/>
                <w:szCs w:val="14"/>
                <w:color w:val="auto"/>
              </w:rPr>
              <w:t>203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4"/>
              </w:rPr>
              <w:t>216</w:t>
            </w:r>
          </w:p>
        </w:tc>
        <w:tc>
          <w:tcPr>
            <w:tcW w:w="420" w:type="dxa"/>
            <w:vAlign w:val="bottom"/>
          </w:tcPr>
          <w:p>
            <w:pPr>
              <w:jc w:val="center"/>
              <w:spacing w:after="0"/>
              <w:rPr>
                <w:sz w:val="20"/>
                <w:szCs w:val="20"/>
                <w:color w:val="auto"/>
              </w:rPr>
            </w:pPr>
            <w:r>
              <w:rPr>
                <w:rFonts w:ascii="Arial" w:cs="Arial" w:eastAsia="Arial" w:hAnsi="Arial"/>
                <w:sz w:val="14"/>
                <w:szCs w:val="14"/>
                <w:color w:val="auto"/>
              </w:rPr>
              <w:t>6.3%</w:t>
            </w:r>
          </w:p>
        </w:tc>
        <w:tc>
          <w:tcPr>
            <w:tcW w:w="46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color w:val="auto"/>
                <w:shd w:val="clear" w:color="auto" w:fill="26D07C"/>
              </w:rPr>
              <w:t>10.7%</w:t>
            </w:r>
          </w:p>
        </w:tc>
        <w:tc>
          <w:tcPr>
            <w:tcW w:w="740" w:type="dxa"/>
            <w:vAlign w:val="bottom"/>
          </w:tcPr>
          <w:p>
            <w:pPr>
              <w:jc w:val="center"/>
              <w:ind w:left="49"/>
              <w:spacing w:after="0"/>
              <w:rPr>
                <w:sz w:val="20"/>
                <w:szCs w:val="20"/>
                <w:color w:val="auto"/>
              </w:rPr>
            </w:pPr>
            <w:r>
              <w:rPr>
                <w:rFonts w:ascii="Arial" w:cs="Arial" w:eastAsia="Arial" w:hAnsi="Arial"/>
                <w:sz w:val="14"/>
                <w:szCs w:val="14"/>
                <w:color w:val="auto"/>
              </w:rPr>
              <w:t>82.3%</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Mibanco</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12,614</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13,696</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13,812</w:t>
            </w:r>
          </w:p>
        </w:tc>
        <w:tc>
          <w:tcPr>
            <w:tcW w:w="480" w:type="dxa"/>
            <w:vAlign w:val="bottom"/>
          </w:tcPr>
          <w:p>
            <w:pPr>
              <w:jc w:val="center"/>
              <w:ind w:left="9"/>
              <w:spacing w:after="0"/>
              <w:rPr>
                <w:sz w:val="20"/>
                <w:szCs w:val="20"/>
                <w:color w:val="auto"/>
              </w:rPr>
            </w:pPr>
            <w:r>
              <w:rPr>
                <w:rFonts w:ascii="Arial" w:cs="Arial" w:eastAsia="Arial" w:hAnsi="Arial"/>
                <w:sz w:val="14"/>
                <w:szCs w:val="14"/>
                <w:b w:val="1"/>
                <w:bCs w:val="1"/>
                <w:color w:val="auto"/>
              </w:rPr>
              <w:t>9,960</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11,837</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12,309</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0.9%</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9.5%</w:t>
            </w:r>
          </w:p>
        </w:tc>
        <w:tc>
          <w:tcPr>
            <w:tcW w:w="360" w:type="dxa"/>
            <w:vAlign w:val="bottom"/>
            <w:shd w:val="clear" w:color="auto" w:fill="26D07C"/>
          </w:tcPr>
          <w:p>
            <w:pPr>
              <w:jc w:val="right"/>
              <w:spacing w:after="0"/>
              <w:rPr>
                <w:sz w:val="20"/>
                <w:szCs w:val="20"/>
                <w:color w:val="auto"/>
              </w:rPr>
            </w:pPr>
            <w:r>
              <w:rPr>
                <w:rFonts w:ascii="Arial" w:cs="Arial" w:eastAsia="Arial" w:hAnsi="Arial"/>
                <w:sz w:val="14"/>
                <w:szCs w:val="14"/>
                <w:b w:val="1"/>
                <w:bCs w:val="1"/>
                <w:color w:val="auto"/>
              </w:rPr>
              <w:t>4.0%</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23.6%</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115</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126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121</w:t>
            </w:r>
          </w:p>
        </w:tc>
        <w:tc>
          <w:tcPr>
            <w:tcW w:w="420" w:type="dxa"/>
            <w:vAlign w:val="bottom"/>
            <w:shd w:val="clear" w:color="auto" w:fill="E93CAC"/>
          </w:tcPr>
          <w:p>
            <w:pPr>
              <w:jc w:val="center"/>
              <w:spacing w:after="0"/>
              <w:rPr>
                <w:sz w:val="20"/>
                <w:szCs w:val="20"/>
                <w:color w:val="auto"/>
              </w:rPr>
            </w:pPr>
            <w:r>
              <w:rPr>
                <w:rFonts w:ascii="Arial" w:cs="Arial" w:eastAsia="Arial" w:hAnsi="Arial"/>
                <w:sz w:val="14"/>
                <w:szCs w:val="14"/>
                <w:b w:val="1"/>
                <w:bCs w:val="1"/>
                <w:color w:val="auto"/>
              </w:rPr>
              <w:t>-3.8%</w:t>
            </w: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5.6%</w:t>
            </w:r>
          </w:p>
        </w:tc>
        <w:tc>
          <w:tcPr>
            <w:tcW w:w="740" w:type="dxa"/>
            <w:vAlign w:val="bottom"/>
          </w:tcPr>
          <w:p>
            <w:pPr>
              <w:jc w:val="center"/>
              <w:ind w:left="49"/>
              <w:spacing w:after="0"/>
              <w:rPr>
                <w:sz w:val="20"/>
                <w:szCs w:val="20"/>
                <w:color w:val="auto"/>
              </w:rPr>
            </w:pPr>
            <w:r>
              <w:rPr>
                <w:rFonts w:ascii="Arial" w:cs="Arial" w:eastAsia="Arial" w:hAnsi="Arial"/>
                <w:sz w:val="14"/>
                <w:szCs w:val="14"/>
                <w:b w:val="1"/>
                <w:bCs w:val="1"/>
                <w:color w:val="auto"/>
              </w:rPr>
              <w:t>96.7%</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Mibanco Colombia</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480" w:type="dxa"/>
            <w:vAlign w:val="bottom"/>
          </w:tcPr>
          <w:p>
            <w:pPr>
              <w:jc w:val="center"/>
              <w:ind w:left="9"/>
              <w:spacing w:after="0"/>
              <w:rPr>
                <w:sz w:val="20"/>
                <w:szCs w:val="20"/>
                <w:color w:val="auto"/>
              </w:rPr>
            </w:pPr>
            <w:r>
              <w:rPr>
                <w:rFonts w:ascii="Arial" w:cs="Arial" w:eastAsia="Arial" w:hAnsi="Arial"/>
                <w:sz w:val="14"/>
                <w:szCs w:val="14"/>
                <w:b w:val="1"/>
                <w:bCs w:val="1"/>
                <w:color w:val="auto"/>
                <w:w w:val="84"/>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4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256</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304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297</w:t>
            </w:r>
          </w:p>
        </w:tc>
        <w:tc>
          <w:tcPr>
            <w:tcW w:w="420" w:type="dxa"/>
            <w:vAlign w:val="bottom"/>
            <w:shd w:val="clear" w:color="auto" w:fill="E93CAC"/>
          </w:tcPr>
          <w:p>
            <w:pPr>
              <w:jc w:val="center"/>
              <w:spacing w:after="0"/>
              <w:rPr>
                <w:sz w:val="20"/>
                <w:szCs w:val="20"/>
                <w:color w:val="auto"/>
              </w:rPr>
            </w:pPr>
            <w:r>
              <w:rPr>
                <w:rFonts w:ascii="Arial" w:cs="Arial" w:eastAsia="Arial" w:hAnsi="Arial"/>
                <w:sz w:val="14"/>
                <w:szCs w:val="14"/>
                <w:b w:val="1"/>
                <w:bCs w:val="1"/>
                <w:color w:val="auto"/>
              </w:rPr>
              <w:t>-2.4%</w:t>
            </w:r>
          </w:p>
        </w:tc>
        <w:tc>
          <w:tcPr>
            <w:tcW w:w="460" w:type="dxa"/>
            <w:vAlign w:val="bottom"/>
            <w:tcBorders>
              <w:right w:val="single" w:sz="8" w:color="auto"/>
            </w:tcBorders>
            <w:shd w:val="clear" w:color="auto" w:fill="26D07C"/>
          </w:tcPr>
          <w:p>
            <w:pPr>
              <w:jc w:val="center"/>
              <w:spacing w:after="0"/>
              <w:rPr>
                <w:sz w:val="20"/>
                <w:szCs w:val="20"/>
                <w:color w:val="auto"/>
              </w:rPr>
            </w:pPr>
            <w:r>
              <w:rPr>
                <w:rFonts w:ascii="Arial" w:cs="Arial" w:eastAsia="Arial" w:hAnsi="Arial"/>
                <w:sz w:val="14"/>
                <w:szCs w:val="14"/>
                <w:b w:val="1"/>
                <w:bCs w:val="1"/>
                <w:color w:val="auto"/>
                <w:shd w:val="clear" w:color="auto" w:fill="26D07C"/>
              </w:rPr>
              <w:t>16.0%</w:t>
            </w:r>
          </w:p>
        </w:tc>
        <w:tc>
          <w:tcPr>
            <w:tcW w:w="740" w:type="dxa"/>
            <w:vAlign w:val="bottom"/>
          </w:tcPr>
          <w:p>
            <w:pPr>
              <w:jc w:val="center"/>
              <w:ind w:left="49"/>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1"/>
        </w:trPr>
        <w:tc>
          <w:tcPr>
            <w:tcW w:w="1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Bolivia</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560" w:type="dxa"/>
            <w:vAlign w:val="bottom"/>
          </w:tcPr>
          <w:p>
            <w:pPr>
              <w:jc w:val="right"/>
              <w:ind w:right="149"/>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center"/>
              <w:ind w:left="9"/>
              <w:spacing w:after="0"/>
              <w:rPr>
                <w:sz w:val="20"/>
                <w:szCs w:val="20"/>
                <w:color w:val="auto"/>
              </w:rPr>
            </w:pPr>
            <w:r>
              <w:rPr>
                <w:rFonts w:ascii="Arial" w:cs="Arial" w:eastAsia="Arial" w:hAnsi="Arial"/>
                <w:sz w:val="14"/>
                <w:szCs w:val="14"/>
                <w:b w:val="1"/>
                <w:bCs w:val="1"/>
                <w:color w:val="auto"/>
                <w:w w:val="84"/>
              </w:rPr>
              <w:t>-</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4"/>
              </w:rPr>
              <w:t>-</w:t>
            </w:r>
          </w:p>
        </w:tc>
        <w:tc>
          <w:tcPr>
            <w:tcW w:w="5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ind w:right="89"/>
              <w:spacing w:after="0"/>
              <w:rPr>
                <w:sz w:val="20"/>
                <w:szCs w:val="20"/>
                <w:color w:val="auto"/>
              </w:rPr>
            </w:pPr>
            <w:r>
              <w:rPr>
                <w:rFonts w:ascii="Arial" w:cs="Arial" w:eastAsia="Arial" w:hAnsi="Arial"/>
                <w:sz w:val="14"/>
                <w:szCs w:val="14"/>
                <w:b w:val="1"/>
                <w:bCs w:val="1"/>
                <w:color w:val="auto"/>
              </w:rPr>
              <w:t>-</w:t>
            </w:r>
          </w:p>
        </w:tc>
        <w:tc>
          <w:tcPr>
            <w:tcW w:w="460" w:type="dxa"/>
            <w:vAlign w:val="bottom"/>
            <w:tcBorders>
              <w:right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2,302</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2,277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2,297</w:t>
            </w:r>
          </w:p>
        </w:tc>
        <w:tc>
          <w:tcPr>
            <w:tcW w:w="420" w:type="dxa"/>
            <w:vAlign w:val="bottom"/>
            <w:shd w:val="clear" w:color="auto" w:fill="26D07C"/>
          </w:tcPr>
          <w:p>
            <w:pPr>
              <w:jc w:val="center"/>
              <w:spacing w:after="0"/>
              <w:rPr>
                <w:sz w:val="20"/>
                <w:szCs w:val="20"/>
                <w:color w:val="auto"/>
              </w:rPr>
            </w:pPr>
            <w:r>
              <w:rPr>
                <w:rFonts w:ascii="Arial" w:cs="Arial" w:eastAsia="Arial" w:hAnsi="Arial"/>
                <w:sz w:val="14"/>
                <w:szCs w:val="14"/>
                <w:b w:val="1"/>
                <w:bCs w:val="1"/>
                <w:color w:val="auto"/>
              </w:rPr>
              <w:t>0.9%</w:t>
            </w: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-0.2%</w:t>
            </w:r>
          </w:p>
        </w:tc>
        <w:tc>
          <w:tcPr>
            <w:tcW w:w="74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640" w:type="dxa"/>
            <w:vAlign w:val="bottom"/>
            <w:tcBorders>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7"/>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ASB Bank Corp.</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w:t>
            </w:r>
          </w:p>
        </w:tc>
        <w:tc>
          <w:tcPr>
            <w:tcW w:w="48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4"/>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right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520</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536</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532</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-0.7%</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2.5%</w:t>
            </w:r>
          </w:p>
        </w:tc>
        <w:tc>
          <w:tcPr>
            <w:tcW w:w="74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100.0%</w:t>
            </w:r>
          </w:p>
        </w:tc>
        <w:tc>
          <w:tcPr>
            <w:tcW w:w="0" w:type="dxa"/>
            <w:vAlign w:val="bottom"/>
          </w:tcPr>
          <w:p>
            <w:pPr>
              <w:spacing w:after="0"/>
              <w:rPr>
                <w:sz w:val="1"/>
                <w:szCs w:val="1"/>
                <w:color w:val="auto"/>
              </w:rPr>
            </w:pPr>
          </w:p>
        </w:tc>
      </w:tr>
      <w:tr>
        <w:trPr>
          <w:trHeight w:val="167"/>
        </w:trPr>
        <w:tc>
          <w:tcPr>
            <w:tcW w:w="15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Total loans</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96,056</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98,858</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99,684</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74,162 83,091</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86,356</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0.8%</w:t>
            </w:r>
          </w:p>
        </w:tc>
        <w:tc>
          <w:tcPr>
            <w:tcW w:w="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3.8%</w:t>
            </w:r>
          </w:p>
        </w:tc>
        <w:tc>
          <w:tcPr>
            <w:tcW w:w="8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3.9% 16.4%</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12,320</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12,521</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13,012</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3.9%</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5.6%</w:t>
            </w:r>
          </w:p>
        </w:tc>
        <w:tc>
          <w:tcPr>
            <w:tcW w:w="74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rPr>
              <w:t>66.2%</w:t>
            </w:r>
          </w:p>
        </w:tc>
        <w:tc>
          <w:tcPr>
            <w:tcW w:w="640" w:type="dxa"/>
            <w:vAlign w:val="bottom"/>
            <w:tcBorders>
              <w:bottom w:val="single" w:sz="8" w:color="auto"/>
              <w:right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33.8%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1425575</wp:posOffset>
            </wp:positionH>
            <wp:positionV relativeFrom="paragraph">
              <wp:posOffset>-1742440</wp:posOffset>
            </wp:positionV>
            <wp:extent cx="2095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955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-1742440</wp:posOffset>
            </wp:positionV>
            <wp:extent cx="4279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799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-1742440</wp:posOffset>
            </wp:positionV>
            <wp:extent cx="2095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955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0</wp:posOffset>
            </wp:positionV>
            <wp:extent cx="1113790" cy="1955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3790" cy="195580"/>
                    </a:xfrm>
                    <a:prstGeom prst="rect">
                      <a:avLst/>
                    </a:prstGeom>
                    <a:noFill/>
                  </pic:spPr>
                </pic:pic>
              </a:graphicData>
            </a:graphic>
          </wp:anchor>
        </w:drawing>
      </w:r>
    </w:p>
    <w:p>
      <w:pPr>
        <w:ind w:left="160" w:hanging="153"/>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Includes Work out unit, and other banking.</w:t>
      </w:r>
    </w:p>
    <w:p>
      <w:pPr>
        <w:spacing w:after="0" w:line="47" w:lineRule="exact"/>
        <w:rPr>
          <w:rFonts w:ascii="Arial" w:cs="Arial" w:eastAsia="Arial" w:hAnsi="Arial"/>
          <w:sz w:val="11"/>
          <w:szCs w:val="11"/>
          <w:color w:val="auto"/>
        </w:rPr>
      </w:pPr>
    </w:p>
    <w:p>
      <w:pPr>
        <w:ind w:left="160" w:hanging="153"/>
        <w:spacing w:after="0"/>
        <w:tabs>
          <w:tab w:leader="none" w:pos="1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Internal Management Figures.</w:t>
      </w:r>
    </w:p>
    <w:p>
      <w:pPr>
        <w:spacing w:after="0" w:line="25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At the end of September 2022, the dollarization level of structural loans increased 112bps QoQ (37.1% in September 22). This evolution was primarily driven by the uptick in FC disbursements in Wholesale Banking (whose share in FC grew 100bps QoQ) and by the variation in the exchange rate, which impacted Wholesale Banking and SME Business at BCP Stand-alone in particular. The LC portfolio grew 3.9%, led by Corporate Banking and Consumer.</w:t>
      </w:r>
    </w:p>
    <w:p>
      <w:pPr>
        <w:spacing w:after="0" w:line="20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YoY, the dollarization level of the structural portfolio dropped (-332pbs) given that growth in LC loans (+16.4%) outpaced the expansion in FC (+5.6%). The increase registered in LC was led by Consumer, SME-Pyme and Corporate Banking at BCP Stand-alone and driven by economic reactivation and moves to penetrate new segments. In FC, growth was spurred by Wholesale Banking.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of the Dollarization Level of Structural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497840</wp:posOffset>
            </wp:positionH>
            <wp:positionV relativeFrom="paragraph">
              <wp:posOffset>154940</wp:posOffset>
            </wp:positionV>
            <wp:extent cx="6155690" cy="15220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155690" cy="1522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60" w:hanging="153"/>
        <w:spacing w:after="0"/>
        <w:tabs>
          <w:tab w:leader="none" w:pos="16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FC share of Credicorp’s loan portfolio is calculated including BCP Bolivia and ASB Bank Corp., however the chart shows only the loan books of BCP Stand-alone and Mibanco.</w:t>
      </w:r>
    </w:p>
    <w:p>
      <w:pPr>
        <w:spacing w:after="0" w:line="6" w:lineRule="exact"/>
        <w:rPr>
          <w:rFonts w:ascii="Times New Roman" w:cs="Times New Roman" w:eastAsia="Times New Roman" w:hAnsi="Times New Roman"/>
          <w:sz w:val="11"/>
          <w:szCs w:val="11"/>
          <w:color w:val="auto"/>
        </w:rPr>
      </w:pPr>
    </w:p>
    <w:p>
      <w:pPr>
        <w:ind w:right="3200" w:firstLine="7"/>
        <w:spacing w:after="0" w:line="235" w:lineRule="auto"/>
        <w:tabs>
          <w:tab w:leader="none" w:pos="152"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year with the historic maximum level of dollarization for Wholesale Banking was 2012, for Mibanco was 2016, for Credit Card was in 2021 and for the rest of segments was 2009. * For dollarization figures in quarter-end period, please refer to “12. Annexes – 12.2 Loan Portfolio Quality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Evolution in Quarter-end Balances</w:t>
      </w:r>
    </w:p>
    <w:p>
      <w:pPr>
        <w:spacing w:after="0" w:line="2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Structural loans grew 2.5% QoQ in quarter-end balances. If we exclude the increase in the exchange rate, structural loans rose 1.0% QoQ, which was attributable to Wholesale Banking, Consumer and Mortgage at BCP Stand-alone and driven by the same factors as those outlined in the analysis of average daily balances. If we include the contraction in the GP portfolio in the analysis, total loans rose 0.7% QoQ (-0.7% if we isolate the exchange rate effect).</w:t>
      </w:r>
    </w:p>
    <w:p>
      <w:pPr>
        <w:spacing w:after="0" w:line="20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YoY terms, structural loans increased 10.8%. If we exclude the exchange rate effect, structural loans rose 12.4%, driven by the same segments that drove QoQ growth. If we incorporate the drop in the GP portfolio in the analysis, total loans grew 3.3% YoY.</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19" w:name="page20"/>
    <w:bookmarkEnd w:id="19"/>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Portfolio Quality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Quality of the Structural Portfolio (in Quarter-end balances)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492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Structural Portfolio quality and Delinquency ratios</w:t>
            </w:r>
          </w:p>
        </w:tc>
        <w:tc>
          <w:tcPr>
            <w:tcW w:w="1700" w:type="dxa"/>
            <w:vAlign w:val="bottom"/>
            <w:tcBorders>
              <w:top w:val="single" w:sz="8" w:color="auto"/>
            </w:tcBorders>
            <w:shd w:val="clear" w:color="auto" w:fill="2AD2C9"/>
          </w:tcPr>
          <w:p>
            <w:pPr>
              <w:spacing w:after="0"/>
              <w:rPr>
                <w:sz w:val="16"/>
                <w:szCs w:val="16"/>
                <w:color w:val="auto"/>
              </w:rPr>
            </w:pPr>
          </w:p>
        </w:tc>
        <w:tc>
          <w:tcPr>
            <w:tcW w:w="1440" w:type="dxa"/>
            <w:vAlign w:val="bottom"/>
            <w:tcBorders>
              <w:top w:val="single" w:sz="8" w:color="auto"/>
            </w:tcBorders>
            <w:shd w:val="clear" w:color="auto" w:fill="2AD2C9"/>
          </w:tcPr>
          <w:p>
            <w:pPr>
              <w:jc w:val="right"/>
              <w:ind w:right="729"/>
              <w:spacing w:after="0"/>
              <w:rPr>
                <w:sz w:val="20"/>
                <w:szCs w:val="20"/>
                <w:color w:val="auto"/>
              </w:rPr>
            </w:pPr>
            <w:r>
              <w:rPr>
                <w:rFonts w:ascii="Arial" w:cs="Arial" w:eastAsia="Arial" w:hAnsi="Arial"/>
                <w:sz w:val="14"/>
                <w:szCs w:val="14"/>
                <w:b w:val="1"/>
                <w:bCs w:val="1"/>
                <w:color w:val="FFFFFF"/>
              </w:rPr>
              <w:t>As of</w:t>
            </w:r>
          </w:p>
        </w:tc>
        <w:tc>
          <w:tcPr>
            <w:tcW w:w="1220" w:type="dxa"/>
            <w:vAlign w:val="bottom"/>
            <w:tcBorders>
              <w:top w:val="single" w:sz="8" w:color="auto"/>
              <w:right w:val="single" w:sz="8" w:color="auto"/>
            </w:tcBorders>
            <w:shd w:val="clear" w:color="auto" w:fill="2AD2C9"/>
          </w:tcPr>
          <w:p>
            <w:pPr>
              <w:spacing w:after="0"/>
              <w:rPr>
                <w:sz w:val="16"/>
                <w:szCs w:val="16"/>
                <w:color w:val="auto"/>
              </w:rPr>
            </w:pPr>
          </w:p>
        </w:tc>
        <w:tc>
          <w:tcPr>
            <w:tcW w:w="1960" w:type="dxa"/>
            <w:vAlign w:val="bottom"/>
            <w:tcBorders>
              <w:top w:val="single" w:sz="8" w:color="auto"/>
              <w:right w:val="single" w:sz="8" w:color="auto"/>
            </w:tcBorders>
            <w:gridSpan w:val="2"/>
            <w:shd w:val="clear" w:color="auto" w:fill="2AD2C9"/>
          </w:tcPr>
          <w:p>
            <w:pPr>
              <w:ind w:left="640"/>
              <w:spacing w:after="0"/>
              <w:rPr>
                <w:sz w:val="20"/>
                <w:szCs w:val="20"/>
                <w:color w:val="auto"/>
              </w:rPr>
            </w:pPr>
            <w:r>
              <w:rPr>
                <w:rFonts w:ascii="Arial" w:cs="Arial" w:eastAsia="Arial" w:hAnsi="Arial"/>
                <w:sz w:val="14"/>
                <w:szCs w:val="14"/>
                <w:b w:val="1"/>
                <w:bCs w:val="1"/>
                <w:color w:val="FFFFFF"/>
              </w:rPr>
              <w:t>% change</w:t>
            </w:r>
          </w:p>
        </w:tc>
      </w:tr>
      <w:tr>
        <w:trPr>
          <w:trHeight w:val="167"/>
        </w:trPr>
        <w:tc>
          <w:tcPr>
            <w:tcW w:w="492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S/ 000</w:t>
            </w:r>
          </w:p>
        </w:tc>
        <w:tc>
          <w:tcPr>
            <w:tcW w:w="1700" w:type="dxa"/>
            <w:vAlign w:val="bottom"/>
            <w:tcBorders>
              <w:bottom w:val="single" w:sz="8" w:color="auto"/>
            </w:tcBorders>
            <w:shd w:val="clear" w:color="auto" w:fill="2AD2C9"/>
          </w:tcPr>
          <w:p>
            <w:pPr>
              <w:jc w:val="right"/>
              <w:ind w:right="669"/>
              <w:spacing w:after="0"/>
              <w:rPr>
                <w:sz w:val="20"/>
                <w:szCs w:val="20"/>
                <w:color w:val="auto"/>
              </w:rPr>
            </w:pPr>
            <w:r>
              <w:rPr>
                <w:rFonts w:ascii="Arial" w:cs="Arial" w:eastAsia="Arial" w:hAnsi="Arial"/>
                <w:sz w:val="14"/>
                <w:szCs w:val="14"/>
                <w:b w:val="1"/>
                <w:bCs w:val="1"/>
                <w:color w:val="FFFFFF"/>
              </w:rPr>
              <w:t>Sep 21</w:t>
            </w:r>
          </w:p>
        </w:tc>
        <w:tc>
          <w:tcPr>
            <w:tcW w:w="1440" w:type="dxa"/>
            <w:vAlign w:val="bottom"/>
            <w:tcBorders>
              <w:bottom w:val="single" w:sz="8" w:color="auto"/>
            </w:tcBorders>
            <w:shd w:val="clear" w:color="auto" w:fill="2AD2C9"/>
          </w:tcPr>
          <w:p>
            <w:pPr>
              <w:jc w:val="right"/>
              <w:ind w:right="669"/>
              <w:spacing w:after="0"/>
              <w:rPr>
                <w:sz w:val="20"/>
                <w:szCs w:val="20"/>
                <w:color w:val="auto"/>
              </w:rPr>
            </w:pPr>
            <w:r>
              <w:rPr>
                <w:rFonts w:ascii="Arial" w:cs="Arial" w:eastAsia="Arial" w:hAnsi="Arial"/>
                <w:sz w:val="14"/>
                <w:szCs w:val="14"/>
                <w:b w:val="1"/>
                <w:bCs w:val="1"/>
                <w:color w:val="FFFFFF"/>
              </w:rPr>
              <w:t>Jun 22</w:t>
            </w:r>
          </w:p>
        </w:tc>
        <w:tc>
          <w:tcPr>
            <w:tcW w:w="1220" w:type="dxa"/>
            <w:vAlign w:val="bottom"/>
            <w:tcBorders>
              <w:bottom w:val="single" w:sz="8" w:color="auto"/>
              <w:right w:val="single" w:sz="8" w:color="auto"/>
            </w:tcBorders>
            <w:shd w:val="clear" w:color="auto" w:fill="2AD2C9"/>
          </w:tcPr>
          <w:p>
            <w:pPr>
              <w:jc w:val="right"/>
              <w:ind w:right="449"/>
              <w:spacing w:after="0"/>
              <w:rPr>
                <w:sz w:val="20"/>
                <w:szCs w:val="20"/>
                <w:color w:val="auto"/>
              </w:rPr>
            </w:pPr>
            <w:r>
              <w:rPr>
                <w:rFonts w:ascii="Arial" w:cs="Arial" w:eastAsia="Arial" w:hAnsi="Arial"/>
                <w:sz w:val="14"/>
                <w:szCs w:val="14"/>
                <w:b w:val="1"/>
                <w:bCs w:val="1"/>
                <w:color w:val="FFFFFF"/>
              </w:rPr>
              <w:t>Sep 22</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8"/>
              </w:rPr>
              <w:t>QoQ</w:t>
            </w:r>
          </w:p>
        </w:tc>
        <w:tc>
          <w:tcPr>
            <w:tcW w:w="10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5"/>
              </w:rPr>
              <w:t>YoY</w:t>
            </w:r>
          </w:p>
        </w:tc>
      </w:tr>
      <w:tr>
        <w:trPr>
          <w:trHeight w:val="167"/>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Structural loans (Quarter-end balance)</w:t>
            </w:r>
          </w:p>
        </w:tc>
        <w:tc>
          <w:tcPr>
            <w:tcW w:w="1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125,528,623</w:t>
            </w:r>
          </w:p>
        </w:tc>
        <w:tc>
          <w:tcPr>
            <w:tcW w:w="14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135,722,381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139,092,027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2.5%</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10.8%</w:t>
            </w:r>
          </w:p>
        </w:tc>
      </w:tr>
      <w:tr>
        <w:trPr>
          <w:trHeight w:val="167"/>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Structural Allowance for loan losses</w:t>
            </w:r>
          </w:p>
        </w:tc>
        <w:tc>
          <w:tcPr>
            <w:tcW w:w="1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8,934,930</w:t>
            </w:r>
          </w:p>
        </w:tc>
        <w:tc>
          <w:tcPr>
            <w:tcW w:w="14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8,112,356</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7,755,432</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-4.4%</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-13.2%</w:t>
            </w:r>
          </w:p>
        </w:tc>
      </w:tr>
      <w:tr>
        <w:trPr>
          <w:trHeight w:val="167"/>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Structural Write-offs</w:t>
            </w:r>
          </w:p>
        </w:tc>
        <w:tc>
          <w:tcPr>
            <w:tcW w:w="1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670,273</w:t>
            </w:r>
          </w:p>
        </w:tc>
        <w:tc>
          <w:tcPr>
            <w:tcW w:w="14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413,501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837,924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102.6%</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w:t>
            </w:r>
          </w:p>
        </w:tc>
      </w:tr>
      <w:tr>
        <w:trPr>
          <w:trHeight w:val="151"/>
        </w:trPr>
        <w:tc>
          <w:tcPr>
            <w:tcW w:w="49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color w:val="auto"/>
              </w:rPr>
              <w:t>Structural IOLs</w:t>
            </w:r>
          </w:p>
        </w:tc>
        <w:tc>
          <w:tcPr>
            <w:tcW w:w="1700" w:type="dxa"/>
            <w:vAlign w:val="bottom"/>
          </w:tcPr>
          <w:p>
            <w:pPr>
              <w:jc w:val="right"/>
              <w:ind w:right="189"/>
              <w:spacing w:after="0" w:line="151" w:lineRule="exact"/>
              <w:rPr>
                <w:sz w:val="20"/>
                <w:szCs w:val="20"/>
                <w:color w:val="auto"/>
              </w:rPr>
            </w:pPr>
            <w:r>
              <w:rPr>
                <w:rFonts w:ascii="Arial" w:cs="Arial" w:eastAsia="Arial" w:hAnsi="Arial"/>
                <w:sz w:val="14"/>
                <w:szCs w:val="14"/>
                <w:color w:val="auto"/>
              </w:rPr>
              <w:t>4,747,553</w:t>
            </w:r>
          </w:p>
        </w:tc>
        <w:tc>
          <w:tcPr>
            <w:tcW w:w="1440" w:type="dxa"/>
            <w:vAlign w:val="bottom"/>
          </w:tcPr>
          <w:p>
            <w:pPr>
              <w:jc w:val="right"/>
              <w:ind w:right="169"/>
              <w:spacing w:after="0" w:line="151" w:lineRule="exact"/>
              <w:rPr>
                <w:sz w:val="20"/>
                <w:szCs w:val="20"/>
                <w:color w:val="auto"/>
              </w:rPr>
            </w:pPr>
            <w:r>
              <w:rPr>
                <w:rFonts w:ascii="Arial" w:cs="Arial" w:eastAsia="Arial" w:hAnsi="Arial"/>
                <w:sz w:val="14"/>
                <w:szCs w:val="14"/>
                <w:color w:val="auto"/>
              </w:rPr>
              <w:t>5,163,525</w:t>
            </w:r>
          </w:p>
        </w:tc>
        <w:tc>
          <w:tcPr>
            <w:tcW w:w="122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5,037,163</w:t>
            </w:r>
          </w:p>
        </w:tc>
        <w:tc>
          <w:tcPr>
            <w:tcW w:w="900" w:type="dxa"/>
            <w:vAlign w:val="bottom"/>
          </w:tcPr>
          <w:p>
            <w:pPr>
              <w:jc w:val="center"/>
              <w:spacing w:after="0" w:line="151" w:lineRule="exact"/>
              <w:rPr>
                <w:sz w:val="20"/>
                <w:szCs w:val="20"/>
                <w:color w:val="auto"/>
              </w:rPr>
            </w:pPr>
            <w:r>
              <w:rPr>
                <w:rFonts w:ascii="Arial" w:cs="Arial" w:eastAsia="Arial" w:hAnsi="Arial"/>
                <w:sz w:val="14"/>
                <w:szCs w:val="14"/>
                <w:color w:val="auto"/>
              </w:rPr>
              <w:t>-2.4%</w:t>
            </w:r>
          </w:p>
        </w:tc>
        <w:tc>
          <w:tcPr>
            <w:tcW w:w="10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6.1%</w:t>
            </w:r>
          </w:p>
        </w:tc>
      </w:tr>
      <w:tr>
        <w:trPr>
          <w:trHeight w:val="161"/>
        </w:trPr>
        <w:tc>
          <w:tcPr>
            <w:tcW w:w="4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Structural Refinanced loans</w:t>
            </w:r>
          </w:p>
        </w:tc>
        <w:tc>
          <w:tcPr>
            <w:tcW w:w="1700" w:type="dxa"/>
            <w:vAlign w:val="bottom"/>
          </w:tcPr>
          <w:p>
            <w:pPr>
              <w:jc w:val="right"/>
              <w:ind w:right="189"/>
              <w:spacing w:after="0"/>
              <w:rPr>
                <w:sz w:val="20"/>
                <w:szCs w:val="20"/>
                <w:color w:val="auto"/>
              </w:rPr>
            </w:pPr>
            <w:r>
              <w:rPr>
                <w:rFonts w:ascii="Arial" w:cs="Arial" w:eastAsia="Arial" w:hAnsi="Arial"/>
                <w:sz w:val="14"/>
                <w:szCs w:val="14"/>
                <w:color w:val="auto"/>
              </w:rPr>
              <w:t>1,798,965</w:t>
            </w:r>
          </w:p>
        </w:tc>
        <w:tc>
          <w:tcPr>
            <w:tcW w:w="1440" w:type="dxa"/>
            <w:vAlign w:val="bottom"/>
          </w:tcPr>
          <w:p>
            <w:pPr>
              <w:jc w:val="right"/>
              <w:ind w:right="169"/>
              <w:spacing w:after="0"/>
              <w:rPr>
                <w:sz w:val="20"/>
                <w:szCs w:val="20"/>
                <w:color w:val="auto"/>
              </w:rPr>
            </w:pPr>
            <w:r>
              <w:rPr>
                <w:rFonts w:ascii="Arial" w:cs="Arial" w:eastAsia="Arial" w:hAnsi="Arial"/>
                <w:sz w:val="14"/>
                <w:szCs w:val="14"/>
                <w:color w:val="auto"/>
              </w:rPr>
              <w:t>1,686,186</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1,808,982</w:t>
            </w:r>
          </w:p>
        </w:tc>
        <w:tc>
          <w:tcPr>
            <w:tcW w:w="900" w:type="dxa"/>
            <w:vAlign w:val="bottom"/>
          </w:tcPr>
          <w:p>
            <w:pPr>
              <w:jc w:val="center"/>
              <w:spacing w:after="0"/>
              <w:rPr>
                <w:sz w:val="20"/>
                <w:szCs w:val="20"/>
                <w:color w:val="auto"/>
              </w:rPr>
            </w:pPr>
            <w:r>
              <w:rPr>
                <w:rFonts w:ascii="Arial" w:cs="Arial" w:eastAsia="Arial" w:hAnsi="Arial"/>
                <w:sz w:val="14"/>
                <w:szCs w:val="14"/>
                <w:color w:val="auto"/>
              </w:rPr>
              <w:t>7.3%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0.6%</w:t>
            </w:r>
          </w:p>
        </w:tc>
      </w:tr>
      <w:tr>
        <w:trPr>
          <w:trHeight w:val="177"/>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Structural NPLs</w:t>
            </w:r>
          </w:p>
        </w:tc>
        <w:tc>
          <w:tcPr>
            <w:tcW w:w="1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6,546,518</w:t>
            </w:r>
          </w:p>
        </w:tc>
        <w:tc>
          <w:tcPr>
            <w:tcW w:w="14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6,849,711</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6,846,145</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4.6%</w:t>
            </w:r>
          </w:p>
        </w:tc>
      </w:tr>
      <w:tr>
        <w:trPr>
          <w:trHeight w:val="151"/>
        </w:trPr>
        <w:tc>
          <w:tcPr>
            <w:tcW w:w="492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b w:val="1"/>
                <w:bCs w:val="1"/>
                <w:color w:val="auto"/>
              </w:rPr>
              <w:t>Structural IOL ratio</w:t>
            </w:r>
          </w:p>
        </w:tc>
        <w:tc>
          <w:tcPr>
            <w:tcW w:w="1700" w:type="dxa"/>
            <w:vAlign w:val="bottom"/>
          </w:tcPr>
          <w:p>
            <w:pPr>
              <w:jc w:val="right"/>
              <w:ind w:right="189"/>
              <w:spacing w:after="0" w:line="151" w:lineRule="exact"/>
              <w:rPr>
                <w:sz w:val="20"/>
                <w:szCs w:val="20"/>
                <w:color w:val="auto"/>
              </w:rPr>
            </w:pPr>
            <w:r>
              <w:rPr>
                <w:rFonts w:ascii="Arial" w:cs="Arial" w:eastAsia="Arial" w:hAnsi="Arial"/>
                <w:sz w:val="14"/>
                <w:szCs w:val="14"/>
                <w:b w:val="1"/>
                <w:bCs w:val="1"/>
                <w:color w:val="auto"/>
              </w:rPr>
              <w:t>3.78%</w:t>
            </w:r>
          </w:p>
        </w:tc>
        <w:tc>
          <w:tcPr>
            <w:tcW w:w="1440" w:type="dxa"/>
            <w:vAlign w:val="bottom"/>
          </w:tcPr>
          <w:p>
            <w:pPr>
              <w:jc w:val="right"/>
              <w:ind w:right="169"/>
              <w:spacing w:after="0" w:line="151" w:lineRule="exact"/>
              <w:rPr>
                <w:sz w:val="20"/>
                <w:szCs w:val="20"/>
                <w:color w:val="auto"/>
              </w:rPr>
            </w:pPr>
            <w:r>
              <w:rPr>
                <w:rFonts w:ascii="Arial" w:cs="Arial" w:eastAsia="Arial" w:hAnsi="Arial"/>
                <w:sz w:val="14"/>
                <w:szCs w:val="14"/>
                <w:b w:val="1"/>
                <w:bCs w:val="1"/>
                <w:color w:val="auto"/>
              </w:rPr>
              <w:t>3.80%</w:t>
            </w:r>
          </w:p>
        </w:tc>
        <w:tc>
          <w:tcPr>
            <w:tcW w:w="122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3.62%</w:t>
            </w:r>
          </w:p>
        </w:tc>
        <w:tc>
          <w:tcPr>
            <w:tcW w:w="900" w:type="dxa"/>
            <w:vAlign w:val="bottom"/>
          </w:tcPr>
          <w:p>
            <w:pPr>
              <w:jc w:val="center"/>
              <w:spacing w:after="0" w:line="151" w:lineRule="exact"/>
              <w:rPr>
                <w:sz w:val="20"/>
                <w:szCs w:val="20"/>
                <w:color w:val="auto"/>
              </w:rPr>
            </w:pPr>
            <w:r>
              <w:rPr>
                <w:rFonts w:ascii="Arial" w:cs="Arial" w:eastAsia="Arial" w:hAnsi="Arial"/>
                <w:sz w:val="14"/>
                <w:szCs w:val="14"/>
                <w:color w:val="auto"/>
              </w:rPr>
              <w:t>-18 bps</w:t>
            </w:r>
          </w:p>
        </w:tc>
        <w:tc>
          <w:tcPr>
            <w:tcW w:w="106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-16 bps</w:t>
            </w:r>
          </w:p>
        </w:tc>
      </w:tr>
      <w:tr>
        <w:trPr>
          <w:trHeight w:val="161"/>
        </w:trPr>
        <w:tc>
          <w:tcPr>
            <w:tcW w:w="4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Structural NPL ratio</w:t>
            </w:r>
          </w:p>
        </w:tc>
        <w:tc>
          <w:tcPr>
            <w:tcW w:w="1700" w:type="dxa"/>
            <w:vAlign w:val="bottom"/>
          </w:tcPr>
          <w:p>
            <w:pPr>
              <w:jc w:val="right"/>
              <w:ind w:right="189"/>
              <w:spacing w:after="0"/>
              <w:rPr>
                <w:sz w:val="20"/>
                <w:szCs w:val="20"/>
                <w:color w:val="auto"/>
              </w:rPr>
            </w:pPr>
            <w:r>
              <w:rPr>
                <w:rFonts w:ascii="Arial" w:cs="Arial" w:eastAsia="Arial" w:hAnsi="Arial"/>
                <w:sz w:val="14"/>
                <w:szCs w:val="14"/>
                <w:b w:val="1"/>
                <w:bCs w:val="1"/>
                <w:color w:val="auto"/>
              </w:rPr>
              <w:t>5.22%</w:t>
            </w:r>
          </w:p>
        </w:tc>
        <w:tc>
          <w:tcPr>
            <w:tcW w:w="1440" w:type="dxa"/>
            <w:vAlign w:val="bottom"/>
          </w:tcPr>
          <w:p>
            <w:pPr>
              <w:jc w:val="right"/>
              <w:ind w:right="169"/>
              <w:spacing w:after="0"/>
              <w:rPr>
                <w:sz w:val="20"/>
                <w:szCs w:val="20"/>
                <w:color w:val="auto"/>
              </w:rPr>
            </w:pPr>
            <w:r>
              <w:rPr>
                <w:rFonts w:ascii="Arial" w:cs="Arial" w:eastAsia="Arial" w:hAnsi="Arial"/>
                <w:sz w:val="14"/>
                <w:szCs w:val="14"/>
                <w:b w:val="1"/>
                <w:bCs w:val="1"/>
                <w:color w:val="auto"/>
              </w:rPr>
              <w:t>5.05%</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4.92%</w:t>
            </w:r>
          </w:p>
        </w:tc>
        <w:tc>
          <w:tcPr>
            <w:tcW w:w="900" w:type="dxa"/>
            <w:vAlign w:val="bottom"/>
          </w:tcPr>
          <w:p>
            <w:pPr>
              <w:jc w:val="center"/>
              <w:spacing w:after="0"/>
              <w:rPr>
                <w:sz w:val="20"/>
                <w:szCs w:val="20"/>
                <w:color w:val="auto"/>
              </w:rPr>
            </w:pPr>
            <w:r>
              <w:rPr>
                <w:rFonts w:ascii="Arial" w:cs="Arial" w:eastAsia="Arial" w:hAnsi="Arial"/>
                <w:sz w:val="14"/>
                <w:szCs w:val="14"/>
                <w:color w:val="auto"/>
              </w:rPr>
              <w:t>-13 bps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-30 bps</w:t>
            </w:r>
          </w:p>
        </w:tc>
      </w:tr>
      <w:tr>
        <w:trPr>
          <w:trHeight w:val="161"/>
        </w:trPr>
        <w:tc>
          <w:tcPr>
            <w:tcW w:w="49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Structural Allowance for loan losses over Structural loans</w:t>
            </w:r>
          </w:p>
        </w:tc>
        <w:tc>
          <w:tcPr>
            <w:tcW w:w="1700" w:type="dxa"/>
            <w:vAlign w:val="bottom"/>
          </w:tcPr>
          <w:p>
            <w:pPr>
              <w:jc w:val="right"/>
              <w:ind w:right="189"/>
              <w:spacing w:after="0"/>
              <w:rPr>
                <w:sz w:val="20"/>
                <w:szCs w:val="20"/>
                <w:color w:val="auto"/>
              </w:rPr>
            </w:pPr>
            <w:r>
              <w:rPr>
                <w:rFonts w:ascii="Arial" w:cs="Arial" w:eastAsia="Arial" w:hAnsi="Arial"/>
                <w:sz w:val="14"/>
                <w:szCs w:val="14"/>
                <w:b w:val="1"/>
                <w:bCs w:val="1"/>
                <w:color w:val="auto"/>
              </w:rPr>
              <w:t>7.1%</w:t>
            </w:r>
          </w:p>
        </w:tc>
        <w:tc>
          <w:tcPr>
            <w:tcW w:w="1440" w:type="dxa"/>
            <w:vAlign w:val="bottom"/>
          </w:tcPr>
          <w:p>
            <w:pPr>
              <w:jc w:val="right"/>
              <w:ind w:right="169"/>
              <w:spacing w:after="0"/>
              <w:rPr>
                <w:sz w:val="20"/>
                <w:szCs w:val="20"/>
                <w:color w:val="auto"/>
              </w:rPr>
            </w:pPr>
            <w:r>
              <w:rPr>
                <w:rFonts w:ascii="Arial" w:cs="Arial" w:eastAsia="Arial" w:hAnsi="Arial"/>
                <w:sz w:val="14"/>
                <w:szCs w:val="14"/>
                <w:b w:val="1"/>
                <w:bCs w:val="1"/>
                <w:color w:val="auto"/>
              </w:rPr>
              <w:t>6.0%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900" w:type="dxa"/>
            <w:vAlign w:val="bottom"/>
          </w:tcPr>
          <w:p>
            <w:pPr>
              <w:jc w:val="center"/>
              <w:spacing w:after="0"/>
              <w:rPr>
                <w:sz w:val="20"/>
                <w:szCs w:val="20"/>
                <w:color w:val="auto"/>
              </w:rPr>
            </w:pPr>
            <w:r>
              <w:rPr>
                <w:rFonts w:ascii="Arial" w:cs="Arial" w:eastAsia="Arial" w:hAnsi="Arial"/>
                <w:sz w:val="14"/>
                <w:szCs w:val="14"/>
                <w:color w:val="auto"/>
              </w:rPr>
              <w:t>-40 bps</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-154 bps</w:t>
            </w:r>
          </w:p>
        </w:tc>
      </w:tr>
      <w:tr>
        <w:trPr>
          <w:trHeight w:val="177"/>
        </w:trPr>
        <w:tc>
          <w:tcPr>
            <w:tcW w:w="4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Structural Coverage ratio of NPLs</w:t>
            </w:r>
          </w:p>
        </w:tc>
        <w:tc>
          <w:tcPr>
            <w:tcW w:w="170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136.5%</w:t>
            </w:r>
          </w:p>
        </w:tc>
        <w:tc>
          <w:tcPr>
            <w:tcW w:w="144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rPr>
              <w:t>118.4%</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113.3%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-515 bps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-2320 bps</w:t>
            </w:r>
          </w:p>
        </w:tc>
      </w:tr>
    </w:tbl>
    <w:p>
      <w:pPr>
        <w:spacing w:after="0"/>
        <w:rPr>
          <w:sz w:val="20"/>
          <w:szCs w:val="20"/>
          <w:color w:val="auto"/>
        </w:rPr>
      </w:pPr>
      <w:r>
        <w:rPr>
          <w:rFonts w:ascii="Times New Roman" w:cs="Times New Roman" w:eastAsia="Times New Roman" w:hAnsi="Times New Roman"/>
          <w:sz w:val="12"/>
          <w:szCs w:val="12"/>
          <w:color w:val="auto"/>
        </w:rPr>
        <w:t>(1) The Structural Portfolio excludes Government Programs (GP) effects.</w:t>
      </w:r>
    </w:p>
    <w:p>
      <w:pPr>
        <w:spacing w:after="0" w:line="1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volume of the structural NPL portfolio fell QoQ by -0.1%. Growth in new entrants to the NPL portfolio in SME-Pyme, Individuals and Wholesale segment was offset by write-offs in the SME-Pyme segments, Individuals and Mibanco this quarter. YoY, the structural NPL portfolio grew 4.6% due to an increase in overdue loans in SME-Pyme and in refinanced loans in Wholesale Banking. The aforementioned was partially offset by a drop in the IOL portfolio at Mibanco. In the aforementioned context, the structural NPL ratio stood at 4.92%.</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Structural NPL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112395</wp:posOffset>
            </wp:positionV>
            <wp:extent cx="4574540" cy="25253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74540" cy="2525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QoQ analysis, the segments that contributed to the reduction in structural NPL loans were:</w:t>
      </w:r>
    </w:p>
    <w:p>
      <w:pPr>
        <w:spacing w:after="0" w:line="248" w:lineRule="exact"/>
        <w:rPr>
          <w:sz w:val="20"/>
          <w:szCs w:val="20"/>
          <w:color w:val="auto"/>
        </w:rPr>
      </w:pPr>
    </w:p>
    <w:p>
      <w:pPr>
        <w:jc w:val="both"/>
        <w:ind w:left="900" w:hanging="331"/>
        <w:spacing w:after="0" w:line="23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Small and Medium Businesses</w:t>
      </w:r>
      <w:r>
        <w:rPr>
          <w:rFonts w:ascii="Arial" w:cs="Arial" w:eastAsia="Arial" w:hAnsi="Arial"/>
          <w:sz w:val="18"/>
          <w:szCs w:val="18"/>
          <w:color w:val="auto"/>
        </w:rPr>
        <w:t>, where growth in new entrants to the NPL portfolio was offset by the expansion in write-offs this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(for more information, see the section on Structural write-offs). Growth in NPLs was driven by SME-Pyme after higher-risk segments were penetrated (debt below S/90,000). In these segments, higher risk was offset by higher interest rates. The deterioration in risk remains within our risk appetite for this segment.</w:t>
      </w:r>
    </w:p>
    <w:p>
      <w:pPr>
        <w:ind w:left="900" w:hanging="331"/>
        <w:spacing w:after="0" w:line="245"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Individuals, </w:t>
      </w:r>
      <w:r>
        <w:rPr>
          <w:rFonts w:ascii="Arial" w:cs="Arial" w:eastAsia="Arial" w:hAnsi="Arial"/>
          <w:sz w:val="18"/>
          <w:szCs w:val="18"/>
          <w:color w:val="auto"/>
        </w:rPr>
        <w:t>within this segment, similar to the situation in SME-Pyme, growth in new entrants to the NPL portfolio was offset by</w:t>
      </w:r>
      <w:r>
        <w:rPr>
          <w:rFonts w:ascii="Arial" w:cs="Arial" w:eastAsia="Arial" w:hAnsi="Arial"/>
          <w:sz w:val="18"/>
          <w:szCs w:val="18"/>
          <w:b w:val="1"/>
          <w:bCs w:val="1"/>
          <w:color w:val="auto"/>
        </w:rPr>
        <w:t xml:space="preserve"> </w:t>
      </w:r>
      <w:r>
        <w:rPr>
          <w:rFonts w:ascii="Arial" w:cs="Arial" w:eastAsia="Arial" w:hAnsi="Arial"/>
          <w:sz w:val="18"/>
          <w:szCs w:val="18"/>
          <w:color w:val="auto"/>
        </w:rPr>
        <w:t>write-offs this quarter, mainly in Consumer (for more information, see the Section on Structural Write-offs).</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20" w:name="page21"/>
    <w:bookmarkEnd w:id="20"/>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reduction in NPLs was partially attenuated by growth in the refinanced portfolio in Wholesale Banking. Refinancing was concentrated within specific clients in the real estate sector (building and office leasing) and tourism (hotels), mainly in Middle Market Banking, which were severely impacted by the pandemic and had been offered debt refinancing facilities. It is important to note that this increase is in line with expectations and reflects the real delinquency levels of clients now that restrictions on loan progression to later stages of delinquency have been lifted and more clients find themselves in need of refinancing.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w:t>
      </w:r>
      <w:r>
        <w:rPr>
          <w:rFonts w:ascii="Times New Roman" w:cs="Times New Roman" w:eastAsia="Times New Roman" w:hAnsi="Times New Roman"/>
          <w:sz w:val="18"/>
          <w:szCs w:val="18"/>
          <w:color w:val="auto"/>
        </w:rPr>
        <w:t xml:space="preserve"> analysis, growth in NPLs was attributable to:</w:t>
      </w:r>
    </w:p>
    <w:p>
      <w:pPr>
        <w:spacing w:after="0" w:line="252" w:lineRule="exact"/>
        <w:rPr>
          <w:sz w:val="20"/>
          <w:szCs w:val="20"/>
          <w:color w:val="auto"/>
        </w:rPr>
      </w:pPr>
    </w:p>
    <w:p>
      <w:pPr>
        <w:ind w:left="820" w:hanging="317"/>
        <w:spacing w:after="0" w:line="243"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Small and Medium Companies</w:t>
      </w:r>
      <w:r>
        <w:rPr>
          <w:rFonts w:ascii="Arial" w:cs="Arial" w:eastAsia="Arial" w:hAnsi="Arial"/>
          <w:sz w:val="18"/>
          <w:szCs w:val="18"/>
          <w:color w:val="auto"/>
        </w:rPr>
        <w:t>: The deterioration of this portfolio was attributable primarily to the SME-Pyme segment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driven by the same factors as those outlined for the QoQ evolution.</w:t>
      </w:r>
    </w:p>
    <w:p>
      <w:pPr>
        <w:ind w:left="820" w:hanging="317"/>
        <w:spacing w:after="0" w:line="237" w:lineRule="auto"/>
        <w:tabs>
          <w:tab w:leader="none" w:pos="820" w:val="left"/>
        </w:tabs>
        <w:numPr>
          <w:ilvl w:val="0"/>
          <w:numId w:val="21"/>
        </w:numPr>
        <w:rPr>
          <w:rFonts w:ascii="Arial" w:cs="Arial" w:eastAsia="Arial" w:hAnsi="Arial"/>
          <w:sz w:val="20"/>
          <w:szCs w:val="20"/>
          <w:color w:val="auto"/>
        </w:rPr>
      </w:pPr>
      <w:r>
        <w:rPr>
          <w:rFonts w:ascii="Arial" w:cs="Arial" w:eastAsia="Arial" w:hAnsi="Arial"/>
          <w:sz w:val="18"/>
          <w:szCs w:val="18"/>
          <w:b w:val="1"/>
          <w:bCs w:val="1"/>
          <w:color w:val="auto"/>
        </w:rPr>
        <w:t>Wholesale</w:t>
      </w:r>
      <w:r>
        <w:rPr>
          <w:rFonts w:ascii="Arial" w:cs="Arial" w:eastAsia="Arial" w:hAnsi="Arial"/>
          <w:sz w:val="18"/>
          <w:szCs w:val="18"/>
          <w:color w:val="auto"/>
        </w:rPr>
        <w:t>: Growth in the refinanced portfolio corresponds to the same factors that drove the QoQ variation.</w:t>
      </w:r>
    </w:p>
    <w:p>
      <w:pPr>
        <w:spacing w:after="0" w:line="211"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Growth in the NPL portfolio was attenuated by a reduction in NPLS at Mibanco, which was generated by a base effect in 3Q21 after grace periods for reprogrammed loans expired and loans fell delinquent.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Structural write-offs (in quarter-end balances – S/ thousands)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QoQ, </w:t>
      </w:r>
      <w:r>
        <w:rPr>
          <w:rFonts w:ascii="Times New Roman" w:cs="Times New Roman" w:eastAsia="Times New Roman" w:hAnsi="Times New Roman"/>
          <w:sz w:val="18"/>
          <w:szCs w:val="18"/>
          <w:color w:val="auto"/>
        </w:rPr>
        <w:t>growth in structural loans (+103%) was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-116840</wp:posOffset>
            </wp:positionV>
            <wp:extent cx="1785620" cy="12750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85620" cy="1275080"/>
                    </a:xfrm>
                    <a:prstGeom prst="rect">
                      <a:avLst/>
                    </a:prstGeom>
                    <a:noFill/>
                  </pic:spPr>
                </pic:pic>
              </a:graphicData>
            </a:graphic>
          </wp:anchor>
        </w:drawing>
      </w:r>
    </w:p>
    <w:p>
      <w:pPr>
        <w:spacing w:after="0" w:line="205" w:lineRule="exact"/>
        <w:rPr>
          <w:sz w:val="20"/>
          <w:szCs w:val="20"/>
          <w:color w:val="auto"/>
        </w:rPr>
      </w:pPr>
    </w:p>
    <w:p>
      <w:pPr>
        <w:jc w:val="both"/>
        <w:ind w:left="820" w:right="5860" w:hanging="317"/>
        <w:spacing w:after="0" w:line="237"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Small and Medium businesses </w:t>
      </w:r>
      <w:r>
        <w:rPr>
          <w:rFonts w:ascii="Arial" w:cs="Arial" w:eastAsia="Arial" w:hAnsi="Arial"/>
          <w:sz w:val="18"/>
          <w:szCs w:val="18"/>
          <w:color w:val="auto"/>
        </w:rPr>
        <w:t>after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were lifted on write-offs of structural loans held by clients that possess both a structural loan and Reactiva loans. This quarter marked the first wave of write-offs and the trend is expected to continue.</w:t>
      </w:r>
    </w:p>
    <w:p>
      <w:pPr>
        <w:jc w:val="both"/>
        <w:ind w:left="820" w:right="5860" w:hanging="317"/>
        <w:spacing w:after="0" w:line="23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after a review of the under legal recovery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determined that a larger portion of this portfolio could be written-off.</w:t>
      </w:r>
    </w:p>
    <w:p>
      <w:pPr>
        <w:spacing w:after="0" w:line="2" w:lineRule="exact"/>
        <w:rPr>
          <w:rFonts w:ascii="Arial" w:cs="Arial" w:eastAsia="Arial" w:hAnsi="Arial"/>
          <w:sz w:val="18"/>
          <w:szCs w:val="18"/>
          <w:color w:val="auto"/>
        </w:rPr>
      </w:pPr>
    </w:p>
    <w:p>
      <w:pPr>
        <w:jc w:val="both"/>
        <w:ind w:left="820" w:right="5860" w:hanging="317"/>
        <w:spacing w:after="0" w:line="239"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Consumer, </w:t>
      </w:r>
      <w:r>
        <w:rPr>
          <w:rFonts w:ascii="Arial" w:cs="Arial" w:eastAsia="Arial" w:hAnsi="Arial"/>
          <w:sz w:val="18"/>
          <w:szCs w:val="18"/>
          <w:color w:val="auto"/>
        </w:rPr>
        <w:t>where a review of regulations found that a</w:t>
      </w:r>
      <w:r>
        <w:rPr>
          <w:rFonts w:ascii="Arial" w:cs="Arial" w:eastAsia="Arial" w:hAnsi="Arial"/>
          <w:sz w:val="18"/>
          <w:szCs w:val="18"/>
          <w:b w:val="1"/>
          <w:bCs w:val="1"/>
          <w:color w:val="auto"/>
        </w:rPr>
        <w:t xml:space="preserve"> </w:t>
      </w:r>
      <w:r>
        <w:rPr>
          <w:rFonts w:ascii="Arial" w:cs="Arial" w:eastAsia="Arial" w:hAnsi="Arial"/>
          <w:sz w:val="18"/>
          <w:szCs w:val="18"/>
          <w:color w:val="auto"/>
        </w:rPr>
        <w:t>portion of the loans under legal recovery with guarantees could be written-off.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YoY growth in NPLS was driven by an uptick in write-offs in small and medium businesses, for the same reasons outlined in the QoQ explanation.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Coverage Ratio of Structural NPL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35560</wp:posOffset>
            </wp:positionV>
            <wp:extent cx="3069590" cy="1428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069590" cy="1428115"/>
                    </a:xfrm>
                    <a:prstGeom prst="rect">
                      <a:avLst/>
                    </a:prstGeom>
                    <a:noFill/>
                  </pic:spPr>
                </pic:pic>
              </a:graphicData>
            </a:graphic>
          </wp:anchor>
        </w:drawing>
      </w:r>
    </w:p>
    <w:p>
      <w:pPr>
        <w:spacing w:after="0" w:line="228" w:lineRule="exact"/>
        <w:rPr>
          <w:sz w:val="20"/>
          <w:szCs w:val="20"/>
          <w:color w:val="auto"/>
        </w:rPr>
      </w:pPr>
    </w:p>
    <w:p>
      <w:pPr>
        <w:jc w:val="both"/>
        <w:ind w:right="584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QoQ, </w:t>
      </w:r>
      <w:r>
        <w:rPr>
          <w:rFonts w:ascii="Times New Roman" w:cs="Times New Roman" w:eastAsia="Times New Roman" w:hAnsi="Times New Roman"/>
          <w:sz w:val="18"/>
          <w:szCs w:val="18"/>
          <w:color w:val="auto"/>
        </w:rPr>
        <w:t>the reduction in the NPL coverage ratio was attributable to growth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delinquency in the SME-Pyme segments and Individuals and in refinanced loans in Wholesale Banking.</w:t>
      </w:r>
    </w:p>
    <w:p>
      <w:pPr>
        <w:spacing w:after="0" w:line="198" w:lineRule="exact"/>
        <w:rPr>
          <w:sz w:val="20"/>
          <w:szCs w:val="20"/>
          <w:color w:val="auto"/>
        </w:rPr>
      </w:pPr>
    </w:p>
    <w:p>
      <w:pPr>
        <w:jc w:val="both"/>
        <w:ind w:right="584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YoY, </w:t>
      </w:r>
      <w:r>
        <w:rPr>
          <w:rFonts w:ascii="Times New Roman" w:cs="Times New Roman" w:eastAsia="Times New Roman" w:hAnsi="Times New Roman"/>
          <w:sz w:val="18"/>
          <w:szCs w:val="18"/>
          <w:color w:val="auto"/>
        </w:rPr>
        <w:t>the downward trend was attributable to growth in the NPL portfolio.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trend was also fueled by BCP Bolivia, given that reserves have been released due to better-than-expected payment behavior.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21" w:name="page22"/>
    <w:bookmarkEnd w:id="21"/>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NPL loans in the Government Loan Portfolio (in quarter-end balances– S/ thousands)</w:t>
      </w:r>
    </w:p>
    <w:p>
      <w:pPr>
        <w:spacing w:after="0" w:line="248" w:lineRule="exact"/>
        <w:rPr>
          <w:sz w:val="20"/>
          <w:szCs w:val="20"/>
          <w:color w:val="auto"/>
        </w:rPr>
      </w:pPr>
    </w:p>
    <w:p>
      <w:pPr>
        <w:jc w:val="both"/>
        <w:ind w:right="584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QoQ, </w:t>
      </w:r>
      <w:r>
        <w:rPr>
          <w:rFonts w:ascii="Times New Roman" w:cs="Times New Roman" w:eastAsia="Times New Roman" w:hAnsi="Times New Roman"/>
          <w:sz w:val="18"/>
          <w:szCs w:val="18"/>
          <w:color w:val="auto"/>
        </w:rPr>
        <w:t>NPL loans in the GP portfolio increased due to the expiration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grace periods for reprogrammed loans, where payment capacities were impaired by an adverse economic climate.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3813810</wp:posOffset>
            </wp:positionH>
            <wp:positionV relativeFrom="paragraph">
              <wp:posOffset>-420370</wp:posOffset>
            </wp:positionV>
            <wp:extent cx="3222625" cy="14452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22625" cy="1445260"/>
                    </a:xfrm>
                    <a:prstGeom prst="rect">
                      <a:avLst/>
                    </a:prstGeom>
                    <a:noFill/>
                  </pic:spPr>
                </pic:pic>
              </a:graphicData>
            </a:graphic>
          </wp:anchor>
        </w:drawing>
      </w:r>
    </w:p>
    <w:p>
      <w:pPr>
        <w:spacing w:after="0" w:line="182" w:lineRule="exact"/>
        <w:rPr>
          <w:sz w:val="20"/>
          <w:szCs w:val="20"/>
          <w:color w:val="auto"/>
        </w:rPr>
      </w:pPr>
    </w:p>
    <w:p>
      <w:pPr>
        <w:jc w:val="both"/>
        <w:ind w:right="5840"/>
        <w:spacing w:after="0" w:line="286" w:lineRule="auto"/>
        <w:rPr>
          <w:sz w:val="20"/>
          <w:szCs w:val="20"/>
          <w:color w:val="auto"/>
        </w:rPr>
      </w:pPr>
      <w:r>
        <w:rPr>
          <w:rFonts w:ascii="Times New Roman" w:cs="Times New Roman" w:eastAsia="Times New Roman" w:hAnsi="Times New Roman"/>
          <w:sz w:val="17"/>
          <w:szCs w:val="17"/>
          <w:color w:val="auto"/>
        </w:rPr>
        <w:t>For loans that are more than 90 days overdue, honoring processes have begun to execute State guarantees. Average guarantees cover 84%, 91% and 97% of Wholesale Banking, Retail Banking and Mibanco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of the Total Portfolio (in quarter-end balances)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860" w:type="dxa"/>
            <w:vAlign w:val="bottom"/>
            <w:tcBorders>
              <w:top w:val="single" w:sz="8" w:color="auto"/>
              <w:left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4"/>
                <w:szCs w:val="14"/>
                <w:b w:val="1"/>
                <w:bCs w:val="1"/>
                <w:color w:val="FFFFFF"/>
              </w:rPr>
              <w:t>Loan Portfolio Quality and Delinquency Ratios</w:t>
            </w:r>
          </w:p>
        </w:tc>
        <w:tc>
          <w:tcPr>
            <w:tcW w:w="1520" w:type="dxa"/>
            <w:vAlign w:val="bottom"/>
            <w:tcBorders>
              <w:top w:val="single" w:sz="8" w:color="auto"/>
            </w:tcBorders>
            <w:shd w:val="clear" w:color="auto" w:fill="2AD2C9"/>
          </w:tcPr>
          <w:p>
            <w:pPr>
              <w:spacing w:after="0"/>
              <w:rPr>
                <w:sz w:val="20"/>
                <w:szCs w:val="20"/>
                <w:color w:val="auto"/>
              </w:rPr>
            </w:pPr>
          </w:p>
        </w:tc>
        <w:tc>
          <w:tcPr>
            <w:tcW w:w="1240" w:type="dxa"/>
            <w:vAlign w:val="bottom"/>
            <w:tcBorders>
              <w:top w:val="single" w:sz="8" w:color="auto"/>
            </w:tcBorders>
            <w:shd w:val="clear" w:color="auto" w:fill="2AD2C9"/>
          </w:tcPr>
          <w:p>
            <w:pPr>
              <w:jc w:val="right"/>
              <w:ind w:right="609"/>
              <w:spacing w:after="0"/>
              <w:rPr>
                <w:sz w:val="20"/>
                <w:szCs w:val="20"/>
                <w:color w:val="auto"/>
              </w:rPr>
            </w:pPr>
            <w:r>
              <w:rPr>
                <w:rFonts w:ascii="Arial" w:cs="Arial" w:eastAsia="Arial" w:hAnsi="Arial"/>
                <w:sz w:val="14"/>
                <w:szCs w:val="14"/>
                <w:b w:val="1"/>
                <w:bCs w:val="1"/>
                <w:color w:val="FFFFFF"/>
              </w:rPr>
              <w:t>As of</w:t>
            </w:r>
          </w:p>
        </w:tc>
        <w:tc>
          <w:tcPr>
            <w:tcW w:w="1060" w:type="dxa"/>
            <w:vAlign w:val="bottom"/>
            <w:tcBorders>
              <w:top w:val="single" w:sz="8" w:color="auto"/>
              <w:right w:val="single" w:sz="8" w:color="auto"/>
            </w:tcBorders>
            <w:shd w:val="clear" w:color="auto" w:fill="2AD2C9"/>
          </w:tcPr>
          <w:p>
            <w:pPr>
              <w:spacing w:after="0"/>
              <w:rPr>
                <w:sz w:val="20"/>
                <w:szCs w:val="20"/>
                <w:color w:val="auto"/>
              </w:rPr>
            </w:pPr>
          </w:p>
        </w:tc>
        <w:tc>
          <w:tcPr>
            <w:tcW w:w="920" w:type="dxa"/>
            <w:vAlign w:val="bottom"/>
            <w:tcBorders>
              <w:top w:val="single" w:sz="8" w:color="auto"/>
            </w:tcBorders>
            <w:shd w:val="clear" w:color="auto" w:fill="2AD2C9"/>
          </w:tcPr>
          <w:p>
            <w:pPr>
              <w:spacing w:after="0"/>
              <w:rPr>
                <w:sz w:val="20"/>
                <w:szCs w:val="20"/>
                <w:color w:val="auto"/>
              </w:rPr>
            </w:pPr>
          </w:p>
        </w:tc>
        <w:tc>
          <w:tcPr>
            <w:tcW w:w="1640" w:type="dxa"/>
            <w:vAlign w:val="bottom"/>
            <w:tcBorders>
              <w:top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 change</w:t>
            </w:r>
          </w:p>
        </w:tc>
      </w:tr>
      <w:tr>
        <w:trPr>
          <w:trHeight w:val="223"/>
        </w:trPr>
        <w:tc>
          <w:tcPr>
            <w:tcW w:w="4860" w:type="dxa"/>
            <w:vAlign w:val="bottom"/>
            <w:tcBorders>
              <w:left w:val="single" w:sz="8" w:color="auto"/>
              <w:bottom w:val="single" w:sz="8" w:color="auto"/>
              <w:right w:val="single" w:sz="8" w:color="auto"/>
            </w:tcBorders>
            <w:shd w:val="clear" w:color="auto" w:fill="2AD2C9"/>
          </w:tcPr>
          <w:p>
            <w:pPr>
              <w:ind w:left="60"/>
              <w:spacing w:after="0"/>
              <w:rPr>
                <w:sz w:val="20"/>
                <w:szCs w:val="20"/>
                <w:color w:val="auto"/>
              </w:rPr>
            </w:pPr>
            <w:r>
              <w:rPr>
                <w:rFonts w:ascii="Arial" w:cs="Arial" w:eastAsia="Arial" w:hAnsi="Arial"/>
                <w:sz w:val="14"/>
                <w:szCs w:val="14"/>
                <w:b w:val="1"/>
                <w:bCs w:val="1"/>
                <w:color w:val="FFFFFF"/>
              </w:rPr>
              <w:t>S/ 000</w:t>
            </w:r>
          </w:p>
        </w:tc>
        <w:tc>
          <w:tcPr>
            <w:tcW w:w="1520" w:type="dxa"/>
            <w:vAlign w:val="bottom"/>
            <w:tcBorders>
              <w:bottom w:val="single" w:sz="8" w:color="auto"/>
            </w:tcBorders>
            <w:shd w:val="clear" w:color="auto" w:fill="2AD2C9"/>
          </w:tcPr>
          <w:p>
            <w:pPr>
              <w:jc w:val="right"/>
              <w:ind w:right="549"/>
              <w:spacing w:after="0"/>
              <w:rPr>
                <w:sz w:val="20"/>
                <w:szCs w:val="20"/>
                <w:color w:val="auto"/>
              </w:rPr>
            </w:pPr>
            <w:r>
              <w:rPr>
                <w:rFonts w:ascii="Arial" w:cs="Arial" w:eastAsia="Arial" w:hAnsi="Arial"/>
                <w:sz w:val="14"/>
                <w:szCs w:val="14"/>
                <w:b w:val="1"/>
                <w:bCs w:val="1"/>
                <w:color w:val="FFFFFF"/>
              </w:rPr>
              <w:t>Sep 21</w:t>
            </w:r>
          </w:p>
        </w:tc>
        <w:tc>
          <w:tcPr>
            <w:tcW w:w="1240" w:type="dxa"/>
            <w:vAlign w:val="bottom"/>
            <w:tcBorders>
              <w:bottom w:val="single" w:sz="8" w:color="auto"/>
            </w:tcBorders>
            <w:shd w:val="clear" w:color="auto" w:fill="2AD2C9"/>
          </w:tcPr>
          <w:p>
            <w:pPr>
              <w:jc w:val="right"/>
              <w:ind w:right="509"/>
              <w:spacing w:after="0"/>
              <w:rPr>
                <w:sz w:val="20"/>
                <w:szCs w:val="20"/>
                <w:color w:val="auto"/>
              </w:rPr>
            </w:pPr>
            <w:r>
              <w:rPr>
                <w:rFonts w:ascii="Arial" w:cs="Arial" w:eastAsia="Arial" w:hAnsi="Arial"/>
                <w:sz w:val="14"/>
                <w:szCs w:val="14"/>
                <w:b w:val="1"/>
                <w:bCs w:val="1"/>
                <w:color w:val="FFFFFF"/>
              </w:rPr>
              <w:t>Jun 22</w:t>
            </w:r>
          </w:p>
        </w:tc>
        <w:tc>
          <w:tcPr>
            <w:tcW w:w="1060" w:type="dxa"/>
            <w:vAlign w:val="bottom"/>
            <w:tcBorders>
              <w:bottom w:val="single" w:sz="8" w:color="auto"/>
              <w:right w:val="single" w:sz="8" w:color="auto"/>
            </w:tcBorders>
            <w:shd w:val="clear" w:color="auto" w:fill="2AD2C9"/>
          </w:tcPr>
          <w:p>
            <w:pPr>
              <w:jc w:val="right"/>
              <w:ind w:right="329"/>
              <w:spacing w:after="0"/>
              <w:rPr>
                <w:sz w:val="20"/>
                <w:szCs w:val="20"/>
                <w:color w:val="auto"/>
              </w:rPr>
            </w:pPr>
            <w:r>
              <w:rPr>
                <w:rFonts w:ascii="Arial" w:cs="Arial" w:eastAsia="Arial" w:hAnsi="Arial"/>
                <w:sz w:val="14"/>
                <w:szCs w:val="14"/>
                <w:b w:val="1"/>
                <w:bCs w:val="1"/>
                <w:color w:val="FFFFFF"/>
              </w:rPr>
              <w:t>Sep 22</w:t>
            </w:r>
          </w:p>
        </w:tc>
        <w:tc>
          <w:tcPr>
            <w:tcW w:w="920" w:type="dxa"/>
            <w:vAlign w:val="bottom"/>
            <w:tcBorders>
              <w:bottom w:val="single" w:sz="8" w:color="auto"/>
            </w:tcBorders>
            <w:shd w:val="clear" w:color="auto" w:fill="2AD2C9"/>
          </w:tcPr>
          <w:p>
            <w:pPr>
              <w:jc w:val="center"/>
              <w:ind w:left="229"/>
              <w:spacing w:after="0"/>
              <w:rPr>
                <w:sz w:val="20"/>
                <w:szCs w:val="20"/>
                <w:color w:val="auto"/>
              </w:rPr>
            </w:pPr>
            <w:r>
              <w:rPr>
                <w:rFonts w:ascii="Arial" w:cs="Arial" w:eastAsia="Arial" w:hAnsi="Arial"/>
                <w:sz w:val="14"/>
                <w:szCs w:val="14"/>
                <w:b w:val="1"/>
                <w:bCs w:val="1"/>
                <w:color w:val="FFFFFF"/>
                <w:w w:val="98"/>
              </w:rPr>
              <w:t>QoQ</w:t>
            </w:r>
          </w:p>
        </w:tc>
        <w:tc>
          <w:tcPr>
            <w:tcW w:w="1640" w:type="dxa"/>
            <w:vAlign w:val="bottom"/>
            <w:tcBorders>
              <w:bottom w:val="single" w:sz="8" w:color="auto"/>
              <w:right w:val="single" w:sz="8" w:color="auto"/>
            </w:tcBorders>
            <w:shd w:val="clear" w:color="auto" w:fill="2AD2C9"/>
          </w:tcPr>
          <w:p>
            <w:pPr>
              <w:jc w:val="center"/>
              <w:ind w:left="209"/>
              <w:spacing w:after="0"/>
              <w:rPr>
                <w:sz w:val="20"/>
                <w:szCs w:val="20"/>
                <w:color w:val="auto"/>
              </w:rPr>
            </w:pPr>
            <w:r>
              <w:rPr>
                <w:rFonts w:ascii="Arial" w:cs="Arial" w:eastAsia="Arial" w:hAnsi="Arial"/>
                <w:sz w:val="14"/>
                <w:szCs w:val="14"/>
                <w:b w:val="1"/>
                <w:bCs w:val="1"/>
                <w:color w:val="FFFFFF"/>
              </w:rPr>
              <w:t>YoY</w:t>
            </w:r>
          </w:p>
        </w:tc>
      </w:tr>
      <w:tr>
        <w:trPr>
          <w:trHeight w:val="221"/>
        </w:trPr>
        <w:tc>
          <w:tcPr>
            <w:tcW w:w="4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Total loans (Quarter-end balance)</w:t>
            </w:r>
          </w:p>
        </w:tc>
        <w:tc>
          <w:tcPr>
            <w:tcW w:w="15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146,551,226</w:t>
            </w:r>
          </w:p>
        </w:tc>
        <w:tc>
          <w:tcPr>
            <w:tcW w:w="12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150,370,184</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151,392,202</w:t>
            </w:r>
          </w:p>
        </w:tc>
        <w:tc>
          <w:tcPr>
            <w:tcW w:w="92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rPr>
              <w:t>0.7%</w:t>
            </w:r>
          </w:p>
        </w:tc>
        <w:tc>
          <w:tcPr>
            <w:tcW w:w="1640" w:type="dxa"/>
            <w:vAlign w:val="bottom"/>
            <w:tcBorders>
              <w:bottom w:val="single" w:sz="8" w:color="auto"/>
              <w:right w:val="single" w:sz="8" w:color="auto"/>
            </w:tcBorders>
          </w:tcPr>
          <w:p>
            <w:pPr>
              <w:jc w:val="center"/>
              <w:ind w:left="209"/>
              <w:spacing w:after="0"/>
              <w:rPr>
                <w:sz w:val="20"/>
                <w:szCs w:val="20"/>
                <w:color w:val="auto"/>
              </w:rPr>
            </w:pPr>
            <w:r>
              <w:rPr>
                <w:rFonts w:ascii="Arial" w:cs="Arial" w:eastAsia="Arial" w:hAnsi="Arial"/>
                <w:sz w:val="14"/>
                <w:szCs w:val="14"/>
                <w:b w:val="1"/>
                <w:bCs w:val="1"/>
                <w:color w:val="auto"/>
              </w:rPr>
              <w:t>3.3%</w:t>
            </w:r>
          </w:p>
        </w:tc>
      </w:tr>
      <w:tr>
        <w:trPr>
          <w:trHeight w:val="221"/>
        </w:trPr>
        <w:tc>
          <w:tcPr>
            <w:tcW w:w="4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Allowance for loan losses</w:t>
            </w:r>
          </w:p>
        </w:tc>
        <w:tc>
          <w:tcPr>
            <w:tcW w:w="15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9,077,449</w:t>
            </w:r>
          </w:p>
        </w:tc>
        <w:tc>
          <w:tcPr>
            <w:tcW w:w="12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8,306,500</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8,030,104</w:t>
            </w:r>
          </w:p>
        </w:tc>
        <w:tc>
          <w:tcPr>
            <w:tcW w:w="92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color w:val="auto"/>
              </w:rPr>
              <w:t>-3.3%</w:t>
            </w:r>
          </w:p>
        </w:tc>
        <w:tc>
          <w:tcPr>
            <w:tcW w:w="1640" w:type="dxa"/>
            <w:vAlign w:val="bottom"/>
            <w:tcBorders>
              <w:bottom w:val="single" w:sz="8" w:color="auto"/>
              <w:right w:val="single" w:sz="8" w:color="auto"/>
            </w:tcBorders>
          </w:tcPr>
          <w:p>
            <w:pPr>
              <w:jc w:val="center"/>
              <w:ind w:left="209"/>
              <w:spacing w:after="0"/>
              <w:rPr>
                <w:sz w:val="20"/>
                <w:szCs w:val="20"/>
                <w:color w:val="auto"/>
              </w:rPr>
            </w:pPr>
            <w:r>
              <w:rPr>
                <w:rFonts w:ascii="Arial" w:cs="Arial" w:eastAsia="Arial" w:hAnsi="Arial"/>
                <w:sz w:val="14"/>
                <w:szCs w:val="14"/>
                <w:color w:val="auto"/>
                <w:w w:val="99"/>
              </w:rPr>
              <w:t>-11.5%</w:t>
            </w:r>
          </w:p>
        </w:tc>
      </w:tr>
      <w:tr>
        <w:trPr>
          <w:trHeight w:val="221"/>
        </w:trPr>
        <w:tc>
          <w:tcPr>
            <w:tcW w:w="4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Write-offs</w:t>
            </w:r>
          </w:p>
        </w:tc>
        <w:tc>
          <w:tcPr>
            <w:tcW w:w="15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670,273</w:t>
            </w:r>
          </w:p>
        </w:tc>
        <w:tc>
          <w:tcPr>
            <w:tcW w:w="12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413,501</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837,924</w:t>
            </w:r>
          </w:p>
        </w:tc>
        <w:tc>
          <w:tcPr>
            <w:tcW w:w="92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color w:val="auto"/>
              </w:rPr>
              <w:t>102.6%</w:t>
            </w:r>
          </w:p>
        </w:tc>
        <w:tc>
          <w:tcPr>
            <w:tcW w:w="1640" w:type="dxa"/>
            <w:vAlign w:val="bottom"/>
            <w:tcBorders>
              <w:bottom w:val="single" w:sz="8" w:color="auto"/>
              <w:right w:val="single" w:sz="8" w:color="auto"/>
            </w:tcBorders>
          </w:tcPr>
          <w:p>
            <w:pPr>
              <w:jc w:val="center"/>
              <w:ind w:left="209"/>
              <w:spacing w:after="0"/>
              <w:rPr>
                <w:sz w:val="20"/>
                <w:szCs w:val="20"/>
                <w:color w:val="auto"/>
              </w:rPr>
            </w:pPr>
            <w:r>
              <w:rPr>
                <w:rFonts w:ascii="Arial" w:cs="Arial" w:eastAsia="Arial" w:hAnsi="Arial"/>
                <w:sz w:val="14"/>
                <w:szCs w:val="14"/>
                <w:color w:val="auto"/>
              </w:rPr>
              <w:t>25.0%</w:t>
            </w:r>
          </w:p>
        </w:tc>
      </w:tr>
      <w:tr>
        <w:trPr>
          <w:trHeight w:val="215"/>
        </w:trPr>
        <w:tc>
          <w:tcPr>
            <w:tcW w:w="4860" w:type="dxa"/>
            <w:vAlign w:val="bottom"/>
            <w:tcBorders>
              <w:left w:val="single" w:sz="8" w:color="auto"/>
              <w:right w:val="single" w:sz="8" w:color="auto"/>
            </w:tcBorders>
          </w:tcPr>
          <w:p>
            <w:pPr>
              <w:ind w:left="60"/>
              <w:spacing w:after="0" w:line="215" w:lineRule="exact"/>
              <w:rPr>
                <w:sz w:val="20"/>
                <w:szCs w:val="20"/>
                <w:color w:val="auto"/>
              </w:rPr>
            </w:pPr>
            <w:r>
              <w:rPr>
                <w:rFonts w:ascii="Arial" w:cs="Arial" w:eastAsia="Arial" w:hAnsi="Arial"/>
                <w:sz w:val="14"/>
                <w:szCs w:val="14"/>
                <w:color w:val="auto"/>
              </w:rPr>
              <w:t xml:space="preserve">Internal overdue loans (IOLs) </w:t>
            </w:r>
            <w:r>
              <w:rPr>
                <w:rFonts w:ascii="Arial" w:cs="Arial" w:eastAsia="Arial" w:hAnsi="Arial"/>
                <w:sz w:val="23"/>
                <w:szCs w:val="23"/>
                <w:color w:val="auto"/>
                <w:vertAlign w:val="superscript"/>
              </w:rPr>
              <w:t>(1)(2)</w:t>
            </w: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5,473,685</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6,105,256</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6,250,131</w:t>
            </w:r>
          </w:p>
        </w:tc>
        <w:tc>
          <w:tcPr>
            <w:tcW w:w="920" w:type="dxa"/>
            <w:vAlign w:val="bottom"/>
          </w:tcPr>
          <w:p>
            <w:pPr>
              <w:jc w:val="center"/>
              <w:ind w:left="249"/>
              <w:spacing w:after="0"/>
              <w:rPr>
                <w:sz w:val="20"/>
                <w:szCs w:val="20"/>
                <w:color w:val="auto"/>
              </w:rPr>
            </w:pPr>
            <w:r>
              <w:rPr>
                <w:rFonts w:ascii="Arial" w:cs="Arial" w:eastAsia="Arial" w:hAnsi="Arial"/>
                <w:sz w:val="14"/>
                <w:szCs w:val="14"/>
                <w:color w:val="auto"/>
              </w:rPr>
              <w:t>2.4%</w:t>
            </w:r>
          </w:p>
        </w:tc>
        <w:tc>
          <w:tcPr>
            <w:tcW w:w="1640" w:type="dxa"/>
            <w:vAlign w:val="bottom"/>
            <w:tcBorders>
              <w:right w:val="single" w:sz="8" w:color="auto"/>
            </w:tcBorders>
          </w:tcPr>
          <w:p>
            <w:pPr>
              <w:jc w:val="center"/>
              <w:ind w:left="209"/>
              <w:spacing w:after="0"/>
              <w:rPr>
                <w:sz w:val="20"/>
                <w:szCs w:val="20"/>
                <w:color w:val="auto"/>
              </w:rPr>
            </w:pPr>
            <w:r>
              <w:rPr>
                <w:rFonts w:ascii="Arial" w:cs="Arial" w:eastAsia="Arial" w:hAnsi="Arial"/>
                <w:sz w:val="14"/>
                <w:szCs w:val="14"/>
                <w:color w:val="auto"/>
              </w:rPr>
              <w:t>14.2%</w:t>
            </w:r>
          </w:p>
        </w:tc>
      </w:tr>
      <w:tr>
        <w:trPr>
          <w:trHeight w:val="214"/>
        </w:trPr>
        <w:tc>
          <w:tcPr>
            <w:tcW w:w="4860" w:type="dxa"/>
            <w:vAlign w:val="bottom"/>
            <w:tcBorders>
              <w:left w:val="single" w:sz="8" w:color="auto"/>
              <w:right w:val="single" w:sz="8" w:color="auto"/>
            </w:tcBorders>
          </w:tcPr>
          <w:p>
            <w:pPr>
              <w:ind w:left="60"/>
              <w:spacing w:after="0" w:line="214" w:lineRule="exact"/>
              <w:rPr>
                <w:sz w:val="20"/>
                <w:szCs w:val="20"/>
                <w:color w:val="auto"/>
              </w:rPr>
            </w:pPr>
            <w:r>
              <w:rPr>
                <w:rFonts w:ascii="Arial" w:cs="Arial" w:eastAsia="Arial" w:hAnsi="Arial"/>
                <w:sz w:val="14"/>
                <w:szCs w:val="14"/>
                <w:color w:val="auto"/>
              </w:rPr>
              <w:t xml:space="preserve">Internal overdue loans over 90-days </w:t>
            </w:r>
            <w:r>
              <w:rPr>
                <w:rFonts w:ascii="Arial" w:cs="Arial" w:eastAsia="Arial" w:hAnsi="Arial"/>
                <w:sz w:val="23"/>
                <w:szCs w:val="23"/>
                <w:color w:val="auto"/>
                <w:vertAlign w:val="superscript"/>
              </w:rPr>
              <w:t>(1)</w:t>
            </w: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4,051,717</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4,596,259</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4,667,608</w:t>
            </w:r>
          </w:p>
        </w:tc>
        <w:tc>
          <w:tcPr>
            <w:tcW w:w="920" w:type="dxa"/>
            <w:vAlign w:val="bottom"/>
          </w:tcPr>
          <w:p>
            <w:pPr>
              <w:jc w:val="center"/>
              <w:ind w:left="249"/>
              <w:spacing w:after="0"/>
              <w:rPr>
                <w:sz w:val="20"/>
                <w:szCs w:val="20"/>
                <w:color w:val="auto"/>
              </w:rPr>
            </w:pPr>
            <w:r>
              <w:rPr>
                <w:rFonts w:ascii="Arial" w:cs="Arial" w:eastAsia="Arial" w:hAnsi="Arial"/>
                <w:sz w:val="14"/>
                <w:szCs w:val="14"/>
                <w:color w:val="auto"/>
              </w:rPr>
              <w:t>1.6%</w:t>
            </w:r>
          </w:p>
        </w:tc>
        <w:tc>
          <w:tcPr>
            <w:tcW w:w="1640" w:type="dxa"/>
            <w:vAlign w:val="bottom"/>
            <w:tcBorders>
              <w:right w:val="single" w:sz="8" w:color="auto"/>
            </w:tcBorders>
          </w:tcPr>
          <w:p>
            <w:pPr>
              <w:jc w:val="center"/>
              <w:ind w:left="209"/>
              <w:spacing w:after="0"/>
              <w:rPr>
                <w:sz w:val="20"/>
                <w:szCs w:val="20"/>
                <w:color w:val="auto"/>
              </w:rPr>
            </w:pPr>
            <w:r>
              <w:rPr>
                <w:rFonts w:ascii="Arial" w:cs="Arial" w:eastAsia="Arial" w:hAnsi="Arial"/>
                <w:sz w:val="14"/>
                <w:szCs w:val="14"/>
                <w:color w:val="auto"/>
              </w:rPr>
              <w:t>15.2%</w:t>
            </w:r>
          </w:p>
        </w:tc>
      </w:tr>
      <w:tr>
        <w:trPr>
          <w:trHeight w:val="214"/>
        </w:trPr>
        <w:tc>
          <w:tcPr>
            <w:tcW w:w="4860" w:type="dxa"/>
            <w:vAlign w:val="bottom"/>
            <w:tcBorders>
              <w:left w:val="single" w:sz="8" w:color="auto"/>
              <w:right w:val="single" w:sz="8" w:color="auto"/>
            </w:tcBorders>
          </w:tcPr>
          <w:p>
            <w:pPr>
              <w:ind w:left="60"/>
              <w:spacing w:after="0" w:line="214" w:lineRule="exact"/>
              <w:rPr>
                <w:sz w:val="20"/>
                <w:szCs w:val="20"/>
                <w:color w:val="auto"/>
              </w:rPr>
            </w:pPr>
            <w:r>
              <w:rPr>
                <w:rFonts w:ascii="Arial" w:cs="Arial" w:eastAsia="Arial" w:hAnsi="Arial"/>
                <w:sz w:val="14"/>
                <w:szCs w:val="14"/>
                <w:color w:val="auto"/>
              </w:rPr>
              <w:t xml:space="preserve">Refinanced loans </w:t>
            </w:r>
            <w:r>
              <w:rPr>
                <w:rFonts w:ascii="Arial" w:cs="Arial" w:eastAsia="Arial" w:hAnsi="Arial"/>
                <w:sz w:val="23"/>
                <w:szCs w:val="23"/>
                <w:color w:val="auto"/>
                <w:vertAlign w:val="superscript"/>
              </w:rPr>
              <w:t>(2)</w:t>
            </w: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1,798,965</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1,686,186</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1,808,982</w:t>
            </w:r>
          </w:p>
        </w:tc>
        <w:tc>
          <w:tcPr>
            <w:tcW w:w="920" w:type="dxa"/>
            <w:vAlign w:val="bottom"/>
          </w:tcPr>
          <w:p>
            <w:pPr>
              <w:jc w:val="center"/>
              <w:ind w:left="249"/>
              <w:spacing w:after="0"/>
              <w:rPr>
                <w:sz w:val="20"/>
                <w:szCs w:val="20"/>
                <w:color w:val="auto"/>
              </w:rPr>
            </w:pPr>
            <w:r>
              <w:rPr>
                <w:rFonts w:ascii="Arial" w:cs="Arial" w:eastAsia="Arial" w:hAnsi="Arial"/>
                <w:sz w:val="14"/>
                <w:szCs w:val="14"/>
                <w:color w:val="auto"/>
              </w:rPr>
              <w:t>7.3%</w:t>
            </w:r>
          </w:p>
        </w:tc>
        <w:tc>
          <w:tcPr>
            <w:tcW w:w="1640" w:type="dxa"/>
            <w:vAlign w:val="bottom"/>
            <w:tcBorders>
              <w:right w:val="single" w:sz="8" w:color="auto"/>
            </w:tcBorders>
          </w:tcPr>
          <w:p>
            <w:pPr>
              <w:jc w:val="center"/>
              <w:ind w:left="209"/>
              <w:spacing w:after="0"/>
              <w:rPr>
                <w:sz w:val="20"/>
                <w:szCs w:val="20"/>
                <w:color w:val="auto"/>
              </w:rPr>
            </w:pPr>
            <w:r>
              <w:rPr>
                <w:rFonts w:ascii="Arial" w:cs="Arial" w:eastAsia="Arial" w:hAnsi="Arial"/>
                <w:sz w:val="14"/>
                <w:szCs w:val="14"/>
                <w:color w:val="auto"/>
              </w:rPr>
              <w:t>0.6%</w:t>
            </w:r>
          </w:p>
        </w:tc>
      </w:tr>
      <w:tr>
        <w:trPr>
          <w:trHeight w:val="220"/>
        </w:trPr>
        <w:tc>
          <w:tcPr>
            <w:tcW w:w="4860" w:type="dxa"/>
            <w:vAlign w:val="bottom"/>
            <w:tcBorders>
              <w:left w:val="single" w:sz="8" w:color="auto"/>
              <w:bottom w:val="single" w:sz="8" w:color="auto"/>
              <w:right w:val="single" w:sz="8" w:color="auto"/>
            </w:tcBorders>
          </w:tcPr>
          <w:p>
            <w:pPr>
              <w:ind w:left="60"/>
              <w:spacing w:after="0" w:line="213" w:lineRule="exact"/>
              <w:rPr>
                <w:sz w:val="20"/>
                <w:szCs w:val="20"/>
                <w:color w:val="auto"/>
              </w:rPr>
            </w:pPr>
            <w:r>
              <w:rPr>
                <w:rFonts w:ascii="Arial" w:cs="Arial" w:eastAsia="Arial" w:hAnsi="Arial"/>
                <w:sz w:val="14"/>
                <w:szCs w:val="14"/>
                <w:color w:val="auto"/>
              </w:rPr>
              <w:t xml:space="preserve">Non-performing loans (NPLs) </w:t>
            </w:r>
            <w:r>
              <w:rPr>
                <w:rFonts w:ascii="Arial" w:cs="Arial" w:eastAsia="Arial" w:hAnsi="Arial"/>
                <w:sz w:val="23"/>
                <w:szCs w:val="23"/>
                <w:color w:val="auto"/>
                <w:vertAlign w:val="superscript"/>
              </w:rPr>
              <w:t>(3)</w:t>
            </w:r>
          </w:p>
        </w:tc>
        <w:tc>
          <w:tcPr>
            <w:tcW w:w="15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7,272,650</w:t>
            </w:r>
          </w:p>
        </w:tc>
        <w:tc>
          <w:tcPr>
            <w:tcW w:w="12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7,791,442</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8,059,113</w:t>
            </w:r>
          </w:p>
        </w:tc>
        <w:tc>
          <w:tcPr>
            <w:tcW w:w="92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color w:val="auto"/>
              </w:rPr>
              <w:t>3.4%</w:t>
            </w:r>
          </w:p>
        </w:tc>
        <w:tc>
          <w:tcPr>
            <w:tcW w:w="1640" w:type="dxa"/>
            <w:vAlign w:val="bottom"/>
            <w:tcBorders>
              <w:bottom w:val="single" w:sz="8" w:color="auto"/>
              <w:right w:val="single" w:sz="8" w:color="auto"/>
            </w:tcBorders>
          </w:tcPr>
          <w:p>
            <w:pPr>
              <w:jc w:val="center"/>
              <w:ind w:left="209"/>
              <w:spacing w:after="0"/>
              <w:rPr>
                <w:sz w:val="20"/>
                <w:szCs w:val="20"/>
                <w:color w:val="auto"/>
              </w:rPr>
            </w:pPr>
            <w:r>
              <w:rPr>
                <w:rFonts w:ascii="Arial" w:cs="Arial" w:eastAsia="Arial" w:hAnsi="Arial"/>
                <w:sz w:val="14"/>
                <w:szCs w:val="14"/>
                <w:color w:val="auto"/>
              </w:rPr>
              <w:t>10.8%</w:t>
            </w:r>
          </w:p>
        </w:tc>
      </w:tr>
      <w:tr>
        <w:trPr>
          <w:trHeight w:val="213"/>
        </w:trPr>
        <w:tc>
          <w:tcPr>
            <w:tcW w:w="4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IOL ratio</w:t>
            </w:r>
          </w:p>
        </w:tc>
        <w:tc>
          <w:tcPr>
            <w:tcW w:w="1520" w:type="dxa"/>
            <w:vAlign w:val="bottom"/>
          </w:tcPr>
          <w:p>
            <w:pPr>
              <w:jc w:val="right"/>
              <w:ind w:right="149"/>
              <w:spacing w:after="0"/>
              <w:rPr>
                <w:sz w:val="20"/>
                <w:szCs w:val="20"/>
                <w:color w:val="auto"/>
              </w:rPr>
            </w:pPr>
            <w:r>
              <w:rPr>
                <w:rFonts w:ascii="Arial" w:cs="Arial" w:eastAsia="Arial" w:hAnsi="Arial"/>
                <w:sz w:val="14"/>
                <w:szCs w:val="14"/>
                <w:b w:val="1"/>
                <w:bCs w:val="1"/>
                <w:color w:val="auto"/>
              </w:rPr>
              <w:t>3.73%</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4.06%</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4.13%</w:t>
            </w:r>
          </w:p>
        </w:tc>
        <w:tc>
          <w:tcPr>
            <w:tcW w:w="920" w:type="dxa"/>
            <w:vAlign w:val="bottom"/>
          </w:tcPr>
          <w:p>
            <w:pPr>
              <w:jc w:val="center"/>
              <w:ind w:left="229"/>
              <w:spacing w:after="0"/>
              <w:rPr>
                <w:sz w:val="20"/>
                <w:szCs w:val="20"/>
                <w:color w:val="auto"/>
              </w:rPr>
            </w:pPr>
            <w:r>
              <w:rPr>
                <w:rFonts w:ascii="Arial" w:cs="Arial" w:eastAsia="Arial" w:hAnsi="Arial"/>
                <w:sz w:val="14"/>
                <w:szCs w:val="14"/>
                <w:color w:val="auto"/>
                <w:w w:val="99"/>
              </w:rPr>
              <w:t>7 bps</w:t>
            </w:r>
          </w:p>
        </w:tc>
        <w:tc>
          <w:tcPr>
            <w:tcW w:w="1640" w:type="dxa"/>
            <w:vAlign w:val="bottom"/>
            <w:tcBorders>
              <w:right w:val="single" w:sz="8" w:color="auto"/>
            </w:tcBorders>
          </w:tcPr>
          <w:p>
            <w:pPr>
              <w:jc w:val="center"/>
              <w:ind w:left="209"/>
              <w:spacing w:after="0"/>
              <w:rPr>
                <w:sz w:val="20"/>
                <w:szCs w:val="20"/>
                <w:color w:val="auto"/>
              </w:rPr>
            </w:pPr>
            <w:r>
              <w:rPr>
                <w:rFonts w:ascii="Arial" w:cs="Arial" w:eastAsia="Arial" w:hAnsi="Arial"/>
                <w:sz w:val="14"/>
                <w:szCs w:val="14"/>
                <w:color w:val="auto"/>
              </w:rPr>
              <w:t>40 bps</w:t>
            </w:r>
          </w:p>
        </w:tc>
      </w:tr>
      <w:tr>
        <w:trPr>
          <w:trHeight w:val="214"/>
        </w:trPr>
        <w:tc>
          <w:tcPr>
            <w:tcW w:w="4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IOL over 90-days ratio</w:t>
            </w:r>
          </w:p>
        </w:tc>
        <w:tc>
          <w:tcPr>
            <w:tcW w:w="1520" w:type="dxa"/>
            <w:vAlign w:val="bottom"/>
          </w:tcPr>
          <w:p>
            <w:pPr>
              <w:jc w:val="right"/>
              <w:ind w:right="149"/>
              <w:spacing w:after="0"/>
              <w:rPr>
                <w:sz w:val="20"/>
                <w:szCs w:val="20"/>
                <w:color w:val="auto"/>
              </w:rPr>
            </w:pPr>
            <w:r>
              <w:rPr>
                <w:rFonts w:ascii="Arial" w:cs="Arial" w:eastAsia="Arial" w:hAnsi="Arial"/>
                <w:sz w:val="14"/>
                <w:szCs w:val="14"/>
                <w:b w:val="1"/>
                <w:bCs w:val="1"/>
                <w:color w:val="auto"/>
              </w:rPr>
              <w:t>2.76%</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3.06%</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3.08%</w:t>
            </w:r>
          </w:p>
        </w:tc>
        <w:tc>
          <w:tcPr>
            <w:tcW w:w="920" w:type="dxa"/>
            <w:vAlign w:val="bottom"/>
          </w:tcPr>
          <w:p>
            <w:pPr>
              <w:jc w:val="center"/>
              <w:ind w:left="229"/>
              <w:spacing w:after="0"/>
              <w:rPr>
                <w:sz w:val="20"/>
                <w:szCs w:val="20"/>
                <w:color w:val="auto"/>
              </w:rPr>
            </w:pPr>
            <w:r>
              <w:rPr>
                <w:rFonts w:ascii="Arial" w:cs="Arial" w:eastAsia="Arial" w:hAnsi="Arial"/>
                <w:sz w:val="14"/>
                <w:szCs w:val="14"/>
                <w:color w:val="auto"/>
                <w:w w:val="99"/>
              </w:rPr>
              <w:t>2 bps</w:t>
            </w:r>
          </w:p>
        </w:tc>
        <w:tc>
          <w:tcPr>
            <w:tcW w:w="1640" w:type="dxa"/>
            <w:vAlign w:val="bottom"/>
            <w:tcBorders>
              <w:right w:val="single" w:sz="8" w:color="auto"/>
            </w:tcBorders>
          </w:tcPr>
          <w:p>
            <w:pPr>
              <w:jc w:val="center"/>
              <w:ind w:left="209"/>
              <w:spacing w:after="0"/>
              <w:rPr>
                <w:sz w:val="20"/>
                <w:szCs w:val="20"/>
                <w:color w:val="auto"/>
              </w:rPr>
            </w:pPr>
            <w:r>
              <w:rPr>
                <w:rFonts w:ascii="Arial" w:cs="Arial" w:eastAsia="Arial" w:hAnsi="Arial"/>
                <w:sz w:val="14"/>
                <w:szCs w:val="14"/>
                <w:color w:val="auto"/>
              </w:rPr>
              <w:t>32 bps</w:t>
            </w:r>
          </w:p>
        </w:tc>
      </w:tr>
      <w:tr>
        <w:trPr>
          <w:trHeight w:val="214"/>
        </w:trPr>
        <w:tc>
          <w:tcPr>
            <w:tcW w:w="4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NPL ratio</w:t>
            </w:r>
          </w:p>
        </w:tc>
        <w:tc>
          <w:tcPr>
            <w:tcW w:w="1520" w:type="dxa"/>
            <w:vAlign w:val="bottom"/>
          </w:tcPr>
          <w:p>
            <w:pPr>
              <w:jc w:val="right"/>
              <w:ind w:right="149"/>
              <w:spacing w:after="0"/>
              <w:rPr>
                <w:sz w:val="20"/>
                <w:szCs w:val="20"/>
                <w:color w:val="auto"/>
              </w:rPr>
            </w:pPr>
            <w:r>
              <w:rPr>
                <w:rFonts w:ascii="Arial" w:cs="Arial" w:eastAsia="Arial" w:hAnsi="Arial"/>
                <w:sz w:val="14"/>
                <w:szCs w:val="14"/>
                <w:b w:val="1"/>
                <w:bCs w:val="1"/>
                <w:color w:val="auto"/>
              </w:rPr>
              <w:t>4.96%</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5.18%</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5.32%</w:t>
            </w:r>
          </w:p>
        </w:tc>
        <w:tc>
          <w:tcPr>
            <w:tcW w:w="920" w:type="dxa"/>
            <w:vAlign w:val="bottom"/>
          </w:tcPr>
          <w:p>
            <w:pPr>
              <w:jc w:val="center"/>
              <w:ind w:left="229"/>
              <w:spacing w:after="0"/>
              <w:rPr>
                <w:sz w:val="20"/>
                <w:szCs w:val="20"/>
                <w:color w:val="auto"/>
              </w:rPr>
            </w:pPr>
            <w:r>
              <w:rPr>
                <w:rFonts w:ascii="Arial" w:cs="Arial" w:eastAsia="Arial" w:hAnsi="Arial"/>
                <w:sz w:val="14"/>
                <w:szCs w:val="14"/>
                <w:color w:val="auto"/>
                <w:w w:val="99"/>
              </w:rPr>
              <w:t>14 bps</w:t>
            </w:r>
          </w:p>
        </w:tc>
        <w:tc>
          <w:tcPr>
            <w:tcW w:w="1640" w:type="dxa"/>
            <w:vAlign w:val="bottom"/>
            <w:tcBorders>
              <w:right w:val="single" w:sz="8" w:color="auto"/>
            </w:tcBorders>
          </w:tcPr>
          <w:p>
            <w:pPr>
              <w:jc w:val="center"/>
              <w:ind w:left="209"/>
              <w:spacing w:after="0"/>
              <w:rPr>
                <w:sz w:val="20"/>
                <w:szCs w:val="20"/>
                <w:color w:val="auto"/>
              </w:rPr>
            </w:pPr>
            <w:r>
              <w:rPr>
                <w:rFonts w:ascii="Arial" w:cs="Arial" w:eastAsia="Arial" w:hAnsi="Arial"/>
                <w:sz w:val="14"/>
                <w:szCs w:val="14"/>
                <w:color w:val="auto"/>
              </w:rPr>
              <w:t>36 bps</w:t>
            </w:r>
          </w:p>
        </w:tc>
      </w:tr>
      <w:tr>
        <w:trPr>
          <w:trHeight w:val="214"/>
        </w:trPr>
        <w:tc>
          <w:tcPr>
            <w:tcW w:w="4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b w:val="1"/>
                <w:bCs w:val="1"/>
                <w:color w:val="auto"/>
              </w:rPr>
              <w:t>Allowance for loan losses over Total loans</w:t>
            </w:r>
          </w:p>
        </w:tc>
        <w:tc>
          <w:tcPr>
            <w:tcW w:w="1520" w:type="dxa"/>
            <w:vAlign w:val="bottom"/>
          </w:tcPr>
          <w:p>
            <w:pPr>
              <w:jc w:val="right"/>
              <w:ind w:right="149"/>
              <w:spacing w:after="0"/>
              <w:rPr>
                <w:sz w:val="20"/>
                <w:szCs w:val="20"/>
                <w:color w:val="auto"/>
              </w:rPr>
            </w:pPr>
            <w:r>
              <w:rPr>
                <w:rFonts w:ascii="Arial" w:cs="Arial" w:eastAsia="Arial" w:hAnsi="Arial"/>
                <w:sz w:val="14"/>
                <w:szCs w:val="14"/>
                <w:b w:val="1"/>
                <w:bCs w:val="1"/>
                <w:color w:val="auto"/>
              </w:rPr>
              <w:t>6.2%</w:t>
            </w:r>
          </w:p>
        </w:tc>
        <w:tc>
          <w:tcPr>
            <w:tcW w:w="1240" w:type="dxa"/>
            <w:vAlign w:val="bottom"/>
          </w:tcPr>
          <w:p>
            <w:pPr>
              <w:jc w:val="right"/>
              <w:ind w:right="129"/>
              <w:spacing w:after="0"/>
              <w:rPr>
                <w:sz w:val="20"/>
                <w:szCs w:val="20"/>
                <w:color w:val="auto"/>
              </w:rPr>
            </w:pPr>
            <w:r>
              <w:rPr>
                <w:rFonts w:ascii="Arial" w:cs="Arial" w:eastAsia="Arial" w:hAnsi="Arial"/>
                <w:sz w:val="14"/>
                <w:szCs w:val="14"/>
                <w:b w:val="1"/>
                <w:bCs w:val="1"/>
                <w:color w:val="auto"/>
              </w:rPr>
              <w:t>5.5%</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920" w:type="dxa"/>
            <w:vAlign w:val="bottom"/>
          </w:tcPr>
          <w:p>
            <w:pPr>
              <w:jc w:val="center"/>
              <w:ind w:left="249"/>
              <w:spacing w:after="0"/>
              <w:rPr>
                <w:sz w:val="20"/>
                <w:szCs w:val="20"/>
                <w:color w:val="auto"/>
              </w:rPr>
            </w:pPr>
            <w:r>
              <w:rPr>
                <w:rFonts w:ascii="Arial" w:cs="Arial" w:eastAsia="Arial" w:hAnsi="Arial"/>
                <w:sz w:val="14"/>
                <w:szCs w:val="14"/>
                <w:color w:val="auto"/>
              </w:rPr>
              <w:t>-22 bps</w:t>
            </w:r>
          </w:p>
        </w:tc>
        <w:tc>
          <w:tcPr>
            <w:tcW w:w="1640" w:type="dxa"/>
            <w:vAlign w:val="bottom"/>
            <w:tcBorders>
              <w:right w:val="single" w:sz="8" w:color="auto"/>
            </w:tcBorders>
          </w:tcPr>
          <w:p>
            <w:pPr>
              <w:jc w:val="center"/>
              <w:ind w:left="209"/>
              <w:spacing w:after="0"/>
              <w:rPr>
                <w:sz w:val="20"/>
                <w:szCs w:val="20"/>
                <w:color w:val="auto"/>
              </w:rPr>
            </w:pPr>
            <w:r>
              <w:rPr>
                <w:rFonts w:ascii="Arial" w:cs="Arial" w:eastAsia="Arial" w:hAnsi="Arial"/>
                <w:sz w:val="14"/>
                <w:szCs w:val="14"/>
                <w:color w:val="auto"/>
              </w:rPr>
              <w:t>-89 bps</w:t>
            </w:r>
          </w:p>
        </w:tc>
      </w:tr>
      <w:tr>
        <w:trPr>
          <w:trHeight w:val="208"/>
        </w:trPr>
        <w:tc>
          <w:tcPr>
            <w:tcW w:w="4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Coverage ratio of IOLs</w:t>
            </w: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165.8%</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136.1%</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920" w:type="dxa"/>
            <w:vAlign w:val="bottom"/>
          </w:tcPr>
          <w:p>
            <w:pPr>
              <w:jc w:val="center"/>
              <w:ind w:left="249"/>
              <w:spacing w:after="0"/>
              <w:rPr>
                <w:sz w:val="20"/>
                <w:szCs w:val="20"/>
                <w:color w:val="auto"/>
              </w:rPr>
            </w:pPr>
            <w:r>
              <w:rPr>
                <w:rFonts w:ascii="Arial" w:cs="Arial" w:eastAsia="Arial" w:hAnsi="Arial"/>
                <w:sz w:val="14"/>
                <w:szCs w:val="14"/>
                <w:color w:val="auto"/>
              </w:rPr>
              <w:t>-757 bps</w:t>
            </w:r>
          </w:p>
        </w:tc>
        <w:tc>
          <w:tcPr>
            <w:tcW w:w="1640" w:type="dxa"/>
            <w:vAlign w:val="bottom"/>
            <w:tcBorders>
              <w:right w:val="single" w:sz="8" w:color="auto"/>
            </w:tcBorders>
          </w:tcPr>
          <w:p>
            <w:pPr>
              <w:jc w:val="center"/>
              <w:ind w:left="209"/>
              <w:spacing w:after="0"/>
              <w:rPr>
                <w:sz w:val="20"/>
                <w:szCs w:val="20"/>
                <w:color w:val="auto"/>
              </w:rPr>
            </w:pPr>
            <w:r>
              <w:rPr>
                <w:rFonts w:ascii="Arial" w:cs="Arial" w:eastAsia="Arial" w:hAnsi="Arial"/>
                <w:sz w:val="14"/>
                <w:szCs w:val="14"/>
                <w:color w:val="auto"/>
              </w:rPr>
              <w:t>-3736 bps</w:t>
            </w:r>
          </w:p>
        </w:tc>
      </w:tr>
      <w:tr>
        <w:trPr>
          <w:trHeight w:val="214"/>
        </w:trPr>
        <w:tc>
          <w:tcPr>
            <w:tcW w:w="48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Coverage ratio of IOL 90-days</w:t>
            </w:r>
          </w:p>
        </w:tc>
        <w:tc>
          <w:tcPr>
            <w:tcW w:w="1520" w:type="dxa"/>
            <w:vAlign w:val="bottom"/>
          </w:tcPr>
          <w:p>
            <w:pPr>
              <w:jc w:val="right"/>
              <w:ind w:right="149"/>
              <w:spacing w:after="0"/>
              <w:rPr>
                <w:sz w:val="20"/>
                <w:szCs w:val="20"/>
                <w:color w:val="auto"/>
              </w:rPr>
            </w:pPr>
            <w:r>
              <w:rPr>
                <w:rFonts w:ascii="Arial" w:cs="Arial" w:eastAsia="Arial" w:hAnsi="Arial"/>
                <w:sz w:val="14"/>
                <w:szCs w:val="14"/>
                <w:color w:val="auto"/>
              </w:rPr>
              <w:t>224.0%</w:t>
            </w:r>
          </w:p>
        </w:tc>
        <w:tc>
          <w:tcPr>
            <w:tcW w:w="1240" w:type="dxa"/>
            <w:vAlign w:val="bottom"/>
          </w:tcPr>
          <w:p>
            <w:pPr>
              <w:jc w:val="right"/>
              <w:ind w:right="129"/>
              <w:spacing w:after="0"/>
              <w:rPr>
                <w:sz w:val="20"/>
                <w:szCs w:val="20"/>
                <w:color w:val="auto"/>
              </w:rPr>
            </w:pPr>
            <w:r>
              <w:rPr>
                <w:rFonts w:ascii="Arial" w:cs="Arial" w:eastAsia="Arial" w:hAnsi="Arial"/>
                <w:sz w:val="14"/>
                <w:szCs w:val="14"/>
                <w:color w:val="auto"/>
              </w:rPr>
              <w:t>180.7%</w:t>
            </w: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172.0%</w:t>
            </w:r>
          </w:p>
        </w:tc>
        <w:tc>
          <w:tcPr>
            <w:tcW w:w="920" w:type="dxa"/>
            <w:vAlign w:val="bottom"/>
          </w:tcPr>
          <w:p>
            <w:pPr>
              <w:jc w:val="center"/>
              <w:ind w:left="249"/>
              <w:spacing w:after="0"/>
              <w:rPr>
                <w:sz w:val="20"/>
                <w:szCs w:val="20"/>
                <w:color w:val="auto"/>
              </w:rPr>
            </w:pPr>
            <w:r>
              <w:rPr>
                <w:rFonts w:ascii="Arial" w:cs="Arial" w:eastAsia="Arial" w:hAnsi="Arial"/>
                <w:sz w:val="14"/>
                <w:szCs w:val="14"/>
                <w:color w:val="auto"/>
              </w:rPr>
              <w:t>-868 bps</w:t>
            </w:r>
          </w:p>
        </w:tc>
        <w:tc>
          <w:tcPr>
            <w:tcW w:w="1640" w:type="dxa"/>
            <w:vAlign w:val="bottom"/>
            <w:tcBorders>
              <w:right w:val="single" w:sz="8" w:color="auto"/>
            </w:tcBorders>
          </w:tcPr>
          <w:p>
            <w:pPr>
              <w:jc w:val="center"/>
              <w:ind w:left="209"/>
              <w:spacing w:after="0"/>
              <w:rPr>
                <w:sz w:val="20"/>
                <w:szCs w:val="20"/>
                <w:color w:val="auto"/>
              </w:rPr>
            </w:pPr>
            <w:r>
              <w:rPr>
                <w:rFonts w:ascii="Arial" w:cs="Arial" w:eastAsia="Arial" w:hAnsi="Arial"/>
                <w:sz w:val="14"/>
                <w:szCs w:val="14"/>
                <w:color w:val="auto"/>
              </w:rPr>
              <w:t>-5200 bps</w:t>
            </w:r>
          </w:p>
        </w:tc>
      </w:tr>
      <w:tr>
        <w:trPr>
          <w:trHeight w:val="229"/>
        </w:trPr>
        <w:tc>
          <w:tcPr>
            <w:tcW w:w="48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Coverage ratio of NPLs</w:t>
            </w:r>
          </w:p>
        </w:tc>
        <w:tc>
          <w:tcPr>
            <w:tcW w:w="15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124.8%</w:t>
            </w:r>
          </w:p>
        </w:tc>
        <w:tc>
          <w:tcPr>
            <w:tcW w:w="124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106.6%</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99.6%</w:t>
            </w:r>
          </w:p>
        </w:tc>
        <w:tc>
          <w:tcPr>
            <w:tcW w:w="92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color w:val="auto"/>
              </w:rPr>
              <w:t>-697 bps</w:t>
            </w:r>
          </w:p>
        </w:tc>
        <w:tc>
          <w:tcPr>
            <w:tcW w:w="1640" w:type="dxa"/>
            <w:vAlign w:val="bottom"/>
            <w:tcBorders>
              <w:bottom w:val="single" w:sz="8" w:color="auto"/>
              <w:right w:val="single" w:sz="8" w:color="auto"/>
            </w:tcBorders>
          </w:tcPr>
          <w:p>
            <w:pPr>
              <w:jc w:val="center"/>
              <w:ind w:left="209"/>
              <w:spacing w:after="0"/>
              <w:rPr>
                <w:sz w:val="20"/>
                <w:szCs w:val="20"/>
                <w:color w:val="auto"/>
              </w:rPr>
            </w:pPr>
            <w:r>
              <w:rPr>
                <w:rFonts w:ascii="Arial" w:cs="Arial" w:eastAsia="Arial" w:hAnsi="Arial"/>
                <w:sz w:val="14"/>
                <w:szCs w:val="14"/>
                <w:color w:val="auto"/>
              </w:rPr>
              <w:t>-2518 bps</w:t>
            </w:r>
          </w:p>
        </w:tc>
      </w:tr>
    </w:tbl>
    <w:p>
      <w:pPr>
        <w:ind w:left="180" w:hanging="173"/>
        <w:spacing w:after="0"/>
        <w:tabs>
          <w:tab w:leader="none" w:pos="1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Overdue Loans and Loans under legal collection. (Quarter-end balances net of deferred earnings).</w:t>
      </w:r>
    </w:p>
    <w:p>
      <w:pPr>
        <w:ind w:left="180" w:hanging="173"/>
        <w:spacing w:after="0" w:line="232" w:lineRule="auto"/>
        <w:tabs>
          <w:tab w:leader="none" w:pos="1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Figures net of deferred earnings.</w:t>
      </w:r>
    </w:p>
    <w:p>
      <w:pPr>
        <w:ind w:left="180" w:hanging="173"/>
        <w:spacing w:after="0"/>
        <w:tabs>
          <w:tab w:leader="none" w:pos="18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Non-performing Loans include Internal overdue loans and Refinanced loans. (Quarter-end balances net of deferred earnings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context, the NPL ratio increased 14bps QoQ and 36bps YoY due to deterioration and amortization in the GP portfolio.</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22" w:name="page23"/>
    <w:bookmarkEnd w:id="22"/>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02 </w:t>
      </w:r>
      <w:r>
        <w:rPr>
          <w:rFonts w:ascii="Times New Roman" w:cs="Times New Roman" w:eastAsia="Times New Roman" w:hAnsi="Times New Roman"/>
          <w:sz w:val="32"/>
          <w:szCs w:val="32"/>
          <w:b w:val="1"/>
          <w:bCs w:val="1"/>
          <w:color w:val="E93C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6497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3590" cy="1649730"/>
                    </a:xfrm>
                    <a:prstGeom prst="rect">
                      <a:avLst/>
                    </a:prstGeom>
                    <a:noFill/>
                  </pic:spPr>
                </pic:pic>
              </a:graphicData>
            </a:graphic>
          </wp:anchor>
        </w:drawing>
      </w:r>
    </w:p>
    <w:p>
      <w:pPr>
        <w:spacing w:after="0" w:line="348" w:lineRule="exact"/>
        <w:rPr>
          <w:sz w:val="20"/>
          <w:szCs w:val="20"/>
          <w:color w:val="auto"/>
        </w:rPr>
      </w:pPr>
    </w:p>
    <w:p>
      <w:pPr>
        <w:jc w:val="both"/>
        <w:ind w:left="120" w:right="100"/>
        <w:spacing w:after="0" w:line="243" w:lineRule="auto"/>
        <w:rPr>
          <w:sz w:val="20"/>
          <w:szCs w:val="20"/>
          <w:color w:val="auto"/>
        </w:rPr>
      </w:pPr>
      <w:r>
        <w:rPr>
          <w:rFonts w:ascii="Arial" w:cs="Arial" w:eastAsia="Arial" w:hAnsi="Arial"/>
          <w:sz w:val="18"/>
          <w:szCs w:val="18"/>
          <w:color w:val="FFFFFF"/>
        </w:rPr>
        <w:t>At the end of 3Q22, 71.1% of total deposits were low-cost, which represents a competitive advantage in a context of rising interest rates. In YoY terms, low-cost deposits decreased 4.1% (at a constant exchange rate). This drop was driven mainly by a reduction in demand deposits held by companies that amortized GP loans. Severance Indemnity Deposits dropped 19.0% (at a constant exchange rate) after restrictions on fund withdrawals were lifted.</w:t>
      </w:r>
    </w:p>
    <w:p>
      <w:pPr>
        <w:spacing w:after="0" w:line="99" w:lineRule="exact"/>
        <w:rPr>
          <w:sz w:val="20"/>
          <w:szCs w:val="20"/>
          <w:color w:val="auto"/>
        </w:rPr>
      </w:pPr>
    </w:p>
    <w:p>
      <w:pPr>
        <w:jc w:val="both"/>
        <w:ind w:left="120" w:right="120"/>
        <w:spacing w:after="0" w:line="265" w:lineRule="auto"/>
        <w:rPr>
          <w:sz w:val="20"/>
          <w:szCs w:val="20"/>
          <w:color w:val="auto"/>
        </w:rPr>
      </w:pPr>
      <w:r>
        <w:rPr>
          <w:rFonts w:ascii="Arial" w:cs="Arial" w:eastAsia="Arial" w:hAnsi="Arial"/>
          <w:sz w:val="18"/>
          <w:szCs w:val="18"/>
          <w:color w:val="FFFFFF"/>
        </w:rPr>
        <w:t>Time Deposits, which received an inflow of funds from low-cost deposits as clients moved to take advantage of higher interest rates, registered an upward trend.</w:t>
      </w:r>
    </w:p>
    <w:p>
      <w:pPr>
        <w:spacing w:after="0" w:line="279" w:lineRule="exact"/>
        <w:rPr>
          <w:sz w:val="20"/>
          <w:szCs w:val="20"/>
          <w:color w:val="auto"/>
        </w:rPr>
      </w:pPr>
    </w:p>
    <w:p>
      <w:pPr>
        <w:jc w:val="both"/>
        <w:ind w:left="120" w:right="120"/>
        <w:spacing w:after="0" w:line="265" w:lineRule="auto"/>
        <w:rPr>
          <w:sz w:val="20"/>
          <w:szCs w:val="20"/>
          <w:color w:val="auto"/>
        </w:rPr>
      </w:pPr>
      <w:r>
        <w:rPr>
          <w:rFonts w:ascii="Arial" w:cs="Arial" w:eastAsia="Arial" w:hAnsi="Arial"/>
          <w:sz w:val="18"/>
          <w:szCs w:val="18"/>
          <w:color w:val="FFFFFF"/>
        </w:rPr>
        <w:t>At the end of August 2022, BCP Stand-alone + Mibanco’s market share stood at 35.7% (+44bps with regard to Sept 21). This improvement was spurred mainly by growth in the MS of Time Deposits in a context of higher rates.</w:t>
      </w: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82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Deposits</w:t>
            </w:r>
          </w:p>
        </w:tc>
        <w:tc>
          <w:tcPr>
            <w:tcW w:w="1700" w:type="dxa"/>
            <w:vAlign w:val="bottom"/>
            <w:tcBorders>
              <w:top w:val="single" w:sz="8" w:color="auto"/>
            </w:tcBorders>
            <w:shd w:val="clear" w:color="auto" w:fill="2AD2C9"/>
          </w:tcPr>
          <w:p>
            <w:pPr>
              <w:spacing w:after="0"/>
              <w:rPr>
                <w:sz w:val="18"/>
                <w:szCs w:val="18"/>
                <w:color w:val="auto"/>
              </w:rPr>
            </w:pPr>
          </w:p>
        </w:tc>
        <w:tc>
          <w:tcPr>
            <w:tcW w:w="1520" w:type="dxa"/>
            <w:vAlign w:val="bottom"/>
            <w:tcBorders>
              <w:top w:val="single" w:sz="8" w:color="auto"/>
            </w:tcBorders>
            <w:shd w:val="clear" w:color="auto" w:fill="2AD2C9"/>
          </w:tcPr>
          <w:p>
            <w:pPr>
              <w:jc w:val="right"/>
              <w:ind w:right="631"/>
              <w:spacing w:after="0"/>
              <w:rPr>
                <w:sz w:val="20"/>
                <w:szCs w:val="20"/>
                <w:color w:val="auto"/>
              </w:rPr>
            </w:pPr>
            <w:r>
              <w:rPr>
                <w:rFonts w:ascii="Arial" w:cs="Arial" w:eastAsia="Arial" w:hAnsi="Arial"/>
                <w:sz w:val="18"/>
                <w:szCs w:val="18"/>
                <w:b w:val="1"/>
                <w:bCs w:val="1"/>
                <w:color w:val="FFFFFF"/>
              </w:rPr>
              <w:t>As of</w:t>
            </w:r>
          </w:p>
        </w:tc>
        <w:tc>
          <w:tcPr>
            <w:tcW w:w="1340" w:type="dxa"/>
            <w:vAlign w:val="bottom"/>
            <w:tcBorders>
              <w:top w:val="single" w:sz="8" w:color="auto"/>
              <w:right w:val="single" w:sz="8" w:color="auto"/>
            </w:tcBorders>
            <w:shd w:val="clear" w:color="auto" w:fill="2AD2C9"/>
          </w:tcPr>
          <w:p>
            <w:pPr>
              <w:spacing w:after="0"/>
              <w:rPr>
                <w:sz w:val="18"/>
                <w:szCs w:val="18"/>
                <w:color w:val="auto"/>
              </w:rPr>
            </w:pPr>
          </w:p>
        </w:tc>
        <w:tc>
          <w:tcPr>
            <w:tcW w:w="1940" w:type="dxa"/>
            <w:vAlign w:val="bottom"/>
            <w:tcBorders>
              <w:top w:val="single" w:sz="8" w:color="auto"/>
              <w:right w:val="single" w:sz="8" w:color="auto"/>
            </w:tcBorders>
            <w:gridSpan w:val="2"/>
            <w:shd w:val="clear" w:color="auto" w:fill="2AD2C9"/>
          </w:tcPr>
          <w:p>
            <w:pPr>
              <w:ind w:left="540"/>
              <w:spacing w:after="0"/>
              <w:rPr>
                <w:sz w:val="20"/>
                <w:szCs w:val="20"/>
                <w:color w:val="auto"/>
              </w:rPr>
            </w:pPr>
            <w:r>
              <w:rPr>
                <w:rFonts w:ascii="Arial" w:cs="Arial" w:eastAsia="Arial" w:hAnsi="Arial"/>
                <w:sz w:val="18"/>
                <w:szCs w:val="18"/>
                <w:b w:val="1"/>
                <w:bCs w:val="1"/>
                <w:color w:val="FFFFFF"/>
              </w:rPr>
              <w:t>% change</w:t>
            </w:r>
          </w:p>
        </w:tc>
        <w:tc>
          <w:tcPr>
            <w:tcW w:w="192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8"/>
                <w:szCs w:val="18"/>
                <w:b w:val="1"/>
                <w:bCs w:val="1"/>
                <w:color w:val="FFFFFF"/>
              </w:rPr>
              <w:t>Currency</w:t>
            </w:r>
          </w:p>
        </w:tc>
      </w:tr>
      <w:tr>
        <w:trPr>
          <w:trHeight w:val="226"/>
        </w:trPr>
        <w:tc>
          <w:tcPr>
            <w:tcW w:w="282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1700" w:type="dxa"/>
            <w:vAlign w:val="bottom"/>
            <w:tcBorders>
              <w:bottom w:val="single" w:sz="8" w:color="auto"/>
            </w:tcBorders>
            <w:shd w:val="clear" w:color="auto" w:fill="2AD2C9"/>
          </w:tcPr>
          <w:p>
            <w:pPr>
              <w:jc w:val="right"/>
              <w:ind w:right="591"/>
              <w:spacing w:after="0"/>
              <w:rPr>
                <w:sz w:val="20"/>
                <w:szCs w:val="20"/>
                <w:color w:val="auto"/>
              </w:rPr>
            </w:pPr>
            <w:r>
              <w:rPr>
                <w:rFonts w:ascii="Arial" w:cs="Arial" w:eastAsia="Arial" w:hAnsi="Arial"/>
                <w:sz w:val="18"/>
                <w:szCs w:val="18"/>
                <w:b w:val="1"/>
                <w:bCs w:val="1"/>
                <w:color w:val="FFFFFF"/>
              </w:rPr>
              <w:t>Sep 21</w:t>
            </w:r>
          </w:p>
        </w:tc>
        <w:tc>
          <w:tcPr>
            <w:tcW w:w="1520" w:type="dxa"/>
            <w:vAlign w:val="bottom"/>
            <w:tcBorders>
              <w:bottom w:val="single" w:sz="8" w:color="auto"/>
            </w:tcBorders>
            <w:shd w:val="clear" w:color="auto" w:fill="2AD2C9"/>
          </w:tcPr>
          <w:p>
            <w:pPr>
              <w:jc w:val="right"/>
              <w:ind w:right="631"/>
              <w:spacing w:after="0"/>
              <w:rPr>
                <w:sz w:val="20"/>
                <w:szCs w:val="20"/>
                <w:color w:val="auto"/>
              </w:rPr>
            </w:pPr>
            <w:r>
              <w:rPr>
                <w:rFonts w:ascii="Arial" w:cs="Arial" w:eastAsia="Arial" w:hAnsi="Arial"/>
                <w:sz w:val="18"/>
                <w:szCs w:val="18"/>
                <w:b w:val="1"/>
                <w:bCs w:val="1"/>
                <w:color w:val="FFFFFF"/>
              </w:rPr>
              <w:t>Jun 22</w:t>
            </w:r>
          </w:p>
        </w:tc>
        <w:tc>
          <w:tcPr>
            <w:tcW w:w="1340" w:type="dxa"/>
            <w:vAlign w:val="bottom"/>
            <w:tcBorders>
              <w:bottom w:val="single" w:sz="8" w:color="auto"/>
              <w:right w:val="single" w:sz="8" w:color="auto"/>
            </w:tcBorders>
            <w:shd w:val="clear" w:color="auto" w:fill="2AD2C9"/>
          </w:tcPr>
          <w:p>
            <w:pPr>
              <w:jc w:val="right"/>
              <w:ind w:right="431"/>
              <w:spacing w:after="0"/>
              <w:rPr>
                <w:sz w:val="20"/>
                <w:szCs w:val="20"/>
                <w:color w:val="auto"/>
              </w:rPr>
            </w:pPr>
            <w:r>
              <w:rPr>
                <w:rFonts w:ascii="Arial" w:cs="Arial" w:eastAsia="Arial" w:hAnsi="Arial"/>
                <w:sz w:val="18"/>
                <w:szCs w:val="18"/>
                <w:b w:val="1"/>
                <w:bCs w:val="1"/>
                <w:color w:val="FFFFFF"/>
              </w:rPr>
              <w:t>Sep 22</w:t>
            </w:r>
          </w:p>
        </w:tc>
        <w:tc>
          <w:tcPr>
            <w:tcW w:w="90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8"/>
                <w:szCs w:val="18"/>
                <w:b w:val="1"/>
                <w:bCs w:val="1"/>
                <w:color w:val="FFFFFF"/>
              </w:rPr>
              <w:t>QoQ</w:t>
            </w:r>
          </w:p>
        </w:tc>
        <w:tc>
          <w:tcPr>
            <w:tcW w:w="104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8"/>
                <w:szCs w:val="18"/>
                <w:b w:val="1"/>
                <w:bCs w:val="1"/>
                <w:color w:val="FFFFFF"/>
              </w:rPr>
              <w:t>YoY</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LC</w:t>
            </w:r>
          </w:p>
        </w:tc>
        <w:tc>
          <w:tcPr>
            <w:tcW w:w="9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FC</w:t>
            </w:r>
          </w:p>
        </w:tc>
      </w:tr>
      <w:tr>
        <w:trPr>
          <w:trHeight w:val="182"/>
        </w:trPr>
        <w:tc>
          <w:tcPr>
            <w:tcW w:w="282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Demand deposits</w:t>
            </w:r>
          </w:p>
        </w:tc>
        <w:tc>
          <w:tcPr>
            <w:tcW w:w="1700" w:type="dxa"/>
            <w:vAlign w:val="bottom"/>
          </w:tcPr>
          <w:p>
            <w:pPr>
              <w:jc w:val="right"/>
              <w:ind w:right="151"/>
              <w:spacing w:after="0" w:line="182" w:lineRule="exact"/>
              <w:rPr>
                <w:sz w:val="20"/>
                <w:szCs w:val="20"/>
                <w:color w:val="auto"/>
              </w:rPr>
            </w:pPr>
            <w:r>
              <w:rPr>
                <w:rFonts w:ascii="Arial" w:cs="Arial" w:eastAsia="Arial" w:hAnsi="Arial"/>
                <w:sz w:val="18"/>
                <w:szCs w:val="18"/>
                <w:color w:val="auto"/>
              </w:rPr>
              <w:t>61,112,084</w:t>
            </w:r>
          </w:p>
        </w:tc>
        <w:tc>
          <w:tcPr>
            <w:tcW w:w="1520" w:type="dxa"/>
            <w:vAlign w:val="bottom"/>
          </w:tcPr>
          <w:p>
            <w:pPr>
              <w:jc w:val="right"/>
              <w:ind w:right="151"/>
              <w:spacing w:after="0" w:line="182" w:lineRule="exact"/>
              <w:rPr>
                <w:sz w:val="20"/>
                <w:szCs w:val="20"/>
                <w:color w:val="auto"/>
              </w:rPr>
            </w:pPr>
            <w:r>
              <w:rPr>
                <w:rFonts w:ascii="Arial" w:cs="Arial" w:eastAsia="Arial" w:hAnsi="Arial"/>
                <w:sz w:val="18"/>
                <w:szCs w:val="18"/>
                <w:color w:val="auto"/>
              </w:rPr>
              <w:t>51,554,195</w:t>
            </w:r>
          </w:p>
        </w:tc>
        <w:tc>
          <w:tcPr>
            <w:tcW w:w="13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53,512,524</w:t>
            </w: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rPr>
              <w:t>3.8%</w:t>
            </w:r>
          </w:p>
        </w:tc>
        <w:tc>
          <w:tcPr>
            <w:tcW w:w="10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-12.4%</w:t>
            </w: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7"/>
              </w:rPr>
              <w:t>41.9%</w:t>
            </w:r>
          </w:p>
        </w:tc>
        <w:tc>
          <w:tcPr>
            <w:tcW w:w="9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58.1%</w:t>
            </w:r>
          </w:p>
        </w:tc>
      </w:tr>
      <w:tr>
        <w:trPr>
          <w:trHeight w:val="201"/>
        </w:trPr>
        <w:tc>
          <w:tcPr>
            <w:tcW w:w="28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Saving deposits</w:t>
            </w:r>
          </w:p>
        </w:tc>
        <w:tc>
          <w:tcPr>
            <w:tcW w:w="170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54,365,781</w:t>
            </w:r>
          </w:p>
        </w:tc>
        <w:tc>
          <w:tcPr>
            <w:tcW w:w="152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54,936,107</w:t>
            </w:r>
          </w:p>
        </w:tc>
        <w:tc>
          <w:tcPr>
            <w:tcW w:w="13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55,154,337</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0.4%</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1.5%</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7"/>
              </w:rPr>
              <w:t>52.9%</w:t>
            </w:r>
          </w:p>
        </w:tc>
        <w:tc>
          <w:tcPr>
            <w:tcW w:w="9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47.1%</w:t>
            </w:r>
          </w:p>
        </w:tc>
      </w:tr>
      <w:tr>
        <w:trPr>
          <w:trHeight w:val="201"/>
        </w:trPr>
        <w:tc>
          <w:tcPr>
            <w:tcW w:w="28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Time deposits</w:t>
            </w:r>
          </w:p>
        </w:tc>
        <w:tc>
          <w:tcPr>
            <w:tcW w:w="170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31,601,351</w:t>
            </w:r>
          </w:p>
        </w:tc>
        <w:tc>
          <w:tcPr>
            <w:tcW w:w="152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35,923,266</w:t>
            </w:r>
          </w:p>
        </w:tc>
        <w:tc>
          <w:tcPr>
            <w:tcW w:w="13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39,372,047</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rPr>
              <w:t>9.6%</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24.6%</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7"/>
              </w:rPr>
              <w:t>48.4%</w:t>
            </w:r>
          </w:p>
        </w:tc>
        <w:tc>
          <w:tcPr>
            <w:tcW w:w="9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51.6%</w:t>
            </w:r>
          </w:p>
        </w:tc>
      </w:tr>
      <w:tr>
        <w:trPr>
          <w:trHeight w:val="201"/>
        </w:trPr>
        <w:tc>
          <w:tcPr>
            <w:tcW w:w="28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Severance indemnity deposits</w:t>
            </w:r>
          </w:p>
        </w:tc>
        <w:tc>
          <w:tcPr>
            <w:tcW w:w="170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4,681,224</w:t>
            </w:r>
          </w:p>
        </w:tc>
        <w:tc>
          <w:tcPr>
            <w:tcW w:w="152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4,155,932</w:t>
            </w:r>
          </w:p>
        </w:tc>
        <w:tc>
          <w:tcPr>
            <w:tcW w:w="13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3,745,597</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7"/>
              </w:rPr>
              <w:t>-9.9%</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-20.0%</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7"/>
              </w:rPr>
              <w:t>70.1%</w:t>
            </w:r>
          </w:p>
        </w:tc>
        <w:tc>
          <w:tcPr>
            <w:tcW w:w="9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29.9%</w:t>
            </w:r>
          </w:p>
        </w:tc>
      </w:tr>
      <w:tr>
        <w:trPr>
          <w:trHeight w:val="226"/>
        </w:trPr>
        <w:tc>
          <w:tcPr>
            <w:tcW w:w="2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Interest payable</w:t>
            </w:r>
          </w:p>
        </w:tc>
        <w:tc>
          <w:tcPr>
            <w:tcW w:w="17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787,928</w:t>
            </w:r>
          </w:p>
        </w:tc>
        <w:tc>
          <w:tcPr>
            <w:tcW w:w="15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871,075</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1,007,509</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15.7%</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27.9%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48.2%</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51.8%</w:t>
            </w:r>
          </w:p>
        </w:tc>
      </w:tr>
      <w:tr>
        <w:trPr>
          <w:trHeight w:val="208"/>
        </w:trPr>
        <w:tc>
          <w:tcPr>
            <w:tcW w:w="282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Total Deposits</w:t>
            </w:r>
          </w:p>
        </w:tc>
        <w:tc>
          <w:tcPr>
            <w:tcW w:w="170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b w:val="1"/>
                <w:bCs w:val="1"/>
                <w:color w:val="auto"/>
              </w:rPr>
              <w:t>152,548,368</w:t>
            </w:r>
          </w:p>
        </w:tc>
        <w:tc>
          <w:tcPr>
            <w:tcW w:w="152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b w:val="1"/>
                <w:bCs w:val="1"/>
                <w:color w:val="auto"/>
              </w:rPr>
              <w:t>147,440,575</w:t>
            </w:r>
          </w:p>
        </w:tc>
        <w:tc>
          <w:tcPr>
            <w:tcW w:w="134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152,792,014</w:t>
            </w: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3.6%</w:t>
            </w:r>
          </w:p>
        </w:tc>
        <w:tc>
          <w:tcPr>
            <w:tcW w:w="10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0.2%</w:t>
            </w:r>
          </w:p>
        </w:tc>
        <w:tc>
          <w:tcPr>
            <w:tcW w:w="9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48.2%</w:t>
            </w:r>
          </w:p>
        </w:tc>
        <w:tc>
          <w:tcPr>
            <w:tcW w:w="98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51.8%</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deposit base increased 3.6% QoQ. If we isolate the exchange rate effect, growth stood at 1.6%. The following dynamics were noteworthy:</w:t>
      </w:r>
    </w:p>
    <w:p>
      <w:pPr>
        <w:spacing w:after="0" w:line="248" w:lineRule="exact"/>
        <w:rPr>
          <w:sz w:val="20"/>
          <w:szCs w:val="20"/>
          <w:color w:val="auto"/>
        </w:rPr>
      </w:pPr>
    </w:p>
    <w:p>
      <w:pPr>
        <w:ind w:left="640" w:hanging="312"/>
        <w:spacing w:after="0" w:line="243"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7.3% growth in </w:t>
      </w:r>
      <w:r>
        <w:rPr>
          <w:rFonts w:ascii="Arial" w:cs="Arial" w:eastAsia="Arial" w:hAnsi="Arial"/>
          <w:sz w:val="18"/>
          <w:szCs w:val="18"/>
          <w:b w:val="1"/>
          <w:bCs w:val="1"/>
          <w:color w:val="auto"/>
        </w:rPr>
        <w:t>Time Deposits</w:t>
      </w:r>
      <w:r>
        <w:rPr>
          <w:rFonts w:ascii="Arial" w:cs="Arial" w:eastAsia="Arial" w:hAnsi="Arial"/>
          <w:sz w:val="18"/>
          <w:szCs w:val="18"/>
          <w:color w:val="auto"/>
        </w:rPr>
        <w:t>, which driven primarily by FC deposits at BCP Stand-alone after the bank captured more funds in a context marked by rate increases and exchange rate volatility.</w:t>
      </w:r>
    </w:p>
    <w:p>
      <w:pPr>
        <w:ind w:left="640" w:hanging="312"/>
        <w:spacing w:after="0" w:line="232"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1.7% in </w:t>
      </w:r>
      <w:r>
        <w:rPr>
          <w:rFonts w:ascii="Arial" w:cs="Arial" w:eastAsia="Arial" w:hAnsi="Arial"/>
          <w:sz w:val="18"/>
          <w:szCs w:val="18"/>
          <w:b w:val="1"/>
          <w:bCs w:val="1"/>
          <w:color w:val="auto"/>
        </w:rPr>
        <w:t>Demand Deposits</w:t>
      </w:r>
      <w:r>
        <w:rPr>
          <w:rFonts w:ascii="Arial" w:cs="Arial" w:eastAsia="Arial" w:hAnsi="Arial"/>
          <w:sz w:val="18"/>
          <w:szCs w:val="18"/>
          <w:color w:val="auto"/>
        </w:rPr>
        <w:t>, which reflected an uptick in LC deposits, in part after clients deposited funds from pension fund withdrawals. This dynamic was partially offset by a drop in FC deposits, which fell despite an uptick in the exchange rate.</w:t>
      </w:r>
    </w:p>
    <w:p>
      <w:pPr>
        <w:spacing w:after="0" w:line="1" w:lineRule="exact"/>
        <w:rPr>
          <w:rFonts w:ascii="Arial" w:cs="Arial" w:eastAsia="Arial" w:hAnsi="Arial"/>
          <w:sz w:val="18"/>
          <w:szCs w:val="18"/>
          <w:color w:val="auto"/>
        </w:rPr>
      </w:pPr>
    </w:p>
    <w:p>
      <w:pPr>
        <w:ind w:left="640" w:right="20" w:hanging="312"/>
        <w:spacing w:after="0" w:line="232"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1.4% reduction in </w:t>
      </w:r>
      <w:r>
        <w:rPr>
          <w:rFonts w:ascii="Arial" w:cs="Arial" w:eastAsia="Arial" w:hAnsi="Arial"/>
          <w:sz w:val="18"/>
          <w:szCs w:val="18"/>
          <w:b w:val="1"/>
          <w:bCs w:val="1"/>
          <w:color w:val="auto"/>
        </w:rPr>
        <w:t>Savings Deposits</w:t>
      </w:r>
      <w:r>
        <w:rPr>
          <w:rFonts w:ascii="Arial" w:cs="Arial" w:eastAsia="Arial" w:hAnsi="Arial"/>
          <w:sz w:val="18"/>
          <w:szCs w:val="18"/>
          <w:color w:val="auto"/>
        </w:rPr>
        <w:t>, which was fueled by the exchange rate effect. Additionally, fund migration from FC to LC was significant.</w:t>
      </w:r>
    </w:p>
    <w:p>
      <w:pPr>
        <w:spacing w:after="0" w:line="1" w:lineRule="exact"/>
        <w:rPr>
          <w:rFonts w:ascii="Arial" w:cs="Arial" w:eastAsia="Arial" w:hAnsi="Arial"/>
          <w:sz w:val="18"/>
          <w:szCs w:val="18"/>
          <w:color w:val="auto"/>
        </w:rPr>
      </w:pPr>
    </w:p>
    <w:p>
      <w:pPr>
        <w:ind w:left="640" w:hanging="312"/>
        <w:spacing w:after="0" w:line="245"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11.0% decrease in </w:t>
      </w:r>
      <w:r>
        <w:rPr>
          <w:rFonts w:ascii="Arial" w:cs="Arial" w:eastAsia="Arial" w:hAnsi="Arial"/>
          <w:sz w:val="18"/>
          <w:szCs w:val="18"/>
          <w:b w:val="1"/>
          <w:bCs w:val="1"/>
          <w:color w:val="auto"/>
        </w:rPr>
        <w:t>Severance Deposits</w:t>
      </w:r>
      <w:r>
        <w:rPr>
          <w:rFonts w:ascii="Arial" w:cs="Arial" w:eastAsia="Arial" w:hAnsi="Arial"/>
          <w:sz w:val="18"/>
          <w:szCs w:val="18"/>
          <w:color w:val="auto"/>
        </w:rPr>
        <w:t xml:space="preserve"> after restrictions on fund withdrawals were lifted. It is important to note that these funds will be available until the end of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Low-cost deposits </w:t>
      </w:r>
      <w:r>
        <w:rPr>
          <w:rFonts w:ascii="Times New Roman" w:cs="Times New Roman" w:eastAsia="Times New Roman" w:hAnsi="Times New Roman"/>
          <w:sz w:val="18"/>
          <w:szCs w:val="18"/>
          <w:b w:val="1"/>
          <w:bCs w:val="1"/>
          <w:color w:val="auto"/>
        </w:rPr>
        <w:t>(Demand + savings)</w:t>
      </w:r>
      <w:r>
        <w:rPr>
          <w:rFonts w:ascii="Times New Roman" w:cs="Times New Roman" w:eastAsia="Times New Roman" w:hAnsi="Times New Roman"/>
          <w:sz w:val="18"/>
          <w:szCs w:val="18"/>
          <w:color w:val="auto"/>
        </w:rPr>
        <w:t xml:space="preserve"> accounted for 71.1% of total deposits, which represents a drop of 1.1% QoQ.</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YoY analysis, deposits rose 0.2%. If we isolate the exchange rate effect, deposits grew 2.1%. The following dynamics were in play this quarter:</w:t>
      </w:r>
    </w:p>
    <w:p>
      <w:pPr>
        <w:spacing w:after="0" w:line="154" w:lineRule="exact"/>
        <w:rPr>
          <w:sz w:val="20"/>
          <w:szCs w:val="20"/>
          <w:color w:val="auto"/>
        </w:rPr>
      </w:pPr>
    </w:p>
    <w:p>
      <w:pPr>
        <w:jc w:val="both"/>
        <w:ind w:left="640" w:hanging="312"/>
        <w:spacing w:after="0" w:line="239"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 27.2% increase in </w:t>
      </w:r>
      <w:r>
        <w:rPr>
          <w:rFonts w:ascii="Arial" w:cs="Arial" w:eastAsia="Arial" w:hAnsi="Arial"/>
          <w:sz w:val="18"/>
          <w:szCs w:val="18"/>
          <w:b w:val="1"/>
          <w:bCs w:val="1"/>
          <w:color w:val="auto"/>
        </w:rPr>
        <w:t>Time Deposits</w:t>
      </w:r>
      <w:r>
        <w:rPr>
          <w:rFonts w:ascii="Arial" w:cs="Arial" w:eastAsia="Arial" w:hAnsi="Arial"/>
          <w:sz w:val="18"/>
          <w:szCs w:val="18"/>
          <w:color w:val="auto"/>
        </w:rPr>
        <w:t>, which was primarily driven by a migration of funds from low-cost to time deposits at BCP Stand-alone due to an increase in rates. The evolution at ASB, which received fund inflows from Peru in a context marked by political-economic uncertainty, also contributed to the upward trend in time deposits.</w:t>
      </w:r>
    </w:p>
    <w:p>
      <w:pPr>
        <w:spacing w:after="0" w:line="2" w:lineRule="exact"/>
        <w:rPr>
          <w:rFonts w:ascii="Arial" w:cs="Arial" w:eastAsia="Arial" w:hAnsi="Arial"/>
          <w:sz w:val="18"/>
          <w:szCs w:val="18"/>
          <w:color w:val="auto"/>
        </w:rPr>
      </w:pPr>
    </w:p>
    <w:p>
      <w:pPr>
        <w:ind w:left="640" w:hanging="312"/>
        <w:spacing w:after="0" w:line="232"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3.2% growth in </w:t>
      </w:r>
      <w:r>
        <w:rPr>
          <w:rFonts w:ascii="Arial" w:cs="Arial" w:eastAsia="Arial" w:hAnsi="Arial"/>
          <w:sz w:val="18"/>
          <w:szCs w:val="18"/>
          <w:b w:val="1"/>
          <w:bCs w:val="1"/>
          <w:color w:val="auto"/>
        </w:rPr>
        <w:t>Savings Deposits</w:t>
      </w:r>
      <w:r>
        <w:rPr>
          <w:rFonts w:ascii="Arial" w:cs="Arial" w:eastAsia="Arial" w:hAnsi="Arial"/>
          <w:sz w:val="18"/>
          <w:szCs w:val="18"/>
          <w:color w:val="auto"/>
        </w:rPr>
        <w:t>, which reflects captures of savings in FC; the aforementioned was partially offset by outflows of funds in LC.</w:t>
      </w:r>
    </w:p>
    <w:p>
      <w:pPr>
        <w:spacing w:after="0" w:line="1" w:lineRule="exact"/>
        <w:rPr>
          <w:rFonts w:ascii="Arial" w:cs="Arial" w:eastAsia="Arial" w:hAnsi="Arial"/>
          <w:sz w:val="18"/>
          <w:szCs w:val="18"/>
          <w:color w:val="auto"/>
        </w:rPr>
      </w:pPr>
    </w:p>
    <w:p>
      <w:pPr>
        <w:ind w:left="640" w:hanging="312"/>
        <w:spacing w:after="0" w:line="232"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 10.7% reduction in </w:t>
      </w:r>
      <w:r>
        <w:rPr>
          <w:rFonts w:ascii="Arial" w:cs="Arial" w:eastAsia="Arial" w:hAnsi="Arial"/>
          <w:sz w:val="18"/>
          <w:szCs w:val="18"/>
          <w:b w:val="1"/>
          <w:bCs w:val="1"/>
          <w:color w:val="auto"/>
        </w:rPr>
        <w:t>Demand Deposits</w:t>
      </w:r>
      <w:r>
        <w:rPr>
          <w:rFonts w:ascii="Arial" w:cs="Arial" w:eastAsia="Arial" w:hAnsi="Arial"/>
          <w:sz w:val="18"/>
          <w:szCs w:val="18"/>
          <w:color w:val="auto"/>
        </w:rPr>
        <w:t xml:space="preserve"> in both currencies, which was primarily driven by movements in company accounts after clients used funds to amortize Reactiva loans and cover other needs for liquidity.</w:t>
      </w:r>
    </w:p>
    <w:p>
      <w:pPr>
        <w:spacing w:after="0" w:line="1" w:lineRule="exact"/>
        <w:rPr>
          <w:rFonts w:ascii="Arial" w:cs="Arial" w:eastAsia="Arial" w:hAnsi="Arial"/>
          <w:sz w:val="18"/>
          <w:szCs w:val="18"/>
          <w:color w:val="auto"/>
        </w:rPr>
      </w:pPr>
    </w:p>
    <w:p>
      <w:pPr>
        <w:ind w:left="640" w:hanging="312"/>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 19.0% drop in </w:t>
      </w:r>
      <w:r>
        <w:rPr>
          <w:rFonts w:ascii="Arial" w:cs="Arial" w:eastAsia="Arial" w:hAnsi="Arial"/>
          <w:sz w:val="18"/>
          <w:szCs w:val="18"/>
          <w:b w:val="1"/>
          <w:bCs w:val="1"/>
          <w:color w:val="auto"/>
        </w:rPr>
        <w:t>Severance Deposits</w:t>
      </w:r>
      <w:r>
        <w:rPr>
          <w:rFonts w:ascii="Arial" w:cs="Arial" w:eastAsia="Arial" w:hAnsi="Arial"/>
          <w:sz w:val="18"/>
          <w:szCs w:val="18"/>
          <w:color w:val="auto"/>
        </w:rPr>
        <w:t>, after restrictions on withdrawals were lifted.</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23" w:name="page24"/>
    <w:bookmarkEnd w:id="23"/>
    <w:p>
      <w:pPr>
        <w:spacing w:after="0" w:line="18" w:lineRule="exact"/>
        <w:rPr>
          <w:sz w:val="20"/>
          <w:szCs w:val="20"/>
          <w:color w:val="auto"/>
        </w:rPr>
      </w:pPr>
    </w:p>
    <w:p>
      <w:pPr>
        <w:jc w:val="center"/>
        <w:ind w:left="2980"/>
        <w:spacing w:after="0"/>
        <w:rPr>
          <w:sz w:val="20"/>
          <w:szCs w:val="20"/>
          <w:color w:val="auto"/>
        </w:rPr>
      </w:pPr>
      <w:r>
        <w:rPr>
          <w:rFonts w:ascii="Arial" w:cs="Arial" w:eastAsia="Arial" w:hAnsi="Arial"/>
          <w:sz w:val="17"/>
          <w:szCs w:val="17"/>
          <w:color w:val="A5A5A5"/>
        </w:rPr>
        <w:t>Earnings Release 3Q / 2022</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02. Deposits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Dollarization Level of Deposits</w:t>
      </w:r>
    </w:p>
    <w:p>
      <w:pPr>
        <w:spacing w:after="0" w:line="25"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b w:val="1"/>
          <w:bCs w:val="1"/>
          <w:color w:val="auto"/>
        </w:rPr>
        <w:t>Deposits by currency</w:t>
      </w:r>
    </w:p>
    <w:p>
      <w:pPr>
        <w:ind w:left="1700"/>
        <w:spacing w:after="0"/>
        <w:rPr>
          <w:sz w:val="20"/>
          <w:szCs w:val="20"/>
          <w:color w:val="auto"/>
        </w:rPr>
      </w:pPr>
      <w:r>
        <w:rPr>
          <w:rFonts w:ascii="Times New Roman" w:cs="Times New Roman" w:eastAsia="Times New Roman" w:hAnsi="Times New Roman"/>
          <w:sz w:val="14"/>
          <w:szCs w:val="14"/>
          <w:color w:val="auto"/>
        </w:rPr>
        <w:t>(measured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506095</wp:posOffset>
            </wp:positionH>
            <wp:positionV relativeFrom="paragraph">
              <wp:posOffset>-3810</wp:posOffset>
            </wp:positionV>
            <wp:extent cx="2414905" cy="11906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14905" cy="1190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b w:val="1"/>
          <w:bCs w:val="1"/>
          <w:color w:val="E93CAC"/>
        </w:rPr>
        <w:t>Analysis of 3Q22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328295</wp:posOffset>
            </wp:positionV>
            <wp:extent cx="7133590" cy="153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3590" cy="153035"/>
                    </a:xfrm>
                    <a:prstGeom prst="rect">
                      <a:avLst/>
                    </a:prstGeom>
                    <a:noFill/>
                  </pic:spPr>
                </pic:pic>
              </a:graphicData>
            </a:graphic>
          </wp:anchor>
        </w:drawing>
        <w:drawing>
          <wp:anchor simplePos="0" relativeHeight="251657728" behindDoc="1" locked="0" layoutInCell="0" allowOverlap="1">
            <wp:simplePos x="0" y="0"/>
            <wp:positionH relativeFrom="column">
              <wp:posOffset>-3703320</wp:posOffset>
            </wp:positionH>
            <wp:positionV relativeFrom="paragraph">
              <wp:posOffset>-342900</wp:posOffset>
            </wp:positionV>
            <wp:extent cx="7133590" cy="569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3590" cy="569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At the end of September 2022, the dollarization level of Total Deposits fell 1.6 p.p. QoQ (-2.6 p.p. if we exclude the exchange rate effect). This dynamic was attributable to </w:t>
      </w:r>
      <w:r>
        <w:rPr>
          <w:rFonts w:ascii="Times New Roman" w:cs="Times New Roman" w:eastAsia="Times New Roman" w:hAnsi="Times New Roman"/>
          <w:sz w:val="18"/>
          <w:szCs w:val="18"/>
          <w:b w:val="1"/>
          <w:bCs w:val="1"/>
          <w:color w:val="auto"/>
        </w:rPr>
        <w:t>Demand demands</w:t>
      </w:r>
      <w:r>
        <w:rPr>
          <w:rFonts w:ascii="Times New Roman" w:cs="Times New Roman" w:eastAsia="Times New Roman" w:hAnsi="Times New Roman"/>
          <w:sz w:val="18"/>
          <w:szCs w:val="18"/>
          <w:color w:val="auto"/>
        </w:rPr>
        <w:t xml:space="preserve"> after clients in BCP Stand-alone deposited funds from pension fund withdrawals accounts in LC. This was partially offset by growth in FC </w:t>
      </w:r>
      <w:r>
        <w:rPr>
          <w:rFonts w:ascii="Times New Roman" w:cs="Times New Roman" w:eastAsia="Times New Roman" w:hAnsi="Times New Roman"/>
          <w:sz w:val="18"/>
          <w:szCs w:val="18"/>
          <w:b w:val="1"/>
          <w:bCs w:val="1"/>
          <w:color w:val="auto"/>
        </w:rPr>
        <w:t>Time Deposits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5220" w:space="620"/>
            <w:col w:w="5400"/>
          </w:cols>
          <w:pgMar w:left="320" w:top="4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YoY terms, the dollarization level fell 0.5 p.p. This decrease occurred despite growth in the FC deposit volume (+6.3% at a constant rate of exchange) and was fueled by a drop in the exchange rate (-3.7% YoY), which registered a peak in September 2021. It is important to note that LC deposits rose 1.2% over the period.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Deposits by currency and type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488950</wp:posOffset>
            </wp:positionH>
            <wp:positionV relativeFrom="paragraph">
              <wp:posOffset>153670</wp:posOffset>
            </wp:positionV>
            <wp:extent cx="6163945" cy="13093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63945" cy="130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54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Loan/Deposit Ratio (L/D ratio)</w:t>
      </w:r>
      <w:r>
        <w:rPr>
          <w:sz w:val="20"/>
          <w:szCs w:val="20"/>
          <w:color w:val="auto"/>
        </w:rPr>
        <w:tab/>
      </w:r>
      <w:r>
        <w:rPr>
          <w:rFonts w:ascii="Times New Roman" w:cs="Times New Roman" w:eastAsia="Times New Roman" w:hAnsi="Times New Roman"/>
          <w:sz w:val="17"/>
          <w:szCs w:val="17"/>
          <w:color w:val="auto"/>
        </w:rPr>
        <w:t>The L/D ratio fell 3.0 and 6.3 percentage points QoQ at BCP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wp:posOffset>
            </wp:positionH>
            <wp:positionV relativeFrom="paragraph">
              <wp:posOffset>19050</wp:posOffset>
            </wp:positionV>
            <wp:extent cx="2482850" cy="15132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82850" cy="1513205"/>
                    </a:xfrm>
                    <a:prstGeom prst="rect">
                      <a:avLst/>
                    </a:prstGeom>
                    <a:noFill/>
                  </pic:spPr>
                </pic:pic>
              </a:graphicData>
            </a:graphic>
          </wp:anchor>
        </w:drawing>
      </w:r>
    </w:p>
    <w:p>
      <w:pPr>
        <w:spacing w:after="0" w:line="10" w:lineRule="exact"/>
        <w:rPr>
          <w:sz w:val="20"/>
          <w:szCs w:val="20"/>
          <w:color w:val="auto"/>
        </w:rPr>
      </w:pPr>
    </w:p>
    <w:p>
      <w:pPr>
        <w:ind w:left="5840" w:right="20"/>
        <w:spacing w:after="0" w:line="270" w:lineRule="auto"/>
        <w:rPr>
          <w:sz w:val="20"/>
          <w:szCs w:val="20"/>
          <w:color w:val="auto"/>
        </w:rPr>
      </w:pPr>
      <w:r>
        <w:rPr>
          <w:rFonts w:ascii="Times New Roman" w:cs="Times New Roman" w:eastAsia="Times New Roman" w:hAnsi="Times New Roman"/>
          <w:sz w:val="17"/>
          <w:szCs w:val="17"/>
          <w:color w:val="auto"/>
        </w:rPr>
        <w:t xml:space="preserve">and Mibanco respectively. This drop was associated with growth in total deposits ─ in </w:t>
      </w:r>
      <w:r>
        <w:rPr>
          <w:rFonts w:ascii="Times New Roman" w:cs="Times New Roman" w:eastAsia="Times New Roman" w:hAnsi="Times New Roman"/>
          <w:sz w:val="17"/>
          <w:szCs w:val="17"/>
          <w:b w:val="1"/>
          <w:bCs w:val="1"/>
          <w:color w:val="auto"/>
        </w:rPr>
        <w:t>time deposits</w:t>
      </w:r>
      <w:r>
        <w:rPr>
          <w:rFonts w:ascii="Times New Roman" w:cs="Times New Roman" w:eastAsia="Times New Roman" w:hAnsi="Times New Roman"/>
          <w:sz w:val="17"/>
          <w:szCs w:val="17"/>
          <w:color w:val="auto"/>
        </w:rPr>
        <w:t xml:space="preserve"> in particular ─ at both subsidiaries in a context of rising interest rates. In parallel, the loan balance decelerated at BCP Stand-alone and fell at Mibanco. Credicorp’s L/D ratio stood at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0"/>
        <w:spacing w:after="0"/>
        <w:tabs>
          <w:tab w:leader="none" w:pos="7340" w:val="left"/>
        </w:tabs>
        <w:rPr>
          <w:sz w:val="20"/>
          <w:szCs w:val="20"/>
          <w:color w:val="auto"/>
        </w:rPr>
      </w:pPr>
      <w:r>
        <w:rPr>
          <w:rFonts w:ascii="Times New Roman" w:cs="Times New Roman" w:eastAsia="Times New Roman" w:hAnsi="Times New Roman"/>
          <w:sz w:val="18"/>
          <w:szCs w:val="18"/>
          <w:b w:val="1"/>
          <w:bCs w:val="1"/>
          <w:color w:val="auto"/>
        </w:rPr>
        <w:t>L/D Ratio in Local Currency</w:t>
      </w:r>
      <w:r>
        <w:rPr>
          <w:sz w:val="20"/>
          <w:szCs w:val="20"/>
          <w:color w:val="auto"/>
        </w:rPr>
        <w:tab/>
      </w:r>
      <w:r>
        <w:rPr>
          <w:rFonts w:ascii="Times New Roman" w:cs="Times New Roman" w:eastAsia="Times New Roman" w:hAnsi="Times New Roman"/>
          <w:sz w:val="17"/>
          <w:szCs w:val="17"/>
          <w:b w:val="1"/>
          <w:bCs w:val="1"/>
          <w:color w:val="auto"/>
        </w:rPr>
        <w:t>L/D Ratio in 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19050</wp:posOffset>
            </wp:positionV>
            <wp:extent cx="6589395" cy="14452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89395" cy="1445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type w:val="continuous"/>
        </w:sectPr>
      </w:pPr>
    </w:p>
    <w:bookmarkStart w:id="24" w:name="page25"/>
    <w:bookmarkEnd w:id="24"/>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02.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share of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15240</wp:posOffset>
            </wp:positionV>
            <wp:extent cx="5704840" cy="14878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04840" cy="1487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At the end of August 2022, the MS in </w:t>
      </w:r>
      <w:r>
        <w:rPr>
          <w:rFonts w:ascii="Times New Roman" w:cs="Times New Roman" w:eastAsia="Times New Roman" w:hAnsi="Times New Roman"/>
          <w:sz w:val="18"/>
          <w:szCs w:val="18"/>
          <w:b w:val="1"/>
          <w:bCs w:val="1"/>
          <w:color w:val="auto"/>
        </w:rPr>
        <w:t>Total Deposits</w:t>
      </w:r>
      <w:r>
        <w:rPr>
          <w:rFonts w:ascii="Times New Roman" w:cs="Times New Roman" w:eastAsia="Times New Roman" w:hAnsi="Times New Roman"/>
          <w:sz w:val="18"/>
          <w:szCs w:val="18"/>
          <w:color w:val="auto"/>
        </w:rPr>
        <w:t xml:space="preserve"> at BCP Stand-alone and Mibanco stood at 33.3% and 2.4% (+30bps and +14bps with regard to September 2021) respectively.</w:t>
      </w:r>
    </w:p>
    <w:p>
      <w:pPr>
        <w:spacing w:after="0" w:line="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At BCP Stand-alone, growth in </w:t>
      </w:r>
      <w:r>
        <w:rPr>
          <w:rFonts w:ascii="Times New Roman" w:cs="Times New Roman" w:eastAsia="Times New Roman" w:hAnsi="Times New Roman"/>
          <w:sz w:val="18"/>
          <w:szCs w:val="18"/>
          <w:b w:val="1"/>
          <w:bCs w:val="1"/>
          <w:color w:val="auto"/>
        </w:rPr>
        <w:t>Time Deposit’s</w:t>
      </w:r>
      <w:r>
        <w:rPr>
          <w:rFonts w:ascii="Times New Roman" w:cs="Times New Roman" w:eastAsia="Times New Roman" w:hAnsi="Times New Roman"/>
          <w:sz w:val="18"/>
          <w:szCs w:val="18"/>
          <w:color w:val="auto"/>
        </w:rPr>
        <w:t xml:space="preserve"> share of total deposits (+250bps), which was driven be commercial efforts to bolster the ranks of Deposits in our funding structure. BCP reported a decrease in the share of </w:t>
      </w:r>
      <w:r>
        <w:rPr>
          <w:rFonts w:ascii="Times New Roman" w:cs="Times New Roman" w:eastAsia="Times New Roman" w:hAnsi="Times New Roman"/>
          <w:sz w:val="18"/>
          <w:szCs w:val="18"/>
          <w:b w:val="1"/>
          <w:bCs w:val="1"/>
          <w:color w:val="auto"/>
        </w:rPr>
        <w:t>Demand Deposits</w:t>
      </w:r>
      <w:r>
        <w:rPr>
          <w:rFonts w:ascii="Times New Roman" w:cs="Times New Roman" w:eastAsia="Times New Roman" w:hAnsi="Times New Roman"/>
          <w:sz w:val="18"/>
          <w:szCs w:val="18"/>
          <w:color w:val="auto"/>
        </w:rPr>
        <w:t>, which reflected moves by businesses to amortize loans from Reactiva, where the bank was the major source of lending.</w:t>
      </w:r>
    </w:p>
    <w:p>
      <w:pPr>
        <w:spacing w:after="0" w:line="9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It is important to note that BCP continues to hold the highest market share of low-cost deposits in the Peruvian financial system, with an MS of 40.6% at the end of August 2022 (+0.9% with regard to September 2021).</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25" w:name="page26"/>
    <w:bookmarkEnd w:id="25"/>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03 </w:t>
      </w:r>
      <w:r>
        <w:rPr>
          <w:rFonts w:ascii="Times New Roman" w:cs="Times New Roman" w:eastAsia="Times New Roman" w:hAnsi="Times New Roman"/>
          <w:sz w:val="32"/>
          <w:szCs w:val="32"/>
          <w:color w:val="E93CAC"/>
        </w:rPr>
        <w:t>Interest-earning assets (“IEA”)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33020</wp:posOffset>
            </wp:positionV>
            <wp:extent cx="7133590" cy="12496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3590" cy="1249680"/>
                    </a:xfrm>
                    <a:prstGeom prst="rect">
                      <a:avLst/>
                    </a:prstGeom>
                    <a:noFill/>
                  </pic:spPr>
                </pic:pic>
              </a:graphicData>
            </a:graphic>
          </wp:anchor>
        </w:drawing>
      </w:r>
    </w:p>
    <w:p>
      <w:pPr>
        <w:spacing w:after="0" w:line="200" w:lineRule="exact"/>
        <w:rPr>
          <w:sz w:val="20"/>
          <w:szCs w:val="20"/>
          <w:color w:val="auto"/>
        </w:rPr>
      </w:pPr>
    </w:p>
    <w:p>
      <w:pPr>
        <w:jc w:val="both"/>
        <w:ind w:left="120" w:right="100"/>
        <w:spacing w:after="0" w:line="241" w:lineRule="auto"/>
        <w:rPr>
          <w:sz w:val="20"/>
          <w:szCs w:val="20"/>
          <w:color w:val="auto"/>
        </w:rPr>
      </w:pPr>
      <w:r>
        <w:rPr>
          <w:rFonts w:ascii="Arial" w:cs="Arial" w:eastAsia="Arial" w:hAnsi="Arial"/>
          <w:sz w:val="18"/>
          <w:szCs w:val="18"/>
          <w:color w:val="FFFFFF"/>
        </w:rPr>
        <w:t>At the end of 3Q22, IEA rose 3.4% QoQ. This growth was driven primarily by an increase in Cash and Due from Banks and Investments and secondarily, by an uptick in Loans. Higher balances for liquid assets reflect growth of 3.5% in the funding base, which was led by growth in captures of deposits and bank financing. YoY, IEAs fell 1.9%, which was attributable to a decrease in balances of Cash and Due from Banks and Investments after the drop in system-wide liquidity and the use of funds to finance loan growth. Funding decreased 2.6%, which reflected a decrease in BCRP instruments due to amortizations of Government Loan programs (GP).</w:t>
      </w:r>
    </w:p>
    <w:p>
      <w:pPr>
        <w:spacing w:after="0" w:line="152" w:lineRule="exact"/>
        <w:rPr>
          <w:sz w:val="20"/>
          <w:szCs w:val="20"/>
          <w:color w:val="auto"/>
        </w:rPr>
      </w:pPr>
    </w:p>
    <w:p>
      <w:pPr>
        <w:jc w:val="both"/>
        <w:ind w:left="120" w:right="120"/>
        <w:spacing w:after="0" w:line="265" w:lineRule="auto"/>
        <w:rPr>
          <w:sz w:val="20"/>
          <w:szCs w:val="20"/>
          <w:color w:val="auto"/>
        </w:rPr>
      </w:pPr>
      <w:r>
        <w:rPr>
          <w:rFonts w:ascii="Arial" w:cs="Arial" w:eastAsia="Arial" w:hAnsi="Arial"/>
          <w:sz w:val="18"/>
          <w:szCs w:val="18"/>
          <w:color w:val="FFFFFF"/>
        </w:rPr>
        <w:t>If we isolate the exchange rate effect, structural loans rise 1.0% QoQ, driven primarily by wholesale loans at BCP. YoY, the increase stands at 12.4%, which reflects economic recovery post-pandemic.</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IEA</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600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Interest Earning Assets</w:t>
            </w:r>
          </w:p>
        </w:tc>
        <w:tc>
          <w:tcPr>
            <w:tcW w:w="1320" w:type="dxa"/>
            <w:vAlign w:val="bottom"/>
            <w:tcBorders>
              <w:top w:val="single" w:sz="8" w:color="auto"/>
            </w:tcBorders>
            <w:shd w:val="clear" w:color="auto" w:fill="2AD2C9"/>
          </w:tcPr>
          <w:p>
            <w:pPr>
              <w:spacing w:after="0"/>
              <w:rPr>
                <w:sz w:val="18"/>
                <w:szCs w:val="18"/>
                <w:color w:val="auto"/>
              </w:rPr>
            </w:pPr>
          </w:p>
        </w:tc>
        <w:tc>
          <w:tcPr>
            <w:tcW w:w="1220" w:type="dxa"/>
            <w:vAlign w:val="bottom"/>
            <w:tcBorders>
              <w:top w:val="single" w:sz="8" w:color="auto"/>
            </w:tcBorders>
            <w:shd w:val="clear" w:color="auto" w:fill="2AD2C9"/>
          </w:tcPr>
          <w:p>
            <w:pPr>
              <w:jc w:val="right"/>
              <w:ind w:right="411"/>
              <w:spacing w:after="0"/>
              <w:rPr>
                <w:sz w:val="20"/>
                <w:szCs w:val="20"/>
                <w:color w:val="auto"/>
              </w:rPr>
            </w:pPr>
            <w:r>
              <w:rPr>
                <w:rFonts w:ascii="Arial" w:cs="Arial" w:eastAsia="Arial" w:hAnsi="Arial"/>
                <w:sz w:val="18"/>
                <w:szCs w:val="18"/>
                <w:b w:val="1"/>
                <w:bCs w:val="1"/>
                <w:color w:val="FFFFFF"/>
              </w:rPr>
              <w:t>As of</w:t>
            </w:r>
          </w:p>
        </w:tc>
        <w:tc>
          <w:tcPr>
            <w:tcW w:w="1140" w:type="dxa"/>
            <w:vAlign w:val="bottom"/>
            <w:tcBorders>
              <w:top w:val="single" w:sz="8" w:color="auto"/>
              <w:right w:val="single" w:sz="8" w:color="auto"/>
            </w:tcBorders>
            <w:shd w:val="clear" w:color="auto" w:fill="2AD2C9"/>
          </w:tcPr>
          <w:p>
            <w:pPr>
              <w:spacing w:after="0"/>
              <w:rPr>
                <w:sz w:val="18"/>
                <w:szCs w:val="18"/>
                <w:color w:val="auto"/>
              </w:rPr>
            </w:pPr>
          </w:p>
        </w:tc>
        <w:tc>
          <w:tcPr>
            <w:tcW w:w="1560" w:type="dxa"/>
            <w:vAlign w:val="bottom"/>
            <w:tcBorders>
              <w:top w:val="single" w:sz="8" w:color="auto"/>
              <w:right w:val="single" w:sz="8" w:color="auto"/>
            </w:tcBorders>
            <w:gridSpan w:val="2"/>
            <w:shd w:val="clear" w:color="auto" w:fill="2AD2C9"/>
          </w:tcPr>
          <w:p>
            <w:pPr>
              <w:jc w:val="right"/>
              <w:ind w:right="291"/>
              <w:spacing w:after="0"/>
              <w:rPr>
                <w:sz w:val="20"/>
                <w:szCs w:val="20"/>
                <w:color w:val="auto"/>
              </w:rPr>
            </w:pPr>
            <w:r>
              <w:rPr>
                <w:rFonts w:ascii="Arial" w:cs="Arial" w:eastAsia="Arial" w:hAnsi="Arial"/>
                <w:sz w:val="18"/>
                <w:szCs w:val="18"/>
                <w:b w:val="1"/>
                <w:bCs w:val="1"/>
                <w:color w:val="FFFFFF"/>
              </w:rPr>
              <w:t>% change</w:t>
            </w:r>
          </w:p>
        </w:tc>
      </w:tr>
      <w:tr>
        <w:trPr>
          <w:trHeight w:val="240"/>
        </w:trPr>
        <w:tc>
          <w:tcPr>
            <w:tcW w:w="6000" w:type="dxa"/>
            <w:vAlign w:val="bottom"/>
            <w:tcBorders>
              <w:left w:val="single" w:sz="8" w:color="auto"/>
              <w:bottom w:val="single" w:sz="8" w:color="2AD2C9"/>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S/000</w:t>
            </w:r>
          </w:p>
        </w:tc>
        <w:tc>
          <w:tcPr>
            <w:tcW w:w="1320" w:type="dxa"/>
            <w:vAlign w:val="bottom"/>
            <w:tcBorders>
              <w:bottom w:val="single" w:sz="8" w:color="auto"/>
            </w:tcBorders>
            <w:shd w:val="clear" w:color="auto" w:fill="2AD2C9"/>
          </w:tcPr>
          <w:p>
            <w:pPr>
              <w:jc w:val="right"/>
              <w:ind w:right="351"/>
              <w:spacing w:after="0"/>
              <w:rPr>
                <w:sz w:val="20"/>
                <w:szCs w:val="20"/>
                <w:color w:val="auto"/>
              </w:rPr>
            </w:pPr>
            <w:r>
              <w:rPr>
                <w:rFonts w:ascii="Arial" w:cs="Arial" w:eastAsia="Arial" w:hAnsi="Arial"/>
                <w:sz w:val="18"/>
                <w:szCs w:val="18"/>
                <w:b w:val="1"/>
                <w:bCs w:val="1"/>
                <w:color w:val="FFFFFF"/>
              </w:rPr>
              <w:t>Sep 21</w:t>
            </w:r>
          </w:p>
        </w:tc>
        <w:tc>
          <w:tcPr>
            <w:tcW w:w="1220" w:type="dxa"/>
            <w:vAlign w:val="bottom"/>
            <w:tcBorders>
              <w:bottom w:val="single" w:sz="8" w:color="auto"/>
            </w:tcBorders>
            <w:shd w:val="clear" w:color="auto" w:fill="2AD2C9"/>
          </w:tcPr>
          <w:p>
            <w:pPr>
              <w:jc w:val="right"/>
              <w:ind w:right="351"/>
              <w:spacing w:after="0"/>
              <w:rPr>
                <w:sz w:val="20"/>
                <w:szCs w:val="20"/>
                <w:color w:val="auto"/>
              </w:rPr>
            </w:pPr>
            <w:r>
              <w:rPr>
                <w:rFonts w:ascii="Arial" w:cs="Arial" w:eastAsia="Arial" w:hAnsi="Arial"/>
                <w:sz w:val="18"/>
                <w:szCs w:val="18"/>
                <w:b w:val="1"/>
                <w:bCs w:val="1"/>
                <w:color w:val="FFFFFF"/>
              </w:rPr>
              <w:t>Jun 22</w:t>
            </w:r>
          </w:p>
        </w:tc>
        <w:tc>
          <w:tcPr>
            <w:tcW w:w="1140" w:type="dxa"/>
            <w:vAlign w:val="bottom"/>
            <w:tcBorders>
              <w:bottom w:val="single" w:sz="8" w:color="auto"/>
              <w:right w:val="single" w:sz="8" w:color="auto"/>
            </w:tcBorders>
            <w:shd w:val="clear" w:color="auto" w:fill="2AD2C9"/>
          </w:tcPr>
          <w:p>
            <w:pPr>
              <w:jc w:val="right"/>
              <w:ind w:right="271"/>
              <w:spacing w:after="0"/>
              <w:rPr>
                <w:sz w:val="20"/>
                <w:szCs w:val="20"/>
                <w:color w:val="auto"/>
              </w:rPr>
            </w:pPr>
            <w:r>
              <w:rPr>
                <w:rFonts w:ascii="Arial" w:cs="Arial" w:eastAsia="Arial" w:hAnsi="Arial"/>
                <w:sz w:val="18"/>
                <w:szCs w:val="18"/>
                <w:b w:val="1"/>
                <w:bCs w:val="1"/>
                <w:color w:val="FFFFFF"/>
              </w:rPr>
              <w:t>Sep 22</w:t>
            </w:r>
          </w:p>
        </w:tc>
        <w:tc>
          <w:tcPr>
            <w:tcW w:w="860" w:type="dxa"/>
            <w:vAlign w:val="bottom"/>
            <w:tcBorders>
              <w:bottom w:val="single" w:sz="8" w:color="auto"/>
            </w:tcBorders>
            <w:shd w:val="clear" w:color="auto" w:fill="2AD2C9"/>
          </w:tcPr>
          <w:p>
            <w:pPr>
              <w:jc w:val="right"/>
              <w:ind w:right="191"/>
              <w:spacing w:after="0"/>
              <w:rPr>
                <w:sz w:val="20"/>
                <w:szCs w:val="20"/>
                <w:color w:val="auto"/>
              </w:rPr>
            </w:pPr>
            <w:r>
              <w:rPr>
                <w:rFonts w:ascii="Arial" w:cs="Arial" w:eastAsia="Arial" w:hAnsi="Arial"/>
                <w:sz w:val="18"/>
                <w:szCs w:val="18"/>
                <w:b w:val="1"/>
                <w:bCs w:val="1"/>
                <w:color w:val="FFFFFF"/>
              </w:rPr>
              <w:t>QoQ</w:t>
            </w:r>
          </w:p>
        </w:tc>
        <w:tc>
          <w:tcPr>
            <w:tcW w:w="700" w:type="dxa"/>
            <w:vAlign w:val="bottom"/>
            <w:tcBorders>
              <w:bottom w:val="single" w:sz="8" w:color="auto"/>
              <w:right w:val="single" w:sz="8" w:color="auto"/>
            </w:tcBorders>
            <w:shd w:val="clear" w:color="auto" w:fill="2AD2C9"/>
          </w:tcPr>
          <w:p>
            <w:pPr>
              <w:jc w:val="right"/>
              <w:ind w:right="151"/>
              <w:spacing w:after="0"/>
              <w:rPr>
                <w:sz w:val="20"/>
                <w:szCs w:val="20"/>
                <w:color w:val="auto"/>
              </w:rPr>
            </w:pPr>
            <w:r>
              <w:rPr>
                <w:rFonts w:ascii="Arial" w:cs="Arial" w:eastAsia="Arial" w:hAnsi="Arial"/>
                <w:sz w:val="18"/>
                <w:szCs w:val="18"/>
                <w:b w:val="1"/>
                <w:bCs w:val="1"/>
                <w:color w:val="FFFFFF"/>
              </w:rPr>
              <w:t>YoY</w:t>
            </w:r>
          </w:p>
        </w:tc>
      </w:tr>
      <w:tr>
        <w:trPr>
          <w:trHeight w:val="169"/>
        </w:trPr>
        <w:tc>
          <w:tcPr>
            <w:tcW w:w="600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8"/>
                <w:szCs w:val="18"/>
                <w:color w:val="auto"/>
              </w:rPr>
              <w:t>Cash and due from banks</w:t>
            </w:r>
          </w:p>
        </w:tc>
        <w:tc>
          <w:tcPr>
            <w:tcW w:w="1320" w:type="dxa"/>
            <w:vAlign w:val="bottom"/>
          </w:tcPr>
          <w:p>
            <w:pPr>
              <w:jc w:val="right"/>
              <w:ind w:right="11"/>
              <w:spacing w:after="0" w:line="169" w:lineRule="exact"/>
              <w:rPr>
                <w:sz w:val="20"/>
                <w:szCs w:val="20"/>
                <w:color w:val="auto"/>
              </w:rPr>
            </w:pPr>
            <w:r>
              <w:rPr>
                <w:rFonts w:ascii="Arial" w:cs="Arial" w:eastAsia="Arial" w:hAnsi="Arial"/>
                <w:sz w:val="18"/>
                <w:szCs w:val="18"/>
                <w:color w:val="auto"/>
              </w:rPr>
              <w:t>36,147,225</w:t>
            </w:r>
          </w:p>
        </w:tc>
        <w:tc>
          <w:tcPr>
            <w:tcW w:w="1220" w:type="dxa"/>
            <w:vAlign w:val="bottom"/>
          </w:tcPr>
          <w:p>
            <w:pPr>
              <w:jc w:val="right"/>
              <w:ind w:right="31"/>
              <w:spacing w:after="0" w:line="169" w:lineRule="exact"/>
              <w:rPr>
                <w:sz w:val="20"/>
                <w:szCs w:val="20"/>
                <w:color w:val="auto"/>
              </w:rPr>
            </w:pPr>
            <w:r>
              <w:rPr>
                <w:rFonts w:ascii="Arial" w:cs="Arial" w:eastAsia="Arial" w:hAnsi="Arial"/>
                <w:sz w:val="18"/>
                <w:szCs w:val="18"/>
                <w:color w:val="auto"/>
              </w:rPr>
              <w:t>23,831,465</w:t>
            </w:r>
          </w:p>
        </w:tc>
        <w:tc>
          <w:tcPr>
            <w:tcW w:w="114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29,330,082</w:t>
            </w:r>
          </w:p>
        </w:tc>
        <w:tc>
          <w:tcPr>
            <w:tcW w:w="860" w:type="dxa"/>
            <w:vAlign w:val="bottom"/>
          </w:tcPr>
          <w:p>
            <w:pPr>
              <w:jc w:val="right"/>
              <w:spacing w:after="0" w:line="169" w:lineRule="exact"/>
              <w:rPr>
                <w:sz w:val="20"/>
                <w:szCs w:val="20"/>
                <w:color w:val="auto"/>
              </w:rPr>
            </w:pPr>
            <w:r>
              <w:rPr>
                <w:rFonts w:ascii="Arial" w:cs="Arial" w:eastAsia="Arial" w:hAnsi="Arial"/>
                <w:sz w:val="18"/>
                <w:szCs w:val="18"/>
                <w:color w:val="auto"/>
              </w:rPr>
              <w:t>23.1%</w:t>
            </w:r>
          </w:p>
        </w:tc>
        <w:tc>
          <w:tcPr>
            <w:tcW w:w="7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8"/>
                <w:szCs w:val="18"/>
                <w:color w:val="auto"/>
              </w:rPr>
              <w:t>-18.9%</w:t>
            </w:r>
          </w:p>
        </w:tc>
      </w:tr>
      <w:tr>
        <w:trPr>
          <w:trHeight w:val="201"/>
        </w:trPr>
        <w:tc>
          <w:tcPr>
            <w:tcW w:w="60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Total investments</w:t>
            </w:r>
          </w:p>
        </w:tc>
        <w:tc>
          <w:tcPr>
            <w:tcW w:w="13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48,110,456</w:t>
            </w:r>
          </w:p>
        </w:tc>
        <w:tc>
          <w:tcPr>
            <w:tcW w:w="12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45,342,775</w:t>
            </w:r>
          </w:p>
        </w:tc>
        <w:tc>
          <w:tcPr>
            <w:tcW w:w="11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46,843,270</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3.3%</w:t>
            </w:r>
          </w:p>
        </w:tc>
        <w:tc>
          <w:tcPr>
            <w:tcW w:w="7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-2.6%</w:t>
            </w:r>
          </w:p>
        </w:tc>
      </w:tr>
      <w:tr>
        <w:trPr>
          <w:trHeight w:val="201"/>
        </w:trPr>
        <w:tc>
          <w:tcPr>
            <w:tcW w:w="60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Cash collateral, reverse repurchase agreements and securities borrowing</w:t>
            </w:r>
          </w:p>
        </w:tc>
        <w:tc>
          <w:tcPr>
            <w:tcW w:w="13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2,555,337</w:t>
            </w:r>
          </w:p>
        </w:tc>
        <w:tc>
          <w:tcPr>
            <w:tcW w:w="12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2,046,209</w:t>
            </w:r>
          </w:p>
        </w:tc>
        <w:tc>
          <w:tcPr>
            <w:tcW w:w="11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1,586,967</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-22.4%</w:t>
            </w:r>
          </w:p>
        </w:tc>
        <w:tc>
          <w:tcPr>
            <w:tcW w:w="7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-37.9%</w:t>
            </w:r>
          </w:p>
        </w:tc>
      </w:tr>
      <w:tr>
        <w:trPr>
          <w:trHeight w:val="201"/>
        </w:trPr>
        <w:tc>
          <w:tcPr>
            <w:tcW w:w="60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Financial assets designated at fair value through profit or loss</w:t>
            </w:r>
          </w:p>
        </w:tc>
        <w:tc>
          <w:tcPr>
            <w:tcW w:w="1320" w:type="dxa"/>
            <w:vAlign w:val="bottom"/>
          </w:tcPr>
          <w:p>
            <w:pPr>
              <w:jc w:val="right"/>
              <w:ind w:right="11"/>
              <w:spacing w:after="0" w:line="201" w:lineRule="exact"/>
              <w:rPr>
                <w:sz w:val="20"/>
                <w:szCs w:val="20"/>
                <w:color w:val="auto"/>
              </w:rPr>
            </w:pPr>
            <w:r>
              <w:rPr>
                <w:rFonts w:ascii="Arial" w:cs="Arial" w:eastAsia="Arial" w:hAnsi="Arial"/>
                <w:sz w:val="18"/>
                <w:szCs w:val="18"/>
                <w:color w:val="auto"/>
              </w:rPr>
              <w:t>981,508</w:t>
            </w:r>
          </w:p>
        </w:tc>
        <w:tc>
          <w:tcPr>
            <w:tcW w:w="12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765,195</w:t>
            </w:r>
          </w:p>
        </w:tc>
        <w:tc>
          <w:tcPr>
            <w:tcW w:w="11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767,425</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0.3%</w:t>
            </w:r>
          </w:p>
        </w:tc>
        <w:tc>
          <w:tcPr>
            <w:tcW w:w="7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-21.8%</w:t>
            </w:r>
          </w:p>
        </w:tc>
      </w:tr>
      <w:tr>
        <w:trPr>
          <w:trHeight w:val="226"/>
        </w:trPr>
        <w:tc>
          <w:tcPr>
            <w:tcW w:w="60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Total loans</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146,551,226</w:t>
            </w:r>
          </w:p>
        </w:tc>
        <w:tc>
          <w:tcPr>
            <w:tcW w:w="1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150,370,184</w:t>
            </w: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151,392,202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8"/>
        </w:trPr>
        <w:tc>
          <w:tcPr>
            <w:tcW w:w="600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Total interest earning assets</w:t>
            </w:r>
          </w:p>
        </w:tc>
        <w:tc>
          <w:tcPr>
            <w:tcW w:w="13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b w:val="1"/>
                <w:bCs w:val="1"/>
                <w:color w:val="auto"/>
              </w:rPr>
              <w:t>234,345,752</w:t>
            </w:r>
          </w:p>
        </w:tc>
        <w:tc>
          <w:tcPr>
            <w:tcW w:w="122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b w:val="1"/>
                <w:bCs w:val="1"/>
                <w:color w:val="auto"/>
              </w:rPr>
              <w:t>222,355,828</w:t>
            </w:r>
          </w:p>
        </w:tc>
        <w:tc>
          <w:tcPr>
            <w:tcW w:w="114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229,919,946</w:t>
            </w: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3.4%</w:t>
            </w:r>
          </w:p>
        </w:tc>
        <w:tc>
          <w:tcPr>
            <w:tcW w:w="7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-1.9%</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QoQ, IEA increased 3.4%. Growth was driven by an uptick in Cash and Due from Banks, Investments and structural loans.</w:t>
      </w:r>
    </w:p>
    <w:p>
      <w:pPr>
        <w:spacing w:after="0" w:line="24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Significant growth in Cash and Due from Banks was attributable to an increase in the funding base at BCP and Mibanco. The majority of these funds are held in BCRP accounts, which generate returns. Investments increased 3.3% over the same period, in line with growth in IEA.</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Loan levels remained stable in a context of mixed dynamics. The positive impetus provided by an uptick in the US Dollar was offset by the amortization of government program (GP) loans. Structural loans increased 2.5% (1.0%, excluding the exchange rate effect), driven primarily by short-term loans in the wholesale portfolio.</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YoY, IEA fell 1.9% due to a drop in balances of Cash and Due from Banks and Investments, which was partially offset by Loan growth. Cash and Due from Banks decreased this quarter due to: (i) a reduction in liquidity levels in the banking system following amortizations of GP loans and (ii) the use of liquid funds to finance Loan growth. It is important to note that structural loans increased 10.8% (12.4% excluding the exchange rate effect), which reflects economic recovery post-pandemic. GP loans fell 41.5%.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3.2. Funding</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96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Funding</w:t>
            </w:r>
          </w:p>
        </w:tc>
        <w:tc>
          <w:tcPr>
            <w:tcW w:w="1800" w:type="dxa"/>
            <w:vAlign w:val="bottom"/>
            <w:tcBorders>
              <w:top w:val="single" w:sz="8" w:color="auto"/>
            </w:tcBorders>
            <w:shd w:val="clear" w:color="auto" w:fill="2AD2C9"/>
          </w:tcPr>
          <w:p>
            <w:pPr>
              <w:spacing w:after="0"/>
              <w:rPr>
                <w:sz w:val="18"/>
                <w:szCs w:val="18"/>
                <w:color w:val="auto"/>
              </w:rPr>
            </w:pPr>
          </w:p>
        </w:tc>
        <w:tc>
          <w:tcPr>
            <w:tcW w:w="1520" w:type="dxa"/>
            <w:vAlign w:val="bottom"/>
            <w:tcBorders>
              <w:top w:val="single" w:sz="8" w:color="auto"/>
            </w:tcBorders>
            <w:shd w:val="clear" w:color="auto" w:fill="2AD2C9"/>
          </w:tcPr>
          <w:p>
            <w:pPr>
              <w:jc w:val="right"/>
              <w:ind w:right="671"/>
              <w:spacing w:after="0"/>
              <w:rPr>
                <w:sz w:val="20"/>
                <w:szCs w:val="20"/>
                <w:color w:val="auto"/>
              </w:rPr>
            </w:pPr>
            <w:r>
              <w:rPr>
                <w:rFonts w:ascii="Arial" w:cs="Arial" w:eastAsia="Arial" w:hAnsi="Arial"/>
                <w:sz w:val="18"/>
                <w:szCs w:val="18"/>
                <w:b w:val="1"/>
                <w:bCs w:val="1"/>
                <w:color w:val="FFFFFF"/>
              </w:rPr>
              <w:t>As of</w:t>
            </w:r>
          </w:p>
        </w:tc>
        <w:tc>
          <w:tcPr>
            <w:tcW w:w="1360" w:type="dxa"/>
            <w:vAlign w:val="bottom"/>
            <w:tcBorders>
              <w:top w:val="single" w:sz="8" w:color="auto"/>
              <w:right w:val="single" w:sz="8" w:color="auto"/>
            </w:tcBorders>
            <w:shd w:val="clear" w:color="auto" w:fill="2AD2C9"/>
          </w:tcPr>
          <w:p>
            <w:pPr>
              <w:spacing w:after="0"/>
              <w:rPr>
                <w:sz w:val="18"/>
                <w:szCs w:val="18"/>
                <w:color w:val="auto"/>
              </w:rPr>
            </w:pPr>
          </w:p>
        </w:tc>
        <w:tc>
          <w:tcPr>
            <w:tcW w:w="2600" w:type="dxa"/>
            <w:vAlign w:val="bottom"/>
            <w:tcBorders>
              <w:top w:val="single" w:sz="8" w:color="auto"/>
              <w:right w:val="single" w:sz="8" w:color="auto"/>
            </w:tcBorders>
            <w:gridSpan w:val="2"/>
            <w:shd w:val="clear" w:color="auto" w:fill="2AD2C9"/>
          </w:tcPr>
          <w:p>
            <w:pPr>
              <w:ind w:left="880"/>
              <w:spacing w:after="0"/>
              <w:rPr>
                <w:sz w:val="20"/>
                <w:szCs w:val="20"/>
                <w:color w:val="auto"/>
              </w:rPr>
            </w:pPr>
            <w:r>
              <w:rPr>
                <w:rFonts w:ascii="Arial" w:cs="Arial" w:eastAsia="Arial" w:hAnsi="Arial"/>
                <w:sz w:val="18"/>
                <w:szCs w:val="18"/>
                <w:b w:val="1"/>
                <w:bCs w:val="1"/>
                <w:color w:val="FFFFFF"/>
              </w:rPr>
              <w:t>% change</w:t>
            </w:r>
          </w:p>
        </w:tc>
      </w:tr>
      <w:tr>
        <w:trPr>
          <w:trHeight w:val="226"/>
        </w:trPr>
        <w:tc>
          <w:tcPr>
            <w:tcW w:w="39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1800" w:type="dxa"/>
            <w:vAlign w:val="bottom"/>
            <w:tcBorders>
              <w:bottom w:val="single" w:sz="8" w:color="auto"/>
            </w:tcBorders>
            <w:shd w:val="clear" w:color="auto" w:fill="2AD2C9"/>
          </w:tcPr>
          <w:p>
            <w:pPr>
              <w:jc w:val="right"/>
              <w:ind w:right="651"/>
              <w:spacing w:after="0"/>
              <w:rPr>
                <w:sz w:val="20"/>
                <w:szCs w:val="20"/>
                <w:color w:val="auto"/>
              </w:rPr>
            </w:pPr>
            <w:r>
              <w:rPr>
                <w:rFonts w:ascii="Arial" w:cs="Arial" w:eastAsia="Arial" w:hAnsi="Arial"/>
                <w:sz w:val="18"/>
                <w:szCs w:val="18"/>
                <w:b w:val="1"/>
                <w:bCs w:val="1"/>
                <w:color w:val="FFFFFF"/>
              </w:rPr>
              <w:t>Sep 21</w:t>
            </w:r>
          </w:p>
        </w:tc>
        <w:tc>
          <w:tcPr>
            <w:tcW w:w="1520" w:type="dxa"/>
            <w:vAlign w:val="bottom"/>
            <w:tcBorders>
              <w:bottom w:val="single" w:sz="8" w:color="auto"/>
            </w:tcBorders>
            <w:shd w:val="clear" w:color="auto" w:fill="2AD2C9"/>
          </w:tcPr>
          <w:p>
            <w:pPr>
              <w:jc w:val="right"/>
              <w:ind w:right="631"/>
              <w:spacing w:after="0"/>
              <w:rPr>
                <w:sz w:val="20"/>
                <w:szCs w:val="20"/>
                <w:color w:val="auto"/>
              </w:rPr>
            </w:pPr>
            <w:r>
              <w:rPr>
                <w:rFonts w:ascii="Arial" w:cs="Arial" w:eastAsia="Arial" w:hAnsi="Arial"/>
                <w:sz w:val="18"/>
                <w:szCs w:val="18"/>
                <w:b w:val="1"/>
                <w:bCs w:val="1"/>
                <w:color w:val="FFFFFF"/>
              </w:rPr>
              <w:t>Jun 22</w:t>
            </w:r>
          </w:p>
        </w:tc>
        <w:tc>
          <w:tcPr>
            <w:tcW w:w="1360" w:type="dxa"/>
            <w:vAlign w:val="bottom"/>
            <w:tcBorders>
              <w:bottom w:val="single" w:sz="8" w:color="auto"/>
              <w:right w:val="single" w:sz="8" w:color="auto"/>
            </w:tcBorders>
            <w:shd w:val="clear" w:color="auto" w:fill="2AD2C9"/>
          </w:tcPr>
          <w:p>
            <w:pPr>
              <w:jc w:val="right"/>
              <w:ind w:right="431"/>
              <w:spacing w:after="0"/>
              <w:rPr>
                <w:sz w:val="20"/>
                <w:szCs w:val="20"/>
                <w:color w:val="auto"/>
              </w:rPr>
            </w:pPr>
            <w:r>
              <w:rPr>
                <w:rFonts w:ascii="Arial" w:cs="Arial" w:eastAsia="Arial" w:hAnsi="Arial"/>
                <w:sz w:val="18"/>
                <w:szCs w:val="18"/>
                <w:b w:val="1"/>
                <w:bCs w:val="1"/>
                <w:color w:val="FFFFFF"/>
              </w:rPr>
              <w:t>Sep 22</w:t>
            </w:r>
          </w:p>
        </w:tc>
        <w:tc>
          <w:tcPr>
            <w:tcW w:w="1300" w:type="dxa"/>
            <w:vAlign w:val="bottom"/>
            <w:tcBorders>
              <w:bottom w:val="single" w:sz="8" w:color="auto"/>
            </w:tcBorders>
            <w:shd w:val="clear" w:color="auto" w:fill="2AD2C9"/>
          </w:tcPr>
          <w:p>
            <w:pPr>
              <w:ind w:left="480"/>
              <w:spacing w:after="0"/>
              <w:rPr>
                <w:sz w:val="20"/>
                <w:szCs w:val="20"/>
                <w:color w:val="auto"/>
              </w:rPr>
            </w:pPr>
            <w:r>
              <w:rPr>
                <w:rFonts w:ascii="Arial" w:cs="Arial" w:eastAsia="Arial" w:hAnsi="Arial"/>
                <w:sz w:val="18"/>
                <w:szCs w:val="18"/>
                <w:b w:val="1"/>
                <w:bCs w:val="1"/>
                <w:color w:val="FFFFFF"/>
              </w:rPr>
              <w:t>QoQ</w:t>
            </w:r>
          </w:p>
        </w:tc>
        <w:tc>
          <w:tcPr>
            <w:tcW w:w="1300" w:type="dxa"/>
            <w:vAlign w:val="bottom"/>
            <w:tcBorders>
              <w:bottom w:val="single" w:sz="8" w:color="auto"/>
              <w:right w:val="single" w:sz="8" w:color="auto"/>
            </w:tcBorders>
            <w:shd w:val="clear" w:color="auto" w:fill="2AD2C9"/>
          </w:tcPr>
          <w:p>
            <w:pPr>
              <w:ind w:left="480"/>
              <w:spacing w:after="0"/>
              <w:rPr>
                <w:sz w:val="20"/>
                <w:szCs w:val="20"/>
                <w:color w:val="auto"/>
              </w:rPr>
            </w:pPr>
            <w:r>
              <w:rPr>
                <w:rFonts w:ascii="Arial" w:cs="Arial" w:eastAsia="Arial" w:hAnsi="Arial"/>
                <w:sz w:val="18"/>
                <w:szCs w:val="18"/>
                <w:b w:val="1"/>
                <w:bCs w:val="1"/>
                <w:color w:val="FFFFFF"/>
              </w:rPr>
              <w:t>YoY</w:t>
            </w:r>
          </w:p>
        </w:tc>
      </w:tr>
      <w:tr>
        <w:trPr>
          <w:trHeight w:val="182"/>
        </w:trPr>
        <w:tc>
          <w:tcPr>
            <w:tcW w:w="396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Deposits and obligations</w:t>
            </w:r>
          </w:p>
        </w:tc>
        <w:tc>
          <w:tcPr>
            <w:tcW w:w="1800" w:type="dxa"/>
            <w:vAlign w:val="bottom"/>
          </w:tcPr>
          <w:p>
            <w:pPr>
              <w:jc w:val="right"/>
              <w:ind w:right="151"/>
              <w:spacing w:after="0" w:line="182" w:lineRule="exact"/>
              <w:rPr>
                <w:sz w:val="20"/>
                <w:szCs w:val="20"/>
                <w:color w:val="auto"/>
              </w:rPr>
            </w:pPr>
            <w:r>
              <w:rPr>
                <w:rFonts w:ascii="Arial" w:cs="Arial" w:eastAsia="Arial" w:hAnsi="Arial"/>
                <w:sz w:val="18"/>
                <w:szCs w:val="18"/>
                <w:color w:val="auto"/>
              </w:rPr>
              <w:t>152,548,368</w:t>
            </w:r>
          </w:p>
        </w:tc>
        <w:tc>
          <w:tcPr>
            <w:tcW w:w="1520" w:type="dxa"/>
            <w:vAlign w:val="bottom"/>
          </w:tcPr>
          <w:p>
            <w:pPr>
              <w:jc w:val="right"/>
              <w:ind w:right="151"/>
              <w:spacing w:after="0" w:line="182" w:lineRule="exact"/>
              <w:rPr>
                <w:sz w:val="20"/>
                <w:szCs w:val="20"/>
                <w:color w:val="auto"/>
              </w:rPr>
            </w:pPr>
            <w:r>
              <w:rPr>
                <w:rFonts w:ascii="Arial" w:cs="Arial" w:eastAsia="Arial" w:hAnsi="Arial"/>
                <w:sz w:val="18"/>
                <w:szCs w:val="18"/>
                <w:color w:val="auto"/>
              </w:rPr>
              <w:t>147,440,575</w:t>
            </w:r>
          </w:p>
        </w:tc>
        <w:tc>
          <w:tcPr>
            <w:tcW w:w="13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152,792,014</w:t>
            </w:r>
          </w:p>
        </w:tc>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w w:val="97"/>
              </w:rPr>
              <w:t>3.6%</w:t>
            </w:r>
          </w:p>
        </w:tc>
        <w:tc>
          <w:tcPr>
            <w:tcW w:w="13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0.2%</w:t>
            </w:r>
          </w:p>
        </w:tc>
      </w:tr>
      <w:tr>
        <w:trPr>
          <w:trHeight w:val="201"/>
        </w:trPr>
        <w:tc>
          <w:tcPr>
            <w:tcW w:w="396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Due to banks and correspondents</w:t>
            </w:r>
          </w:p>
        </w:tc>
        <w:tc>
          <w:tcPr>
            <w:tcW w:w="180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7,466,434</w:t>
            </w:r>
          </w:p>
        </w:tc>
        <w:tc>
          <w:tcPr>
            <w:tcW w:w="152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6,456,360</w:t>
            </w:r>
          </w:p>
        </w:tc>
        <w:tc>
          <w:tcPr>
            <w:tcW w:w="13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9,002,035</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7"/>
              </w:rPr>
              <w:t>39.4%</w:t>
            </w:r>
          </w:p>
        </w:tc>
        <w:tc>
          <w:tcPr>
            <w:tcW w:w="13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20.6%</w:t>
            </w:r>
          </w:p>
        </w:tc>
      </w:tr>
      <w:tr>
        <w:trPr>
          <w:trHeight w:val="201"/>
        </w:trPr>
        <w:tc>
          <w:tcPr>
            <w:tcW w:w="396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BCRP instruments</w:t>
            </w:r>
          </w:p>
        </w:tc>
        <w:tc>
          <w:tcPr>
            <w:tcW w:w="180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20,746,109</w:t>
            </w:r>
          </w:p>
        </w:tc>
        <w:tc>
          <w:tcPr>
            <w:tcW w:w="152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16,031,618</w:t>
            </w:r>
          </w:p>
        </w:tc>
        <w:tc>
          <w:tcPr>
            <w:tcW w:w="13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14,449,597</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7"/>
              </w:rPr>
              <w:t>-9.9%</w:t>
            </w:r>
          </w:p>
        </w:tc>
        <w:tc>
          <w:tcPr>
            <w:tcW w:w="13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-30.4%</w:t>
            </w:r>
          </w:p>
        </w:tc>
      </w:tr>
      <w:tr>
        <w:trPr>
          <w:trHeight w:val="201"/>
        </w:trPr>
        <w:tc>
          <w:tcPr>
            <w:tcW w:w="396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Repurchase agreements</w:t>
            </w:r>
          </w:p>
        </w:tc>
        <w:tc>
          <w:tcPr>
            <w:tcW w:w="180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1,330,811</w:t>
            </w:r>
          </w:p>
        </w:tc>
        <w:tc>
          <w:tcPr>
            <w:tcW w:w="152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1,340,423</w:t>
            </w:r>
          </w:p>
        </w:tc>
        <w:tc>
          <w:tcPr>
            <w:tcW w:w="13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1,182,946</w:t>
            </w:r>
          </w:p>
        </w:tc>
        <w:tc>
          <w:tcPr>
            <w:tcW w:w="1300" w:type="dxa"/>
            <w:vAlign w:val="bottom"/>
          </w:tcPr>
          <w:p>
            <w:pPr>
              <w:jc w:val="center"/>
              <w:spacing w:after="0" w:line="201" w:lineRule="exact"/>
              <w:rPr>
                <w:sz w:val="20"/>
                <w:szCs w:val="20"/>
                <w:color w:val="auto"/>
              </w:rPr>
            </w:pPr>
            <w:r>
              <w:rPr>
                <w:rFonts w:ascii="Arial" w:cs="Arial" w:eastAsia="Arial" w:hAnsi="Arial"/>
                <w:sz w:val="18"/>
                <w:szCs w:val="18"/>
                <w:color w:val="auto"/>
                <w:w w:val="94"/>
              </w:rPr>
              <w:t>-11.7%</w:t>
            </w:r>
          </w:p>
        </w:tc>
        <w:tc>
          <w:tcPr>
            <w:tcW w:w="13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-11.1%</w:t>
            </w:r>
          </w:p>
        </w:tc>
      </w:tr>
      <w:tr>
        <w:trPr>
          <w:trHeight w:val="226"/>
        </w:trPr>
        <w:tc>
          <w:tcPr>
            <w:tcW w:w="3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Bonds and notes issued</w:t>
            </w:r>
          </w:p>
        </w:tc>
        <w:tc>
          <w:tcPr>
            <w:tcW w:w="18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17,577,630</w:t>
            </w:r>
          </w:p>
        </w:tc>
        <w:tc>
          <w:tcPr>
            <w:tcW w:w="15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16,579,674</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17,019,694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2.7%</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-3.2%</w:t>
            </w:r>
          </w:p>
        </w:tc>
      </w:tr>
      <w:tr>
        <w:trPr>
          <w:trHeight w:val="208"/>
        </w:trPr>
        <w:tc>
          <w:tcPr>
            <w:tcW w:w="396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Total funding</w:t>
            </w:r>
          </w:p>
        </w:tc>
        <w:tc>
          <w:tcPr>
            <w:tcW w:w="180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b w:val="1"/>
                <w:bCs w:val="1"/>
                <w:color w:val="auto"/>
              </w:rPr>
              <w:t>199,669,352</w:t>
            </w:r>
          </w:p>
        </w:tc>
        <w:tc>
          <w:tcPr>
            <w:tcW w:w="152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b w:val="1"/>
                <w:bCs w:val="1"/>
                <w:color w:val="auto"/>
              </w:rPr>
              <w:t>187,848,650</w:t>
            </w:r>
          </w:p>
        </w:tc>
        <w:tc>
          <w:tcPr>
            <w:tcW w:w="136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194,446,286</w:t>
            </w:r>
          </w:p>
        </w:tc>
        <w:tc>
          <w:tcPr>
            <w:tcW w:w="13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3.5%</w:t>
            </w:r>
          </w:p>
        </w:tc>
        <w:tc>
          <w:tcPr>
            <w:tcW w:w="130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-2.6%</w:t>
            </w:r>
          </w:p>
        </w:tc>
      </w:tr>
    </w:tbl>
    <w:p>
      <w:pPr>
        <w:spacing w:after="0" w:line="22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QoQ, funding increased 3.5%, driven by (i) an uptick in deposit captures and (ii) growth in other sources of funding, mainly due to banks and notes. YoY funding fell 2.6%. This decline was spurred by a drop in the balance of BCRP instruments, which were impacted by amortizations of GP loans.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26" w:name="page27"/>
    <w:bookmarkEnd w:id="26"/>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04 </w:t>
      </w:r>
      <w:r>
        <w:rPr>
          <w:rFonts w:ascii="Times New Roman" w:cs="Times New Roman" w:eastAsia="Times New Roman" w:hAnsi="Times New Roman"/>
          <w:sz w:val="32"/>
          <w:szCs w:val="32"/>
          <w:b w:val="1"/>
          <w:bCs w:val="1"/>
          <w:color w:val="E93CAC"/>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186055</wp:posOffset>
            </wp:positionV>
            <wp:extent cx="7133590" cy="12668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3590" cy="126682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both"/>
        <w:ind w:left="120" w:right="100"/>
        <w:spacing w:after="0" w:line="241" w:lineRule="auto"/>
        <w:rPr>
          <w:sz w:val="20"/>
          <w:szCs w:val="20"/>
          <w:color w:val="auto"/>
        </w:rPr>
      </w:pPr>
      <w:r>
        <w:rPr>
          <w:rFonts w:ascii="Arial" w:cs="Arial" w:eastAsia="Arial" w:hAnsi="Arial"/>
          <w:sz w:val="18"/>
          <w:szCs w:val="18"/>
          <w:color w:val="FFFFFF"/>
        </w:rPr>
        <w:t>In 3Q22, Net Interest Income continued to recover. This evolution was primarily driven by the increase in market rates and disciplined pricing management. It is important to note that the volume dynamics described in the section on IEAs generated a higher-yield mix where liquid assets with lower rates continue to fall and structural loans are on the rise. These factors offset the negative effect generated by an increase in the cost of funds in a context marked by growth in passive interest rates and expansion in expensive funding sources. Notwithstanding, at the end of 3Q22, low-cost deposits constituted 55.9% of the funding structure.</w:t>
      </w:r>
    </w:p>
    <w:p>
      <w:pPr>
        <w:spacing w:after="0" w:line="72" w:lineRule="exact"/>
        <w:rPr>
          <w:sz w:val="20"/>
          <w:szCs w:val="20"/>
          <w:color w:val="auto"/>
        </w:rPr>
      </w:pPr>
    </w:p>
    <w:p>
      <w:pPr>
        <w:jc w:val="both"/>
        <w:ind w:left="120" w:right="120"/>
        <w:spacing w:after="0" w:line="265" w:lineRule="auto"/>
        <w:rPr>
          <w:sz w:val="20"/>
          <w:szCs w:val="20"/>
          <w:color w:val="auto"/>
        </w:rPr>
      </w:pPr>
      <w:r>
        <w:rPr>
          <w:rFonts w:ascii="Arial" w:cs="Arial" w:eastAsia="Arial" w:hAnsi="Arial"/>
          <w:sz w:val="18"/>
          <w:szCs w:val="18"/>
          <w:color w:val="FFFFFF"/>
        </w:rPr>
        <w:t>In this context, in the 3Q22, the Net interest margin rose 41bps QoQ and 108bps YoY to stand at 5.31% while the Structural Net Interest Margin stood at 5.58% (+40bps QoQ, +105bps YoY).</w:t>
      </w:r>
    </w:p>
    <w:p>
      <w:pPr>
        <w:spacing w:after="0" w:line="200" w:lineRule="exact"/>
        <w:rPr>
          <w:sz w:val="20"/>
          <w:szCs w:val="20"/>
          <w:color w:val="auto"/>
        </w:rPr>
      </w:pPr>
    </w:p>
    <w:p>
      <w:pPr>
        <w:spacing w:after="0" w:line="279"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276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Net Interest Income / Margin</w:t>
            </w:r>
          </w:p>
        </w:tc>
        <w:tc>
          <w:tcPr>
            <w:tcW w:w="1260" w:type="dxa"/>
            <w:vAlign w:val="bottom"/>
            <w:tcBorders>
              <w:top w:val="single" w:sz="8" w:color="auto"/>
            </w:tcBorders>
            <w:shd w:val="clear" w:color="auto" w:fill="2AD2C9"/>
          </w:tcPr>
          <w:p>
            <w:pPr>
              <w:spacing w:after="0"/>
              <w:rPr>
                <w:sz w:val="16"/>
                <w:szCs w:val="16"/>
                <w:color w:val="auto"/>
              </w:rPr>
            </w:pPr>
          </w:p>
        </w:tc>
        <w:tc>
          <w:tcPr>
            <w:tcW w:w="1120" w:type="dxa"/>
            <w:vAlign w:val="bottom"/>
            <w:tcBorders>
              <w:top w:val="single" w:sz="8" w:color="auto"/>
            </w:tcBorders>
            <w:shd w:val="clear" w:color="auto" w:fill="2AD2C9"/>
          </w:tcPr>
          <w:p>
            <w:pPr>
              <w:jc w:val="right"/>
              <w:ind w:right="389"/>
              <w:spacing w:after="0"/>
              <w:rPr>
                <w:sz w:val="20"/>
                <w:szCs w:val="20"/>
                <w:color w:val="auto"/>
              </w:rPr>
            </w:pPr>
            <w:r>
              <w:rPr>
                <w:rFonts w:ascii="Arial" w:cs="Arial" w:eastAsia="Arial" w:hAnsi="Arial"/>
                <w:sz w:val="14"/>
                <w:szCs w:val="14"/>
                <w:b w:val="1"/>
                <w:bCs w:val="1"/>
                <w:color w:val="FFFFFF"/>
              </w:rPr>
              <w:t>Quarter</w:t>
            </w:r>
          </w:p>
        </w:tc>
        <w:tc>
          <w:tcPr>
            <w:tcW w:w="980" w:type="dxa"/>
            <w:vAlign w:val="bottom"/>
            <w:tcBorders>
              <w:top w:val="single" w:sz="8" w:color="auto"/>
              <w:right w:val="single" w:sz="8" w:color="auto"/>
            </w:tcBorders>
            <w:shd w:val="clear" w:color="auto" w:fill="2AD2C9"/>
          </w:tcPr>
          <w:p>
            <w:pPr>
              <w:spacing w:after="0"/>
              <w:rPr>
                <w:sz w:val="16"/>
                <w:szCs w:val="16"/>
                <w:color w:val="auto"/>
              </w:rPr>
            </w:pPr>
          </w:p>
        </w:tc>
        <w:tc>
          <w:tcPr>
            <w:tcW w:w="1540" w:type="dxa"/>
            <w:vAlign w:val="bottom"/>
            <w:tcBorders>
              <w:top w:val="single" w:sz="8" w:color="auto"/>
              <w:right w:val="single" w:sz="8" w:color="auto"/>
            </w:tcBorders>
            <w:gridSpan w:val="2"/>
            <w:shd w:val="clear" w:color="auto" w:fill="2AD2C9"/>
          </w:tcPr>
          <w:p>
            <w:pPr>
              <w:ind w:left="420"/>
              <w:spacing w:after="0"/>
              <w:rPr>
                <w:sz w:val="20"/>
                <w:szCs w:val="20"/>
                <w:color w:val="auto"/>
              </w:rPr>
            </w:pPr>
            <w:r>
              <w:rPr>
                <w:rFonts w:ascii="Arial" w:cs="Arial" w:eastAsia="Arial" w:hAnsi="Arial"/>
                <w:sz w:val="14"/>
                <w:szCs w:val="14"/>
                <w:b w:val="1"/>
                <w:bCs w:val="1"/>
                <w:color w:val="FFFFFF"/>
              </w:rPr>
              <w:t>% change</w:t>
            </w:r>
          </w:p>
        </w:tc>
        <w:tc>
          <w:tcPr>
            <w:tcW w:w="1360" w:type="dxa"/>
            <w:vAlign w:val="bottom"/>
            <w:tcBorders>
              <w:top w:val="single" w:sz="8" w:color="auto"/>
            </w:tcBorders>
            <w:shd w:val="clear" w:color="auto" w:fill="2AD2C9"/>
          </w:tcPr>
          <w:p>
            <w:pPr>
              <w:jc w:val="right"/>
              <w:ind w:right="9"/>
              <w:spacing w:after="0"/>
              <w:rPr>
                <w:sz w:val="20"/>
                <w:szCs w:val="20"/>
                <w:color w:val="auto"/>
              </w:rPr>
            </w:pPr>
            <w:r>
              <w:rPr>
                <w:rFonts w:ascii="Arial" w:cs="Arial" w:eastAsia="Arial" w:hAnsi="Arial"/>
                <w:sz w:val="14"/>
                <w:szCs w:val="14"/>
                <w:b w:val="1"/>
                <w:bCs w:val="1"/>
                <w:color w:val="FFFFFF"/>
              </w:rPr>
              <w:t>As of</w:t>
            </w:r>
          </w:p>
        </w:tc>
        <w:tc>
          <w:tcPr>
            <w:tcW w:w="900" w:type="dxa"/>
            <w:vAlign w:val="bottom"/>
            <w:tcBorders>
              <w:top w:val="single" w:sz="8" w:color="auto"/>
              <w:right w:val="single" w:sz="8" w:color="auto"/>
            </w:tcBorders>
            <w:shd w:val="clear" w:color="auto" w:fill="2AD2C9"/>
          </w:tcPr>
          <w:p>
            <w:pPr>
              <w:spacing w:after="0"/>
              <w:rPr>
                <w:sz w:val="16"/>
                <w:szCs w:val="16"/>
                <w:color w:val="auto"/>
              </w:rPr>
            </w:pPr>
          </w:p>
        </w:tc>
        <w:tc>
          <w:tcPr>
            <w:tcW w:w="13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 change</w:t>
            </w:r>
          </w:p>
        </w:tc>
      </w:tr>
      <w:tr>
        <w:trPr>
          <w:trHeight w:val="167"/>
        </w:trPr>
        <w:tc>
          <w:tcPr>
            <w:tcW w:w="27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S/ 000</w:t>
            </w:r>
          </w:p>
        </w:tc>
        <w:tc>
          <w:tcPr>
            <w:tcW w:w="1260" w:type="dxa"/>
            <w:vAlign w:val="bottom"/>
            <w:tcBorders>
              <w:bottom w:val="single" w:sz="8" w:color="auto"/>
            </w:tcBorders>
            <w:shd w:val="clear" w:color="auto" w:fill="2AD2C9"/>
          </w:tcPr>
          <w:p>
            <w:pPr>
              <w:jc w:val="right"/>
              <w:ind w:right="469"/>
              <w:spacing w:after="0"/>
              <w:rPr>
                <w:sz w:val="20"/>
                <w:szCs w:val="20"/>
                <w:color w:val="auto"/>
              </w:rPr>
            </w:pPr>
            <w:r>
              <w:rPr>
                <w:rFonts w:ascii="Arial" w:cs="Arial" w:eastAsia="Arial" w:hAnsi="Arial"/>
                <w:sz w:val="14"/>
                <w:szCs w:val="14"/>
                <w:b w:val="1"/>
                <w:bCs w:val="1"/>
                <w:color w:val="FFFFFF"/>
              </w:rPr>
              <w:t>3Q21</w:t>
            </w:r>
          </w:p>
        </w:tc>
        <w:tc>
          <w:tcPr>
            <w:tcW w:w="1120" w:type="dxa"/>
            <w:vAlign w:val="bottom"/>
            <w:tcBorders>
              <w:bottom w:val="single" w:sz="8" w:color="auto"/>
            </w:tcBorders>
            <w:shd w:val="clear" w:color="auto" w:fill="2AD2C9"/>
          </w:tcPr>
          <w:p>
            <w:pPr>
              <w:jc w:val="right"/>
              <w:ind w:right="469"/>
              <w:spacing w:after="0"/>
              <w:rPr>
                <w:sz w:val="20"/>
                <w:szCs w:val="20"/>
                <w:color w:val="auto"/>
              </w:rPr>
            </w:pPr>
            <w:r>
              <w:rPr>
                <w:rFonts w:ascii="Arial" w:cs="Arial" w:eastAsia="Arial" w:hAnsi="Arial"/>
                <w:sz w:val="14"/>
                <w:szCs w:val="14"/>
                <w:b w:val="1"/>
                <w:bCs w:val="1"/>
                <w:color w:val="FFFFFF"/>
              </w:rPr>
              <w:t>2Q22</w:t>
            </w:r>
          </w:p>
        </w:tc>
        <w:tc>
          <w:tcPr>
            <w:tcW w:w="980" w:type="dxa"/>
            <w:vAlign w:val="bottom"/>
            <w:tcBorders>
              <w:bottom w:val="single" w:sz="8" w:color="auto"/>
              <w:right w:val="single" w:sz="8" w:color="auto"/>
            </w:tcBorders>
            <w:shd w:val="clear" w:color="auto" w:fill="2AD2C9"/>
          </w:tcPr>
          <w:p>
            <w:pPr>
              <w:jc w:val="right"/>
              <w:ind w:right="329"/>
              <w:spacing w:after="0"/>
              <w:rPr>
                <w:sz w:val="20"/>
                <w:szCs w:val="20"/>
                <w:color w:val="auto"/>
              </w:rPr>
            </w:pPr>
            <w:r>
              <w:rPr>
                <w:rFonts w:ascii="Arial" w:cs="Arial" w:eastAsia="Arial" w:hAnsi="Arial"/>
                <w:sz w:val="14"/>
                <w:szCs w:val="14"/>
                <w:b w:val="1"/>
                <w:bCs w:val="1"/>
                <w:color w:val="FFFFFF"/>
              </w:rPr>
              <w:t>3Q22</w:t>
            </w:r>
          </w:p>
        </w:tc>
        <w:tc>
          <w:tcPr>
            <w:tcW w:w="76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4"/>
                <w:szCs w:val="14"/>
                <w:b w:val="1"/>
                <w:bCs w:val="1"/>
                <w:color w:val="FFFFFF"/>
              </w:rPr>
              <w:t>QoQ</w:t>
            </w:r>
          </w:p>
        </w:tc>
        <w:tc>
          <w:tcPr>
            <w:tcW w:w="78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4"/>
                <w:szCs w:val="14"/>
                <w:b w:val="1"/>
                <w:bCs w:val="1"/>
                <w:color w:val="FFFFFF"/>
              </w:rPr>
              <w:t>YoY</w:t>
            </w:r>
          </w:p>
        </w:tc>
        <w:tc>
          <w:tcPr>
            <w:tcW w:w="1360" w:type="dxa"/>
            <w:vAlign w:val="bottom"/>
            <w:tcBorders>
              <w:bottom w:val="single" w:sz="8" w:color="auto"/>
            </w:tcBorders>
            <w:shd w:val="clear" w:color="auto" w:fill="2AD2C9"/>
          </w:tcPr>
          <w:p>
            <w:pPr>
              <w:jc w:val="right"/>
              <w:ind w:right="509"/>
              <w:spacing w:after="0"/>
              <w:rPr>
                <w:sz w:val="20"/>
                <w:szCs w:val="20"/>
                <w:color w:val="auto"/>
              </w:rPr>
            </w:pPr>
            <w:r>
              <w:rPr>
                <w:rFonts w:ascii="Arial" w:cs="Arial" w:eastAsia="Arial" w:hAnsi="Arial"/>
                <w:sz w:val="14"/>
                <w:szCs w:val="14"/>
                <w:b w:val="1"/>
                <w:bCs w:val="1"/>
                <w:color w:val="FFFFFF"/>
              </w:rPr>
              <w:t>Sep 21</w:t>
            </w:r>
          </w:p>
        </w:tc>
        <w:tc>
          <w:tcPr>
            <w:tcW w:w="900" w:type="dxa"/>
            <w:vAlign w:val="bottom"/>
            <w:tcBorders>
              <w:bottom w:val="single" w:sz="8" w:color="auto"/>
              <w:right w:val="single" w:sz="8" w:color="auto"/>
            </w:tcBorders>
            <w:shd w:val="clear" w:color="auto" w:fill="2AD2C9"/>
          </w:tcPr>
          <w:p>
            <w:pPr>
              <w:jc w:val="right"/>
              <w:ind w:right="289"/>
              <w:spacing w:after="0"/>
              <w:rPr>
                <w:sz w:val="20"/>
                <w:szCs w:val="20"/>
                <w:color w:val="auto"/>
              </w:rPr>
            </w:pPr>
            <w:r>
              <w:rPr>
                <w:rFonts w:ascii="Arial" w:cs="Arial" w:eastAsia="Arial" w:hAnsi="Arial"/>
                <w:sz w:val="14"/>
                <w:szCs w:val="14"/>
                <w:b w:val="1"/>
                <w:bCs w:val="1"/>
                <w:color w:val="FFFFFF"/>
              </w:rPr>
              <w:t>Sep 22</w:t>
            </w:r>
          </w:p>
        </w:tc>
        <w:tc>
          <w:tcPr>
            <w:tcW w:w="13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Sep 22 / Sep 21</w:t>
            </w:r>
          </w:p>
        </w:tc>
      </w:tr>
      <w:tr>
        <w:trPr>
          <w:trHeight w:val="151"/>
        </w:trPr>
        <w:tc>
          <w:tcPr>
            <w:tcW w:w="2760" w:type="dxa"/>
            <w:vAlign w:val="bottom"/>
            <w:tcBorders>
              <w:left w:val="single" w:sz="8" w:color="auto"/>
              <w:right w:val="single" w:sz="8" w:color="auto"/>
            </w:tcBorders>
          </w:tcPr>
          <w:p>
            <w:pPr>
              <w:ind w:left="200"/>
              <w:spacing w:after="0" w:line="151" w:lineRule="exact"/>
              <w:rPr>
                <w:sz w:val="20"/>
                <w:szCs w:val="20"/>
                <w:color w:val="auto"/>
              </w:rPr>
            </w:pPr>
            <w:r>
              <w:rPr>
                <w:rFonts w:ascii="Arial" w:cs="Arial" w:eastAsia="Arial" w:hAnsi="Arial"/>
                <w:sz w:val="14"/>
                <w:szCs w:val="14"/>
                <w:color w:val="auto"/>
              </w:rPr>
              <w:t>Interest Income</w:t>
            </w:r>
          </w:p>
        </w:tc>
        <w:tc>
          <w:tcPr>
            <w:tcW w:w="1260" w:type="dxa"/>
            <w:vAlign w:val="bottom"/>
          </w:tcPr>
          <w:p>
            <w:pPr>
              <w:jc w:val="right"/>
              <w:ind w:right="89"/>
              <w:spacing w:after="0" w:line="151" w:lineRule="exact"/>
              <w:rPr>
                <w:sz w:val="20"/>
                <w:szCs w:val="20"/>
                <w:color w:val="auto"/>
              </w:rPr>
            </w:pPr>
            <w:r>
              <w:rPr>
                <w:rFonts w:ascii="Arial" w:cs="Arial" w:eastAsia="Arial" w:hAnsi="Arial"/>
                <w:sz w:val="14"/>
                <w:szCs w:val="14"/>
                <w:color w:val="auto"/>
              </w:rPr>
              <w:t>3,051,000</w:t>
            </w:r>
          </w:p>
        </w:tc>
        <w:tc>
          <w:tcPr>
            <w:tcW w:w="1120" w:type="dxa"/>
            <w:vAlign w:val="bottom"/>
          </w:tcPr>
          <w:p>
            <w:pPr>
              <w:jc w:val="right"/>
              <w:ind w:right="89"/>
              <w:spacing w:after="0" w:line="151" w:lineRule="exact"/>
              <w:rPr>
                <w:sz w:val="20"/>
                <w:szCs w:val="20"/>
                <w:color w:val="auto"/>
              </w:rPr>
            </w:pPr>
            <w:r>
              <w:rPr>
                <w:rFonts w:ascii="Arial" w:cs="Arial" w:eastAsia="Arial" w:hAnsi="Arial"/>
                <w:sz w:val="14"/>
                <w:szCs w:val="14"/>
                <w:color w:val="auto"/>
              </w:rPr>
              <w:t>3,488,113</w:t>
            </w:r>
          </w:p>
        </w:tc>
        <w:tc>
          <w:tcPr>
            <w:tcW w:w="98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3,988,681</w:t>
            </w:r>
          </w:p>
        </w:tc>
        <w:tc>
          <w:tcPr>
            <w:tcW w:w="760" w:type="dxa"/>
            <w:vAlign w:val="bottom"/>
          </w:tcPr>
          <w:p>
            <w:pPr>
              <w:jc w:val="center"/>
              <w:spacing w:after="0" w:line="151" w:lineRule="exact"/>
              <w:rPr>
                <w:sz w:val="20"/>
                <w:szCs w:val="20"/>
                <w:color w:val="auto"/>
              </w:rPr>
            </w:pPr>
            <w:r>
              <w:rPr>
                <w:rFonts w:ascii="Arial" w:cs="Arial" w:eastAsia="Arial" w:hAnsi="Arial"/>
                <w:sz w:val="14"/>
                <w:szCs w:val="14"/>
                <w:color w:val="auto"/>
              </w:rPr>
              <w:t>14.4%</w:t>
            </w:r>
          </w:p>
        </w:tc>
        <w:tc>
          <w:tcPr>
            <w:tcW w:w="7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30.7%</w:t>
            </w:r>
          </w:p>
        </w:tc>
        <w:tc>
          <w:tcPr>
            <w:tcW w:w="1360" w:type="dxa"/>
            <w:vAlign w:val="bottom"/>
          </w:tcPr>
          <w:p>
            <w:pPr>
              <w:jc w:val="right"/>
              <w:ind w:right="189"/>
              <w:spacing w:after="0" w:line="151" w:lineRule="exact"/>
              <w:rPr>
                <w:sz w:val="20"/>
                <w:szCs w:val="20"/>
                <w:color w:val="auto"/>
              </w:rPr>
            </w:pPr>
            <w:r>
              <w:rPr>
                <w:rFonts w:ascii="Arial" w:cs="Arial" w:eastAsia="Arial" w:hAnsi="Arial"/>
                <w:sz w:val="14"/>
                <w:szCs w:val="14"/>
                <w:color w:val="auto"/>
              </w:rPr>
              <w:t>8,758,652</w:t>
            </w:r>
          </w:p>
        </w:tc>
        <w:tc>
          <w:tcPr>
            <w:tcW w:w="900" w:type="dxa"/>
            <w:vAlign w:val="bottom"/>
            <w:tcBorders>
              <w:right w:val="single" w:sz="8" w:color="auto"/>
            </w:tcBorders>
          </w:tcPr>
          <w:p>
            <w:pPr>
              <w:jc w:val="right"/>
              <w:spacing w:after="0" w:line="151" w:lineRule="exact"/>
              <w:rPr>
                <w:sz w:val="20"/>
                <w:szCs w:val="20"/>
                <w:color w:val="auto"/>
              </w:rPr>
            </w:pPr>
            <w:r>
              <w:rPr>
                <w:rFonts w:ascii="Arial" w:cs="Arial" w:eastAsia="Arial" w:hAnsi="Arial"/>
                <w:sz w:val="14"/>
                <w:szCs w:val="14"/>
                <w:color w:val="auto"/>
              </w:rPr>
              <w:t>10,649,140</w:t>
            </w:r>
          </w:p>
        </w:tc>
        <w:tc>
          <w:tcPr>
            <w:tcW w:w="132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21.6%</w:t>
            </w:r>
          </w:p>
        </w:tc>
      </w:tr>
      <w:tr>
        <w:trPr>
          <w:trHeight w:val="177"/>
        </w:trPr>
        <w:tc>
          <w:tcPr>
            <w:tcW w:w="276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Interest Expense</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599,901</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748,085</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987,255</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32.0%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64.6%</w:t>
            </w:r>
          </w:p>
        </w:tc>
        <w:tc>
          <w:tcPr>
            <w:tcW w:w="1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1,876,282</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2,374,221</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26.5%</w:t>
            </w:r>
          </w:p>
        </w:tc>
      </w:tr>
      <w:tr>
        <w:trPr>
          <w:trHeight w:val="195"/>
        </w:trPr>
        <w:tc>
          <w:tcPr>
            <w:tcW w:w="2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Net Interest Income</w:t>
            </w:r>
          </w:p>
        </w:tc>
        <w:tc>
          <w:tcPr>
            <w:tcW w:w="1260" w:type="dxa"/>
            <w:vAlign w:val="bottom"/>
          </w:tcPr>
          <w:p>
            <w:pPr>
              <w:jc w:val="right"/>
              <w:ind w:right="89"/>
              <w:spacing w:after="0"/>
              <w:rPr>
                <w:sz w:val="20"/>
                <w:szCs w:val="20"/>
                <w:color w:val="auto"/>
              </w:rPr>
            </w:pPr>
            <w:r>
              <w:rPr>
                <w:rFonts w:ascii="Arial" w:cs="Arial" w:eastAsia="Arial" w:hAnsi="Arial"/>
                <w:sz w:val="14"/>
                <w:szCs w:val="14"/>
                <w:b w:val="1"/>
                <w:bCs w:val="1"/>
                <w:color w:val="auto"/>
              </w:rPr>
              <w:t>2,451,099</w:t>
            </w: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2,740,028</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3,001,426</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9.5%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22.5%</w:t>
            </w:r>
          </w:p>
        </w:tc>
        <w:tc>
          <w:tcPr>
            <w:tcW w:w="1360" w:type="dxa"/>
            <w:vAlign w:val="bottom"/>
          </w:tcPr>
          <w:p>
            <w:pPr>
              <w:jc w:val="right"/>
              <w:ind w:right="189"/>
              <w:spacing w:after="0"/>
              <w:rPr>
                <w:sz w:val="20"/>
                <w:szCs w:val="20"/>
                <w:color w:val="auto"/>
              </w:rPr>
            </w:pPr>
            <w:r>
              <w:rPr>
                <w:rFonts w:ascii="Arial" w:cs="Arial" w:eastAsia="Arial" w:hAnsi="Arial"/>
                <w:sz w:val="14"/>
                <w:szCs w:val="14"/>
                <w:b w:val="1"/>
                <w:bCs w:val="1"/>
                <w:color w:val="auto"/>
              </w:rPr>
              <w:t>6,882,370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8,274,919</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w:t>
            </w:r>
          </w:p>
        </w:tc>
      </w:tr>
      <w:tr>
        <w:trPr>
          <w:trHeight w:val="331"/>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Balances</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r>
      <w:tr>
        <w:trPr>
          <w:trHeight w:val="161"/>
        </w:trPr>
        <w:tc>
          <w:tcPr>
            <w:tcW w:w="2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Average Interest Earning Assets (IEA)</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231,912,064</w:t>
            </w: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223,529,737</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226,137,887</w:t>
            </w:r>
          </w:p>
        </w:tc>
        <w:tc>
          <w:tcPr>
            <w:tcW w:w="760" w:type="dxa"/>
            <w:vAlign w:val="bottom"/>
          </w:tcPr>
          <w:p>
            <w:pPr>
              <w:jc w:val="center"/>
              <w:spacing w:after="0"/>
              <w:rPr>
                <w:sz w:val="20"/>
                <w:szCs w:val="20"/>
                <w:color w:val="auto"/>
              </w:rPr>
            </w:pPr>
            <w:r>
              <w:rPr>
                <w:rFonts w:ascii="Arial" w:cs="Arial" w:eastAsia="Arial" w:hAnsi="Arial"/>
                <w:sz w:val="14"/>
                <w:szCs w:val="14"/>
                <w:color w:val="auto"/>
              </w:rPr>
              <w:t>1.2%</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w:t>
            </w:r>
          </w:p>
        </w:tc>
        <w:tc>
          <w:tcPr>
            <w:tcW w:w="1360" w:type="dxa"/>
            <w:vAlign w:val="bottom"/>
          </w:tcPr>
          <w:p>
            <w:pPr>
              <w:jc w:val="right"/>
              <w:ind w:right="189"/>
              <w:spacing w:after="0"/>
              <w:rPr>
                <w:sz w:val="20"/>
                <w:szCs w:val="20"/>
                <w:color w:val="auto"/>
              </w:rPr>
            </w:pPr>
            <w:r>
              <w:rPr>
                <w:rFonts w:ascii="Arial" w:cs="Arial" w:eastAsia="Arial" w:hAnsi="Arial"/>
                <w:sz w:val="14"/>
                <w:szCs w:val="14"/>
                <w:color w:val="auto"/>
              </w:rPr>
              <w:t>229,486,667</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230,803,439</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0.6%</w:t>
            </w:r>
          </w:p>
        </w:tc>
      </w:tr>
      <w:tr>
        <w:trPr>
          <w:trHeight w:val="189"/>
        </w:trPr>
        <w:tc>
          <w:tcPr>
            <w:tcW w:w="2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Average Funding</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198,314,233</w:t>
            </w: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188,461,327</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191,164,166</w:t>
            </w:r>
          </w:p>
        </w:tc>
        <w:tc>
          <w:tcPr>
            <w:tcW w:w="760" w:type="dxa"/>
            <w:vAlign w:val="bottom"/>
          </w:tcPr>
          <w:p>
            <w:pPr>
              <w:jc w:val="center"/>
              <w:spacing w:after="0"/>
              <w:rPr>
                <w:sz w:val="20"/>
                <w:szCs w:val="20"/>
                <w:color w:val="auto"/>
              </w:rPr>
            </w:pPr>
            <w:r>
              <w:rPr>
                <w:rFonts w:ascii="Arial" w:cs="Arial" w:eastAsia="Arial" w:hAnsi="Arial"/>
                <w:sz w:val="14"/>
                <w:szCs w:val="14"/>
                <w:color w:val="auto"/>
              </w:rPr>
              <w:t>1.4%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w:t>
            </w:r>
          </w:p>
        </w:tc>
        <w:tc>
          <w:tcPr>
            <w:tcW w:w="1360" w:type="dxa"/>
            <w:vAlign w:val="bottom"/>
          </w:tcPr>
          <w:p>
            <w:pPr>
              <w:jc w:val="right"/>
              <w:ind w:right="189"/>
              <w:spacing w:after="0"/>
              <w:rPr>
                <w:sz w:val="20"/>
                <w:szCs w:val="20"/>
                <w:color w:val="auto"/>
              </w:rPr>
            </w:pPr>
            <w:r>
              <w:rPr>
                <w:rFonts w:ascii="Arial" w:cs="Arial" w:eastAsia="Arial" w:hAnsi="Arial"/>
                <w:sz w:val="14"/>
                <w:szCs w:val="14"/>
                <w:color w:val="auto"/>
              </w:rPr>
              <w:t>195,570,200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195,050,534</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-0.3%</w:t>
            </w:r>
          </w:p>
        </w:tc>
      </w:tr>
      <w:tr>
        <w:trPr>
          <w:trHeight w:val="346"/>
        </w:trPr>
        <w:tc>
          <w:tcPr>
            <w:tcW w:w="27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Yields</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r>
      <w:tr>
        <w:trPr>
          <w:trHeight w:val="161"/>
        </w:trPr>
        <w:tc>
          <w:tcPr>
            <w:tcW w:w="2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Yield on IEAs</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5.26%</w:t>
            </w: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6.24%</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7.06%</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82bps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180bps</w:t>
            </w:r>
          </w:p>
        </w:tc>
        <w:tc>
          <w:tcPr>
            <w:tcW w:w="1360" w:type="dxa"/>
            <w:vAlign w:val="bottom"/>
          </w:tcPr>
          <w:p>
            <w:pPr>
              <w:jc w:val="right"/>
              <w:ind w:right="189"/>
              <w:spacing w:after="0"/>
              <w:rPr>
                <w:sz w:val="20"/>
                <w:szCs w:val="20"/>
                <w:color w:val="auto"/>
              </w:rPr>
            </w:pPr>
            <w:r>
              <w:rPr>
                <w:rFonts w:ascii="Arial" w:cs="Arial" w:eastAsia="Arial" w:hAnsi="Arial"/>
                <w:sz w:val="14"/>
                <w:szCs w:val="14"/>
                <w:color w:val="auto"/>
              </w:rPr>
              <w:t>5.09%</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6.15%</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106bps</w:t>
            </w:r>
          </w:p>
        </w:tc>
      </w:tr>
      <w:tr>
        <w:trPr>
          <w:trHeight w:val="161"/>
        </w:trPr>
        <w:tc>
          <w:tcPr>
            <w:tcW w:w="2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Cost of Funds</w:t>
            </w:r>
          </w:p>
        </w:tc>
        <w:tc>
          <w:tcPr>
            <w:tcW w:w="1260" w:type="dxa"/>
            <w:vAlign w:val="bottom"/>
          </w:tcPr>
          <w:p>
            <w:pPr>
              <w:jc w:val="right"/>
              <w:ind w:right="89"/>
              <w:spacing w:after="0"/>
              <w:rPr>
                <w:sz w:val="20"/>
                <w:szCs w:val="20"/>
                <w:color w:val="auto"/>
              </w:rPr>
            </w:pPr>
            <w:r>
              <w:rPr>
                <w:rFonts w:ascii="Arial" w:cs="Arial" w:eastAsia="Arial" w:hAnsi="Arial"/>
                <w:sz w:val="14"/>
                <w:szCs w:val="14"/>
                <w:color w:val="auto"/>
              </w:rPr>
              <w:t>1.21%</w:t>
            </w:r>
          </w:p>
        </w:tc>
        <w:tc>
          <w:tcPr>
            <w:tcW w:w="1120" w:type="dxa"/>
            <w:vAlign w:val="bottom"/>
          </w:tcPr>
          <w:p>
            <w:pPr>
              <w:jc w:val="right"/>
              <w:ind w:right="89"/>
              <w:spacing w:after="0"/>
              <w:rPr>
                <w:sz w:val="20"/>
                <w:szCs w:val="20"/>
                <w:color w:val="auto"/>
              </w:rPr>
            </w:pPr>
            <w:r>
              <w:rPr>
                <w:rFonts w:ascii="Arial" w:cs="Arial" w:eastAsia="Arial" w:hAnsi="Arial"/>
                <w:sz w:val="14"/>
                <w:szCs w:val="14"/>
                <w:color w:val="auto"/>
              </w:rPr>
              <w:t>1.59%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760" w:type="dxa"/>
            <w:vAlign w:val="bottom"/>
          </w:tcPr>
          <w:p>
            <w:pPr>
              <w:jc w:val="center"/>
              <w:spacing w:after="0"/>
              <w:rPr>
                <w:sz w:val="20"/>
                <w:szCs w:val="20"/>
                <w:color w:val="auto"/>
              </w:rPr>
            </w:pPr>
            <w:r>
              <w:rPr>
                <w:rFonts w:ascii="Arial" w:cs="Arial" w:eastAsia="Arial" w:hAnsi="Arial"/>
                <w:sz w:val="14"/>
                <w:szCs w:val="14"/>
                <w:color w:val="auto"/>
                <w:w w:val="99"/>
              </w:rPr>
              <w:t>48bps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86bps</w:t>
            </w:r>
          </w:p>
        </w:tc>
        <w:tc>
          <w:tcPr>
            <w:tcW w:w="1360" w:type="dxa"/>
            <w:vAlign w:val="bottom"/>
          </w:tcPr>
          <w:p>
            <w:pPr>
              <w:jc w:val="right"/>
              <w:ind w:right="189"/>
              <w:spacing w:after="0"/>
              <w:rPr>
                <w:sz w:val="20"/>
                <w:szCs w:val="20"/>
                <w:color w:val="auto"/>
              </w:rPr>
            </w:pPr>
            <w:r>
              <w:rPr>
                <w:rFonts w:ascii="Arial" w:cs="Arial" w:eastAsia="Arial" w:hAnsi="Arial"/>
                <w:sz w:val="14"/>
                <w:szCs w:val="14"/>
                <w:color w:val="auto"/>
              </w:rPr>
              <w:t>1.28%</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34bps</w:t>
            </w:r>
          </w:p>
        </w:tc>
      </w:tr>
      <w:tr>
        <w:trPr>
          <w:trHeight w:val="161"/>
        </w:trPr>
        <w:tc>
          <w:tcPr>
            <w:tcW w:w="2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Net Interest Margin (NIM)</w:t>
            </w:r>
          </w:p>
        </w:tc>
        <w:tc>
          <w:tcPr>
            <w:tcW w:w="1260" w:type="dxa"/>
            <w:vAlign w:val="bottom"/>
          </w:tcPr>
          <w:p>
            <w:pPr>
              <w:jc w:val="right"/>
              <w:ind w:right="89"/>
              <w:spacing w:after="0"/>
              <w:rPr>
                <w:sz w:val="20"/>
                <w:szCs w:val="20"/>
                <w:color w:val="auto"/>
              </w:rPr>
            </w:pPr>
            <w:r>
              <w:rPr>
                <w:rFonts w:ascii="Arial" w:cs="Arial" w:eastAsia="Arial" w:hAnsi="Arial"/>
                <w:sz w:val="14"/>
                <w:szCs w:val="14"/>
                <w:b w:val="1"/>
                <w:bCs w:val="1"/>
                <w:color w:val="auto"/>
              </w:rPr>
              <w:t>4.23%</w:t>
            </w: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4.90%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5.31%</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41bps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108bps</w:t>
            </w:r>
          </w:p>
        </w:tc>
        <w:tc>
          <w:tcPr>
            <w:tcW w:w="1360" w:type="dxa"/>
            <w:vAlign w:val="bottom"/>
          </w:tcPr>
          <w:p>
            <w:pPr>
              <w:jc w:val="right"/>
              <w:ind w:right="189"/>
              <w:spacing w:after="0"/>
              <w:rPr>
                <w:sz w:val="20"/>
                <w:szCs w:val="20"/>
                <w:color w:val="auto"/>
              </w:rPr>
            </w:pPr>
            <w:r>
              <w:rPr>
                <w:rFonts w:ascii="Arial" w:cs="Arial" w:eastAsia="Arial" w:hAnsi="Arial"/>
                <w:sz w:val="14"/>
                <w:szCs w:val="14"/>
                <w:b w:val="1"/>
                <w:bCs w:val="1"/>
                <w:color w:val="auto"/>
              </w:rPr>
              <w:t>4.00%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4.78%</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78bps</w:t>
            </w:r>
          </w:p>
        </w:tc>
      </w:tr>
      <w:tr>
        <w:trPr>
          <w:trHeight w:val="161"/>
        </w:trPr>
        <w:tc>
          <w:tcPr>
            <w:tcW w:w="2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Risk-Adjusted Net Interest Margin</w:t>
            </w:r>
          </w:p>
        </w:tc>
        <w:tc>
          <w:tcPr>
            <w:tcW w:w="1260" w:type="dxa"/>
            <w:vAlign w:val="bottom"/>
          </w:tcPr>
          <w:p>
            <w:pPr>
              <w:jc w:val="right"/>
              <w:ind w:right="89"/>
              <w:spacing w:after="0"/>
              <w:rPr>
                <w:sz w:val="20"/>
                <w:szCs w:val="20"/>
                <w:color w:val="auto"/>
              </w:rPr>
            </w:pPr>
            <w:r>
              <w:rPr>
                <w:rFonts w:ascii="Arial" w:cs="Arial" w:eastAsia="Arial" w:hAnsi="Arial"/>
                <w:sz w:val="14"/>
                <w:szCs w:val="14"/>
                <w:b w:val="1"/>
                <w:bCs w:val="1"/>
                <w:color w:val="auto"/>
              </w:rPr>
              <w:t>3.94%</w:t>
            </w: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4.25%</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4.50%</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25bps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56bps</w:t>
            </w:r>
          </w:p>
        </w:tc>
        <w:tc>
          <w:tcPr>
            <w:tcW w:w="1360" w:type="dxa"/>
            <w:vAlign w:val="bottom"/>
          </w:tcPr>
          <w:p>
            <w:pPr>
              <w:jc w:val="right"/>
              <w:ind w:right="189"/>
              <w:spacing w:after="0"/>
              <w:rPr>
                <w:sz w:val="20"/>
                <w:szCs w:val="20"/>
                <w:color w:val="auto"/>
              </w:rPr>
            </w:pPr>
            <w:r>
              <w:rPr>
                <w:rFonts w:ascii="Arial" w:cs="Arial" w:eastAsia="Arial" w:hAnsi="Arial"/>
                <w:sz w:val="14"/>
                <w:szCs w:val="14"/>
                <w:b w:val="1"/>
                <w:bCs w:val="1"/>
                <w:color w:val="auto"/>
              </w:rPr>
              <w:t>3.37%</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4.16%</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79bps</w:t>
            </w:r>
          </w:p>
        </w:tc>
      </w:tr>
      <w:tr>
        <w:trPr>
          <w:trHeight w:val="161"/>
        </w:trPr>
        <w:tc>
          <w:tcPr>
            <w:tcW w:w="276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Peru's Reference Rate</w:t>
            </w:r>
          </w:p>
        </w:tc>
        <w:tc>
          <w:tcPr>
            <w:tcW w:w="1260" w:type="dxa"/>
            <w:vAlign w:val="bottom"/>
          </w:tcPr>
          <w:p>
            <w:pPr>
              <w:jc w:val="right"/>
              <w:ind w:right="89"/>
              <w:spacing w:after="0"/>
              <w:rPr>
                <w:sz w:val="20"/>
                <w:szCs w:val="20"/>
                <w:color w:val="auto"/>
              </w:rPr>
            </w:pPr>
            <w:r>
              <w:rPr>
                <w:rFonts w:ascii="Arial" w:cs="Arial" w:eastAsia="Arial" w:hAnsi="Arial"/>
                <w:sz w:val="14"/>
                <w:szCs w:val="14"/>
                <w:b w:val="1"/>
                <w:bCs w:val="1"/>
                <w:color w:val="auto"/>
              </w:rPr>
              <w:t>1.00%</w:t>
            </w:r>
          </w:p>
        </w:tc>
        <w:tc>
          <w:tcPr>
            <w:tcW w:w="1120" w:type="dxa"/>
            <w:vAlign w:val="bottom"/>
          </w:tcPr>
          <w:p>
            <w:pPr>
              <w:jc w:val="right"/>
              <w:ind w:right="89"/>
              <w:spacing w:after="0"/>
              <w:rPr>
                <w:sz w:val="20"/>
                <w:szCs w:val="20"/>
                <w:color w:val="auto"/>
              </w:rPr>
            </w:pPr>
            <w:r>
              <w:rPr>
                <w:rFonts w:ascii="Arial" w:cs="Arial" w:eastAsia="Arial" w:hAnsi="Arial"/>
                <w:sz w:val="14"/>
                <w:szCs w:val="14"/>
                <w:b w:val="1"/>
                <w:bCs w:val="1"/>
                <w:color w:val="auto"/>
              </w:rPr>
              <w:t>5.50%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6.75%</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125bps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575bps</w:t>
            </w:r>
          </w:p>
        </w:tc>
        <w:tc>
          <w:tcPr>
            <w:tcW w:w="1360" w:type="dxa"/>
            <w:vAlign w:val="bottom"/>
          </w:tcPr>
          <w:p>
            <w:pPr>
              <w:jc w:val="right"/>
              <w:ind w:right="189"/>
              <w:spacing w:after="0"/>
              <w:rPr>
                <w:sz w:val="20"/>
                <w:szCs w:val="20"/>
                <w:color w:val="auto"/>
              </w:rPr>
            </w:pPr>
            <w:r>
              <w:rPr>
                <w:rFonts w:ascii="Arial" w:cs="Arial" w:eastAsia="Arial" w:hAnsi="Arial"/>
                <w:sz w:val="14"/>
                <w:szCs w:val="14"/>
                <w:b w:val="1"/>
                <w:bCs w:val="1"/>
                <w:color w:val="auto"/>
              </w:rPr>
              <w:t>1.00%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6.75%</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575bps</w:t>
            </w:r>
          </w:p>
        </w:tc>
      </w:tr>
      <w:tr>
        <w:trPr>
          <w:trHeight w:val="177"/>
        </w:trPr>
        <w:tc>
          <w:tcPr>
            <w:tcW w:w="276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FED funds rate</w:t>
            </w:r>
          </w:p>
        </w:tc>
        <w:tc>
          <w:tcPr>
            <w:tcW w:w="1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0.25%</w:t>
            </w:r>
          </w:p>
        </w:tc>
        <w:tc>
          <w:tcPr>
            <w:tcW w:w="11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1.75%</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3.25%</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150bps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300bps</w:t>
            </w:r>
          </w:p>
        </w:tc>
        <w:tc>
          <w:tcPr>
            <w:tcW w:w="136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0.25%</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3.25%</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300bps</w:t>
            </w:r>
          </w:p>
        </w:tc>
      </w:tr>
    </w:tbl>
    <w:p>
      <w:pPr>
        <w:spacing w:after="0" w:line="2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7"/>
          <w:szCs w:val="17"/>
          <w:b w:val="1"/>
          <w:bCs w:val="1"/>
          <w:color w:val="auto"/>
        </w:rPr>
        <w:t xml:space="preserve">Net Interest Income </w:t>
      </w:r>
      <w:r>
        <w:rPr>
          <w:rFonts w:ascii="Times New Roman" w:cs="Times New Roman" w:eastAsia="Times New Roman" w:hAnsi="Times New Roman"/>
          <w:sz w:val="17"/>
          <w:szCs w:val="17"/>
          <w:color w:val="auto"/>
        </w:rPr>
        <w:t>grew 9.5% QoQ and 22.5% YoY this quarter and 20.2% YTD at the end of September, driven by the fact that growth in income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outstripped the expansion in expenses in an environment marked by rising interest rates. Structural loans continued to evolve positively while liquidity fell, which reflects amortizations of GP loans. Growth in interest income offset an uptick in interest expenses due to rate hikes and growth in more costly funding sources. In this context, NIM rose 41bps QoQ, 108bps YoY and 78bps YTD in 3Q22 to stand at 5.31% in 3Q22 and 4.78% in the first nine months of 2022.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income and interest expenses by item, please see annex 12.3.</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interest margin</w:t>
      </w:r>
    </w:p>
    <w:p>
      <w:pPr>
        <w:spacing w:after="0" w:line="252" w:lineRule="exact"/>
        <w:rPr>
          <w:sz w:val="20"/>
          <w:szCs w:val="20"/>
          <w:color w:val="auto"/>
        </w:rPr>
      </w:pPr>
    </w:p>
    <w:p>
      <w:pPr>
        <w:jc w:val="both"/>
        <w:ind w:left="5840"/>
        <w:spacing w:after="0" w:line="255" w:lineRule="auto"/>
        <w:rPr>
          <w:sz w:val="20"/>
          <w:szCs w:val="20"/>
          <w:color w:val="auto"/>
        </w:rPr>
      </w:pPr>
      <w:r>
        <w:rPr>
          <w:rFonts w:ascii="Times New Roman" w:cs="Times New Roman" w:eastAsia="Times New Roman" w:hAnsi="Times New Roman"/>
          <w:sz w:val="18"/>
          <w:szCs w:val="18"/>
          <w:color w:val="auto"/>
        </w:rPr>
        <w:t>Structural NIM accelerated its pace of recovery due to the positive price effect generated by rising rates and active yield management in our business segments. The factors that drove the NIM dynamic also spurred the evolution of risk-adjusted NIM, which reached pre-pandemic levels and stood at 4.50% this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-685800</wp:posOffset>
            </wp:positionV>
            <wp:extent cx="3604895" cy="17259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604895" cy="1725930"/>
                    </a:xfrm>
                    <a:prstGeom prst="rect">
                      <a:avLst/>
                    </a:prstGeom>
                    <a:noFill/>
                  </pic:spPr>
                </pic:pic>
              </a:graphicData>
            </a:graphic>
          </wp:anchor>
        </w:drawing>
      </w:r>
    </w:p>
    <w:p>
      <w:pPr>
        <w:spacing w:after="0" w:line="193" w:lineRule="exact"/>
        <w:rPr>
          <w:sz w:val="20"/>
          <w:szCs w:val="20"/>
          <w:color w:val="auto"/>
        </w:rPr>
      </w:pPr>
    </w:p>
    <w:p>
      <w:pPr>
        <w:jc w:val="both"/>
        <w:ind w:left="5840"/>
        <w:spacing w:after="0" w:line="255" w:lineRule="auto"/>
        <w:rPr>
          <w:sz w:val="20"/>
          <w:szCs w:val="20"/>
          <w:color w:val="auto"/>
        </w:rPr>
      </w:pPr>
      <w:r>
        <w:rPr>
          <w:rFonts w:ascii="Times New Roman" w:cs="Times New Roman" w:eastAsia="Times New Roman" w:hAnsi="Times New Roman"/>
          <w:sz w:val="18"/>
          <w:szCs w:val="18"/>
          <w:color w:val="auto"/>
        </w:rPr>
        <w:t>To analyze the evolution of Net Interest Income, it is important to differentiate dynamics by currency given that trends for volumes and variations in market rates are different for each. The LC reference rate (BCRP) increased 125bps QoQ and 575bps YoY while the FC rate (FED funds rate) increased 150bps QoQ and 300bps YoY.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27" w:name="page28"/>
    <w:bookmarkEnd w:id="27"/>
    <w:p>
      <w:pPr>
        <w:spacing w:after="0" w:line="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3590" cy="569595"/>
                    </a:xfrm>
                    <a:prstGeom prst="rect">
                      <a:avLst/>
                    </a:prstGeom>
                    <a:noFill/>
                  </pic:spPr>
                </pic:pic>
              </a:graphicData>
            </a:graphic>
          </wp:anchor>
        </w:drawing>
      </w:r>
    </w:p>
    <w:p>
      <w:pPr>
        <w:jc w:val="right"/>
        <w:ind w:right="60"/>
        <w:spacing w:after="0"/>
        <w:tabs>
          <w:tab w:leader="none" w:pos="3620" w:val="left"/>
        </w:tabs>
        <w:rPr>
          <w:sz w:val="20"/>
          <w:szCs w:val="20"/>
          <w:color w:val="auto"/>
        </w:rPr>
      </w:pPr>
      <w:r>
        <w:rPr>
          <w:rFonts w:ascii="Arial" w:cs="Arial" w:eastAsia="Arial" w:hAnsi="Arial"/>
          <w:sz w:val="18"/>
          <w:szCs w:val="18"/>
          <w:color w:val="A5A5A5"/>
        </w:rPr>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04. 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ectPr>
          <w:pgSz w:w="11900" w:h="16846" w:orient="portrait"/>
          <w:cols w:equalWidth="0" w:num="1">
            <w:col w:w="11300"/>
          </w:cols>
          <w:pgMar w:left="320" w:top="451" w:right="279" w:bottom="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Dynamics for Net Interest Income by Currency</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44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Interest Income</w:t>
            </w:r>
          </w:p>
        </w:tc>
        <w:tc>
          <w:tcPr>
            <w:tcW w:w="1500" w:type="dxa"/>
            <w:vAlign w:val="bottom"/>
            <w:tcBorders>
              <w:top w:val="single" w:sz="8" w:color="auto"/>
            </w:tcBorders>
            <w:gridSpan w:val="3"/>
            <w:vMerge w:val="restart"/>
            <w:shd w:val="clear" w:color="auto" w:fill="2AD2C9"/>
          </w:tcPr>
          <w:p>
            <w:pPr>
              <w:jc w:val="right"/>
              <w:ind w:right="211"/>
              <w:spacing w:after="0"/>
              <w:rPr>
                <w:sz w:val="20"/>
                <w:szCs w:val="20"/>
                <w:color w:val="auto"/>
              </w:rPr>
            </w:pPr>
            <w:r>
              <w:rPr>
                <w:rFonts w:ascii="Arial" w:cs="Arial" w:eastAsia="Arial" w:hAnsi="Arial"/>
                <w:sz w:val="18"/>
                <w:szCs w:val="18"/>
                <w:b w:val="1"/>
                <w:bCs w:val="1"/>
                <w:color w:val="FFFFFF"/>
              </w:rPr>
              <w:t>3Q21</w:t>
            </w:r>
          </w:p>
        </w:tc>
        <w:tc>
          <w:tcPr>
            <w:tcW w:w="500" w:type="dxa"/>
            <w:vAlign w:val="bottom"/>
            <w:tcBorders>
              <w:top w:val="single" w:sz="8" w:color="auto"/>
              <w:right w:val="single" w:sz="8" w:color="auto"/>
            </w:tcBorders>
            <w:shd w:val="clear" w:color="auto" w:fill="2AD2C9"/>
          </w:tcPr>
          <w:p>
            <w:pPr>
              <w:spacing w:after="0"/>
              <w:rPr>
                <w:sz w:val="18"/>
                <w:szCs w:val="18"/>
                <w:color w:val="auto"/>
              </w:rPr>
            </w:pPr>
          </w:p>
        </w:tc>
        <w:tc>
          <w:tcPr>
            <w:tcW w:w="720" w:type="dxa"/>
            <w:vAlign w:val="bottom"/>
            <w:tcBorders>
              <w:top w:val="single" w:sz="8" w:color="auto"/>
            </w:tcBorders>
            <w:shd w:val="clear" w:color="auto" w:fill="2AD2C9"/>
          </w:tcPr>
          <w:p>
            <w:pPr>
              <w:spacing w:after="0"/>
              <w:rPr>
                <w:sz w:val="18"/>
                <w:szCs w:val="18"/>
                <w:color w:val="auto"/>
              </w:rPr>
            </w:pPr>
          </w:p>
        </w:tc>
        <w:tc>
          <w:tcPr>
            <w:tcW w:w="700" w:type="dxa"/>
            <w:vAlign w:val="bottom"/>
            <w:tcBorders>
              <w:top w:val="single" w:sz="8" w:color="auto"/>
            </w:tcBorders>
            <w:vMerge w:val="restart"/>
            <w:shd w:val="clear" w:color="auto" w:fill="2AD2C9"/>
          </w:tcPr>
          <w:p>
            <w:pPr>
              <w:jc w:val="right"/>
              <w:ind w:right="171"/>
              <w:spacing w:after="0"/>
              <w:rPr>
                <w:sz w:val="20"/>
                <w:szCs w:val="20"/>
                <w:color w:val="auto"/>
              </w:rPr>
            </w:pPr>
            <w:r>
              <w:rPr>
                <w:rFonts w:ascii="Arial" w:cs="Arial" w:eastAsia="Arial" w:hAnsi="Arial"/>
                <w:sz w:val="18"/>
                <w:szCs w:val="18"/>
                <w:b w:val="1"/>
                <w:bCs w:val="1"/>
                <w:color w:val="FFFFFF"/>
                <w:w w:val="95"/>
              </w:rPr>
              <w:t>2Q22</w:t>
            </w:r>
          </w:p>
        </w:tc>
        <w:tc>
          <w:tcPr>
            <w:tcW w:w="480" w:type="dxa"/>
            <w:vAlign w:val="bottom"/>
            <w:tcBorders>
              <w:top w:val="single" w:sz="8" w:color="auto"/>
              <w:right w:val="single" w:sz="8" w:color="auto"/>
            </w:tcBorders>
            <w:shd w:val="clear" w:color="auto" w:fill="2AD2C9"/>
          </w:tcPr>
          <w:p>
            <w:pPr>
              <w:spacing w:after="0"/>
              <w:rPr>
                <w:sz w:val="18"/>
                <w:szCs w:val="18"/>
                <w:color w:val="auto"/>
              </w:rPr>
            </w:pPr>
          </w:p>
        </w:tc>
        <w:tc>
          <w:tcPr>
            <w:tcW w:w="720" w:type="dxa"/>
            <w:vAlign w:val="bottom"/>
            <w:tcBorders>
              <w:top w:val="single" w:sz="8" w:color="auto"/>
            </w:tcBorders>
            <w:shd w:val="clear" w:color="auto" w:fill="2AD2C9"/>
          </w:tcPr>
          <w:p>
            <w:pPr>
              <w:spacing w:after="0"/>
              <w:rPr>
                <w:sz w:val="18"/>
                <w:szCs w:val="18"/>
                <w:color w:val="auto"/>
              </w:rPr>
            </w:pPr>
          </w:p>
        </w:tc>
        <w:tc>
          <w:tcPr>
            <w:tcW w:w="720" w:type="dxa"/>
            <w:vAlign w:val="bottom"/>
            <w:tcBorders>
              <w:top w:val="single" w:sz="8" w:color="auto"/>
            </w:tcBorders>
            <w:vMerge w:val="restart"/>
            <w:shd w:val="clear" w:color="auto" w:fill="2AD2C9"/>
          </w:tcPr>
          <w:p>
            <w:pPr>
              <w:jc w:val="right"/>
              <w:ind w:right="171"/>
              <w:spacing w:after="0"/>
              <w:rPr>
                <w:sz w:val="20"/>
                <w:szCs w:val="20"/>
                <w:color w:val="auto"/>
              </w:rPr>
            </w:pPr>
            <w:r>
              <w:rPr>
                <w:rFonts w:ascii="Arial" w:cs="Arial" w:eastAsia="Arial" w:hAnsi="Arial"/>
                <w:sz w:val="18"/>
                <w:szCs w:val="18"/>
                <w:b w:val="1"/>
                <w:bCs w:val="1"/>
                <w:color w:val="FFFFFF"/>
                <w:w w:val="99"/>
              </w:rPr>
              <w:t>3Q22</w:t>
            </w:r>
          </w:p>
        </w:tc>
        <w:tc>
          <w:tcPr>
            <w:tcW w:w="480" w:type="dxa"/>
            <w:vAlign w:val="bottom"/>
            <w:tcBorders>
              <w:top w:val="single" w:sz="8" w:color="auto"/>
              <w:right w:val="single" w:sz="8" w:color="auto"/>
            </w:tcBorders>
            <w:shd w:val="clear" w:color="auto" w:fill="2AD2C9"/>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1440" w:type="dxa"/>
            <w:vAlign w:val="bottom"/>
            <w:tcBorders>
              <w:left w:val="single" w:sz="8" w:color="auto"/>
              <w:right w:val="single" w:sz="8" w:color="auto"/>
            </w:tcBorders>
            <w:vMerge w:val="restart"/>
            <w:shd w:val="clear" w:color="auto" w:fill="2AD2C9"/>
          </w:tcPr>
          <w:p>
            <w:pPr>
              <w:ind w:left="160"/>
              <w:spacing w:after="0" w:line="201" w:lineRule="exact"/>
              <w:rPr>
                <w:sz w:val="20"/>
                <w:szCs w:val="20"/>
                <w:color w:val="auto"/>
              </w:rPr>
            </w:pPr>
            <w:r>
              <w:rPr>
                <w:rFonts w:ascii="Arial" w:cs="Arial" w:eastAsia="Arial" w:hAnsi="Arial"/>
                <w:sz w:val="18"/>
                <w:szCs w:val="18"/>
                <w:b w:val="1"/>
                <w:bCs w:val="1"/>
                <w:color w:val="FFFFFF"/>
              </w:rPr>
              <w:t>/ IEA</w:t>
            </w:r>
          </w:p>
        </w:tc>
        <w:tc>
          <w:tcPr>
            <w:tcW w:w="1500" w:type="dxa"/>
            <w:vAlign w:val="bottom"/>
            <w:gridSpan w:val="3"/>
            <w:vMerge w:val="continue"/>
            <w:shd w:val="clear" w:color="auto" w:fill="2AD2C9"/>
          </w:tcPr>
          <w:p>
            <w:pPr>
              <w:spacing w:after="0"/>
              <w:rPr>
                <w:sz w:val="12"/>
                <w:szCs w:val="12"/>
                <w:color w:val="auto"/>
              </w:rPr>
            </w:pPr>
          </w:p>
        </w:tc>
        <w:tc>
          <w:tcPr>
            <w:tcW w:w="500" w:type="dxa"/>
            <w:vAlign w:val="bottom"/>
            <w:tcBorders>
              <w:right w:val="single" w:sz="8" w:color="auto"/>
            </w:tcBorders>
            <w:shd w:val="clear" w:color="auto" w:fill="2AD2C9"/>
          </w:tcPr>
          <w:p>
            <w:pPr>
              <w:spacing w:after="0"/>
              <w:rPr>
                <w:sz w:val="12"/>
                <w:szCs w:val="12"/>
                <w:color w:val="auto"/>
              </w:rPr>
            </w:pPr>
          </w:p>
        </w:tc>
        <w:tc>
          <w:tcPr>
            <w:tcW w:w="720" w:type="dxa"/>
            <w:vAlign w:val="bottom"/>
            <w:shd w:val="clear" w:color="auto" w:fill="2AD2C9"/>
          </w:tcPr>
          <w:p>
            <w:pPr>
              <w:spacing w:after="0"/>
              <w:rPr>
                <w:sz w:val="12"/>
                <w:szCs w:val="12"/>
                <w:color w:val="auto"/>
              </w:rPr>
            </w:pPr>
          </w:p>
        </w:tc>
        <w:tc>
          <w:tcPr>
            <w:tcW w:w="700" w:type="dxa"/>
            <w:vAlign w:val="bottom"/>
            <w:vMerge w:val="continue"/>
            <w:shd w:val="clear" w:color="auto" w:fill="2AD2C9"/>
          </w:tcPr>
          <w:p>
            <w:pPr>
              <w:spacing w:after="0"/>
              <w:rPr>
                <w:sz w:val="12"/>
                <w:szCs w:val="12"/>
                <w:color w:val="auto"/>
              </w:rPr>
            </w:pPr>
          </w:p>
        </w:tc>
        <w:tc>
          <w:tcPr>
            <w:tcW w:w="480" w:type="dxa"/>
            <w:vAlign w:val="bottom"/>
            <w:tcBorders>
              <w:right w:val="single" w:sz="8" w:color="auto"/>
            </w:tcBorders>
            <w:shd w:val="clear" w:color="auto" w:fill="2AD2C9"/>
          </w:tcPr>
          <w:p>
            <w:pPr>
              <w:spacing w:after="0"/>
              <w:rPr>
                <w:sz w:val="12"/>
                <w:szCs w:val="12"/>
                <w:color w:val="auto"/>
              </w:rPr>
            </w:pPr>
          </w:p>
        </w:tc>
        <w:tc>
          <w:tcPr>
            <w:tcW w:w="720" w:type="dxa"/>
            <w:vAlign w:val="bottom"/>
            <w:shd w:val="clear" w:color="auto" w:fill="2AD2C9"/>
          </w:tcPr>
          <w:p>
            <w:pPr>
              <w:spacing w:after="0"/>
              <w:rPr>
                <w:sz w:val="12"/>
                <w:szCs w:val="12"/>
                <w:color w:val="auto"/>
              </w:rPr>
            </w:pPr>
          </w:p>
        </w:tc>
        <w:tc>
          <w:tcPr>
            <w:tcW w:w="720" w:type="dxa"/>
            <w:vAlign w:val="bottom"/>
            <w:vMerge w:val="continue"/>
            <w:shd w:val="clear" w:color="auto" w:fill="2AD2C9"/>
          </w:tcPr>
          <w:p>
            <w:pPr>
              <w:spacing w:after="0"/>
              <w:rPr>
                <w:sz w:val="12"/>
                <w:szCs w:val="12"/>
                <w:color w:val="auto"/>
              </w:rPr>
            </w:pPr>
          </w:p>
        </w:tc>
        <w:tc>
          <w:tcPr>
            <w:tcW w:w="480" w:type="dxa"/>
            <w:vAlign w:val="bottom"/>
            <w:tcBorders>
              <w:right w:val="single" w:sz="8" w:color="auto"/>
            </w:tcBorders>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440" w:type="dxa"/>
            <w:vAlign w:val="bottom"/>
            <w:tcBorders>
              <w:left w:val="single" w:sz="8" w:color="auto"/>
              <w:right w:val="single" w:sz="8" w:color="auto"/>
            </w:tcBorders>
            <w:vMerge w:val="continue"/>
            <w:shd w:val="clear" w:color="auto" w:fill="2AD2C9"/>
          </w:tcPr>
          <w:p>
            <w:pPr>
              <w:spacing w:after="0"/>
              <w:rPr>
                <w:sz w:val="5"/>
                <w:szCs w:val="5"/>
                <w:color w:val="auto"/>
              </w:rPr>
            </w:pPr>
          </w:p>
        </w:tc>
        <w:tc>
          <w:tcPr>
            <w:tcW w:w="780" w:type="dxa"/>
            <w:vAlign w:val="bottom"/>
            <w:shd w:val="clear" w:color="auto" w:fill="2AD2C9"/>
          </w:tcPr>
          <w:p>
            <w:pPr>
              <w:spacing w:after="0"/>
              <w:rPr>
                <w:sz w:val="5"/>
                <w:szCs w:val="5"/>
                <w:color w:val="auto"/>
              </w:rPr>
            </w:pPr>
          </w:p>
        </w:tc>
        <w:tc>
          <w:tcPr>
            <w:tcW w:w="80" w:type="dxa"/>
            <w:vAlign w:val="bottom"/>
            <w:shd w:val="clear" w:color="auto" w:fill="2AD2C9"/>
          </w:tcPr>
          <w:p>
            <w:pPr>
              <w:spacing w:after="0"/>
              <w:rPr>
                <w:sz w:val="5"/>
                <w:szCs w:val="5"/>
                <w:color w:val="auto"/>
              </w:rPr>
            </w:pPr>
          </w:p>
        </w:tc>
        <w:tc>
          <w:tcPr>
            <w:tcW w:w="640" w:type="dxa"/>
            <w:vAlign w:val="bottom"/>
            <w:shd w:val="clear" w:color="auto" w:fill="2AD2C9"/>
          </w:tcPr>
          <w:p>
            <w:pPr>
              <w:spacing w:after="0"/>
              <w:rPr>
                <w:sz w:val="5"/>
                <w:szCs w:val="5"/>
                <w:color w:val="auto"/>
              </w:rPr>
            </w:pPr>
          </w:p>
        </w:tc>
        <w:tc>
          <w:tcPr>
            <w:tcW w:w="500" w:type="dxa"/>
            <w:vAlign w:val="bottom"/>
            <w:tcBorders>
              <w:right w:val="single" w:sz="8" w:color="auto"/>
            </w:tcBorders>
            <w:shd w:val="clear" w:color="auto" w:fill="2AD2C9"/>
          </w:tcPr>
          <w:p>
            <w:pPr>
              <w:spacing w:after="0"/>
              <w:rPr>
                <w:sz w:val="5"/>
                <w:szCs w:val="5"/>
                <w:color w:val="auto"/>
              </w:rPr>
            </w:pPr>
          </w:p>
        </w:tc>
        <w:tc>
          <w:tcPr>
            <w:tcW w:w="720" w:type="dxa"/>
            <w:vAlign w:val="bottom"/>
            <w:shd w:val="clear" w:color="auto" w:fill="2AD2C9"/>
          </w:tcPr>
          <w:p>
            <w:pPr>
              <w:spacing w:after="0"/>
              <w:rPr>
                <w:sz w:val="5"/>
                <w:szCs w:val="5"/>
                <w:color w:val="auto"/>
              </w:rPr>
            </w:pPr>
          </w:p>
        </w:tc>
        <w:tc>
          <w:tcPr>
            <w:tcW w:w="700" w:type="dxa"/>
            <w:vAlign w:val="bottom"/>
            <w:shd w:val="clear" w:color="auto" w:fill="2AD2C9"/>
          </w:tcPr>
          <w:p>
            <w:pPr>
              <w:spacing w:after="0"/>
              <w:rPr>
                <w:sz w:val="5"/>
                <w:szCs w:val="5"/>
                <w:color w:val="auto"/>
              </w:rPr>
            </w:pPr>
          </w:p>
        </w:tc>
        <w:tc>
          <w:tcPr>
            <w:tcW w:w="480" w:type="dxa"/>
            <w:vAlign w:val="bottom"/>
            <w:tcBorders>
              <w:right w:val="single" w:sz="8" w:color="auto"/>
            </w:tcBorders>
            <w:shd w:val="clear" w:color="auto" w:fill="2AD2C9"/>
          </w:tcPr>
          <w:p>
            <w:pPr>
              <w:spacing w:after="0"/>
              <w:rPr>
                <w:sz w:val="5"/>
                <w:szCs w:val="5"/>
                <w:color w:val="auto"/>
              </w:rPr>
            </w:pPr>
          </w:p>
        </w:tc>
        <w:tc>
          <w:tcPr>
            <w:tcW w:w="720" w:type="dxa"/>
            <w:vAlign w:val="bottom"/>
            <w:shd w:val="clear" w:color="auto" w:fill="2AD2C9"/>
          </w:tcPr>
          <w:p>
            <w:pPr>
              <w:spacing w:after="0"/>
              <w:rPr>
                <w:sz w:val="5"/>
                <w:szCs w:val="5"/>
                <w:color w:val="auto"/>
              </w:rPr>
            </w:pPr>
          </w:p>
        </w:tc>
        <w:tc>
          <w:tcPr>
            <w:tcW w:w="720" w:type="dxa"/>
            <w:vAlign w:val="bottom"/>
            <w:shd w:val="clear" w:color="auto" w:fill="2AD2C9"/>
          </w:tcPr>
          <w:p>
            <w:pPr>
              <w:spacing w:after="0"/>
              <w:rPr>
                <w:sz w:val="5"/>
                <w:szCs w:val="5"/>
                <w:color w:val="auto"/>
              </w:rPr>
            </w:pPr>
          </w:p>
        </w:tc>
        <w:tc>
          <w:tcPr>
            <w:tcW w:w="480" w:type="dxa"/>
            <w:vAlign w:val="bottom"/>
            <w:tcBorders>
              <w:right w:val="single" w:sz="8" w:color="auto"/>
            </w:tcBorders>
            <w:shd w:val="clear" w:color="auto" w:fill="2AD2C9"/>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440" w:type="dxa"/>
            <w:vAlign w:val="bottom"/>
            <w:tcBorders>
              <w:left w:val="single" w:sz="8" w:color="auto"/>
              <w:right w:val="single" w:sz="8" w:color="auto"/>
            </w:tcBorders>
            <w:shd w:val="clear" w:color="auto" w:fill="2AD2C9"/>
          </w:tcPr>
          <w:p>
            <w:pPr>
              <w:ind w:left="40"/>
              <w:spacing w:after="0" w:line="201" w:lineRule="exact"/>
              <w:rPr>
                <w:sz w:val="20"/>
                <w:szCs w:val="20"/>
                <w:color w:val="auto"/>
              </w:rPr>
            </w:pPr>
            <w:r>
              <w:rPr>
                <w:rFonts w:ascii="Arial" w:cs="Arial" w:eastAsia="Arial" w:hAnsi="Arial"/>
                <w:sz w:val="18"/>
                <w:szCs w:val="18"/>
                <w:b w:val="1"/>
                <w:bCs w:val="1"/>
                <w:color w:val="FFFFFF"/>
              </w:rPr>
              <w:t>S/ millions</w:t>
            </w:r>
          </w:p>
        </w:tc>
        <w:tc>
          <w:tcPr>
            <w:tcW w:w="780" w:type="dxa"/>
            <w:vAlign w:val="bottom"/>
            <w:shd w:val="clear" w:color="auto" w:fill="2AD2C9"/>
          </w:tcPr>
          <w:p>
            <w:pPr>
              <w:ind w:left="40"/>
              <w:spacing w:after="0" w:line="201" w:lineRule="exact"/>
              <w:rPr>
                <w:sz w:val="20"/>
                <w:szCs w:val="20"/>
                <w:color w:val="auto"/>
              </w:rPr>
            </w:pPr>
            <w:r>
              <w:rPr>
                <w:rFonts w:ascii="Arial" w:cs="Arial" w:eastAsia="Arial" w:hAnsi="Arial"/>
                <w:sz w:val="18"/>
                <w:szCs w:val="18"/>
                <w:b w:val="1"/>
                <w:bCs w:val="1"/>
                <w:color w:val="FFFFFF"/>
              </w:rPr>
              <w:t>Average</w:t>
            </w:r>
          </w:p>
        </w:tc>
        <w:tc>
          <w:tcPr>
            <w:tcW w:w="80" w:type="dxa"/>
            <w:vAlign w:val="bottom"/>
            <w:shd w:val="clear" w:color="auto" w:fill="2AD2C9"/>
          </w:tcPr>
          <w:p>
            <w:pPr>
              <w:spacing w:after="0"/>
              <w:rPr>
                <w:sz w:val="17"/>
                <w:szCs w:val="17"/>
                <w:color w:val="auto"/>
              </w:rPr>
            </w:pPr>
          </w:p>
        </w:tc>
        <w:tc>
          <w:tcPr>
            <w:tcW w:w="640" w:type="dxa"/>
            <w:vAlign w:val="bottom"/>
            <w:shd w:val="clear" w:color="auto" w:fill="2AD2C9"/>
          </w:tcPr>
          <w:p>
            <w:pPr>
              <w:spacing w:after="0"/>
              <w:rPr>
                <w:sz w:val="17"/>
                <w:szCs w:val="17"/>
                <w:color w:val="auto"/>
              </w:rPr>
            </w:pPr>
          </w:p>
        </w:tc>
        <w:tc>
          <w:tcPr>
            <w:tcW w:w="500" w:type="dxa"/>
            <w:vAlign w:val="bottom"/>
            <w:tcBorders>
              <w:right w:val="single" w:sz="8" w:color="auto"/>
            </w:tcBorders>
            <w:shd w:val="clear" w:color="auto" w:fill="2AD2C9"/>
          </w:tcPr>
          <w:p>
            <w:pPr>
              <w:spacing w:after="0"/>
              <w:rPr>
                <w:sz w:val="17"/>
                <w:szCs w:val="17"/>
                <w:color w:val="auto"/>
              </w:rPr>
            </w:pPr>
          </w:p>
        </w:tc>
        <w:tc>
          <w:tcPr>
            <w:tcW w:w="720" w:type="dxa"/>
            <w:vAlign w:val="bottom"/>
            <w:shd w:val="clear" w:color="auto" w:fill="2AD2C9"/>
          </w:tcPr>
          <w:p>
            <w:pPr>
              <w:jc w:val="right"/>
              <w:spacing w:after="0" w:line="201" w:lineRule="exact"/>
              <w:rPr>
                <w:sz w:val="20"/>
                <w:szCs w:val="20"/>
                <w:color w:val="auto"/>
              </w:rPr>
            </w:pPr>
            <w:r>
              <w:rPr>
                <w:rFonts w:ascii="Arial" w:cs="Arial" w:eastAsia="Arial" w:hAnsi="Arial"/>
                <w:sz w:val="18"/>
                <w:szCs w:val="18"/>
                <w:b w:val="1"/>
                <w:bCs w:val="1"/>
                <w:color w:val="FFFFFF"/>
                <w:w w:val="95"/>
              </w:rPr>
              <w:t>Average</w:t>
            </w:r>
          </w:p>
        </w:tc>
        <w:tc>
          <w:tcPr>
            <w:tcW w:w="700" w:type="dxa"/>
            <w:vAlign w:val="bottom"/>
            <w:shd w:val="clear" w:color="auto" w:fill="2AD2C9"/>
          </w:tcPr>
          <w:p>
            <w:pPr>
              <w:spacing w:after="0"/>
              <w:rPr>
                <w:sz w:val="17"/>
                <w:szCs w:val="17"/>
                <w:color w:val="auto"/>
              </w:rPr>
            </w:pPr>
          </w:p>
        </w:tc>
        <w:tc>
          <w:tcPr>
            <w:tcW w:w="480" w:type="dxa"/>
            <w:vAlign w:val="bottom"/>
            <w:tcBorders>
              <w:right w:val="single" w:sz="8" w:color="auto"/>
            </w:tcBorders>
            <w:shd w:val="clear" w:color="auto" w:fill="2AD2C9"/>
          </w:tcPr>
          <w:p>
            <w:pPr>
              <w:spacing w:after="0"/>
              <w:rPr>
                <w:sz w:val="17"/>
                <w:szCs w:val="17"/>
                <w:color w:val="auto"/>
              </w:rPr>
            </w:pPr>
          </w:p>
        </w:tc>
        <w:tc>
          <w:tcPr>
            <w:tcW w:w="720" w:type="dxa"/>
            <w:vAlign w:val="bottom"/>
            <w:shd w:val="clear" w:color="auto" w:fill="2AD2C9"/>
          </w:tcPr>
          <w:p>
            <w:pPr>
              <w:jc w:val="right"/>
              <w:spacing w:after="0" w:line="201" w:lineRule="exact"/>
              <w:rPr>
                <w:sz w:val="20"/>
                <w:szCs w:val="20"/>
                <w:color w:val="auto"/>
              </w:rPr>
            </w:pPr>
            <w:r>
              <w:rPr>
                <w:rFonts w:ascii="Arial" w:cs="Arial" w:eastAsia="Arial" w:hAnsi="Arial"/>
                <w:sz w:val="18"/>
                <w:szCs w:val="18"/>
                <w:b w:val="1"/>
                <w:bCs w:val="1"/>
                <w:color w:val="FFFFFF"/>
                <w:w w:val="98"/>
              </w:rPr>
              <w:t>Average</w:t>
            </w:r>
          </w:p>
        </w:tc>
        <w:tc>
          <w:tcPr>
            <w:tcW w:w="720" w:type="dxa"/>
            <w:vAlign w:val="bottom"/>
            <w:shd w:val="clear" w:color="auto" w:fill="2AD2C9"/>
          </w:tcPr>
          <w:p>
            <w:pPr>
              <w:spacing w:after="0"/>
              <w:rPr>
                <w:sz w:val="17"/>
                <w:szCs w:val="17"/>
                <w:color w:val="auto"/>
              </w:rPr>
            </w:pPr>
          </w:p>
        </w:tc>
        <w:tc>
          <w:tcPr>
            <w:tcW w:w="480" w:type="dxa"/>
            <w:vAlign w:val="bottom"/>
            <w:tcBorders>
              <w:right w:val="single" w:sz="8" w:color="auto"/>
            </w:tcBorders>
            <w:shd w:val="clear" w:color="auto" w:fill="2AD2C9"/>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440" w:type="dxa"/>
            <w:vAlign w:val="bottom"/>
            <w:tcBorders>
              <w:left w:val="single" w:sz="8" w:color="auto"/>
              <w:right w:val="single" w:sz="8" w:color="auto"/>
            </w:tcBorders>
            <w:shd w:val="clear" w:color="auto" w:fill="2AD2C9"/>
          </w:tcPr>
          <w:p>
            <w:pPr>
              <w:spacing w:after="0"/>
              <w:rPr>
                <w:sz w:val="19"/>
                <w:szCs w:val="19"/>
                <w:color w:val="auto"/>
              </w:rPr>
            </w:pPr>
          </w:p>
        </w:tc>
        <w:tc>
          <w:tcPr>
            <w:tcW w:w="780" w:type="dxa"/>
            <w:vAlign w:val="bottom"/>
            <w:shd w:val="clear" w:color="auto" w:fill="2AD2C9"/>
          </w:tcPr>
          <w:p>
            <w:pPr>
              <w:ind w:left="60"/>
              <w:spacing w:after="0"/>
              <w:rPr>
                <w:sz w:val="20"/>
                <w:szCs w:val="20"/>
                <w:color w:val="auto"/>
              </w:rPr>
            </w:pPr>
            <w:r>
              <w:rPr>
                <w:rFonts w:ascii="Arial" w:cs="Arial" w:eastAsia="Arial" w:hAnsi="Arial"/>
                <w:sz w:val="18"/>
                <w:szCs w:val="18"/>
                <w:b w:val="1"/>
                <w:bCs w:val="1"/>
                <w:color w:val="FFFFFF"/>
              </w:rPr>
              <w:t>Balance</w:t>
            </w:r>
          </w:p>
        </w:tc>
        <w:tc>
          <w:tcPr>
            <w:tcW w:w="1220" w:type="dxa"/>
            <w:vAlign w:val="bottom"/>
            <w:tcBorders>
              <w:right w:val="single" w:sz="8" w:color="auto"/>
            </w:tcBorders>
            <w:gridSpan w:val="3"/>
            <w:shd w:val="clear" w:color="auto" w:fill="2AD2C9"/>
          </w:tcPr>
          <w:p>
            <w:pPr>
              <w:jc w:val="right"/>
              <w:spacing w:after="0"/>
              <w:rPr>
                <w:sz w:val="20"/>
                <w:szCs w:val="20"/>
                <w:color w:val="auto"/>
              </w:rPr>
            </w:pPr>
            <w:r>
              <w:rPr>
                <w:rFonts w:ascii="Arial" w:cs="Arial" w:eastAsia="Arial" w:hAnsi="Arial"/>
                <w:sz w:val="18"/>
                <w:szCs w:val="18"/>
                <w:b w:val="1"/>
                <w:bCs w:val="1"/>
                <w:color w:val="FFFFFF"/>
                <w:w w:val="99"/>
                <w:shd w:val="clear" w:color="auto" w:fill="2AD2C9"/>
              </w:rPr>
              <w:t>IncomeYields</w:t>
            </w:r>
          </w:p>
        </w:tc>
        <w:tc>
          <w:tcPr>
            <w:tcW w:w="1900" w:type="dxa"/>
            <w:vAlign w:val="bottom"/>
            <w:tcBorders>
              <w:right w:val="single" w:sz="8" w:color="auto"/>
            </w:tcBorders>
            <w:gridSpan w:val="3"/>
            <w:shd w:val="clear" w:color="auto" w:fill="2AD2C9"/>
          </w:tcPr>
          <w:p>
            <w:pPr>
              <w:jc w:val="right"/>
              <w:spacing w:after="0"/>
              <w:rPr>
                <w:sz w:val="20"/>
                <w:szCs w:val="20"/>
                <w:color w:val="auto"/>
              </w:rPr>
            </w:pPr>
            <w:r>
              <w:rPr>
                <w:rFonts w:ascii="Arial" w:cs="Arial" w:eastAsia="Arial" w:hAnsi="Arial"/>
                <w:sz w:val="18"/>
                <w:szCs w:val="18"/>
                <w:b w:val="1"/>
                <w:bCs w:val="1"/>
                <w:color w:val="FFFFFF"/>
                <w:w w:val="97"/>
                <w:shd w:val="clear" w:color="auto" w:fill="2AD2C9"/>
              </w:rPr>
              <w:t>Balance IncomeYields</w:t>
            </w:r>
          </w:p>
        </w:tc>
        <w:tc>
          <w:tcPr>
            <w:tcW w:w="1920" w:type="dxa"/>
            <w:vAlign w:val="bottom"/>
            <w:tcBorders>
              <w:right w:val="single" w:sz="8" w:color="auto"/>
            </w:tcBorders>
            <w:gridSpan w:val="3"/>
            <w:shd w:val="clear" w:color="auto" w:fill="2AD2C9"/>
          </w:tcPr>
          <w:p>
            <w:pPr>
              <w:jc w:val="right"/>
              <w:spacing w:after="0"/>
              <w:rPr>
                <w:sz w:val="20"/>
                <w:szCs w:val="20"/>
                <w:color w:val="auto"/>
              </w:rPr>
            </w:pPr>
            <w:r>
              <w:rPr>
                <w:rFonts w:ascii="Arial" w:cs="Arial" w:eastAsia="Arial" w:hAnsi="Arial"/>
                <w:sz w:val="18"/>
                <w:szCs w:val="18"/>
                <w:b w:val="1"/>
                <w:bCs w:val="1"/>
                <w:color w:val="FFFFFF"/>
                <w:w w:val="98"/>
                <w:shd w:val="clear" w:color="auto" w:fill="2AD2C9"/>
              </w:rPr>
              <w:t>Balance IncomeYields</w:t>
            </w:r>
          </w:p>
        </w:tc>
        <w:tc>
          <w:tcPr>
            <w:tcW w:w="0" w:type="dxa"/>
            <w:vAlign w:val="bottom"/>
          </w:tcPr>
          <w:p>
            <w:pPr>
              <w:spacing w:after="0"/>
              <w:rPr>
                <w:sz w:val="1"/>
                <w:szCs w:val="1"/>
                <w:color w:val="auto"/>
              </w:rPr>
            </w:pPr>
          </w:p>
        </w:tc>
      </w:tr>
      <w:tr>
        <w:trPr>
          <w:trHeight w:val="182"/>
        </w:trPr>
        <w:tc>
          <w:tcPr>
            <w:tcW w:w="14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Cash and</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32,611</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0.1%</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26,697</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0.7%</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26,581</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139</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right w:val="single" w:sz="8" w:color="auto"/>
            </w:tcBorders>
            <w:vMerge w:val="restart"/>
          </w:tcPr>
          <w:p>
            <w:pPr>
              <w:ind w:left="160"/>
              <w:spacing w:after="0" w:line="201" w:lineRule="exact"/>
              <w:rPr>
                <w:sz w:val="20"/>
                <w:szCs w:val="20"/>
                <w:color w:val="auto"/>
              </w:rPr>
            </w:pPr>
            <w:r>
              <w:rPr>
                <w:rFonts w:ascii="Arial" w:cs="Arial" w:eastAsia="Arial" w:hAnsi="Arial"/>
                <w:sz w:val="18"/>
                <w:szCs w:val="18"/>
                <w:color w:val="auto"/>
              </w:rPr>
              <w:t>equivalents</w:t>
            </w:r>
          </w:p>
        </w:tc>
        <w:tc>
          <w:tcPr>
            <w:tcW w:w="8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440" w:type="dxa"/>
            <w:vAlign w:val="bottom"/>
            <w:tcBorders>
              <w:left w:val="single" w:sz="8" w:color="auto"/>
              <w:right w:val="single" w:sz="8" w:color="auto"/>
            </w:tcBorders>
            <w:vMerge w:val="continue"/>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4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Other IEA</w:t>
            </w:r>
          </w:p>
        </w:tc>
        <w:tc>
          <w:tcPr>
            <w:tcW w:w="8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3,038</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26</w:t>
            </w:r>
          </w:p>
        </w:tc>
        <w:tc>
          <w:tcPr>
            <w:tcW w:w="5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3.4%</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2,592</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14</w:t>
            </w:r>
          </w:p>
        </w:tc>
        <w:tc>
          <w:tcPr>
            <w:tcW w:w="4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2.2%</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2,523</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10</w:t>
            </w:r>
          </w:p>
        </w:tc>
        <w:tc>
          <w:tcPr>
            <w:tcW w:w="4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1"/>
        </w:trPr>
        <w:tc>
          <w:tcPr>
            <w:tcW w:w="14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Investments</w:t>
            </w:r>
          </w:p>
        </w:tc>
        <w:tc>
          <w:tcPr>
            <w:tcW w:w="8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51,442</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406</w:t>
            </w:r>
          </w:p>
        </w:tc>
        <w:tc>
          <w:tcPr>
            <w:tcW w:w="5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3.2%</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46,744</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497</w:t>
            </w:r>
          </w:p>
        </w:tc>
        <w:tc>
          <w:tcPr>
            <w:tcW w:w="4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4.2%</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46,093</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551</w:t>
            </w:r>
          </w:p>
        </w:tc>
        <w:tc>
          <w:tcPr>
            <w:tcW w:w="4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1"/>
        </w:trPr>
        <w:tc>
          <w:tcPr>
            <w:tcW w:w="14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Loans</w:t>
            </w:r>
          </w:p>
        </w:tc>
        <w:tc>
          <w:tcPr>
            <w:tcW w:w="8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144,821</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2,607</w:t>
            </w:r>
          </w:p>
        </w:tc>
        <w:tc>
          <w:tcPr>
            <w:tcW w:w="5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7.2%</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147,496</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2,930</w:t>
            </w:r>
          </w:p>
        </w:tc>
        <w:tc>
          <w:tcPr>
            <w:tcW w:w="4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7.9%</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150,881</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3,289</w:t>
            </w:r>
          </w:p>
        </w:tc>
        <w:tc>
          <w:tcPr>
            <w:tcW w:w="4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1"/>
        </w:trPr>
        <w:tc>
          <w:tcPr>
            <w:tcW w:w="144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Structural</w:t>
            </w:r>
          </w:p>
        </w:tc>
        <w:tc>
          <w:tcPr>
            <w:tcW w:w="8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122,812</w:t>
            </w:r>
          </w:p>
        </w:tc>
        <w:tc>
          <w:tcPr>
            <w:tcW w:w="640" w:type="dxa"/>
            <w:vAlign w:val="bottom"/>
          </w:tcPr>
          <w:p>
            <w:pPr>
              <w:jc w:val="right"/>
              <w:spacing w:after="0" w:line="201" w:lineRule="exact"/>
              <w:rPr>
                <w:sz w:val="20"/>
                <w:szCs w:val="20"/>
                <w:color w:val="auto"/>
              </w:rPr>
            </w:pPr>
            <w:r>
              <w:rPr>
                <w:rFonts w:ascii="Arial" w:cs="Arial" w:eastAsia="Arial" w:hAnsi="Arial"/>
                <w:sz w:val="18"/>
                <w:szCs w:val="18"/>
                <w:color w:val="auto"/>
              </w:rPr>
              <w:t>2,521</w:t>
            </w:r>
          </w:p>
        </w:tc>
        <w:tc>
          <w:tcPr>
            <w:tcW w:w="5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8.2%</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132,651</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2,871</w:t>
            </w:r>
          </w:p>
        </w:tc>
        <w:tc>
          <w:tcPr>
            <w:tcW w:w="4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8.7%</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138,335</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3,235</w:t>
            </w:r>
          </w:p>
        </w:tc>
        <w:tc>
          <w:tcPr>
            <w:tcW w:w="4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1"/>
        </w:trPr>
        <w:tc>
          <w:tcPr>
            <w:tcW w:w="1440" w:type="dxa"/>
            <w:vAlign w:val="bottom"/>
            <w:tcBorders>
              <w:left w:val="single" w:sz="8" w:color="auto"/>
              <w:right w:val="single" w:sz="8" w:color="auto"/>
            </w:tcBorders>
          </w:tcPr>
          <w:p>
            <w:pPr>
              <w:ind w:left="200"/>
              <w:spacing w:after="0" w:line="201" w:lineRule="exact"/>
              <w:rPr>
                <w:sz w:val="20"/>
                <w:szCs w:val="20"/>
                <w:color w:val="auto"/>
              </w:rPr>
            </w:pPr>
            <w:r>
              <w:rPr>
                <w:rFonts w:ascii="Arial" w:cs="Arial" w:eastAsia="Arial" w:hAnsi="Arial"/>
                <w:sz w:val="18"/>
                <w:szCs w:val="18"/>
                <w:color w:val="auto"/>
              </w:rPr>
              <w:t>Government</w:t>
            </w: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rPr>
              <w:t>22,009</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14,845</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1.6%</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12,546</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54</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right w:val="single" w:sz="8" w:color="auto"/>
            </w:tcBorders>
            <w:vMerge w:val="restart"/>
          </w:tcPr>
          <w:p>
            <w:pPr>
              <w:ind w:left="320"/>
              <w:spacing w:after="0"/>
              <w:rPr>
                <w:sz w:val="20"/>
                <w:szCs w:val="20"/>
                <w:color w:val="auto"/>
              </w:rPr>
            </w:pPr>
            <w:r>
              <w:rPr>
                <w:rFonts w:ascii="Arial" w:cs="Arial" w:eastAsia="Arial" w:hAnsi="Arial"/>
                <w:sz w:val="18"/>
                <w:szCs w:val="18"/>
                <w:color w:val="auto"/>
              </w:rPr>
              <w:t>Programs</w:t>
            </w:r>
          </w:p>
        </w:tc>
        <w:tc>
          <w:tcPr>
            <w:tcW w:w="8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14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14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Total IEA</w:t>
            </w:r>
          </w:p>
        </w:tc>
        <w:tc>
          <w:tcPr>
            <w:tcW w:w="86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b w:val="1"/>
                <w:bCs w:val="1"/>
                <w:color w:val="auto"/>
              </w:rPr>
              <w:t>231,912</w:t>
            </w:r>
          </w:p>
        </w:tc>
        <w:tc>
          <w:tcPr>
            <w:tcW w:w="6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3,051</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5.3%</w:t>
            </w: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223,530</w:t>
            </w:r>
          </w:p>
        </w:tc>
        <w:tc>
          <w:tcPr>
            <w:tcW w:w="7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3,488</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6.2%</w:t>
            </w: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226,078</w:t>
            </w: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3,989</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08"/>
        </w:trPr>
        <w:tc>
          <w:tcPr>
            <w:tcW w:w="14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IEA (LC)</w:t>
            </w:r>
          </w:p>
        </w:tc>
        <w:tc>
          <w:tcPr>
            <w:tcW w:w="86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57.5%</w:t>
            </w:r>
          </w:p>
        </w:tc>
        <w:tc>
          <w:tcPr>
            <w:tcW w:w="6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75.1%</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6.9%</w:t>
            </w: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58.6%</w:t>
            </w:r>
          </w:p>
        </w:tc>
        <w:tc>
          <w:tcPr>
            <w:tcW w:w="7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78.2%</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8.3%</w:t>
            </w: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56.9%</w:t>
            </w: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75.0%</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8"/>
        </w:trPr>
        <w:tc>
          <w:tcPr>
            <w:tcW w:w="14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IEA (FC)</w:t>
            </w:r>
          </w:p>
        </w:tc>
        <w:tc>
          <w:tcPr>
            <w:tcW w:w="860" w:type="dxa"/>
            <w:vAlign w:val="bottom"/>
            <w:tcBorders>
              <w:bottom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42.5%</w:t>
            </w:r>
          </w:p>
        </w:tc>
        <w:tc>
          <w:tcPr>
            <w:tcW w:w="6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24.9%</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3.1%</w:t>
            </w: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41.4%</w:t>
            </w:r>
          </w:p>
        </w:tc>
        <w:tc>
          <w:tcPr>
            <w:tcW w:w="7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21.8%</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3.3%</w:t>
            </w: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43.1%</w:t>
            </w:r>
          </w:p>
        </w:tc>
        <w:tc>
          <w:tcPr>
            <w:tcW w:w="7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25.0%</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4"/>
        </w:trPr>
        <w:tc>
          <w:tcPr>
            <w:tcW w:w="1440" w:type="dxa"/>
            <w:vAlign w:val="bottom"/>
            <w:gridSpan w:val="3"/>
            <w:shd w:val="clear" w:color="auto" w:fill="2AD2C9"/>
          </w:tcPr>
          <w:p>
            <w:pPr>
              <w:jc w:val="right"/>
              <w:ind w:right="111"/>
              <w:spacing w:after="0"/>
              <w:rPr>
                <w:sz w:val="20"/>
                <w:szCs w:val="20"/>
                <w:color w:val="auto"/>
              </w:rPr>
            </w:pPr>
            <w:r>
              <w:rPr>
                <w:rFonts w:ascii="Arial" w:cs="Arial" w:eastAsia="Arial" w:hAnsi="Arial"/>
                <w:sz w:val="18"/>
                <w:szCs w:val="18"/>
                <w:b w:val="1"/>
                <w:bCs w:val="1"/>
                <w:color w:val="FFFFFF"/>
              </w:rPr>
              <w:t>Sep 21</w:t>
            </w:r>
          </w:p>
        </w:tc>
        <w:tc>
          <w:tcPr>
            <w:tcW w:w="480" w:type="dxa"/>
            <w:vAlign w:val="bottom"/>
            <w:shd w:val="clear" w:color="auto" w:fill="2AD2C9"/>
          </w:tcPr>
          <w:p>
            <w:pPr>
              <w:spacing w:after="0"/>
              <w:rPr>
                <w:sz w:val="24"/>
                <w:szCs w:val="24"/>
                <w:color w:val="auto"/>
              </w:rPr>
            </w:pPr>
          </w:p>
        </w:tc>
        <w:tc>
          <w:tcPr>
            <w:tcW w:w="1440" w:type="dxa"/>
            <w:vAlign w:val="bottom"/>
            <w:gridSpan w:val="2"/>
            <w:shd w:val="clear" w:color="auto" w:fill="2AD2C9"/>
          </w:tcPr>
          <w:p>
            <w:pPr>
              <w:jc w:val="right"/>
              <w:ind w:right="91"/>
              <w:spacing w:after="0"/>
              <w:rPr>
                <w:sz w:val="20"/>
                <w:szCs w:val="20"/>
                <w:color w:val="auto"/>
              </w:rPr>
            </w:pPr>
            <w:r>
              <w:rPr>
                <w:rFonts w:ascii="Arial" w:cs="Arial" w:eastAsia="Arial" w:hAnsi="Arial"/>
                <w:sz w:val="18"/>
                <w:szCs w:val="18"/>
                <w:b w:val="1"/>
                <w:bCs w:val="1"/>
                <w:color w:val="FFFFFF"/>
              </w:rPr>
              <w:t>Sep 22</w:t>
            </w:r>
          </w:p>
        </w:tc>
        <w:tc>
          <w:tcPr>
            <w:tcW w:w="480" w:type="dxa"/>
            <w:vAlign w:val="bottom"/>
            <w:shd w:val="clear" w:color="auto" w:fill="2AD2C9"/>
          </w:tcPr>
          <w:p>
            <w:pPr>
              <w:spacing w:after="0"/>
              <w:rPr>
                <w:sz w:val="24"/>
                <w:szCs w:val="24"/>
                <w:color w:val="auto"/>
              </w:rPr>
            </w:pPr>
          </w:p>
        </w:tc>
      </w:tr>
      <w:tr>
        <w:trPr>
          <w:trHeight w:val="263"/>
        </w:trPr>
        <w:tc>
          <w:tcPr>
            <w:tcW w:w="720" w:type="dxa"/>
            <w:vAlign w:val="bottom"/>
            <w:shd w:val="clear" w:color="auto" w:fill="2AD2C9"/>
          </w:tcPr>
          <w:p>
            <w:pPr>
              <w:ind w:left="20"/>
              <w:spacing w:after="0"/>
              <w:rPr>
                <w:sz w:val="20"/>
                <w:szCs w:val="20"/>
                <w:color w:val="auto"/>
              </w:rPr>
            </w:pPr>
            <w:r>
              <w:rPr>
                <w:rFonts w:ascii="Arial" w:cs="Arial" w:eastAsia="Arial" w:hAnsi="Arial"/>
                <w:sz w:val="18"/>
                <w:szCs w:val="18"/>
                <w:b w:val="1"/>
                <w:bCs w:val="1"/>
                <w:color w:val="FFFFFF"/>
                <w:w w:val="95"/>
              </w:rPr>
              <w:t>Average</w:t>
            </w:r>
          </w:p>
        </w:tc>
        <w:tc>
          <w:tcPr>
            <w:tcW w:w="120" w:type="dxa"/>
            <w:vAlign w:val="bottom"/>
            <w:shd w:val="clear" w:color="auto" w:fill="2AD2C9"/>
          </w:tcPr>
          <w:p>
            <w:pPr>
              <w:spacing w:after="0"/>
              <w:rPr>
                <w:sz w:val="22"/>
                <w:szCs w:val="22"/>
                <w:color w:val="auto"/>
              </w:rPr>
            </w:pPr>
          </w:p>
        </w:tc>
        <w:tc>
          <w:tcPr>
            <w:tcW w:w="600" w:type="dxa"/>
            <w:vAlign w:val="bottom"/>
            <w:shd w:val="clear" w:color="auto" w:fill="2AD2C9"/>
          </w:tcPr>
          <w:p>
            <w:pPr>
              <w:spacing w:after="0"/>
              <w:rPr>
                <w:sz w:val="22"/>
                <w:szCs w:val="22"/>
                <w:color w:val="auto"/>
              </w:rPr>
            </w:pPr>
          </w:p>
        </w:tc>
        <w:tc>
          <w:tcPr>
            <w:tcW w:w="480" w:type="dxa"/>
            <w:vAlign w:val="bottom"/>
            <w:shd w:val="clear" w:color="auto" w:fill="2AD2C9"/>
          </w:tcPr>
          <w:p>
            <w:pPr>
              <w:spacing w:after="0"/>
              <w:rPr>
                <w:sz w:val="22"/>
                <w:szCs w:val="22"/>
                <w:color w:val="auto"/>
              </w:rPr>
            </w:pPr>
          </w:p>
        </w:tc>
        <w:tc>
          <w:tcPr>
            <w:tcW w:w="840" w:type="dxa"/>
            <w:vAlign w:val="bottom"/>
            <w:shd w:val="clear" w:color="auto" w:fill="2AD2C9"/>
          </w:tcPr>
          <w:p>
            <w:pPr>
              <w:jc w:val="right"/>
              <w:ind w:right="31"/>
              <w:spacing w:after="0"/>
              <w:rPr>
                <w:sz w:val="20"/>
                <w:szCs w:val="20"/>
                <w:color w:val="auto"/>
              </w:rPr>
            </w:pPr>
            <w:r>
              <w:rPr>
                <w:rFonts w:ascii="Arial" w:cs="Arial" w:eastAsia="Arial" w:hAnsi="Arial"/>
                <w:sz w:val="18"/>
                <w:szCs w:val="18"/>
                <w:b w:val="1"/>
                <w:bCs w:val="1"/>
                <w:color w:val="FFFFFF"/>
                <w:w w:val="98"/>
              </w:rPr>
              <w:t>Average</w:t>
            </w:r>
          </w:p>
        </w:tc>
        <w:tc>
          <w:tcPr>
            <w:tcW w:w="600" w:type="dxa"/>
            <w:vAlign w:val="bottom"/>
            <w:shd w:val="clear" w:color="auto" w:fill="2AD2C9"/>
          </w:tcPr>
          <w:p>
            <w:pPr>
              <w:spacing w:after="0"/>
              <w:rPr>
                <w:sz w:val="22"/>
                <w:szCs w:val="22"/>
                <w:color w:val="auto"/>
              </w:rPr>
            </w:pPr>
          </w:p>
        </w:tc>
        <w:tc>
          <w:tcPr>
            <w:tcW w:w="480" w:type="dxa"/>
            <w:vAlign w:val="bottom"/>
            <w:shd w:val="clear" w:color="auto" w:fill="2AD2C9"/>
          </w:tcPr>
          <w:p>
            <w:pPr>
              <w:spacing w:after="0"/>
              <w:rPr>
                <w:sz w:val="22"/>
                <w:szCs w:val="22"/>
                <w:color w:val="auto"/>
              </w:rPr>
            </w:pPr>
          </w:p>
        </w:tc>
      </w:tr>
      <w:tr>
        <w:trPr>
          <w:trHeight w:val="220"/>
        </w:trPr>
        <w:tc>
          <w:tcPr>
            <w:tcW w:w="720" w:type="dxa"/>
            <w:vAlign w:val="bottom"/>
            <w:shd w:val="clear" w:color="auto" w:fill="2AD2C9"/>
          </w:tcPr>
          <w:p>
            <w:pPr>
              <w:ind w:left="40"/>
              <w:spacing w:after="0"/>
              <w:rPr>
                <w:sz w:val="20"/>
                <w:szCs w:val="20"/>
                <w:color w:val="auto"/>
              </w:rPr>
            </w:pPr>
            <w:r>
              <w:rPr>
                <w:rFonts w:ascii="Arial" w:cs="Arial" w:eastAsia="Arial" w:hAnsi="Arial"/>
                <w:sz w:val="18"/>
                <w:szCs w:val="18"/>
                <w:b w:val="1"/>
                <w:bCs w:val="1"/>
                <w:color w:val="FFFFFF"/>
                <w:w w:val="95"/>
              </w:rPr>
              <w:t>Balance</w:t>
            </w:r>
          </w:p>
        </w:tc>
        <w:tc>
          <w:tcPr>
            <w:tcW w:w="3120" w:type="dxa"/>
            <w:vAlign w:val="bottom"/>
            <w:gridSpan w:val="6"/>
            <w:shd w:val="clear" w:color="auto" w:fill="2AD2C9"/>
          </w:tcPr>
          <w:p>
            <w:pPr>
              <w:jc w:val="right"/>
              <w:spacing w:after="0"/>
              <w:rPr>
                <w:sz w:val="20"/>
                <w:szCs w:val="20"/>
                <w:color w:val="auto"/>
              </w:rPr>
            </w:pPr>
            <w:r>
              <w:rPr>
                <w:rFonts w:ascii="Arial" w:cs="Arial" w:eastAsia="Arial" w:hAnsi="Arial"/>
                <w:sz w:val="18"/>
                <w:szCs w:val="18"/>
                <w:b w:val="1"/>
                <w:bCs w:val="1"/>
                <w:color w:val="FFFFFF"/>
                <w:w w:val="99"/>
                <w:shd w:val="clear" w:color="auto" w:fill="2AD2C9"/>
              </w:rPr>
              <w:t>IncomeYields Balance IncomeYields</w:t>
            </w:r>
          </w:p>
        </w:tc>
      </w:tr>
      <w:tr>
        <w:trPr>
          <w:trHeight w:val="310"/>
        </w:trPr>
        <w:tc>
          <w:tcPr>
            <w:tcW w:w="840" w:type="dxa"/>
            <w:vAlign w:val="bottom"/>
            <w:gridSpan w:val="2"/>
          </w:tcPr>
          <w:p>
            <w:pPr>
              <w:jc w:val="right"/>
              <w:ind w:right="31"/>
              <w:spacing w:after="0"/>
              <w:rPr>
                <w:sz w:val="20"/>
                <w:szCs w:val="20"/>
                <w:color w:val="auto"/>
              </w:rPr>
            </w:pPr>
            <w:r>
              <w:rPr>
                <w:rFonts w:ascii="Arial" w:cs="Arial" w:eastAsia="Arial" w:hAnsi="Arial"/>
                <w:sz w:val="18"/>
                <w:szCs w:val="18"/>
                <w:color w:val="auto"/>
              </w:rPr>
              <w:t>32,362</w:t>
            </w: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30,863</w:t>
            </w: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3"/>
        </w:trPr>
        <w:tc>
          <w:tcPr>
            <w:tcW w:w="840" w:type="dxa"/>
            <w:vAlign w:val="bottom"/>
            <w:gridSpan w:val="2"/>
          </w:tcPr>
          <w:p>
            <w:pPr>
              <w:jc w:val="right"/>
              <w:ind w:right="31"/>
              <w:spacing w:after="0"/>
              <w:rPr>
                <w:sz w:val="20"/>
                <w:szCs w:val="20"/>
                <w:color w:val="auto"/>
              </w:rPr>
            </w:pPr>
            <w:r>
              <w:rPr>
                <w:rFonts w:ascii="Arial" w:cs="Arial" w:eastAsia="Arial" w:hAnsi="Arial"/>
                <w:sz w:val="18"/>
                <w:szCs w:val="18"/>
                <w:color w:val="auto"/>
              </w:rPr>
              <w:t>3,377</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2,488</w:t>
            </w: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1"/>
        </w:trPr>
        <w:tc>
          <w:tcPr>
            <w:tcW w:w="840" w:type="dxa"/>
            <w:vAlign w:val="bottom"/>
            <w:gridSpan w:val="2"/>
          </w:tcPr>
          <w:p>
            <w:pPr>
              <w:jc w:val="right"/>
              <w:ind w:right="31"/>
              <w:spacing w:after="0" w:line="201" w:lineRule="exact"/>
              <w:rPr>
                <w:sz w:val="20"/>
                <w:szCs w:val="20"/>
                <w:color w:val="auto"/>
              </w:rPr>
            </w:pPr>
            <w:r>
              <w:rPr>
                <w:rFonts w:ascii="Arial" w:cs="Arial" w:eastAsia="Arial" w:hAnsi="Arial"/>
                <w:sz w:val="18"/>
                <w:szCs w:val="18"/>
                <w:color w:val="auto"/>
              </w:rPr>
              <w:t>51,642</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1,165</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3.0%</w:t>
            </w:r>
          </w:p>
        </w:tc>
        <w:tc>
          <w:tcPr>
            <w:tcW w:w="8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47,898</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1,480</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4.1%</w:t>
            </w:r>
          </w:p>
        </w:tc>
      </w:tr>
      <w:tr>
        <w:trPr>
          <w:trHeight w:val="201"/>
        </w:trPr>
        <w:tc>
          <w:tcPr>
            <w:tcW w:w="840" w:type="dxa"/>
            <w:vAlign w:val="bottom"/>
            <w:gridSpan w:val="2"/>
          </w:tcPr>
          <w:p>
            <w:pPr>
              <w:jc w:val="right"/>
              <w:ind w:right="31"/>
              <w:spacing w:after="0" w:line="201" w:lineRule="exact"/>
              <w:rPr>
                <w:sz w:val="20"/>
                <w:szCs w:val="20"/>
                <w:color w:val="auto"/>
              </w:rPr>
            </w:pPr>
            <w:r>
              <w:rPr>
                <w:rFonts w:ascii="Arial" w:cs="Arial" w:eastAsia="Arial" w:hAnsi="Arial"/>
                <w:sz w:val="18"/>
                <w:szCs w:val="18"/>
                <w:color w:val="auto"/>
              </w:rPr>
              <w:t>142,106</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7,516</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7.1%</w:t>
            </w:r>
          </w:p>
        </w:tc>
        <w:tc>
          <w:tcPr>
            <w:tcW w:w="84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149,495</w:t>
            </w: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8,904</w:t>
            </w:r>
          </w:p>
        </w:tc>
        <w:tc>
          <w:tcPr>
            <w:tcW w:w="480" w:type="dxa"/>
            <w:vAlign w:val="bottom"/>
          </w:tcPr>
          <w:p>
            <w:pPr>
              <w:jc w:val="right"/>
              <w:spacing w:after="0" w:line="201" w:lineRule="exact"/>
              <w:rPr>
                <w:sz w:val="20"/>
                <w:szCs w:val="20"/>
                <w:color w:val="auto"/>
              </w:rPr>
            </w:pPr>
            <w:r>
              <w:rPr>
                <w:rFonts w:ascii="Arial" w:cs="Arial" w:eastAsia="Arial" w:hAnsi="Arial"/>
                <w:sz w:val="18"/>
                <w:szCs w:val="18"/>
                <w:color w:val="auto"/>
              </w:rPr>
              <w:t>7.9%</w:t>
            </w:r>
          </w:p>
        </w:tc>
      </w:tr>
      <w:tr>
        <w:trPr>
          <w:trHeight w:val="236"/>
        </w:trPr>
        <w:tc>
          <w:tcPr>
            <w:tcW w:w="840" w:type="dxa"/>
            <w:vAlign w:val="bottom"/>
            <w:gridSpan w:val="2"/>
          </w:tcPr>
          <w:p>
            <w:pPr>
              <w:jc w:val="right"/>
              <w:ind w:right="31"/>
              <w:spacing w:after="0"/>
              <w:rPr>
                <w:sz w:val="20"/>
                <w:szCs w:val="20"/>
                <w:color w:val="auto"/>
              </w:rPr>
            </w:pPr>
            <w:r>
              <w:rPr>
                <w:rFonts w:ascii="Arial" w:cs="Arial" w:eastAsia="Arial" w:hAnsi="Arial"/>
                <w:sz w:val="18"/>
                <w:szCs w:val="18"/>
                <w:color w:val="auto"/>
              </w:rPr>
              <w:t>119,273</w:t>
            </w:r>
          </w:p>
        </w:tc>
        <w:tc>
          <w:tcPr>
            <w:tcW w:w="600" w:type="dxa"/>
            <w:vAlign w:val="bottom"/>
          </w:tcPr>
          <w:p>
            <w:pPr>
              <w:jc w:val="right"/>
              <w:spacing w:after="0"/>
              <w:rPr>
                <w:sz w:val="20"/>
                <w:szCs w:val="20"/>
                <w:color w:val="auto"/>
              </w:rPr>
            </w:pPr>
            <w:r>
              <w:rPr>
                <w:rFonts w:ascii="Arial" w:cs="Arial" w:eastAsia="Arial" w:hAnsi="Arial"/>
                <w:sz w:val="18"/>
                <w:szCs w:val="18"/>
                <w:color w:val="auto"/>
              </w:rPr>
              <w:t>7,265</w:t>
            </w: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134,281</w:t>
            </w:r>
          </w:p>
        </w:tc>
        <w:tc>
          <w:tcPr>
            <w:tcW w:w="600" w:type="dxa"/>
            <w:vAlign w:val="bottom"/>
          </w:tcPr>
          <w:p>
            <w:pPr>
              <w:jc w:val="right"/>
              <w:spacing w:after="0"/>
              <w:rPr>
                <w:sz w:val="20"/>
                <w:szCs w:val="20"/>
                <w:color w:val="auto"/>
              </w:rPr>
            </w:pPr>
            <w:r>
              <w:rPr>
                <w:rFonts w:ascii="Arial" w:cs="Arial" w:eastAsia="Arial" w:hAnsi="Arial"/>
                <w:sz w:val="18"/>
                <w:szCs w:val="18"/>
                <w:color w:val="auto"/>
              </w:rPr>
              <w:t>8,725</w:t>
            </w: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95"/>
        </w:trPr>
        <w:tc>
          <w:tcPr>
            <w:tcW w:w="840" w:type="dxa"/>
            <w:vAlign w:val="bottom"/>
            <w:gridSpan w:val="2"/>
          </w:tcPr>
          <w:p>
            <w:pPr>
              <w:jc w:val="right"/>
              <w:ind w:right="31"/>
              <w:spacing w:after="0"/>
              <w:rPr>
                <w:sz w:val="20"/>
                <w:szCs w:val="20"/>
                <w:color w:val="auto"/>
              </w:rPr>
            </w:pPr>
            <w:r>
              <w:rPr>
                <w:rFonts w:ascii="Arial" w:cs="Arial" w:eastAsia="Arial" w:hAnsi="Arial"/>
                <w:sz w:val="18"/>
                <w:szCs w:val="18"/>
                <w:color w:val="auto"/>
              </w:rPr>
              <w:t>22,832</w:t>
            </w:r>
          </w:p>
        </w:tc>
        <w:tc>
          <w:tcPr>
            <w:tcW w:w="600" w:type="dxa"/>
            <w:vAlign w:val="bottom"/>
          </w:tcPr>
          <w:p>
            <w:pPr>
              <w:jc w:val="right"/>
              <w:spacing w:after="0"/>
              <w:rPr>
                <w:sz w:val="20"/>
                <w:szCs w:val="20"/>
                <w:color w:val="auto"/>
              </w:rPr>
            </w:pPr>
            <w:r>
              <w:rPr>
                <w:rFonts w:ascii="Arial" w:cs="Arial" w:eastAsia="Arial" w:hAnsi="Arial"/>
                <w:sz w:val="18"/>
                <w:szCs w:val="18"/>
                <w:color w:val="auto"/>
              </w:rPr>
              <w:t>251</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15,214</w:t>
            </w:r>
          </w:p>
        </w:tc>
        <w:tc>
          <w:tcPr>
            <w:tcW w:w="600" w:type="dxa"/>
            <w:vAlign w:val="bottom"/>
          </w:tcPr>
          <w:p>
            <w:pPr>
              <w:jc w:val="right"/>
              <w:spacing w:after="0"/>
              <w:rPr>
                <w:sz w:val="20"/>
                <w:szCs w:val="20"/>
                <w:color w:val="auto"/>
              </w:rPr>
            </w:pPr>
            <w:r>
              <w:rPr>
                <w:rFonts w:ascii="Arial" w:cs="Arial" w:eastAsia="Arial" w:hAnsi="Arial"/>
                <w:sz w:val="18"/>
                <w:szCs w:val="18"/>
                <w:color w:val="auto"/>
              </w:rPr>
              <w:t>180</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-1489075</wp:posOffset>
            </wp:positionV>
            <wp:extent cx="2457450" cy="19983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457450" cy="1998345"/>
                    </a:xfrm>
                    <a:prstGeom prst="rect">
                      <a:avLst/>
                    </a:prstGeom>
                    <a:noFill/>
                  </pic:spPr>
                </pic:pic>
              </a:graphicData>
            </a:graphic>
          </wp:anchor>
        </w:drawing>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229,487</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8,759</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230,743</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10,649</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r>
      <w:tr>
        <w:trPr>
          <w:trHeight w:val="208"/>
        </w:trPr>
        <w:tc>
          <w:tcPr>
            <w:tcW w:w="8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58.9%</w:t>
            </w:r>
          </w:p>
        </w:tc>
        <w:tc>
          <w:tcPr>
            <w:tcW w:w="6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75.6%</w:t>
            </w:r>
          </w:p>
        </w:tc>
        <w:tc>
          <w:tcPr>
            <w:tcW w:w="5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6.5%</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56.2%</w:t>
            </w:r>
          </w:p>
        </w:tc>
        <w:tc>
          <w:tcPr>
            <w:tcW w:w="6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77.2%</w:t>
            </w:r>
          </w:p>
        </w:tc>
        <w:tc>
          <w:tcPr>
            <w:tcW w:w="5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8.5%</w:t>
            </w:r>
          </w:p>
        </w:tc>
      </w:tr>
      <w:tr>
        <w:trPr>
          <w:trHeight w:val="236"/>
        </w:trPr>
        <w:tc>
          <w:tcPr>
            <w:tcW w:w="800" w:type="dxa"/>
            <w:vAlign w:val="bottom"/>
          </w:tcPr>
          <w:p>
            <w:pPr>
              <w:jc w:val="right"/>
              <w:spacing w:after="0"/>
              <w:rPr>
                <w:sz w:val="20"/>
                <w:szCs w:val="20"/>
                <w:color w:val="auto"/>
              </w:rPr>
            </w:pPr>
            <w:r>
              <w:rPr>
                <w:rFonts w:ascii="Arial" w:cs="Arial" w:eastAsia="Arial" w:hAnsi="Arial"/>
                <w:sz w:val="18"/>
                <w:szCs w:val="18"/>
                <w:color w:val="auto"/>
              </w:rPr>
              <w:t>41.1%</w:t>
            </w:r>
          </w:p>
        </w:tc>
        <w:tc>
          <w:tcPr>
            <w:tcW w:w="640" w:type="dxa"/>
            <w:vAlign w:val="bottom"/>
          </w:tcPr>
          <w:p>
            <w:pPr>
              <w:jc w:val="right"/>
              <w:spacing w:after="0"/>
              <w:rPr>
                <w:sz w:val="20"/>
                <w:szCs w:val="20"/>
                <w:color w:val="auto"/>
              </w:rPr>
            </w:pPr>
            <w:r>
              <w:rPr>
                <w:rFonts w:ascii="Arial" w:cs="Arial" w:eastAsia="Arial" w:hAnsi="Arial"/>
                <w:sz w:val="18"/>
                <w:szCs w:val="18"/>
                <w:color w:val="auto"/>
              </w:rPr>
              <w:t>24.4%</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740" w:type="dxa"/>
            <w:vAlign w:val="bottom"/>
          </w:tcPr>
          <w:p>
            <w:pPr>
              <w:jc w:val="right"/>
              <w:spacing w:after="0"/>
              <w:rPr>
                <w:sz w:val="20"/>
                <w:szCs w:val="20"/>
                <w:color w:val="auto"/>
              </w:rPr>
            </w:pPr>
            <w:r>
              <w:rPr>
                <w:rFonts w:ascii="Arial" w:cs="Arial" w:eastAsia="Arial" w:hAnsi="Arial"/>
                <w:sz w:val="18"/>
                <w:szCs w:val="18"/>
                <w:color w:val="auto"/>
              </w:rPr>
              <w:t>43.8%</w:t>
            </w:r>
          </w:p>
        </w:tc>
        <w:tc>
          <w:tcPr>
            <w:tcW w:w="660" w:type="dxa"/>
            <w:vAlign w:val="bottom"/>
          </w:tcPr>
          <w:p>
            <w:pPr>
              <w:jc w:val="right"/>
              <w:spacing w:after="0"/>
              <w:rPr>
                <w:sz w:val="20"/>
                <w:szCs w:val="20"/>
                <w:color w:val="auto"/>
              </w:rPr>
            </w:pPr>
            <w:r>
              <w:rPr>
                <w:rFonts w:ascii="Arial" w:cs="Arial" w:eastAsia="Arial" w:hAnsi="Arial"/>
                <w:sz w:val="18"/>
                <w:szCs w:val="18"/>
                <w:color w:val="auto"/>
              </w:rPr>
              <w:t>22.8%</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ectPr>
          <w:pgSz w:w="11900" w:h="16846" w:orient="portrait"/>
          <w:cols w:equalWidth="0" w:num="2">
            <w:col w:w="7260" w:space="120"/>
            <w:col w:w="3920"/>
          </w:cols>
          <w:pgMar w:left="320" w:top="451" w:right="279" w:bottom="0" w:gutter="0" w:footer="0" w:header="0"/>
          <w:type w:val="continuous"/>
        </w:sectPr>
      </w:pPr>
    </w:p>
    <w:p>
      <w:pPr>
        <w:spacing w:after="0" w:line="13"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24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Interest</w:t>
            </w:r>
          </w:p>
        </w:tc>
        <w:tc>
          <w:tcPr>
            <w:tcW w:w="740" w:type="dxa"/>
            <w:vAlign w:val="bottom"/>
            <w:tcBorders>
              <w:top w:val="single" w:sz="8" w:color="auto"/>
            </w:tcBorders>
            <w:shd w:val="clear" w:color="auto" w:fill="2AD2C9"/>
          </w:tcPr>
          <w:p>
            <w:pPr>
              <w:spacing w:after="0"/>
              <w:rPr>
                <w:sz w:val="18"/>
                <w:szCs w:val="18"/>
                <w:color w:val="auto"/>
              </w:rPr>
            </w:pPr>
          </w:p>
        </w:tc>
        <w:tc>
          <w:tcPr>
            <w:tcW w:w="760" w:type="dxa"/>
            <w:vAlign w:val="bottom"/>
            <w:tcBorders>
              <w:top w:val="single" w:sz="8" w:color="auto"/>
            </w:tcBorders>
            <w:shd w:val="clear" w:color="auto" w:fill="2AD2C9"/>
          </w:tcPr>
          <w:p>
            <w:pPr>
              <w:spacing w:after="0"/>
              <w:rPr>
                <w:sz w:val="18"/>
                <w:szCs w:val="18"/>
                <w:color w:val="auto"/>
              </w:rPr>
            </w:pPr>
          </w:p>
        </w:tc>
        <w:tc>
          <w:tcPr>
            <w:tcW w:w="500" w:type="dxa"/>
            <w:vAlign w:val="bottom"/>
            <w:tcBorders>
              <w:top w:val="single" w:sz="8" w:color="auto"/>
              <w:right w:val="single" w:sz="8" w:color="auto"/>
            </w:tcBorders>
            <w:shd w:val="clear" w:color="auto" w:fill="2AD2C9"/>
          </w:tcPr>
          <w:p>
            <w:pPr>
              <w:spacing w:after="0"/>
              <w:rPr>
                <w:sz w:val="18"/>
                <w:szCs w:val="18"/>
                <w:color w:val="auto"/>
              </w:rPr>
            </w:pPr>
          </w:p>
        </w:tc>
        <w:tc>
          <w:tcPr>
            <w:tcW w:w="740" w:type="dxa"/>
            <w:vAlign w:val="bottom"/>
            <w:tcBorders>
              <w:top w:val="single" w:sz="8" w:color="auto"/>
            </w:tcBorders>
            <w:shd w:val="clear" w:color="auto" w:fill="2AD2C9"/>
          </w:tcPr>
          <w:p>
            <w:pPr>
              <w:spacing w:after="0"/>
              <w:rPr>
                <w:sz w:val="18"/>
                <w:szCs w:val="18"/>
                <w:color w:val="auto"/>
              </w:rPr>
            </w:pPr>
          </w:p>
        </w:tc>
        <w:tc>
          <w:tcPr>
            <w:tcW w:w="760" w:type="dxa"/>
            <w:vAlign w:val="bottom"/>
            <w:tcBorders>
              <w:top w:val="single" w:sz="8" w:color="auto"/>
            </w:tcBorders>
            <w:shd w:val="clear" w:color="auto" w:fill="2AD2C9"/>
          </w:tcPr>
          <w:p>
            <w:pPr>
              <w:spacing w:after="0"/>
              <w:rPr>
                <w:sz w:val="18"/>
                <w:szCs w:val="18"/>
                <w:color w:val="auto"/>
              </w:rPr>
            </w:pPr>
          </w:p>
        </w:tc>
        <w:tc>
          <w:tcPr>
            <w:tcW w:w="480" w:type="dxa"/>
            <w:vAlign w:val="bottom"/>
            <w:tcBorders>
              <w:top w:val="single" w:sz="8" w:color="auto"/>
              <w:right w:val="single" w:sz="8" w:color="auto"/>
            </w:tcBorders>
            <w:shd w:val="clear" w:color="auto" w:fill="2AD2C9"/>
          </w:tcPr>
          <w:p>
            <w:pPr>
              <w:spacing w:after="0"/>
              <w:rPr>
                <w:sz w:val="18"/>
                <w:szCs w:val="18"/>
                <w:color w:val="auto"/>
              </w:rPr>
            </w:pPr>
          </w:p>
        </w:tc>
        <w:tc>
          <w:tcPr>
            <w:tcW w:w="740" w:type="dxa"/>
            <w:vAlign w:val="bottom"/>
            <w:tcBorders>
              <w:top w:val="single" w:sz="8" w:color="auto"/>
            </w:tcBorders>
            <w:shd w:val="clear" w:color="auto" w:fill="2AD2C9"/>
          </w:tcPr>
          <w:p>
            <w:pPr>
              <w:spacing w:after="0"/>
              <w:rPr>
                <w:sz w:val="18"/>
                <w:szCs w:val="18"/>
                <w:color w:val="auto"/>
              </w:rPr>
            </w:pPr>
          </w:p>
        </w:tc>
        <w:tc>
          <w:tcPr>
            <w:tcW w:w="780" w:type="dxa"/>
            <w:vAlign w:val="bottom"/>
            <w:tcBorders>
              <w:top w:val="single" w:sz="8" w:color="auto"/>
            </w:tcBorders>
            <w:shd w:val="clear" w:color="auto" w:fill="2AD2C9"/>
          </w:tcPr>
          <w:p>
            <w:pPr>
              <w:spacing w:after="0"/>
              <w:rPr>
                <w:sz w:val="18"/>
                <w:szCs w:val="18"/>
                <w:color w:val="auto"/>
              </w:rPr>
            </w:pPr>
          </w:p>
        </w:tc>
        <w:tc>
          <w:tcPr>
            <w:tcW w:w="480" w:type="dxa"/>
            <w:vAlign w:val="bottom"/>
            <w:tcBorders>
              <w:top w:val="single" w:sz="8" w:color="auto"/>
              <w:right w:val="single" w:sz="8" w:color="auto"/>
            </w:tcBorders>
            <w:shd w:val="clear" w:color="auto" w:fill="2AD2C9"/>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820" w:type="dxa"/>
            <w:vAlign w:val="bottom"/>
            <w:tcBorders>
              <w:top w:val="single" w:sz="8" w:color="auto"/>
            </w:tcBorders>
            <w:shd w:val="clear" w:color="auto" w:fill="2AD2C9"/>
          </w:tcPr>
          <w:p>
            <w:pPr>
              <w:spacing w:after="0"/>
              <w:rPr>
                <w:sz w:val="18"/>
                <w:szCs w:val="18"/>
                <w:color w:val="auto"/>
              </w:rPr>
            </w:pPr>
          </w:p>
        </w:tc>
        <w:tc>
          <w:tcPr>
            <w:tcW w:w="680" w:type="dxa"/>
            <w:vAlign w:val="bottom"/>
            <w:tcBorders>
              <w:top w:val="single" w:sz="8" w:color="auto"/>
            </w:tcBorders>
            <w:shd w:val="clear" w:color="auto" w:fill="2AD2C9"/>
          </w:tcPr>
          <w:p>
            <w:pPr>
              <w:spacing w:after="0"/>
              <w:rPr>
                <w:sz w:val="18"/>
                <w:szCs w:val="18"/>
                <w:color w:val="auto"/>
              </w:rPr>
            </w:pPr>
          </w:p>
        </w:tc>
        <w:tc>
          <w:tcPr>
            <w:tcW w:w="500" w:type="dxa"/>
            <w:vAlign w:val="bottom"/>
            <w:tcBorders>
              <w:top w:val="single" w:sz="8" w:color="auto"/>
              <w:right w:val="single" w:sz="8" w:color="auto"/>
            </w:tcBorders>
            <w:shd w:val="clear" w:color="auto" w:fill="2AD2C9"/>
          </w:tcPr>
          <w:p>
            <w:pPr>
              <w:spacing w:after="0"/>
              <w:rPr>
                <w:sz w:val="18"/>
                <w:szCs w:val="18"/>
                <w:color w:val="auto"/>
              </w:rPr>
            </w:pPr>
          </w:p>
        </w:tc>
        <w:tc>
          <w:tcPr>
            <w:tcW w:w="820" w:type="dxa"/>
            <w:vAlign w:val="bottom"/>
            <w:tcBorders>
              <w:top w:val="single" w:sz="8" w:color="auto"/>
            </w:tcBorders>
            <w:shd w:val="clear" w:color="auto" w:fill="2AD2C9"/>
          </w:tcPr>
          <w:p>
            <w:pPr>
              <w:spacing w:after="0"/>
              <w:rPr>
                <w:sz w:val="18"/>
                <w:szCs w:val="18"/>
                <w:color w:val="auto"/>
              </w:rPr>
            </w:pPr>
          </w:p>
        </w:tc>
        <w:tc>
          <w:tcPr>
            <w:tcW w:w="680" w:type="dxa"/>
            <w:vAlign w:val="bottom"/>
            <w:tcBorders>
              <w:top w:val="single" w:sz="8" w:color="auto"/>
            </w:tcBorders>
            <w:shd w:val="clear" w:color="auto" w:fill="2AD2C9"/>
          </w:tcPr>
          <w:p>
            <w:pPr>
              <w:spacing w:after="0"/>
              <w:rPr>
                <w:sz w:val="18"/>
                <w:szCs w:val="18"/>
                <w:color w:val="auto"/>
              </w:rPr>
            </w:pPr>
          </w:p>
        </w:tc>
        <w:tc>
          <w:tcPr>
            <w:tcW w:w="500" w:type="dxa"/>
            <w:vAlign w:val="bottom"/>
            <w:tcBorders>
              <w:top w:val="single" w:sz="8" w:color="auto"/>
              <w:right w:val="single" w:sz="8" w:color="auto"/>
            </w:tcBorders>
            <w:shd w:val="clear" w:color="auto" w:fill="2AD2C9"/>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40" w:type="dxa"/>
            <w:vAlign w:val="bottom"/>
            <w:tcBorders>
              <w:left w:val="single" w:sz="8" w:color="auto"/>
              <w:right w:val="single" w:sz="8" w:color="auto"/>
            </w:tcBorders>
            <w:shd w:val="clear" w:color="auto" w:fill="2AD2C9"/>
          </w:tcPr>
          <w:p>
            <w:pPr>
              <w:ind w:left="160"/>
              <w:spacing w:after="0" w:line="201" w:lineRule="exact"/>
              <w:rPr>
                <w:sz w:val="20"/>
                <w:szCs w:val="20"/>
                <w:color w:val="auto"/>
              </w:rPr>
            </w:pPr>
            <w:r>
              <w:rPr>
                <w:rFonts w:ascii="Arial" w:cs="Arial" w:eastAsia="Arial" w:hAnsi="Arial"/>
                <w:sz w:val="18"/>
                <w:szCs w:val="18"/>
                <w:b w:val="1"/>
                <w:bCs w:val="1"/>
                <w:color w:val="FFFFFF"/>
              </w:rPr>
              <w:t>Expense /</w:t>
            </w:r>
          </w:p>
        </w:tc>
        <w:tc>
          <w:tcPr>
            <w:tcW w:w="740" w:type="dxa"/>
            <w:vAlign w:val="bottom"/>
            <w:shd w:val="clear" w:color="auto" w:fill="2AD2C9"/>
          </w:tcPr>
          <w:p>
            <w:pPr>
              <w:spacing w:after="0"/>
              <w:rPr>
                <w:sz w:val="17"/>
                <w:szCs w:val="17"/>
                <w:color w:val="auto"/>
              </w:rPr>
            </w:pPr>
          </w:p>
        </w:tc>
        <w:tc>
          <w:tcPr>
            <w:tcW w:w="760" w:type="dxa"/>
            <w:vAlign w:val="bottom"/>
            <w:shd w:val="clear" w:color="auto" w:fill="2AD2C9"/>
          </w:tcPr>
          <w:p>
            <w:pPr>
              <w:jc w:val="right"/>
              <w:ind w:right="211"/>
              <w:spacing w:after="0" w:line="201" w:lineRule="exact"/>
              <w:rPr>
                <w:sz w:val="20"/>
                <w:szCs w:val="20"/>
                <w:color w:val="auto"/>
              </w:rPr>
            </w:pPr>
            <w:r>
              <w:rPr>
                <w:rFonts w:ascii="Arial" w:cs="Arial" w:eastAsia="Arial" w:hAnsi="Arial"/>
                <w:sz w:val="18"/>
                <w:szCs w:val="18"/>
                <w:b w:val="1"/>
                <w:bCs w:val="1"/>
                <w:color w:val="FFFFFF"/>
                <w:w w:val="99"/>
              </w:rPr>
              <w:t>3Q21</w:t>
            </w:r>
          </w:p>
        </w:tc>
        <w:tc>
          <w:tcPr>
            <w:tcW w:w="500" w:type="dxa"/>
            <w:vAlign w:val="bottom"/>
            <w:tcBorders>
              <w:right w:val="single" w:sz="8" w:color="auto"/>
            </w:tcBorders>
            <w:shd w:val="clear" w:color="auto" w:fill="2AD2C9"/>
          </w:tcPr>
          <w:p>
            <w:pPr>
              <w:spacing w:after="0"/>
              <w:rPr>
                <w:sz w:val="17"/>
                <w:szCs w:val="17"/>
                <w:color w:val="auto"/>
              </w:rPr>
            </w:pPr>
          </w:p>
        </w:tc>
        <w:tc>
          <w:tcPr>
            <w:tcW w:w="740" w:type="dxa"/>
            <w:vAlign w:val="bottom"/>
            <w:shd w:val="clear" w:color="auto" w:fill="2AD2C9"/>
          </w:tcPr>
          <w:p>
            <w:pPr>
              <w:spacing w:after="0"/>
              <w:rPr>
                <w:sz w:val="17"/>
                <w:szCs w:val="17"/>
                <w:color w:val="auto"/>
              </w:rPr>
            </w:pPr>
          </w:p>
        </w:tc>
        <w:tc>
          <w:tcPr>
            <w:tcW w:w="760" w:type="dxa"/>
            <w:vAlign w:val="bottom"/>
            <w:shd w:val="clear" w:color="auto" w:fill="2AD2C9"/>
          </w:tcPr>
          <w:p>
            <w:pPr>
              <w:jc w:val="right"/>
              <w:ind w:right="211"/>
              <w:spacing w:after="0" w:line="201" w:lineRule="exact"/>
              <w:rPr>
                <w:sz w:val="20"/>
                <w:szCs w:val="20"/>
                <w:color w:val="auto"/>
              </w:rPr>
            </w:pPr>
            <w:r>
              <w:rPr>
                <w:rFonts w:ascii="Arial" w:cs="Arial" w:eastAsia="Arial" w:hAnsi="Arial"/>
                <w:sz w:val="18"/>
                <w:szCs w:val="18"/>
                <w:b w:val="1"/>
                <w:bCs w:val="1"/>
                <w:color w:val="FFFFFF"/>
                <w:w w:val="99"/>
              </w:rPr>
              <w:t>2Q22</w:t>
            </w:r>
          </w:p>
        </w:tc>
        <w:tc>
          <w:tcPr>
            <w:tcW w:w="480" w:type="dxa"/>
            <w:vAlign w:val="bottom"/>
            <w:tcBorders>
              <w:right w:val="single" w:sz="8" w:color="auto"/>
            </w:tcBorders>
            <w:shd w:val="clear" w:color="auto" w:fill="2AD2C9"/>
          </w:tcPr>
          <w:p>
            <w:pPr>
              <w:spacing w:after="0"/>
              <w:rPr>
                <w:sz w:val="17"/>
                <w:szCs w:val="17"/>
                <w:color w:val="auto"/>
              </w:rPr>
            </w:pPr>
          </w:p>
        </w:tc>
        <w:tc>
          <w:tcPr>
            <w:tcW w:w="740" w:type="dxa"/>
            <w:vAlign w:val="bottom"/>
            <w:shd w:val="clear" w:color="auto" w:fill="2AD2C9"/>
          </w:tcPr>
          <w:p>
            <w:pPr>
              <w:spacing w:after="0"/>
              <w:rPr>
                <w:sz w:val="17"/>
                <w:szCs w:val="17"/>
                <w:color w:val="auto"/>
              </w:rPr>
            </w:pPr>
          </w:p>
        </w:tc>
        <w:tc>
          <w:tcPr>
            <w:tcW w:w="780" w:type="dxa"/>
            <w:vAlign w:val="bottom"/>
            <w:shd w:val="clear" w:color="auto" w:fill="2AD2C9"/>
          </w:tcPr>
          <w:p>
            <w:pPr>
              <w:jc w:val="right"/>
              <w:ind w:right="211"/>
              <w:spacing w:after="0" w:line="201" w:lineRule="exact"/>
              <w:rPr>
                <w:sz w:val="20"/>
                <w:szCs w:val="20"/>
                <w:color w:val="auto"/>
              </w:rPr>
            </w:pPr>
            <w:r>
              <w:rPr>
                <w:rFonts w:ascii="Arial" w:cs="Arial" w:eastAsia="Arial" w:hAnsi="Arial"/>
                <w:sz w:val="18"/>
                <w:szCs w:val="18"/>
                <w:b w:val="1"/>
                <w:bCs w:val="1"/>
                <w:color w:val="FFFFFF"/>
              </w:rPr>
              <w:t>3Q22</w:t>
            </w:r>
          </w:p>
        </w:tc>
        <w:tc>
          <w:tcPr>
            <w:tcW w:w="480" w:type="dxa"/>
            <w:vAlign w:val="bottom"/>
            <w:tcBorders>
              <w:right w:val="single" w:sz="8" w:color="auto"/>
            </w:tcBorders>
            <w:shd w:val="clear" w:color="auto" w:fill="2AD2C9"/>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500" w:type="dxa"/>
            <w:vAlign w:val="bottom"/>
            <w:gridSpan w:val="2"/>
            <w:shd w:val="clear" w:color="auto" w:fill="2AD2C9"/>
          </w:tcPr>
          <w:p>
            <w:pPr>
              <w:jc w:val="right"/>
              <w:ind w:right="131"/>
              <w:spacing w:after="0" w:line="201" w:lineRule="exact"/>
              <w:rPr>
                <w:sz w:val="20"/>
                <w:szCs w:val="20"/>
                <w:color w:val="auto"/>
              </w:rPr>
            </w:pPr>
            <w:r>
              <w:rPr>
                <w:rFonts w:ascii="Arial" w:cs="Arial" w:eastAsia="Arial" w:hAnsi="Arial"/>
                <w:sz w:val="18"/>
                <w:szCs w:val="18"/>
                <w:b w:val="1"/>
                <w:bCs w:val="1"/>
                <w:color w:val="FFFFFF"/>
              </w:rPr>
              <w:t>Sep 21</w:t>
            </w:r>
          </w:p>
        </w:tc>
        <w:tc>
          <w:tcPr>
            <w:tcW w:w="500" w:type="dxa"/>
            <w:vAlign w:val="bottom"/>
            <w:tcBorders>
              <w:right w:val="single" w:sz="8" w:color="auto"/>
            </w:tcBorders>
            <w:shd w:val="clear" w:color="auto" w:fill="2AD2C9"/>
          </w:tcPr>
          <w:p>
            <w:pPr>
              <w:spacing w:after="0"/>
              <w:rPr>
                <w:sz w:val="17"/>
                <w:szCs w:val="17"/>
                <w:color w:val="auto"/>
              </w:rPr>
            </w:pPr>
          </w:p>
        </w:tc>
        <w:tc>
          <w:tcPr>
            <w:tcW w:w="1500" w:type="dxa"/>
            <w:vAlign w:val="bottom"/>
            <w:gridSpan w:val="2"/>
            <w:shd w:val="clear" w:color="auto" w:fill="2AD2C9"/>
          </w:tcPr>
          <w:p>
            <w:pPr>
              <w:jc w:val="right"/>
              <w:ind w:right="131"/>
              <w:spacing w:after="0" w:line="201" w:lineRule="exact"/>
              <w:rPr>
                <w:sz w:val="20"/>
                <w:szCs w:val="20"/>
                <w:color w:val="auto"/>
              </w:rPr>
            </w:pPr>
            <w:r>
              <w:rPr>
                <w:rFonts w:ascii="Arial" w:cs="Arial" w:eastAsia="Arial" w:hAnsi="Arial"/>
                <w:sz w:val="18"/>
                <w:szCs w:val="18"/>
                <w:b w:val="1"/>
                <w:bCs w:val="1"/>
                <w:color w:val="FFFFFF"/>
              </w:rPr>
              <w:t>Sep 22</w:t>
            </w:r>
          </w:p>
        </w:tc>
        <w:tc>
          <w:tcPr>
            <w:tcW w:w="500" w:type="dxa"/>
            <w:vAlign w:val="bottom"/>
            <w:tcBorders>
              <w:right w:val="single" w:sz="8" w:color="auto"/>
            </w:tcBorders>
            <w:shd w:val="clear" w:color="auto" w:fill="2AD2C9"/>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tcBorders>
              <w:left w:val="single" w:sz="8" w:color="auto"/>
              <w:right w:val="single" w:sz="8" w:color="auto"/>
            </w:tcBorders>
            <w:shd w:val="clear" w:color="auto" w:fill="2AD2C9"/>
          </w:tcPr>
          <w:p>
            <w:pPr>
              <w:ind w:left="160"/>
              <w:spacing w:after="0" w:line="201" w:lineRule="exact"/>
              <w:rPr>
                <w:sz w:val="20"/>
                <w:szCs w:val="20"/>
                <w:color w:val="auto"/>
              </w:rPr>
            </w:pPr>
            <w:r>
              <w:rPr>
                <w:rFonts w:ascii="Arial" w:cs="Arial" w:eastAsia="Arial" w:hAnsi="Arial"/>
                <w:sz w:val="18"/>
                <w:szCs w:val="18"/>
                <w:b w:val="1"/>
                <w:bCs w:val="1"/>
                <w:color w:val="FFFFFF"/>
              </w:rPr>
              <w:t>Funding</w:t>
            </w:r>
          </w:p>
        </w:tc>
        <w:tc>
          <w:tcPr>
            <w:tcW w:w="740" w:type="dxa"/>
            <w:vAlign w:val="bottom"/>
            <w:shd w:val="clear" w:color="auto" w:fill="2AD2C9"/>
          </w:tcPr>
          <w:p>
            <w:pPr>
              <w:spacing w:after="0"/>
              <w:rPr>
                <w:sz w:val="17"/>
                <w:szCs w:val="17"/>
                <w:color w:val="auto"/>
              </w:rPr>
            </w:pPr>
          </w:p>
        </w:tc>
        <w:tc>
          <w:tcPr>
            <w:tcW w:w="760" w:type="dxa"/>
            <w:vAlign w:val="bottom"/>
            <w:shd w:val="clear" w:color="auto" w:fill="2AD2C9"/>
          </w:tcPr>
          <w:p>
            <w:pPr>
              <w:spacing w:after="0"/>
              <w:rPr>
                <w:sz w:val="17"/>
                <w:szCs w:val="17"/>
                <w:color w:val="auto"/>
              </w:rPr>
            </w:pPr>
          </w:p>
        </w:tc>
        <w:tc>
          <w:tcPr>
            <w:tcW w:w="500" w:type="dxa"/>
            <w:vAlign w:val="bottom"/>
            <w:tcBorders>
              <w:right w:val="single" w:sz="8" w:color="auto"/>
            </w:tcBorders>
            <w:shd w:val="clear" w:color="auto" w:fill="2AD2C9"/>
          </w:tcPr>
          <w:p>
            <w:pPr>
              <w:spacing w:after="0"/>
              <w:rPr>
                <w:sz w:val="17"/>
                <w:szCs w:val="17"/>
                <w:color w:val="auto"/>
              </w:rPr>
            </w:pPr>
          </w:p>
        </w:tc>
        <w:tc>
          <w:tcPr>
            <w:tcW w:w="740" w:type="dxa"/>
            <w:vAlign w:val="bottom"/>
            <w:shd w:val="clear" w:color="auto" w:fill="2AD2C9"/>
          </w:tcPr>
          <w:p>
            <w:pPr>
              <w:spacing w:after="0"/>
              <w:rPr>
                <w:sz w:val="17"/>
                <w:szCs w:val="17"/>
                <w:color w:val="auto"/>
              </w:rPr>
            </w:pPr>
          </w:p>
        </w:tc>
        <w:tc>
          <w:tcPr>
            <w:tcW w:w="760" w:type="dxa"/>
            <w:vAlign w:val="bottom"/>
            <w:shd w:val="clear" w:color="auto" w:fill="2AD2C9"/>
          </w:tcPr>
          <w:p>
            <w:pPr>
              <w:spacing w:after="0"/>
              <w:rPr>
                <w:sz w:val="17"/>
                <w:szCs w:val="17"/>
                <w:color w:val="auto"/>
              </w:rPr>
            </w:pPr>
          </w:p>
        </w:tc>
        <w:tc>
          <w:tcPr>
            <w:tcW w:w="480" w:type="dxa"/>
            <w:vAlign w:val="bottom"/>
            <w:tcBorders>
              <w:right w:val="single" w:sz="8" w:color="auto"/>
            </w:tcBorders>
            <w:shd w:val="clear" w:color="auto" w:fill="2AD2C9"/>
          </w:tcPr>
          <w:p>
            <w:pPr>
              <w:spacing w:after="0"/>
              <w:rPr>
                <w:sz w:val="17"/>
                <w:szCs w:val="17"/>
                <w:color w:val="auto"/>
              </w:rPr>
            </w:pPr>
          </w:p>
        </w:tc>
        <w:tc>
          <w:tcPr>
            <w:tcW w:w="740" w:type="dxa"/>
            <w:vAlign w:val="bottom"/>
            <w:shd w:val="clear" w:color="auto" w:fill="2AD2C9"/>
          </w:tcPr>
          <w:p>
            <w:pPr>
              <w:spacing w:after="0"/>
              <w:rPr>
                <w:sz w:val="17"/>
                <w:szCs w:val="17"/>
                <w:color w:val="auto"/>
              </w:rPr>
            </w:pPr>
          </w:p>
        </w:tc>
        <w:tc>
          <w:tcPr>
            <w:tcW w:w="780" w:type="dxa"/>
            <w:vAlign w:val="bottom"/>
            <w:shd w:val="clear" w:color="auto" w:fill="2AD2C9"/>
          </w:tcPr>
          <w:p>
            <w:pPr>
              <w:spacing w:after="0"/>
              <w:rPr>
                <w:sz w:val="17"/>
                <w:szCs w:val="17"/>
                <w:color w:val="auto"/>
              </w:rPr>
            </w:pPr>
          </w:p>
        </w:tc>
        <w:tc>
          <w:tcPr>
            <w:tcW w:w="480" w:type="dxa"/>
            <w:vAlign w:val="bottom"/>
            <w:tcBorders>
              <w:right w:val="single" w:sz="8" w:color="auto"/>
            </w:tcBorders>
            <w:shd w:val="clear" w:color="auto" w:fill="2AD2C9"/>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820" w:type="dxa"/>
            <w:vAlign w:val="bottom"/>
            <w:shd w:val="clear" w:color="auto" w:fill="2AD2C9"/>
          </w:tcPr>
          <w:p>
            <w:pPr>
              <w:spacing w:after="0"/>
              <w:rPr>
                <w:sz w:val="17"/>
                <w:szCs w:val="17"/>
                <w:color w:val="auto"/>
              </w:rPr>
            </w:pPr>
          </w:p>
        </w:tc>
        <w:tc>
          <w:tcPr>
            <w:tcW w:w="680" w:type="dxa"/>
            <w:vAlign w:val="bottom"/>
            <w:shd w:val="clear" w:color="auto" w:fill="2AD2C9"/>
          </w:tcPr>
          <w:p>
            <w:pPr>
              <w:spacing w:after="0"/>
              <w:rPr>
                <w:sz w:val="17"/>
                <w:szCs w:val="17"/>
                <w:color w:val="auto"/>
              </w:rPr>
            </w:pPr>
          </w:p>
        </w:tc>
        <w:tc>
          <w:tcPr>
            <w:tcW w:w="500" w:type="dxa"/>
            <w:vAlign w:val="bottom"/>
            <w:tcBorders>
              <w:right w:val="single" w:sz="8" w:color="auto"/>
            </w:tcBorders>
            <w:shd w:val="clear" w:color="auto" w:fill="2AD2C9"/>
          </w:tcPr>
          <w:p>
            <w:pPr>
              <w:spacing w:after="0"/>
              <w:rPr>
                <w:sz w:val="17"/>
                <w:szCs w:val="17"/>
                <w:color w:val="auto"/>
              </w:rPr>
            </w:pPr>
          </w:p>
        </w:tc>
        <w:tc>
          <w:tcPr>
            <w:tcW w:w="820" w:type="dxa"/>
            <w:vAlign w:val="bottom"/>
            <w:shd w:val="clear" w:color="auto" w:fill="2AD2C9"/>
          </w:tcPr>
          <w:p>
            <w:pPr>
              <w:spacing w:after="0"/>
              <w:rPr>
                <w:sz w:val="17"/>
                <w:szCs w:val="17"/>
                <w:color w:val="auto"/>
              </w:rPr>
            </w:pPr>
          </w:p>
        </w:tc>
        <w:tc>
          <w:tcPr>
            <w:tcW w:w="680" w:type="dxa"/>
            <w:vAlign w:val="bottom"/>
            <w:shd w:val="clear" w:color="auto" w:fill="2AD2C9"/>
          </w:tcPr>
          <w:p>
            <w:pPr>
              <w:spacing w:after="0"/>
              <w:rPr>
                <w:sz w:val="17"/>
                <w:szCs w:val="17"/>
                <w:color w:val="auto"/>
              </w:rPr>
            </w:pPr>
          </w:p>
        </w:tc>
        <w:tc>
          <w:tcPr>
            <w:tcW w:w="500" w:type="dxa"/>
            <w:vAlign w:val="bottom"/>
            <w:tcBorders>
              <w:right w:val="single" w:sz="8" w:color="auto"/>
            </w:tcBorders>
            <w:shd w:val="clear" w:color="auto" w:fill="2AD2C9"/>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40" w:type="dxa"/>
            <w:vAlign w:val="bottom"/>
            <w:tcBorders>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millions</w:t>
            </w:r>
          </w:p>
        </w:tc>
        <w:tc>
          <w:tcPr>
            <w:tcW w:w="740" w:type="dxa"/>
            <w:vAlign w:val="bottom"/>
            <w:shd w:val="clear" w:color="auto" w:fill="2AD2C9"/>
          </w:tcPr>
          <w:p>
            <w:pPr>
              <w:spacing w:after="0"/>
              <w:rPr>
                <w:sz w:val="20"/>
                <w:szCs w:val="20"/>
                <w:color w:val="auto"/>
              </w:rPr>
            </w:pPr>
            <w:r>
              <w:rPr>
                <w:rFonts w:ascii="Arial" w:cs="Arial" w:eastAsia="Arial" w:hAnsi="Arial"/>
                <w:sz w:val="18"/>
                <w:szCs w:val="18"/>
                <w:b w:val="1"/>
                <w:bCs w:val="1"/>
                <w:color w:val="FFFFFF"/>
              </w:rPr>
              <w:t>Average</w:t>
            </w:r>
          </w:p>
        </w:tc>
        <w:tc>
          <w:tcPr>
            <w:tcW w:w="760" w:type="dxa"/>
            <w:vAlign w:val="bottom"/>
            <w:shd w:val="clear" w:color="auto" w:fill="2AD2C9"/>
          </w:tcPr>
          <w:p>
            <w:pPr>
              <w:spacing w:after="0"/>
              <w:rPr>
                <w:sz w:val="19"/>
                <w:szCs w:val="19"/>
                <w:color w:val="auto"/>
              </w:rPr>
            </w:pPr>
          </w:p>
        </w:tc>
        <w:tc>
          <w:tcPr>
            <w:tcW w:w="500" w:type="dxa"/>
            <w:vAlign w:val="bottom"/>
            <w:tcBorders>
              <w:right w:val="single" w:sz="8" w:color="auto"/>
            </w:tcBorders>
            <w:shd w:val="clear" w:color="auto" w:fill="2AD2C9"/>
          </w:tcPr>
          <w:p>
            <w:pPr>
              <w:spacing w:after="0"/>
              <w:rPr>
                <w:sz w:val="19"/>
                <w:szCs w:val="19"/>
                <w:color w:val="auto"/>
              </w:rPr>
            </w:pPr>
          </w:p>
        </w:tc>
        <w:tc>
          <w:tcPr>
            <w:tcW w:w="740" w:type="dxa"/>
            <w:vAlign w:val="bottom"/>
            <w:shd w:val="clear" w:color="auto" w:fill="2AD2C9"/>
          </w:tcPr>
          <w:p>
            <w:pPr>
              <w:spacing w:after="0"/>
              <w:rPr>
                <w:sz w:val="20"/>
                <w:szCs w:val="20"/>
                <w:color w:val="auto"/>
              </w:rPr>
            </w:pPr>
            <w:r>
              <w:rPr>
                <w:rFonts w:ascii="Arial" w:cs="Arial" w:eastAsia="Arial" w:hAnsi="Arial"/>
                <w:sz w:val="18"/>
                <w:szCs w:val="18"/>
                <w:b w:val="1"/>
                <w:bCs w:val="1"/>
                <w:color w:val="FFFFFF"/>
              </w:rPr>
              <w:t>Average</w:t>
            </w:r>
          </w:p>
        </w:tc>
        <w:tc>
          <w:tcPr>
            <w:tcW w:w="760" w:type="dxa"/>
            <w:vAlign w:val="bottom"/>
            <w:shd w:val="clear" w:color="auto" w:fill="2AD2C9"/>
          </w:tcPr>
          <w:p>
            <w:pPr>
              <w:spacing w:after="0"/>
              <w:rPr>
                <w:sz w:val="19"/>
                <w:szCs w:val="19"/>
                <w:color w:val="auto"/>
              </w:rPr>
            </w:pPr>
          </w:p>
        </w:tc>
        <w:tc>
          <w:tcPr>
            <w:tcW w:w="480" w:type="dxa"/>
            <w:vAlign w:val="bottom"/>
            <w:tcBorders>
              <w:right w:val="single" w:sz="8" w:color="auto"/>
            </w:tcBorders>
            <w:shd w:val="clear" w:color="auto" w:fill="2AD2C9"/>
          </w:tcPr>
          <w:p>
            <w:pPr>
              <w:spacing w:after="0"/>
              <w:rPr>
                <w:sz w:val="19"/>
                <w:szCs w:val="19"/>
                <w:color w:val="auto"/>
              </w:rPr>
            </w:pPr>
          </w:p>
        </w:tc>
        <w:tc>
          <w:tcPr>
            <w:tcW w:w="740" w:type="dxa"/>
            <w:vAlign w:val="bottom"/>
            <w:shd w:val="clear" w:color="auto" w:fill="2AD2C9"/>
          </w:tcPr>
          <w:p>
            <w:pPr>
              <w:ind w:left="20"/>
              <w:spacing w:after="0"/>
              <w:rPr>
                <w:sz w:val="20"/>
                <w:szCs w:val="20"/>
                <w:color w:val="auto"/>
              </w:rPr>
            </w:pPr>
            <w:r>
              <w:rPr>
                <w:rFonts w:ascii="Arial" w:cs="Arial" w:eastAsia="Arial" w:hAnsi="Arial"/>
                <w:sz w:val="18"/>
                <w:szCs w:val="18"/>
                <w:b w:val="1"/>
                <w:bCs w:val="1"/>
                <w:color w:val="FFFFFF"/>
                <w:w w:val="98"/>
              </w:rPr>
              <w:t>Average</w:t>
            </w:r>
          </w:p>
        </w:tc>
        <w:tc>
          <w:tcPr>
            <w:tcW w:w="780" w:type="dxa"/>
            <w:vAlign w:val="bottom"/>
            <w:shd w:val="clear" w:color="auto" w:fill="2AD2C9"/>
          </w:tcPr>
          <w:p>
            <w:pPr>
              <w:spacing w:after="0"/>
              <w:rPr>
                <w:sz w:val="19"/>
                <w:szCs w:val="19"/>
                <w:color w:val="auto"/>
              </w:rPr>
            </w:pPr>
          </w:p>
        </w:tc>
        <w:tc>
          <w:tcPr>
            <w:tcW w:w="480" w:type="dxa"/>
            <w:vAlign w:val="bottom"/>
            <w:tcBorders>
              <w:right w:val="single" w:sz="8" w:color="auto"/>
            </w:tcBorders>
            <w:shd w:val="clear" w:color="auto" w:fill="2AD2C9"/>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20" w:type="dxa"/>
            <w:vAlign w:val="bottom"/>
            <w:shd w:val="clear" w:color="auto" w:fill="2AD2C9"/>
          </w:tcPr>
          <w:p>
            <w:pPr>
              <w:ind w:left="20"/>
              <w:spacing w:after="0"/>
              <w:rPr>
                <w:sz w:val="20"/>
                <w:szCs w:val="20"/>
                <w:color w:val="auto"/>
              </w:rPr>
            </w:pPr>
            <w:r>
              <w:rPr>
                <w:rFonts w:ascii="Arial" w:cs="Arial" w:eastAsia="Arial" w:hAnsi="Arial"/>
                <w:sz w:val="18"/>
                <w:szCs w:val="18"/>
                <w:b w:val="1"/>
                <w:bCs w:val="1"/>
                <w:color w:val="FFFFFF"/>
              </w:rPr>
              <w:t>Average</w:t>
            </w:r>
          </w:p>
        </w:tc>
        <w:tc>
          <w:tcPr>
            <w:tcW w:w="680" w:type="dxa"/>
            <w:vAlign w:val="bottom"/>
            <w:shd w:val="clear" w:color="auto" w:fill="2AD2C9"/>
          </w:tcPr>
          <w:p>
            <w:pPr>
              <w:spacing w:after="0"/>
              <w:rPr>
                <w:sz w:val="19"/>
                <w:szCs w:val="19"/>
                <w:color w:val="auto"/>
              </w:rPr>
            </w:pPr>
          </w:p>
        </w:tc>
        <w:tc>
          <w:tcPr>
            <w:tcW w:w="500" w:type="dxa"/>
            <w:vAlign w:val="bottom"/>
            <w:tcBorders>
              <w:right w:val="single" w:sz="8" w:color="auto"/>
            </w:tcBorders>
            <w:shd w:val="clear" w:color="auto" w:fill="2AD2C9"/>
          </w:tcPr>
          <w:p>
            <w:pPr>
              <w:spacing w:after="0"/>
              <w:rPr>
                <w:sz w:val="19"/>
                <w:szCs w:val="19"/>
                <w:color w:val="auto"/>
              </w:rPr>
            </w:pPr>
          </w:p>
        </w:tc>
        <w:tc>
          <w:tcPr>
            <w:tcW w:w="820" w:type="dxa"/>
            <w:vAlign w:val="bottom"/>
            <w:shd w:val="clear" w:color="auto" w:fill="2AD2C9"/>
          </w:tcPr>
          <w:p>
            <w:pPr>
              <w:spacing w:after="0"/>
              <w:rPr>
                <w:sz w:val="20"/>
                <w:szCs w:val="20"/>
                <w:color w:val="auto"/>
              </w:rPr>
            </w:pPr>
            <w:r>
              <w:rPr>
                <w:rFonts w:ascii="Arial" w:cs="Arial" w:eastAsia="Arial" w:hAnsi="Arial"/>
                <w:sz w:val="18"/>
                <w:szCs w:val="18"/>
                <w:b w:val="1"/>
                <w:bCs w:val="1"/>
                <w:color w:val="FFFFFF"/>
              </w:rPr>
              <w:t>Average</w:t>
            </w:r>
          </w:p>
        </w:tc>
        <w:tc>
          <w:tcPr>
            <w:tcW w:w="680" w:type="dxa"/>
            <w:vAlign w:val="bottom"/>
            <w:shd w:val="clear" w:color="auto" w:fill="2AD2C9"/>
          </w:tcPr>
          <w:p>
            <w:pPr>
              <w:spacing w:after="0"/>
              <w:rPr>
                <w:sz w:val="19"/>
                <w:szCs w:val="19"/>
                <w:color w:val="auto"/>
              </w:rPr>
            </w:pPr>
          </w:p>
        </w:tc>
        <w:tc>
          <w:tcPr>
            <w:tcW w:w="500" w:type="dxa"/>
            <w:vAlign w:val="bottom"/>
            <w:tcBorders>
              <w:right w:val="single" w:sz="8" w:color="auto"/>
            </w:tcBorders>
            <w:shd w:val="clear" w:color="auto" w:fill="2AD2C9"/>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40" w:type="dxa"/>
            <w:vAlign w:val="bottom"/>
            <w:tcBorders>
              <w:left w:val="single" w:sz="8" w:color="auto"/>
              <w:right w:val="single" w:sz="8" w:color="auto"/>
            </w:tcBorders>
            <w:shd w:val="clear" w:color="auto" w:fill="2AD2C9"/>
          </w:tcPr>
          <w:p>
            <w:pPr>
              <w:spacing w:after="0"/>
              <w:rPr>
                <w:sz w:val="17"/>
                <w:szCs w:val="17"/>
                <w:color w:val="auto"/>
              </w:rPr>
            </w:pPr>
          </w:p>
        </w:tc>
        <w:tc>
          <w:tcPr>
            <w:tcW w:w="200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b w:val="1"/>
                <w:bCs w:val="1"/>
                <w:color w:val="FFFFFF"/>
                <w:w w:val="98"/>
              </w:rPr>
              <w:t>BalanceExpenseYields</w:t>
            </w:r>
          </w:p>
        </w:tc>
        <w:tc>
          <w:tcPr>
            <w:tcW w:w="1980" w:type="dxa"/>
            <w:vAlign w:val="bottom"/>
            <w:tcBorders>
              <w:right w:val="single" w:sz="8" w:color="auto"/>
            </w:tcBorders>
            <w:gridSpan w:val="3"/>
          </w:tcPr>
          <w:p>
            <w:pPr>
              <w:spacing w:after="0" w:line="182" w:lineRule="exact"/>
              <w:rPr>
                <w:sz w:val="20"/>
                <w:szCs w:val="20"/>
                <w:color w:val="auto"/>
              </w:rPr>
            </w:pPr>
            <w:r>
              <w:rPr>
                <w:rFonts w:ascii="Arial" w:cs="Arial" w:eastAsia="Arial" w:hAnsi="Arial"/>
                <w:sz w:val="18"/>
                <w:szCs w:val="18"/>
                <w:b w:val="1"/>
                <w:bCs w:val="1"/>
                <w:color w:val="FFFFFF"/>
                <w:w w:val="98"/>
                <w:shd w:val="clear" w:color="auto" w:fill="2AD2C9"/>
              </w:rPr>
              <w:t>BalanceExpenseYields</w:t>
            </w:r>
          </w:p>
        </w:tc>
        <w:tc>
          <w:tcPr>
            <w:tcW w:w="200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b w:val="1"/>
                <w:bCs w:val="1"/>
                <w:color w:val="FFFFFF"/>
                <w:w w:val="98"/>
                <w:shd w:val="clear" w:color="auto" w:fill="2AD2C9"/>
              </w:rPr>
              <w:t>BalanceExpenseYields</w:t>
            </w:r>
          </w:p>
        </w:tc>
        <w:tc>
          <w:tcPr>
            <w:tcW w:w="80" w:type="dxa"/>
            <w:vAlign w:val="bottom"/>
            <w:tcBorders>
              <w:right w:val="single" w:sz="8" w:color="auto"/>
            </w:tcBorders>
          </w:tcPr>
          <w:p>
            <w:pPr>
              <w:spacing w:after="0"/>
              <w:rPr>
                <w:sz w:val="17"/>
                <w:szCs w:val="17"/>
                <w:color w:val="auto"/>
              </w:rPr>
            </w:pPr>
          </w:p>
        </w:tc>
        <w:tc>
          <w:tcPr>
            <w:tcW w:w="200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b w:val="1"/>
                <w:bCs w:val="1"/>
                <w:color w:val="FFFFFF"/>
                <w:w w:val="98"/>
              </w:rPr>
              <w:t>BalanceExpenseYields</w:t>
            </w:r>
          </w:p>
        </w:tc>
        <w:tc>
          <w:tcPr>
            <w:tcW w:w="2000" w:type="dxa"/>
            <w:vAlign w:val="bottom"/>
            <w:tcBorders>
              <w:right w:val="single" w:sz="8" w:color="auto"/>
            </w:tcBorders>
            <w:gridSpan w:val="3"/>
          </w:tcPr>
          <w:p>
            <w:pPr>
              <w:ind w:left="20"/>
              <w:spacing w:after="0" w:line="182" w:lineRule="exact"/>
              <w:rPr>
                <w:sz w:val="20"/>
                <w:szCs w:val="20"/>
                <w:color w:val="auto"/>
              </w:rPr>
            </w:pPr>
            <w:r>
              <w:rPr>
                <w:rFonts w:ascii="Arial" w:cs="Arial" w:eastAsia="Arial" w:hAnsi="Arial"/>
                <w:sz w:val="18"/>
                <w:szCs w:val="18"/>
                <w:b w:val="1"/>
                <w:bCs w:val="1"/>
                <w:color w:val="FFFFFF"/>
                <w:w w:val="98"/>
                <w:shd w:val="clear" w:color="auto" w:fill="2AD2C9"/>
              </w:rPr>
              <w:t>BalanceExpenseYields</w:t>
            </w:r>
          </w:p>
        </w:tc>
        <w:tc>
          <w:tcPr>
            <w:tcW w:w="0" w:type="dxa"/>
            <w:vAlign w:val="bottom"/>
          </w:tcPr>
          <w:p>
            <w:pPr>
              <w:spacing w:after="0"/>
              <w:rPr>
                <w:sz w:val="1"/>
                <w:szCs w:val="1"/>
                <w:color w:val="auto"/>
              </w:rPr>
            </w:pPr>
          </w:p>
        </w:tc>
      </w:tr>
      <w:tr>
        <w:trPr>
          <w:trHeight w:val="182"/>
        </w:trPr>
        <w:tc>
          <w:tcPr>
            <w:tcW w:w="12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Deposits</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150,855</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210</w:t>
            </w:r>
          </w:p>
        </w:tc>
        <w:tc>
          <w:tcPr>
            <w:tcW w:w="5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0.6%</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147,678</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337</w:t>
            </w:r>
          </w:p>
        </w:tc>
        <w:tc>
          <w:tcPr>
            <w:tcW w:w="4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0.9%</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150,116</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510</w:t>
            </w:r>
          </w:p>
        </w:tc>
        <w:tc>
          <w:tcPr>
            <w:tcW w:w="4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5"/>
                <w:szCs w:val="15"/>
                <w:color w:val="auto"/>
              </w:rPr>
            </w:pPr>
          </w:p>
        </w:tc>
        <w:tc>
          <w:tcPr>
            <w:tcW w:w="820" w:type="dxa"/>
            <w:vAlign w:val="bottom"/>
          </w:tcPr>
          <w:p>
            <w:pPr>
              <w:jc w:val="right"/>
              <w:ind w:right="11"/>
              <w:spacing w:after="0" w:line="182" w:lineRule="exact"/>
              <w:rPr>
                <w:sz w:val="20"/>
                <w:szCs w:val="20"/>
                <w:color w:val="auto"/>
              </w:rPr>
            </w:pPr>
            <w:r>
              <w:rPr>
                <w:rFonts w:ascii="Arial" w:cs="Arial" w:eastAsia="Arial" w:hAnsi="Arial"/>
                <w:sz w:val="18"/>
                <w:szCs w:val="18"/>
                <w:color w:val="auto"/>
              </w:rPr>
              <w:t>147,457</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642</w:t>
            </w:r>
          </w:p>
        </w:tc>
        <w:tc>
          <w:tcPr>
            <w:tcW w:w="5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0.6%</w:t>
            </w:r>
          </w:p>
        </w:tc>
        <w:tc>
          <w:tcPr>
            <w:tcW w:w="8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151,566</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1,106</w:t>
            </w:r>
          </w:p>
        </w:tc>
        <w:tc>
          <w:tcPr>
            <w:tcW w:w="50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1"/>
        </w:trPr>
        <w:tc>
          <w:tcPr>
            <w:tcW w:w="12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BCRP + Due</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28,891</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1.5%</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23,192</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2.4%</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22,970</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186</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right w:val="single" w:sz="8" w:color="auto"/>
            </w:tcBorders>
          </w:tcPr>
          <w:p>
            <w:pPr>
              <w:spacing w:after="0"/>
              <w:rPr>
                <w:sz w:val="17"/>
                <w:szCs w:val="17"/>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29,963</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324</w:t>
            </w: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1.4%</w:t>
            </w:r>
          </w:p>
        </w:tc>
        <w:tc>
          <w:tcPr>
            <w:tcW w:w="820" w:type="dxa"/>
            <w:vAlign w:val="bottom"/>
            <w:vMerge w:val="restart"/>
          </w:tcPr>
          <w:p>
            <w:pPr>
              <w:jc w:val="right"/>
              <w:ind w:right="31"/>
              <w:spacing w:after="0"/>
              <w:rPr>
                <w:sz w:val="20"/>
                <w:szCs w:val="20"/>
                <w:color w:val="auto"/>
              </w:rPr>
            </w:pPr>
            <w:r>
              <w:rPr>
                <w:rFonts w:ascii="Arial" w:cs="Arial" w:eastAsia="Arial" w:hAnsi="Arial"/>
                <w:sz w:val="18"/>
                <w:szCs w:val="18"/>
                <w:color w:val="auto"/>
              </w:rPr>
              <w:t>25,179</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444</w:t>
            </w: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28"/>
        </w:trPr>
        <w:tc>
          <w:tcPr>
            <w:tcW w:w="1240" w:type="dxa"/>
            <w:vAlign w:val="bottom"/>
            <w:tcBorders>
              <w:left w:val="single" w:sz="8" w:color="auto"/>
              <w:right w:val="single" w:sz="8" w:color="auto"/>
            </w:tcBorders>
            <w:vMerge w:val="restart"/>
          </w:tcPr>
          <w:p>
            <w:pPr>
              <w:ind w:left="160"/>
              <w:spacing w:after="0" w:line="201" w:lineRule="exact"/>
              <w:rPr>
                <w:sz w:val="20"/>
                <w:szCs w:val="20"/>
                <w:color w:val="auto"/>
              </w:rPr>
            </w:pPr>
            <w:r>
              <w:rPr>
                <w:rFonts w:ascii="Arial" w:cs="Arial" w:eastAsia="Arial" w:hAnsi="Arial"/>
                <w:sz w:val="18"/>
                <w:szCs w:val="18"/>
                <w:color w:val="auto"/>
              </w:rPr>
              <w:t>to Banks</w:t>
            </w: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240" w:type="dxa"/>
            <w:vAlign w:val="bottom"/>
            <w:tcBorders>
              <w:left w:val="single" w:sz="8" w:color="auto"/>
              <w:right w:val="single" w:sz="8" w:color="auto"/>
            </w:tcBorders>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2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Bonds and</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17,265</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179</w:t>
            </w: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4.2%</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16,312</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168</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4.1%</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16,800</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180</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right w:val="single" w:sz="8" w:color="auto"/>
            </w:tcBorders>
          </w:tcPr>
          <w:p>
            <w:pPr>
              <w:spacing w:after="0"/>
              <w:rPr>
                <w:sz w:val="17"/>
                <w:szCs w:val="17"/>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color w:val="auto"/>
              </w:rPr>
              <w:t>16,949</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625</w:t>
            </w: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4.9%</w:t>
            </w:r>
          </w:p>
        </w:tc>
        <w:tc>
          <w:tcPr>
            <w:tcW w:w="820" w:type="dxa"/>
            <w:vAlign w:val="bottom"/>
            <w:vMerge w:val="restart"/>
          </w:tcPr>
          <w:p>
            <w:pPr>
              <w:jc w:val="right"/>
              <w:ind w:right="31"/>
              <w:spacing w:after="0"/>
              <w:rPr>
                <w:sz w:val="20"/>
                <w:szCs w:val="20"/>
                <w:color w:val="auto"/>
              </w:rPr>
            </w:pPr>
            <w:r>
              <w:rPr>
                <w:rFonts w:ascii="Arial" w:cs="Arial" w:eastAsia="Arial" w:hAnsi="Arial"/>
                <w:sz w:val="18"/>
                <w:szCs w:val="18"/>
                <w:color w:val="auto"/>
              </w:rPr>
              <w:t>17,049</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514</w:t>
            </w:r>
          </w:p>
        </w:tc>
        <w:tc>
          <w:tcPr>
            <w:tcW w:w="5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28"/>
        </w:trPr>
        <w:tc>
          <w:tcPr>
            <w:tcW w:w="1240" w:type="dxa"/>
            <w:vAlign w:val="bottom"/>
            <w:tcBorders>
              <w:left w:val="single" w:sz="8" w:color="auto"/>
              <w:right w:val="single" w:sz="8" w:color="auto"/>
            </w:tcBorders>
            <w:vMerge w:val="restart"/>
          </w:tcPr>
          <w:p>
            <w:pPr>
              <w:ind w:left="160"/>
              <w:spacing w:after="0" w:line="201" w:lineRule="exact"/>
              <w:rPr>
                <w:sz w:val="20"/>
                <w:szCs w:val="20"/>
                <w:color w:val="auto"/>
              </w:rPr>
            </w:pPr>
            <w:r>
              <w:rPr>
                <w:rFonts w:ascii="Arial" w:cs="Arial" w:eastAsia="Arial" w:hAnsi="Arial"/>
                <w:sz w:val="18"/>
                <w:szCs w:val="18"/>
                <w:color w:val="auto"/>
              </w:rPr>
              <w:t>Notes</w:t>
            </w: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tcBorders>
              <w:right w:val="single" w:sz="8" w:color="auto"/>
            </w:tcBorders>
            <w:vMerge w:val="continue"/>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240" w:type="dxa"/>
            <w:vAlign w:val="bottom"/>
            <w:tcBorders>
              <w:left w:val="single" w:sz="8" w:color="auto"/>
              <w:right w:val="single" w:sz="8" w:color="auto"/>
            </w:tcBorders>
            <w:vMerge w:val="continue"/>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Borders>
              <w:right w:val="single" w:sz="8" w:color="auto"/>
            </w:tcBorders>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1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2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9930.3%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w:t>
            </w:r>
          </w:p>
        </w:tc>
        <w:tc>
          <w:tcPr>
            <w:tcW w:w="12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10131.7%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26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11134.8%</w:t>
            </w:r>
          </w:p>
        </w:tc>
        <w:tc>
          <w:tcPr>
            <w:tcW w:w="8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1,202</w:t>
            </w:r>
          </w:p>
        </w:tc>
        <w:tc>
          <w:tcPr>
            <w:tcW w:w="11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28231.3%</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1,256</w:t>
            </w:r>
          </w:p>
        </w:tc>
        <w:tc>
          <w:tcPr>
            <w:tcW w:w="11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color w:val="auto"/>
              </w:rPr>
              <w:t>31032.9%</w:t>
            </w: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w w:val="97"/>
              </w:rPr>
              <w:t>Total Funding</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198,314</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598</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1.2%</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188,461</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748</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1.6%</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191,164</w:t>
            </w: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987</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2.1%</w:t>
            </w:r>
          </w:p>
        </w:tc>
        <w:tc>
          <w:tcPr>
            <w:tcW w:w="80" w:type="dxa"/>
            <w:vAlign w:val="bottom"/>
            <w:tcBorders>
              <w:right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b w:val="1"/>
                <w:bCs w:val="1"/>
                <w:color w:val="auto"/>
              </w:rPr>
              <w:t>195,570</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1,873</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1.3%</w:t>
            </w:r>
          </w:p>
        </w:tc>
        <w:tc>
          <w:tcPr>
            <w:tcW w:w="82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b w:val="1"/>
                <w:bCs w:val="1"/>
                <w:color w:val="auto"/>
              </w:rPr>
              <w:t>195,051</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2,374</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Funding (LC)</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52.8%</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45.3%</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1.0%</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51.4%</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58.4%</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1.8%</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51.1%</w:t>
            </w: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57.8%</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2.3%</w:t>
            </w:r>
          </w:p>
        </w:tc>
        <w:tc>
          <w:tcPr>
            <w:tcW w:w="80" w:type="dxa"/>
            <w:vAlign w:val="bottom"/>
            <w:tcBorders>
              <w:right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54.6%</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45.4%</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1.1%</w:t>
            </w:r>
          </w:p>
        </w:tc>
        <w:tc>
          <w:tcPr>
            <w:tcW w:w="82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rPr>
              <w:t>51.2%</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56.9%</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Funding (FC)</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47.2%</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54.7%</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1.4%</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48.6%</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41.6%</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1.4%</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48.9%</w:t>
            </w: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42.2%</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1.8%</w:t>
            </w:r>
          </w:p>
        </w:tc>
        <w:tc>
          <w:tcPr>
            <w:tcW w:w="80" w:type="dxa"/>
            <w:vAlign w:val="bottom"/>
            <w:tcBorders>
              <w:right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45.4%</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54.6%</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1.5%</w:t>
            </w:r>
          </w:p>
        </w:tc>
        <w:tc>
          <w:tcPr>
            <w:tcW w:w="82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rPr>
              <w:t>48.8%</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43.1%</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4"/>
        </w:trPr>
        <w:tc>
          <w:tcPr>
            <w:tcW w:w="1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NIM</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231,912</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2,453</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4.2%</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223,530</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2,740</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4.9%</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226,078</w:t>
            </w: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3,001</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5.3%</w:t>
            </w:r>
          </w:p>
        </w:tc>
        <w:tc>
          <w:tcPr>
            <w:tcW w:w="80" w:type="dxa"/>
            <w:vAlign w:val="bottom"/>
            <w:tcBorders>
              <w:right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b w:val="1"/>
                <w:bCs w:val="1"/>
                <w:color w:val="auto"/>
              </w:rPr>
              <w:t>229,487</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6,885</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6.0%</w:t>
            </w:r>
          </w:p>
        </w:tc>
        <w:tc>
          <w:tcPr>
            <w:tcW w:w="82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b w:val="1"/>
                <w:bCs w:val="1"/>
                <w:color w:val="auto"/>
              </w:rPr>
              <w:t>230,743</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8,276</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NIM (LC)</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57.5%</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82.3%</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6.1%</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58.6%</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83.7%</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7.0%</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56.9%</w:t>
            </w: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80.7%</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7.5%</w:t>
            </w:r>
          </w:p>
        </w:tc>
        <w:tc>
          <w:tcPr>
            <w:tcW w:w="80" w:type="dxa"/>
            <w:vAlign w:val="bottom"/>
            <w:tcBorders>
              <w:right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58.9%</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83.8%</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4.3%</w:t>
            </w:r>
          </w:p>
        </w:tc>
        <w:tc>
          <w:tcPr>
            <w:tcW w:w="82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rPr>
              <w:t>56.2%</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83.0%</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8"/>
        </w:trPr>
        <w:tc>
          <w:tcPr>
            <w:tcW w:w="12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NIM (FC)</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42.5%</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17.7%</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1.8%</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41.4%</w:t>
            </w:r>
          </w:p>
        </w:tc>
        <w:tc>
          <w:tcPr>
            <w:tcW w:w="7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16.3%</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1.9%</w:t>
            </w:r>
          </w:p>
        </w:tc>
        <w:tc>
          <w:tcPr>
            <w:tcW w:w="7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43.1%</w:t>
            </w:r>
          </w:p>
        </w:tc>
        <w:tc>
          <w:tcPr>
            <w:tcW w:w="7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19.3%</w:t>
            </w:r>
          </w:p>
        </w:tc>
        <w:tc>
          <w:tcPr>
            <w:tcW w:w="4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2.4%</w:t>
            </w:r>
          </w:p>
        </w:tc>
        <w:tc>
          <w:tcPr>
            <w:tcW w:w="80" w:type="dxa"/>
            <w:vAlign w:val="bottom"/>
            <w:tcBorders>
              <w:right w:val="single" w:sz="8" w:color="auto"/>
            </w:tcBorders>
          </w:tcPr>
          <w:p>
            <w:pPr>
              <w:spacing w:after="0"/>
              <w:rPr>
                <w:sz w:val="18"/>
                <w:szCs w:val="18"/>
                <w:color w:val="auto"/>
              </w:rPr>
            </w:pPr>
          </w:p>
        </w:tc>
        <w:tc>
          <w:tcPr>
            <w:tcW w:w="82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41.1%</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16.2%</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1.2%</w:t>
            </w:r>
          </w:p>
        </w:tc>
        <w:tc>
          <w:tcPr>
            <w:tcW w:w="82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rPr>
              <w:t>43.8%</w:t>
            </w:r>
          </w:p>
        </w:tc>
        <w:tc>
          <w:tcPr>
            <w:tcW w:w="6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color w:val="auto"/>
              </w:rPr>
              <w:t>17.0%</w:t>
            </w:r>
          </w:p>
        </w:tc>
        <w:tc>
          <w:tcPr>
            <w:tcW w:w="5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-2039620</wp:posOffset>
            </wp:positionV>
            <wp:extent cx="459105" cy="2552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9105" cy="255270"/>
                    </a:xfrm>
                    <a:prstGeom prst="rect">
                      <a:avLst/>
                    </a:prstGeom>
                    <a:noFill/>
                  </pic:spPr>
                </pic:pic>
              </a:graphicData>
            </a:graphic>
          </wp:anchor>
        </w:drawing>
        <w:drawing>
          <wp:anchor simplePos="0" relativeHeight="251657728" behindDoc="1" locked="0" layoutInCell="0" allowOverlap="1">
            <wp:simplePos x="0" y="0"/>
            <wp:positionH relativeFrom="column">
              <wp:posOffset>4629785</wp:posOffset>
            </wp:positionH>
            <wp:positionV relativeFrom="paragraph">
              <wp:posOffset>-2039620</wp:posOffset>
            </wp:positionV>
            <wp:extent cx="459105" cy="255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9105" cy="25527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QoQ Analysis</w:t>
      </w:r>
    </w:p>
    <w:p>
      <w:pPr>
        <w:spacing w:after="0" w:line="248" w:lineRule="exact"/>
        <w:rPr>
          <w:sz w:val="20"/>
          <w:szCs w:val="20"/>
          <w:color w:val="auto"/>
        </w:rPr>
      </w:pPr>
    </w:p>
    <w:p>
      <w:pPr>
        <w:jc w:val="both"/>
        <w:ind w:right="60"/>
        <w:spacing w:after="0" w:line="283" w:lineRule="auto"/>
        <w:rPr>
          <w:sz w:val="20"/>
          <w:szCs w:val="20"/>
          <w:color w:val="auto"/>
        </w:rPr>
      </w:pPr>
      <w:r>
        <w:rPr>
          <w:rFonts w:ascii="Times New Roman" w:cs="Times New Roman" w:eastAsia="Times New Roman" w:hAnsi="Times New Roman"/>
          <w:sz w:val="18"/>
          <w:szCs w:val="18"/>
          <w:color w:val="auto"/>
        </w:rPr>
        <w:t xml:space="preserve">QoQ, </w:t>
      </w:r>
      <w:r>
        <w:rPr>
          <w:rFonts w:ascii="Times New Roman" w:cs="Times New Roman" w:eastAsia="Times New Roman" w:hAnsi="Times New Roman"/>
          <w:sz w:val="18"/>
          <w:szCs w:val="18"/>
          <w:b w:val="1"/>
          <w:bCs w:val="1"/>
          <w:color w:val="auto"/>
        </w:rPr>
        <w:t>Net Interest Income</w:t>
      </w:r>
      <w:r>
        <w:rPr>
          <w:rFonts w:ascii="Times New Roman" w:cs="Times New Roman" w:eastAsia="Times New Roman" w:hAnsi="Times New Roman"/>
          <w:sz w:val="18"/>
          <w:szCs w:val="18"/>
          <w:color w:val="auto"/>
        </w:rPr>
        <w:t xml:space="preserve"> rose 9.5%. The evolution was mainly driven by the increase in LC and FC rates. IEA in LC represent 57% of total IEA and account for 81% of the Net Interest Income generated in 3Q22.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Dynamics in Local Currency (LC)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interest income </w:t>
      </w:r>
      <w:r>
        <w:rPr>
          <w:rFonts w:ascii="Times New Roman" w:cs="Times New Roman" w:eastAsia="Times New Roman" w:hAnsi="Times New Roman"/>
          <w:sz w:val="18"/>
          <w:szCs w:val="18"/>
          <w:color w:val="auto"/>
        </w:rPr>
        <w:t>in LC rose 5.6% after growth in interest income outpaced th expansion in expenses, which was due to the following dynamics:</w:t>
      </w:r>
    </w:p>
    <w:p>
      <w:pPr>
        <w:spacing w:after="0" w:line="22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Average IEAs in LC fell slightly and registered mixed variations in their components. Average structural loans increased 2.8% while liquid assets, investments and GP loans fell. Movements in these accounts generated a higher yield IEA mix in LC. The rates associated with components of IEA increased, in particular for loans and cash and equivalents, in line with growth in Peru’s reference rate and our active yield management. The yield on IEA in LC rose from 8.3% in 2Q22 to 9.3% in 3Q22. In this context, the price effect spearheaded the dynamic that contributed to 9.7% growth in interest income in LC.</w:t>
      </w:r>
    </w:p>
    <w:p>
      <w:pPr>
        <w:spacing w:after="0" w:line="213" w:lineRule="exact"/>
        <w:rPr>
          <w:sz w:val="20"/>
          <w:szCs w:val="20"/>
          <w:color w:val="auto"/>
        </w:rPr>
      </w:pPr>
    </w:p>
    <w:p>
      <w:pPr>
        <w:jc w:val="both"/>
        <w:ind w:right="60"/>
        <w:spacing w:after="0" w:line="254" w:lineRule="auto"/>
        <w:rPr>
          <w:sz w:val="20"/>
          <w:szCs w:val="20"/>
          <w:color w:val="auto"/>
        </w:rPr>
      </w:pPr>
      <w:r>
        <w:rPr>
          <w:rFonts w:ascii="Times New Roman" w:cs="Times New Roman" w:eastAsia="Times New Roman" w:hAnsi="Times New Roman"/>
          <w:sz w:val="18"/>
          <w:szCs w:val="18"/>
          <w:color w:val="auto"/>
        </w:rPr>
        <w:t>Average funding in LC rose 0.9% due to growth in deposits and in time deposits in particular, which are more expensive than demand and savings deposits. It is important to note the demand and saving deposits also contributed, although to a lesser extent, to growth in funding. This dynamic generated a more expensive deposit mix. Other sources of funding fell 4.2%, which was mainly attributable to a decline in balances of Reactiva funding, which was partially offset by growth in short-term due to banks. The funding cost in LC rose from 1.8% in 2Q22 to 2.3% in 3Q22, which primarily reflects the increase in market rates for deposits and an uptick in the share of more expensive sources of funding. Interest expenses in LC rose 30.9% due to negative price and mix factors.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Dynamics in Foreign Currency (FC)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Interest Income </w:t>
      </w:r>
      <w:r>
        <w:rPr>
          <w:rFonts w:ascii="Times New Roman" w:cs="Times New Roman" w:eastAsia="Times New Roman" w:hAnsi="Times New Roman"/>
          <w:sz w:val="18"/>
          <w:szCs w:val="18"/>
          <w:color w:val="auto"/>
        </w:rPr>
        <w:t>in FC increased 29.6% due to the following dynamics: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IEA in FC grew 5.2% due to growth in loans and available funds. Higher growth in loans than in other assets led to a higher-yield IEA mix in FC.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FC rates increased in line with FED rate hikes. Higher interest rates and the evolution of loans led interest income in FC to increase 31.2%.</w:t>
      </w:r>
    </w:p>
    <w:p>
      <w:pPr>
        <w:spacing w:after="0" w:line="229" w:lineRule="exact"/>
        <w:rPr>
          <w:sz w:val="20"/>
          <w:szCs w:val="20"/>
          <w:color w:val="auto"/>
        </w:rPr>
      </w:pPr>
    </w:p>
    <w:p>
      <w:pPr>
        <w:jc w:val="both"/>
        <w:ind w:right="60"/>
        <w:spacing w:after="0" w:line="263" w:lineRule="auto"/>
        <w:rPr>
          <w:sz w:val="20"/>
          <w:szCs w:val="20"/>
          <w:color w:val="auto"/>
        </w:rPr>
      </w:pPr>
      <w:r>
        <w:rPr>
          <w:rFonts w:ascii="Times New Roman" w:cs="Times New Roman" w:eastAsia="Times New Roman" w:hAnsi="Times New Roman"/>
          <w:sz w:val="18"/>
          <w:szCs w:val="18"/>
          <w:color w:val="auto"/>
        </w:rPr>
        <w:t>Average funding in FC rose 2.0%. This reflected the increase in sources of funding with higher rates, such as time deposits and due to banks, which was offset by a reduction in demand deposits. The funding cost increase was driven primarily by growth in FC rates and a negative mix effect generated by the increase in wholesale funding. In this context, interest expenses in FC increased 33.4%.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YoY Analysis</w:t>
      </w:r>
    </w:p>
    <w:p>
      <w:pPr>
        <w:sectPr>
          <w:pgSz w:w="11900" w:h="16846" w:orient="portrait"/>
          <w:cols w:equalWidth="0" w:num="1">
            <w:col w:w="11300"/>
          </w:cols>
          <w:pgMar w:left="320" w:top="451" w:right="279"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xml:space="preserve">YoY, </w:t>
      </w:r>
      <w:r>
        <w:rPr>
          <w:rFonts w:ascii="Times New Roman" w:cs="Times New Roman" w:eastAsia="Times New Roman" w:hAnsi="Times New Roman"/>
          <w:sz w:val="18"/>
          <w:szCs w:val="18"/>
          <w:b w:val="1"/>
          <w:bCs w:val="1"/>
          <w:color w:val="auto"/>
        </w:rPr>
        <w:t>Net Interest Income</w:t>
      </w:r>
      <w:r>
        <w:rPr>
          <w:rFonts w:ascii="Times New Roman" w:cs="Times New Roman" w:eastAsia="Times New Roman" w:hAnsi="Times New Roman"/>
          <w:sz w:val="18"/>
          <w:szCs w:val="18"/>
          <w:color w:val="auto"/>
        </w:rPr>
        <w:t xml:space="preserve"> rose 22.5%. This evolution was primarily attributable to the trajectory of IEA and rates in LC.</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9" w:name="page30"/>
    <w:bookmarkEnd w:id="29"/>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04. 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153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3590" cy="15303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Dynamics in Local Currency (LC)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Interest Income </w:t>
      </w:r>
      <w:r>
        <w:rPr>
          <w:rFonts w:ascii="Times New Roman" w:cs="Times New Roman" w:eastAsia="Times New Roman" w:hAnsi="Times New Roman"/>
          <w:sz w:val="18"/>
          <w:szCs w:val="18"/>
          <w:color w:val="auto"/>
        </w:rPr>
        <w:t>in LC rose 20.0% YoY, in line with the following dynamics: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IEA in LC fell 3.4% YoY, driven by:</w:t>
      </w:r>
    </w:p>
    <w:p>
      <w:pPr>
        <w:spacing w:after="0" w:line="19" w:lineRule="exact"/>
        <w:rPr>
          <w:sz w:val="20"/>
          <w:szCs w:val="20"/>
          <w:color w:val="auto"/>
        </w:rPr>
      </w:pPr>
    </w:p>
    <w:p>
      <w:pPr>
        <w:ind w:left="380" w:hanging="319"/>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Average structural loans grew 16.4% after origination rose in the Wholesale, Retail and Microfinance segments;</w:t>
      </w:r>
    </w:p>
    <w:p>
      <w:pPr>
        <w:ind w:left="380" w:hanging="319"/>
        <w:spacing w:after="0" w:line="232"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Average balances of government program loans fell 38.8% after clients amortized balances;</w:t>
      </w:r>
    </w:p>
    <w:p>
      <w:pPr>
        <w:ind w:left="380" w:hanging="319"/>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Available funds and investments fell due to a drop in liquidity system-wide, which reflected Reactiva amortizations.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Movements in these accounts led the yield on IEA in LC to rise. Active rates with shorter durations (Available funds and Short-term Investments) increased in line with the reference rate. Additionally, strategies for active yield management led to an increase in disbursement rates, primarily for short-term loans. Combined, these effects led the IEA yield in LC to rise from 6.9% in 3Q21 to 9.3% in 3Q22. In this context, income in LC increased 30.7% due to a positive rate effect across IEA and an increase in the volume of structural loans.</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Average funding in LC fell 6.7% due to a drop in repos balances in BCRP and a decrease in low-cost deposits, which was in line with Reactiva amortizations.</w:t>
      </w:r>
    </w:p>
    <w:p>
      <w:pPr>
        <w:spacing w:after="0" w:line="190"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The rates of the components of LC funding increased, in particular for interest-bearing deposits and bank financing, which rose in line with reference rate hikes. The cost of funding in LC rose from 1.0% in 3Q21 to 2.3% in 3Q22. The price effect led interest expenses in LC to double.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Dynamics in Foreign Currency (FC)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Interest Income in </w:t>
      </w:r>
      <w:r>
        <w:rPr>
          <w:rFonts w:ascii="Times New Roman" w:cs="Times New Roman" w:eastAsia="Times New Roman" w:hAnsi="Times New Roman"/>
          <w:sz w:val="18"/>
          <w:szCs w:val="18"/>
          <w:color w:val="auto"/>
        </w:rPr>
        <w:t>FC rose 33.8%, which reflected the following dynamics:</w:t>
      </w:r>
    </w:p>
    <w:p>
      <w:pPr>
        <w:spacing w:after="0" w:line="2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Average IEA in FC fell 1.2% after loan growth was offset by a drop in available funds and investment balances. This dynamic generated a positive rate effect in the IEA yield.</w:t>
      </w:r>
    </w:p>
    <w:p>
      <w:pPr>
        <w:spacing w:after="0" w:line="19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IEA yield in FC rose from 3.1% in 3Q21 to stand at 4.1% in 3Q22 due to an increase in market rates and the aforementioned mix effect. In summary, the positive price and mix effects generated income in FC to rise 30.8%.</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Average funding in FC fell 0.1%; this was driven by a drop in expensive sources of funding, which was partially offset by growth in deposits. The funding cost in FC increased 1.4% in 3Q21 to stand at 1.8% in 3Q22, in line with an uptick in FC rates. Interest expenses in FC rose 26.8%, which was mainly spurred by an increase in passive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YTD Analysis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YTD, </w:t>
      </w:r>
      <w:r>
        <w:rPr>
          <w:rFonts w:ascii="Times New Roman" w:cs="Times New Roman" w:eastAsia="Times New Roman" w:hAnsi="Times New Roman"/>
          <w:sz w:val="18"/>
          <w:szCs w:val="18"/>
          <w:b w:val="1"/>
          <w:bCs w:val="1"/>
          <w:color w:val="auto"/>
        </w:rPr>
        <w:t>Net Interest Income</w:t>
      </w:r>
      <w:r>
        <w:rPr>
          <w:rFonts w:ascii="Times New Roman" w:cs="Times New Roman" w:eastAsia="Times New Roman" w:hAnsi="Times New Roman"/>
          <w:sz w:val="18"/>
          <w:szCs w:val="18"/>
          <w:color w:val="auto"/>
        </w:rPr>
        <w:t xml:space="preserve"> rose 20.2%, driven by the same factors as those that fueled the YoY evolution.</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30" w:name="page31"/>
    <w:bookmarkEnd w:id="30"/>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05 </w:t>
      </w:r>
      <w:r>
        <w:rPr>
          <w:rFonts w:ascii="Times New Roman" w:cs="Times New Roman" w:eastAsia="Times New Roman" w:hAnsi="Times New Roman"/>
          <w:sz w:val="32"/>
          <w:szCs w:val="32"/>
          <w:color w:val="E93CAC"/>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2750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3590" cy="1275080"/>
                    </a:xfrm>
                    <a:prstGeom prst="rect">
                      <a:avLst/>
                    </a:prstGeom>
                    <a:noFill/>
                  </pic:spPr>
                </pic:pic>
              </a:graphicData>
            </a:graphic>
          </wp:anchor>
        </w:drawing>
      </w:r>
    </w:p>
    <w:p>
      <w:pPr>
        <w:spacing w:after="0" w:line="348"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8"/>
          <w:szCs w:val="18"/>
          <w:color w:val="FFFFFF"/>
        </w:rPr>
        <w:t>QoQ, the provisions expense increased due to an uptick in SME provisions which reflects efforts to penetrate higher yield and riskier segments; and a base effect that impacted the SME segment in particular. This was partially offset by methodological improvements in the risk models at Mibanco.</w:t>
      </w:r>
    </w:p>
    <w:p>
      <w:pPr>
        <w:spacing w:after="0" w:line="92" w:lineRule="exact"/>
        <w:rPr>
          <w:sz w:val="20"/>
          <w:szCs w:val="20"/>
          <w:color w:val="auto"/>
        </w:rPr>
      </w:pPr>
    </w:p>
    <w:p>
      <w:pPr>
        <w:jc w:val="both"/>
        <w:ind w:left="120" w:right="120"/>
        <w:spacing w:after="0" w:line="265" w:lineRule="auto"/>
        <w:rPr>
          <w:sz w:val="20"/>
          <w:szCs w:val="20"/>
          <w:color w:val="auto"/>
        </w:rPr>
      </w:pPr>
      <w:r>
        <w:rPr>
          <w:rFonts w:ascii="Arial" w:cs="Arial" w:eastAsia="Arial" w:hAnsi="Arial"/>
          <w:sz w:val="18"/>
          <w:szCs w:val="18"/>
          <w:color w:val="FFFFFF"/>
        </w:rPr>
        <w:t>YoY, higher provisions correspond to a base effect, given that, in 3Q21, extraordinarily low provisions were recorded after uncertainty surrounding the pandemic waned significantly.</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color w:val="FFFFFF"/>
        </w:rPr>
        <w:t>In the aforementioned context, the structural Cost of Risk (CofR) stood at 1.44% at the end of 3Q22 and 1.04% YTD.</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Provisions </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and Cost of Risk (CoR) of the Structural Portfolio</w:t>
      </w:r>
    </w:p>
    <w:tbl>
      <w:tblPr>
        <w:tblLayout w:type="fixed"/>
        <w:tblInd w:w="10" w:type="dxa"/>
        <w:tblCellMar>
          <w:top w:w="0" w:type="dxa"/>
          <w:left w:w="0" w:type="dxa"/>
          <w:bottom w:w="0" w:type="dxa"/>
          <w:right w:w="0" w:type="dxa"/>
        </w:tblCellMar>
      </w:tblPr>
      <w:tr>
        <w:trPr>
          <w:trHeight w:val="167"/>
        </w:trPr>
        <w:tc>
          <w:tcPr>
            <w:tcW w:w="316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Structural Loan Portfolio Provisions</w:t>
            </w:r>
          </w:p>
        </w:tc>
        <w:tc>
          <w:tcPr>
            <w:tcW w:w="1040" w:type="dxa"/>
            <w:vAlign w:val="bottom"/>
            <w:tcBorders>
              <w:top w:val="single" w:sz="8" w:color="auto"/>
            </w:tcBorders>
            <w:shd w:val="clear" w:color="auto" w:fill="2AD2C9"/>
          </w:tcPr>
          <w:p>
            <w:pPr>
              <w:spacing w:after="0"/>
              <w:rPr>
                <w:sz w:val="14"/>
                <w:szCs w:val="14"/>
                <w:color w:val="auto"/>
              </w:rPr>
            </w:pPr>
          </w:p>
        </w:tc>
        <w:tc>
          <w:tcPr>
            <w:tcW w:w="1180" w:type="dxa"/>
            <w:vAlign w:val="bottom"/>
            <w:tcBorders>
              <w:top w:val="single" w:sz="8" w:color="auto"/>
            </w:tcBorders>
            <w:shd w:val="clear" w:color="auto" w:fill="2AD2C9"/>
          </w:tcPr>
          <w:p>
            <w:pPr>
              <w:jc w:val="right"/>
              <w:ind w:right="209"/>
              <w:spacing w:after="0"/>
              <w:rPr>
                <w:sz w:val="20"/>
                <w:szCs w:val="20"/>
                <w:color w:val="auto"/>
              </w:rPr>
            </w:pPr>
            <w:r>
              <w:rPr>
                <w:rFonts w:ascii="Arial" w:cs="Arial" w:eastAsia="Arial" w:hAnsi="Arial"/>
                <w:sz w:val="14"/>
                <w:szCs w:val="14"/>
                <w:b w:val="1"/>
                <w:bCs w:val="1"/>
                <w:color w:val="FFFFFF"/>
              </w:rPr>
              <w:t>Quarter</w:t>
            </w:r>
          </w:p>
        </w:tc>
        <w:tc>
          <w:tcPr>
            <w:tcW w:w="1180" w:type="dxa"/>
            <w:vAlign w:val="bottom"/>
            <w:tcBorders>
              <w:top w:val="single" w:sz="8" w:color="auto"/>
              <w:right w:val="single" w:sz="8" w:color="auto"/>
            </w:tcBorders>
            <w:shd w:val="clear" w:color="auto" w:fill="2AD2C9"/>
          </w:tcPr>
          <w:p>
            <w:pPr>
              <w:spacing w:after="0"/>
              <w:rPr>
                <w:sz w:val="14"/>
                <w:szCs w:val="14"/>
                <w:color w:val="auto"/>
              </w:rPr>
            </w:pPr>
          </w:p>
        </w:tc>
        <w:tc>
          <w:tcPr>
            <w:tcW w:w="1180" w:type="dxa"/>
            <w:vAlign w:val="bottom"/>
            <w:tcBorders>
              <w:top w:val="single" w:sz="8" w:color="auto"/>
              <w:right w:val="single" w:sz="8" w:color="auto"/>
            </w:tcBorders>
            <w:gridSpan w:val="2"/>
            <w:shd w:val="clear" w:color="auto" w:fill="2AD2C9"/>
          </w:tcPr>
          <w:p>
            <w:pPr>
              <w:ind w:left="260"/>
              <w:spacing w:after="0"/>
              <w:rPr>
                <w:sz w:val="20"/>
                <w:szCs w:val="20"/>
                <w:color w:val="auto"/>
              </w:rPr>
            </w:pPr>
            <w:r>
              <w:rPr>
                <w:rFonts w:ascii="Arial" w:cs="Arial" w:eastAsia="Arial" w:hAnsi="Arial"/>
                <w:sz w:val="14"/>
                <w:szCs w:val="14"/>
                <w:b w:val="1"/>
                <w:bCs w:val="1"/>
                <w:color w:val="FFFFFF"/>
              </w:rPr>
              <w:t>% change</w:t>
            </w:r>
          </w:p>
        </w:tc>
        <w:tc>
          <w:tcPr>
            <w:tcW w:w="1000" w:type="dxa"/>
            <w:vAlign w:val="bottom"/>
            <w:tcBorders>
              <w:top w:val="single" w:sz="8" w:color="auto"/>
            </w:tcBorders>
            <w:shd w:val="clear" w:color="auto" w:fill="2AD2C9"/>
          </w:tcPr>
          <w:p>
            <w:pPr>
              <w:spacing w:after="0"/>
              <w:rPr>
                <w:sz w:val="14"/>
                <w:szCs w:val="14"/>
                <w:color w:val="auto"/>
              </w:rPr>
            </w:pPr>
          </w:p>
        </w:tc>
        <w:tc>
          <w:tcPr>
            <w:tcW w:w="1420" w:type="dxa"/>
            <w:vAlign w:val="bottom"/>
            <w:tcBorders>
              <w:top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4"/>
                <w:szCs w:val="14"/>
                <w:b w:val="1"/>
                <w:bCs w:val="1"/>
                <w:color w:val="FFFFFF"/>
              </w:rPr>
              <w:t>As of</w:t>
            </w:r>
          </w:p>
        </w:tc>
        <w:tc>
          <w:tcPr>
            <w:tcW w:w="108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S/ 000</w:t>
            </w:r>
          </w:p>
        </w:tc>
        <w:tc>
          <w:tcPr>
            <w:tcW w:w="10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3Q21</w:t>
            </w:r>
          </w:p>
        </w:tc>
        <w:tc>
          <w:tcPr>
            <w:tcW w:w="1180" w:type="dxa"/>
            <w:vAlign w:val="bottom"/>
            <w:tcBorders>
              <w:bottom w:val="single" w:sz="8" w:color="auto"/>
            </w:tcBorders>
            <w:shd w:val="clear" w:color="auto" w:fill="2AD2C9"/>
          </w:tcPr>
          <w:p>
            <w:pPr>
              <w:jc w:val="center"/>
              <w:ind w:right="9"/>
              <w:spacing w:after="0"/>
              <w:rPr>
                <w:sz w:val="20"/>
                <w:szCs w:val="20"/>
                <w:color w:val="auto"/>
              </w:rPr>
            </w:pPr>
            <w:r>
              <w:rPr>
                <w:rFonts w:ascii="Arial" w:cs="Arial" w:eastAsia="Arial" w:hAnsi="Arial"/>
                <w:sz w:val="14"/>
                <w:szCs w:val="14"/>
                <w:b w:val="1"/>
                <w:bCs w:val="1"/>
                <w:color w:val="FFFFFF"/>
                <w:w w:val="99"/>
              </w:rPr>
              <w:t>2Q22</w:t>
            </w:r>
          </w:p>
        </w:tc>
        <w:tc>
          <w:tcPr>
            <w:tcW w:w="11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3Q22</w:t>
            </w:r>
          </w:p>
        </w:tc>
        <w:tc>
          <w:tcPr>
            <w:tcW w:w="5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QoQ</w:t>
            </w:r>
          </w:p>
        </w:tc>
        <w:tc>
          <w:tcPr>
            <w:tcW w:w="6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5"/>
              </w:rPr>
              <w:t>YoY</w:t>
            </w:r>
          </w:p>
        </w:tc>
        <w:tc>
          <w:tcPr>
            <w:tcW w:w="1000" w:type="dxa"/>
            <w:vAlign w:val="bottom"/>
            <w:tcBorders>
              <w:bottom w:val="single" w:sz="8" w:color="auto"/>
            </w:tcBorders>
            <w:shd w:val="clear" w:color="auto" w:fill="2AD2C9"/>
          </w:tcPr>
          <w:p>
            <w:pPr>
              <w:ind w:left="380"/>
              <w:spacing w:after="0"/>
              <w:rPr>
                <w:sz w:val="20"/>
                <w:szCs w:val="20"/>
                <w:color w:val="auto"/>
              </w:rPr>
            </w:pPr>
            <w:r>
              <w:rPr>
                <w:rFonts w:ascii="Arial" w:cs="Arial" w:eastAsia="Arial" w:hAnsi="Arial"/>
                <w:sz w:val="14"/>
                <w:szCs w:val="14"/>
                <w:b w:val="1"/>
                <w:bCs w:val="1"/>
                <w:color w:val="FFFFFF"/>
              </w:rPr>
              <w:t>Sep 21</w:t>
            </w:r>
          </w:p>
        </w:tc>
        <w:tc>
          <w:tcPr>
            <w:tcW w:w="1420" w:type="dxa"/>
            <w:vAlign w:val="bottom"/>
            <w:tcBorders>
              <w:bottom w:val="single" w:sz="8" w:color="auto"/>
              <w:right w:val="single" w:sz="8" w:color="auto"/>
            </w:tcBorders>
            <w:shd w:val="clear" w:color="auto" w:fill="2AD2C9"/>
          </w:tcPr>
          <w:p>
            <w:pPr>
              <w:jc w:val="center"/>
              <w:ind w:left="129"/>
              <w:spacing w:after="0"/>
              <w:rPr>
                <w:sz w:val="20"/>
                <w:szCs w:val="20"/>
                <w:color w:val="auto"/>
              </w:rPr>
            </w:pPr>
            <w:r>
              <w:rPr>
                <w:rFonts w:ascii="Arial" w:cs="Arial" w:eastAsia="Arial" w:hAnsi="Arial"/>
                <w:sz w:val="14"/>
                <w:szCs w:val="14"/>
                <w:b w:val="1"/>
                <w:bCs w:val="1"/>
                <w:color w:val="FFFFFF"/>
              </w:rPr>
              <w:t>Sep 22</w:t>
            </w:r>
          </w:p>
        </w:tc>
        <w:tc>
          <w:tcPr>
            <w:tcW w:w="10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Sep 22 / Sep 21</w:t>
            </w:r>
          </w:p>
        </w:tc>
        <w:tc>
          <w:tcPr>
            <w:tcW w:w="0" w:type="dxa"/>
            <w:vAlign w:val="bottom"/>
          </w:tcPr>
          <w:p>
            <w:pPr>
              <w:spacing w:after="0"/>
              <w:rPr>
                <w:sz w:val="1"/>
                <w:szCs w:val="1"/>
                <w:color w:val="auto"/>
              </w:rPr>
            </w:pPr>
          </w:p>
        </w:tc>
      </w:tr>
      <w:tr>
        <w:trPr>
          <w:trHeight w:val="151"/>
        </w:trPr>
        <w:tc>
          <w:tcPr>
            <w:tcW w:w="3160" w:type="dxa"/>
            <w:vAlign w:val="bottom"/>
            <w:tcBorders>
              <w:left w:val="single" w:sz="8" w:color="auto"/>
              <w:right w:val="single" w:sz="8" w:color="auto"/>
            </w:tcBorders>
          </w:tcPr>
          <w:p>
            <w:pPr>
              <w:ind w:left="40"/>
              <w:spacing w:after="0" w:line="151" w:lineRule="exact"/>
              <w:rPr>
                <w:sz w:val="20"/>
                <w:szCs w:val="20"/>
                <w:color w:val="auto"/>
              </w:rPr>
            </w:pPr>
            <w:r>
              <w:rPr>
                <w:rFonts w:ascii="Arial" w:cs="Arial" w:eastAsia="Arial" w:hAnsi="Arial"/>
                <w:sz w:val="14"/>
                <w:szCs w:val="14"/>
                <w:color w:val="auto"/>
              </w:rPr>
              <w:t>Gross provision for credit losses on loan portfolio</w:t>
            </w:r>
          </w:p>
        </w:tc>
        <w:tc>
          <w:tcPr>
            <w:tcW w:w="1040" w:type="dxa"/>
            <w:vAlign w:val="bottom"/>
          </w:tcPr>
          <w:p>
            <w:pPr>
              <w:jc w:val="center"/>
              <w:spacing w:after="0" w:line="151" w:lineRule="exact"/>
              <w:rPr>
                <w:sz w:val="20"/>
                <w:szCs w:val="20"/>
                <w:color w:val="auto"/>
              </w:rPr>
            </w:pPr>
            <w:r>
              <w:rPr>
                <w:rFonts w:ascii="Arial" w:cs="Arial" w:eastAsia="Arial" w:hAnsi="Arial"/>
                <w:sz w:val="14"/>
                <w:szCs w:val="14"/>
                <w:color w:val="auto"/>
              </w:rPr>
              <w:t>(268,650)</w:t>
            </w:r>
          </w:p>
        </w:tc>
        <w:tc>
          <w:tcPr>
            <w:tcW w:w="1180" w:type="dxa"/>
            <w:vAlign w:val="bottom"/>
          </w:tcPr>
          <w:p>
            <w:pPr>
              <w:jc w:val="center"/>
              <w:ind w:right="9"/>
              <w:spacing w:after="0" w:line="151" w:lineRule="exact"/>
              <w:rPr>
                <w:sz w:val="20"/>
                <w:szCs w:val="20"/>
                <w:color w:val="auto"/>
              </w:rPr>
            </w:pPr>
            <w:r>
              <w:rPr>
                <w:rFonts w:ascii="Arial" w:cs="Arial" w:eastAsia="Arial" w:hAnsi="Arial"/>
                <w:sz w:val="14"/>
                <w:szCs w:val="14"/>
                <w:color w:val="auto"/>
              </w:rPr>
              <w:t>(453,605)</w:t>
            </w:r>
          </w:p>
        </w:tc>
        <w:tc>
          <w:tcPr>
            <w:tcW w:w="11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(584,841)</w:t>
            </w:r>
          </w:p>
        </w:tc>
        <w:tc>
          <w:tcPr>
            <w:tcW w:w="540" w:type="dxa"/>
            <w:vAlign w:val="bottom"/>
          </w:tcPr>
          <w:p>
            <w:pPr>
              <w:jc w:val="center"/>
              <w:spacing w:after="0" w:line="151" w:lineRule="exact"/>
              <w:rPr>
                <w:sz w:val="20"/>
                <w:szCs w:val="20"/>
                <w:color w:val="auto"/>
              </w:rPr>
            </w:pPr>
            <w:r>
              <w:rPr>
                <w:rFonts w:ascii="Arial" w:cs="Arial" w:eastAsia="Arial" w:hAnsi="Arial"/>
                <w:sz w:val="14"/>
                <w:szCs w:val="14"/>
                <w:color w:val="auto"/>
              </w:rPr>
              <w:t>28.9%</w:t>
            </w:r>
          </w:p>
        </w:tc>
        <w:tc>
          <w:tcPr>
            <w:tcW w:w="64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6"/>
              </w:rPr>
              <w:t>117.7%</w:t>
            </w:r>
          </w:p>
        </w:tc>
        <w:tc>
          <w:tcPr>
            <w:tcW w:w="1000" w:type="dxa"/>
            <w:vAlign w:val="bottom"/>
          </w:tcPr>
          <w:p>
            <w:pPr>
              <w:jc w:val="center"/>
              <w:ind w:left="169"/>
              <w:spacing w:after="0" w:line="151" w:lineRule="exact"/>
              <w:rPr>
                <w:sz w:val="20"/>
                <w:szCs w:val="20"/>
                <w:color w:val="auto"/>
              </w:rPr>
            </w:pPr>
            <w:r>
              <w:rPr>
                <w:rFonts w:ascii="Arial" w:cs="Arial" w:eastAsia="Arial" w:hAnsi="Arial"/>
                <w:sz w:val="14"/>
                <w:szCs w:val="14"/>
                <w:color w:val="auto"/>
              </w:rPr>
              <w:t>(1,318,666)</w:t>
            </w:r>
          </w:p>
        </w:tc>
        <w:tc>
          <w:tcPr>
            <w:tcW w:w="1420" w:type="dxa"/>
            <w:vAlign w:val="bottom"/>
            <w:tcBorders>
              <w:right w:val="single" w:sz="8" w:color="auto"/>
            </w:tcBorders>
          </w:tcPr>
          <w:p>
            <w:pPr>
              <w:jc w:val="center"/>
              <w:ind w:left="129"/>
              <w:spacing w:after="0" w:line="151" w:lineRule="exact"/>
              <w:rPr>
                <w:sz w:val="20"/>
                <w:szCs w:val="20"/>
                <w:color w:val="auto"/>
              </w:rPr>
            </w:pPr>
            <w:r>
              <w:rPr>
                <w:rFonts w:ascii="Arial" w:cs="Arial" w:eastAsia="Arial" w:hAnsi="Arial"/>
                <w:sz w:val="14"/>
                <w:szCs w:val="14"/>
                <w:color w:val="auto"/>
              </w:rPr>
              <w:t>(1,345,663)</w:t>
            </w:r>
          </w:p>
        </w:tc>
        <w:tc>
          <w:tcPr>
            <w:tcW w:w="108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1"/>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Recoveries of written-off loans</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100,744</w:t>
            </w:r>
          </w:p>
        </w:tc>
        <w:tc>
          <w:tcPr>
            <w:tcW w:w="1180" w:type="dxa"/>
            <w:vAlign w:val="bottom"/>
          </w:tcPr>
          <w:p>
            <w:pPr>
              <w:jc w:val="right"/>
              <w:ind w:right="329"/>
              <w:spacing w:after="0"/>
              <w:rPr>
                <w:sz w:val="20"/>
                <w:szCs w:val="20"/>
                <w:color w:val="auto"/>
              </w:rPr>
            </w:pPr>
            <w:r>
              <w:rPr>
                <w:rFonts w:ascii="Arial" w:cs="Arial" w:eastAsia="Arial" w:hAnsi="Arial"/>
                <w:sz w:val="14"/>
                <w:szCs w:val="14"/>
                <w:color w:val="auto"/>
              </w:rPr>
              <w:t>83,745</w:t>
            </w:r>
          </w:p>
        </w:tc>
        <w:tc>
          <w:tcPr>
            <w:tcW w:w="1180" w:type="dxa"/>
            <w:vAlign w:val="bottom"/>
            <w:tcBorders>
              <w:right w:val="single" w:sz="8" w:color="auto"/>
            </w:tcBorders>
          </w:tcPr>
          <w:p>
            <w:pPr>
              <w:jc w:val="right"/>
              <w:ind w:right="309"/>
              <w:spacing w:after="0"/>
              <w:rPr>
                <w:sz w:val="20"/>
                <w:szCs w:val="20"/>
                <w:color w:val="auto"/>
              </w:rPr>
            </w:pPr>
            <w:r>
              <w:rPr>
                <w:rFonts w:ascii="Arial" w:cs="Arial" w:eastAsia="Arial" w:hAnsi="Arial"/>
                <w:sz w:val="14"/>
                <w:szCs w:val="14"/>
                <w:color w:val="auto"/>
              </w:rPr>
              <w:t>85,273</w:t>
            </w:r>
          </w:p>
        </w:tc>
        <w:tc>
          <w:tcPr>
            <w:tcW w:w="540" w:type="dxa"/>
            <w:vAlign w:val="bottom"/>
          </w:tcPr>
          <w:p>
            <w:pPr>
              <w:jc w:val="center"/>
              <w:spacing w:after="0"/>
              <w:rPr>
                <w:sz w:val="20"/>
                <w:szCs w:val="20"/>
                <w:color w:val="auto"/>
              </w:rPr>
            </w:pPr>
            <w:r>
              <w:rPr>
                <w:rFonts w:ascii="Arial" w:cs="Arial" w:eastAsia="Arial" w:hAnsi="Arial"/>
                <w:sz w:val="14"/>
                <w:szCs w:val="14"/>
                <w:color w:val="auto"/>
              </w:rPr>
              <w:t>1.8%</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-15.4%</w:t>
            </w:r>
          </w:p>
        </w:tc>
        <w:tc>
          <w:tcPr>
            <w:tcW w:w="1000" w:type="dxa"/>
            <w:vAlign w:val="bottom"/>
          </w:tcPr>
          <w:p>
            <w:pPr>
              <w:jc w:val="center"/>
              <w:ind w:left="169"/>
              <w:spacing w:after="0"/>
              <w:rPr>
                <w:sz w:val="20"/>
                <w:szCs w:val="20"/>
                <w:color w:val="auto"/>
              </w:rPr>
            </w:pPr>
            <w:r>
              <w:rPr>
                <w:rFonts w:ascii="Arial" w:cs="Arial" w:eastAsia="Arial" w:hAnsi="Arial"/>
                <w:sz w:val="14"/>
                <w:szCs w:val="14"/>
                <w:color w:val="auto"/>
              </w:rPr>
              <w:t>243,706</w:t>
            </w:r>
          </w:p>
        </w:tc>
        <w:tc>
          <w:tcPr>
            <w:tcW w:w="1420" w:type="dxa"/>
            <w:vAlign w:val="bottom"/>
            <w:tcBorders>
              <w:right w:val="single" w:sz="8" w:color="auto"/>
            </w:tcBorders>
          </w:tcPr>
          <w:p>
            <w:pPr>
              <w:jc w:val="center"/>
              <w:ind w:left="109"/>
              <w:spacing w:after="0"/>
              <w:rPr>
                <w:sz w:val="20"/>
                <w:szCs w:val="20"/>
                <w:color w:val="auto"/>
              </w:rPr>
            </w:pPr>
            <w:r>
              <w:rPr>
                <w:rFonts w:ascii="Arial" w:cs="Arial" w:eastAsia="Arial" w:hAnsi="Arial"/>
                <w:sz w:val="14"/>
                <w:szCs w:val="14"/>
                <w:color w:val="auto"/>
              </w:rPr>
              <w:t>262,109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61"/>
        </w:trPr>
        <w:tc>
          <w:tcPr>
            <w:tcW w:w="31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Provision for credit losses on loan portfolio,</w:t>
            </w:r>
          </w:p>
        </w:tc>
        <w:tc>
          <w:tcPr>
            <w:tcW w:w="1040" w:type="dxa"/>
            <w:vAlign w:val="bottom"/>
            <w:vMerge w:val="restart"/>
          </w:tcPr>
          <w:p>
            <w:pPr>
              <w:jc w:val="right"/>
              <w:ind w:right="149"/>
              <w:spacing w:after="0"/>
              <w:rPr>
                <w:sz w:val="20"/>
                <w:szCs w:val="20"/>
                <w:color w:val="auto"/>
              </w:rPr>
            </w:pPr>
            <w:r>
              <w:rPr>
                <w:rFonts w:ascii="Arial" w:cs="Arial" w:eastAsia="Arial" w:hAnsi="Arial"/>
                <w:sz w:val="14"/>
                <w:szCs w:val="14"/>
                <w:b w:val="1"/>
                <w:bCs w:val="1"/>
                <w:color w:val="auto"/>
              </w:rPr>
              <w:t>(167,906)</w:t>
            </w:r>
          </w:p>
        </w:tc>
        <w:tc>
          <w:tcPr>
            <w:tcW w:w="118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rPr>
              <w:t>(369,860)</w:t>
            </w:r>
          </w:p>
        </w:tc>
        <w:tc>
          <w:tcPr>
            <w:tcW w:w="1180" w:type="dxa"/>
            <w:vAlign w:val="bottom"/>
            <w:tcBorders>
              <w:right w:val="single" w:sz="8" w:color="auto"/>
            </w:tcBorders>
            <w:vMerge w:val="restart"/>
          </w:tcPr>
          <w:p>
            <w:pPr>
              <w:jc w:val="right"/>
              <w:ind w:right="209"/>
              <w:spacing w:after="0"/>
              <w:rPr>
                <w:sz w:val="20"/>
                <w:szCs w:val="20"/>
                <w:color w:val="auto"/>
              </w:rPr>
            </w:pPr>
            <w:r>
              <w:rPr>
                <w:rFonts w:ascii="Arial" w:cs="Arial" w:eastAsia="Arial" w:hAnsi="Arial"/>
                <w:sz w:val="14"/>
                <w:szCs w:val="14"/>
                <w:b w:val="1"/>
                <w:bCs w:val="1"/>
                <w:color w:val="auto"/>
              </w:rPr>
              <w:t>(499,568)</w:t>
            </w: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35.1%</w:t>
            </w:r>
          </w:p>
        </w:tc>
        <w:tc>
          <w:tcPr>
            <w:tcW w:w="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197.5%</w:t>
            </w:r>
          </w:p>
        </w:tc>
        <w:tc>
          <w:tcPr>
            <w:tcW w:w="1000" w:type="dxa"/>
            <w:vAlign w:val="bottom"/>
            <w:vMerge w:val="restart"/>
          </w:tcPr>
          <w:p>
            <w:pPr>
              <w:jc w:val="center"/>
              <w:ind w:left="169"/>
              <w:spacing w:after="0"/>
              <w:rPr>
                <w:sz w:val="20"/>
                <w:szCs w:val="20"/>
                <w:color w:val="auto"/>
              </w:rPr>
            </w:pPr>
            <w:r>
              <w:rPr>
                <w:rFonts w:ascii="Arial" w:cs="Arial" w:eastAsia="Arial" w:hAnsi="Arial"/>
                <w:sz w:val="14"/>
                <w:szCs w:val="14"/>
                <w:b w:val="1"/>
                <w:bCs w:val="1"/>
                <w:color w:val="auto"/>
              </w:rPr>
              <w:t>(1,074,960)</w:t>
            </w:r>
          </w:p>
        </w:tc>
        <w:tc>
          <w:tcPr>
            <w:tcW w:w="1420" w:type="dxa"/>
            <w:vAlign w:val="bottom"/>
            <w:tcBorders>
              <w:right w:val="single" w:sz="8" w:color="auto"/>
            </w:tcBorders>
            <w:vMerge w:val="restart"/>
          </w:tcPr>
          <w:p>
            <w:pPr>
              <w:jc w:val="right"/>
              <w:ind w:right="149"/>
              <w:spacing w:after="0"/>
              <w:rPr>
                <w:sz w:val="20"/>
                <w:szCs w:val="20"/>
                <w:color w:val="auto"/>
              </w:rPr>
            </w:pPr>
            <w:r>
              <w:rPr>
                <w:rFonts w:ascii="Arial" w:cs="Arial" w:eastAsia="Arial" w:hAnsi="Arial"/>
                <w:sz w:val="14"/>
                <w:szCs w:val="14"/>
                <w:b w:val="1"/>
                <w:bCs w:val="1"/>
                <w:color w:val="auto"/>
              </w:rPr>
              <w:t>(1,083,554)</w:t>
            </w: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0.8%</w:t>
            </w:r>
          </w:p>
        </w:tc>
        <w:tc>
          <w:tcPr>
            <w:tcW w:w="0" w:type="dxa"/>
            <w:vAlign w:val="bottom"/>
          </w:tcPr>
          <w:p>
            <w:pPr>
              <w:spacing w:after="0"/>
              <w:rPr>
                <w:sz w:val="1"/>
                <w:szCs w:val="1"/>
                <w:color w:val="auto"/>
              </w:rPr>
            </w:pPr>
          </w:p>
        </w:tc>
      </w:tr>
      <w:tr>
        <w:trPr>
          <w:trHeight w:val="115"/>
        </w:trPr>
        <w:tc>
          <w:tcPr>
            <w:tcW w:w="31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net of recoveries</w:t>
            </w:r>
          </w:p>
        </w:tc>
        <w:tc>
          <w:tcPr>
            <w:tcW w:w="10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40" w:type="dxa"/>
            <w:vAlign w:val="bottom"/>
            <w:tcBorders>
              <w:right w:val="single" w:sz="8" w:color="auto"/>
            </w:tcBorders>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42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16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420" w:type="dxa"/>
            <w:vAlign w:val="bottom"/>
            <w:tcBorders>
              <w:bottom w:val="single" w:sz="8" w:color="auto"/>
              <w:right w:val="single" w:sz="8" w:color="auto"/>
            </w:tcBorders>
          </w:tcPr>
          <w:p>
            <w:pPr>
              <w:spacing w:after="0"/>
              <w:rPr>
                <w:sz w:val="5"/>
                <w:szCs w:val="5"/>
                <w:color w:val="auto"/>
              </w:rPr>
            </w:pPr>
          </w:p>
        </w:tc>
        <w:tc>
          <w:tcPr>
            <w:tcW w:w="1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160" w:type="dxa"/>
            <w:vAlign w:val="bottom"/>
            <w:tcBorders>
              <w:left w:val="single" w:sz="8" w:color="auto"/>
              <w:bottom w:val="single" w:sz="8" w:color="auto"/>
              <w:right w:val="single" w:sz="8" w:color="auto"/>
            </w:tcBorders>
          </w:tcPr>
          <w:p>
            <w:pPr>
              <w:ind w:left="40"/>
              <w:spacing w:after="0" w:line="161" w:lineRule="exact"/>
              <w:rPr>
                <w:sz w:val="20"/>
                <w:szCs w:val="20"/>
                <w:color w:val="auto"/>
              </w:rPr>
            </w:pPr>
            <w:r>
              <w:rPr>
                <w:rFonts w:ascii="Arial" w:cs="Arial" w:eastAsia="Arial" w:hAnsi="Arial"/>
                <w:sz w:val="12"/>
                <w:szCs w:val="12"/>
                <w:color w:val="auto"/>
              </w:rPr>
              <w:t xml:space="preserve">Structural Cost of risk </w:t>
            </w:r>
            <w:r>
              <w:rPr>
                <w:rFonts w:ascii="Arial" w:cs="Arial" w:eastAsia="Arial" w:hAnsi="Arial"/>
                <w:sz w:val="18"/>
                <w:szCs w:val="18"/>
                <w:color w:val="auto"/>
                <w:vertAlign w:val="superscript"/>
              </w:rPr>
              <w:t>(1)</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0.54%</w:t>
            </w:r>
          </w:p>
        </w:tc>
        <w:tc>
          <w:tcPr>
            <w:tcW w:w="118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color w:val="auto"/>
              </w:rPr>
              <w:t>1.09%</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1.44%</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35 bps</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90 bps</w:t>
            </w:r>
          </w:p>
        </w:tc>
        <w:tc>
          <w:tcPr>
            <w:tcW w:w="100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rPr>
              <w:t>1.14%</w:t>
            </w:r>
          </w:p>
        </w:tc>
        <w:tc>
          <w:tcPr>
            <w:tcW w:w="1420" w:type="dxa"/>
            <w:vAlign w:val="bottom"/>
            <w:tcBorders>
              <w:bottom w:val="single" w:sz="8" w:color="auto"/>
              <w:right w:val="single" w:sz="8" w:color="auto"/>
            </w:tcBorders>
          </w:tcPr>
          <w:p>
            <w:pPr>
              <w:jc w:val="center"/>
              <w:ind w:left="109"/>
              <w:spacing w:after="0"/>
              <w:rPr>
                <w:sz w:val="20"/>
                <w:szCs w:val="20"/>
                <w:color w:val="auto"/>
              </w:rPr>
            </w:pPr>
            <w:r>
              <w:rPr>
                <w:rFonts w:ascii="Arial" w:cs="Arial" w:eastAsia="Arial" w:hAnsi="Arial"/>
                <w:sz w:val="14"/>
                <w:szCs w:val="14"/>
                <w:color w:val="auto"/>
              </w:rPr>
              <w:t>1.04%</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 bps</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80" w:hanging="173"/>
        <w:spacing w:after="0"/>
        <w:tabs>
          <w:tab w:leader="none" w:pos="1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Provision for credit losses on loan portfolio, net of recoveries.</w:t>
      </w:r>
    </w:p>
    <w:p>
      <w:pPr>
        <w:spacing w:after="0" w:line="7" w:lineRule="exact"/>
        <w:rPr>
          <w:rFonts w:ascii="Times New Roman" w:cs="Times New Roman" w:eastAsia="Times New Roman" w:hAnsi="Times New Roman"/>
          <w:sz w:val="12"/>
          <w:szCs w:val="12"/>
          <w:color w:val="auto"/>
        </w:rPr>
      </w:pPr>
    </w:p>
    <w:p>
      <w:pPr>
        <w:ind w:left="180" w:hanging="173"/>
        <w:spacing w:after="0"/>
        <w:tabs>
          <w:tab w:leader="none" w:pos="18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Structural Cost of risk excludes the Provisions for credit losses on loan portfolio, net of recoveries and Total Loans from the Reactiva Peru and FAE Government Programs.</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QoQ</w:t>
      </w:r>
      <w:r>
        <w:rPr>
          <w:rFonts w:ascii="Times New Roman" w:cs="Times New Roman" w:eastAsia="Times New Roman" w:hAnsi="Times New Roman"/>
          <w:sz w:val="18"/>
          <w:szCs w:val="18"/>
          <w:color w:val="auto"/>
        </w:rPr>
        <w:t>, Structural Provisions grew mainly in BCP Individual, which led the</w:t>
      </w:r>
      <w:r>
        <w:rPr>
          <w:rFonts w:ascii="Times New Roman" w:cs="Times New Roman" w:eastAsia="Times New Roman" w:hAnsi="Times New Roman"/>
          <w:sz w:val="18"/>
          <w:szCs w:val="18"/>
          <w:b w:val="1"/>
          <w:bCs w:val="1"/>
          <w:color w:val="auto"/>
        </w:rPr>
        <w:t xml:space="preserve"> structural CoR </w:t>
      </w:r>
      <w:r>
        <w:rPr>
          <w:rFonts w:ascii="Times New Roman" w:cs="Times New Roman" w:eastAsia="Times New Roman" w:hAnsi="Times New Roman"/>
          <w:sz w:val="18"/>
          <w:szCs w:val="18"/>
          <w:color w:val="auto"/>
        </w:rPr>
        <w:t>to rise 35bps. This evolution was propelled by the uptick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provision expense for the </w:t>
      </w:r>
      <w:r>
        <w:rPr>
          <w:rFonts w:ascii="Times New Roman" w:cs="Times New Roman" w:eastAsia="Times New Roman" w:hAnsi="Times New Roman"/>
          <w:sz w:val="18"/>
          <w:szCs w:val="18"/>
          <w:b w:val="1"/>
          <w:bCs w:val="1"/>
          <w:color w:val="auto"/>
        </w:rPr>
        <w:t>SME-Pyme</w:t>
      </w:r>
      <w:r>
        <w:rPr>
          <w:rFonts w:ascii="Times New Roman" w:cs="Times New Roman" w:eastAsia="Times New Roman" w:hAnsi="Times New Roman"/>
          <w:sz w:val="18"/>
          <w:szCs w:val="18"/>
          <w:color w:val="auto"/>
        </w:rPr>
        <w:t xml:space="preserve"> segment, which was driven by: (i) growth in segments with higher yields and commensurately higher risk profiles; (ii) a base effect given that during 2Q22 an extraordinarily low expense was recorded driven by methodological improvements that reflected a more favorable environment after the pandemic and (iii) write-offs that were reported for clients who also had Reactiva loans, generating higher expenses. The variation in provisions is within our risk appetite.</w:t>
      </w:r>
    </w:p>
    <w:p>
      <w:pPr>
        <w:sectPr>
          <w:pgSz w:w="11900" w:h="16838" w:orient="portrait"/>
          <w:cols w:equalWidth="0" w:num="1">
            <w:col w:w="11240"/>
          </w:cols>
          <w:pgMar w:left="320" w:top="451" w:right="339" w:bottom="1440" w:gutter="0" w:footer="0" w:header="0"/>
        </w:sectPr>
      </w:pPr>
    </w:p>
    <w:p>
      <w:pPr>
        <w:spacing w:after="0" w:line="208" w:lineRule="exact"/>
        <w:rPr>
          <w:sz w:val="20"/>
          <w:szCs w:val="20"/>
          <w:color w:val="auto"/>
        </w:rPr>
      </w:pPr>
    </w:p>
    <w:p>
      <w:pPr>
        <w:ind w:right="1000"/>
        <w:spacing w:after="0" w:line="278" w:lineRule="auto"/>
        <w:rPr>
          <w:sz w:val="20"/>
          <w:szCs w:val="20"/>
          <w:color w:val="auto"/>
        </w:rPr>
      </w:pPr>
      <w:r>
        <w:rPr>
          <w:rFonts w:ascii="Times New Roman" w:cs="Times New Roman" w:eastAsia="Times New Roman" w:hAnsi="Times New Roman"/>
          <w:sz w:val="18"/>
          <w:szCs w:val="18"/>
          <w:color w:val="auto"/>
        </w:rPr>
        <w:t>The aforementioned was partially attenuated by a drop in provisions expenses in the following segments: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Structural Cost of Risk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26035</wp:posOffset>
            </wp:positionV>
            <wp:extent cx="3489325" cy="16922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89325" cy="1692275"/>
                    </a:xfrm>
                    <a:prstGeom prst="rect">
                      <a:avLst/>
                    </a:prstGeom>
                    <a:noFill/>
                  </pic:spPr>
                </pic:pic>
              </a:graphicData>
            </a:graphic>
          </wp:anchor>
        </w:drawing>
      </w:r>
    </w:p>
    <w:p>
      <w:pPr>
        <w:spacing w:after="0" w:line="477" w:lineRule="exact"/>
        <w:rPr>
          <w:sz w:val="20"/>
          <w:szCs w:val="20"/>
          <w:color w:val="auto"/>
        </w:rPr>
      </w:pPr>
    </w:p>
    <w:p>
      <w:pPr>
        <w:sectPr>
          <w:pgSz w:w="11900" w:h="16838" w:orient="portrait"/>
          <w:cols w:equalWidth="0" w:num="2">
            <w:col w:w="6380" w:space="720"/>
            <w:col w:w="4140"/>
          </w:cols>
          <w:pgMar w:left="320" w:top="451" w:right="339" w:bottom="1440" w:gutter="0" w:footer="0" w:header="0"/>
          <w:type w:val="continuous"/>
        </w:sectPr>
      </w:pPr>
    </w:p>
    <w:p>
      <w:pPr>
        <w:ind w:left="240" w:right="5860" w:hanging="233"/>
        <w:spacing w:after="0" w:line="243" w:lineRule="auto"/>
        <w:tabs>
          <w:tab w:leader="none" w:pos="24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Individuals – Mortgage, </w:t>
      </w:r>
      <w:r>
        <w:rPr>
          <w:rFonts w:ascii="Arial" w:cs="Arial" w:eastAsia="Arial" w:hAnsi="Arial"/>
          <w:sz w:val="18"/>
          <w:szCs w:val="18"/>
          <w:color w:val="auto"/>
        </w:rPr>
        <w:t>due to methodological improvements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risk models.</w:t>
      </w:r>
    </w:p>
    <w:p>
      <w:pPr>
        <w:jc w:val="both"/>
        <w:ind w:left="320" w:right="5860" w:hanging="246"/>
        <w:spacing w:after="0" w:line="239" w:lineRule="auto"/>
        <w:tabs>
          <w:tab w:leader="none" w:pos="320" w:val="left"/>
        </w:tabs>
        <w:numPr>
          <w:ilvl w:val="1"/>
          <w:numId w:val="28"/>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driven by a methodological adjustments that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repeated next quarter. This resulted in a particularly low level of provisions.</w:t>
      </w:r>
    </w:p>
    <w:p>
      <w:pPr>
        <w:spacing w:after="0" w:line="204" w:lineRule="exact"/>
        <w:rPr>
          <w:sz w:val="20"/>
          <w:szCs w:val="20"/>
          <w:color w:val="auto"/>
        </w:rPr>
      </w:pPr>
    </w:p>
    <w:p>
      <w:pPr>
        <w:jc w:val="both"/>
        <w:ind w:right="5840"/>
        <w:spacing w:after="0" w:line="265" w:lineRule="auto"/>
        <w:rPr>
          <w:sz w:val="20"/>
          <w:szCs w:val="20"/>
          <w:color w:val="auto"/>
        </w:rPr>
      </w:pPr>
      <w:r>
        <w:rPr>
          <w:rFonts w:ascii="Times New Roman" w:cs="Times New Roman" w:eastAsia="Times New Roman" w:hAnsi="Times New Roman"/>
          <w:sz w:val="18"/>
          <w:szCs w:val="18"/>
          <w:b w:val="1"/>
          <w:bCs w:val="1"/>
          <w:color w:val="auto"/>
        </w:rPr>
        <w:t>YoY</w:t>
      </w:r>
      <w:r>
        <w:rPr>
          <w:rFonts w:ascii="Times New Roman" w:cs="Times New Roman" w:eastAsia="Times New Roman" w:hAnsi="Times New Roman"/>
          <w:sz w:val="18"/>
          <w:szCs w:val="18"/>
          <w:color w:val="auto"/>
        </w:rPr>
        <w:t>, the provisions expense for structural loans increased considerably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the </w:t>
      </w:r>
      <w:r>
        <w:rPr>
          <w:rFonts w:ascii="Times New Roman" w:cs="Times New Roman" w:eastAsia="Times New Roman" w:hAnsi="Times New Roman"/>
          <w:sz w:val="18"/>
          <w:szCs w:val="18"/>
          <w:b w:val="1"/>
          <w:bCs w:val="1"/>
          <w:color w:val="auto"/>
        </w:rPr>
        <w:t>structural CofR</w:t>
      </w:r>
      <w:r>
        <w:rPr>
          <w:rFonts w:ascii="Times New Roman" w:cs="Times New Roman" w:eastAsia="Times New Roman" w:hAnsi="Times New Roman"/>
          <w:sz w:val="18"/>
          <w:szCs w:val="18"/>
          <w:color w:val="auto"/>
        </w:rPr>
        <w:t xml:space="preserve"> rose 90bps. Growth in the provisions expenses was driven by:</w:t>
      </w:r>
    </w:p>
    <w:p>
      <w:pPr>
        <w:spacing w:after="0" w:line="200" w:lineRule="exact"/>
        <w:rPr>
          <w:sz w:val="20"/>
          <w:szCs w:val="20"/>
          <w:color w:val="auto"/>
        </w:rPr>
      </w:pPr>
    </w:p>
    <w:p>
      <w:pPr>
        <w:spacing w:after="0" w:line="319"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18"/>
          <w:szCs w:val="18"/>
          <w:color w:val="auto"/>
        </w:rPr>
        <w:t xml:space="preserve">A base effect given that in 3Q21, extraordinarily low provisions were recognized in the </w:t>
      </w:r>
      <w:r>
        <w:rPr>
          <w:rFonts w:ascii="Times New Roman" w:cs="Times New Roman" w:eastAsia="Times New Roman" w:hAnsi="Times New Roman"/>
          <w:sz w:val="18"/>
          <w:szCs w:val="18"/>
          <w:b w:val="1"/>
          <w:bCs w:val="1"/>
          <w:color w:val="auto"/>
        </w:rPr>
        <w:t>Consumer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SME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Wholesale</w:t>
      </w:r>
      <w:r>
        <w:rPr>
          <w:rFonts w:ascii="Times New Roman" w:cs="Times New Roman" w:eastAsia="Times New Roman" w:hAnsi="Times New Roman"/>
          <w:sz w:val="18"/>
          <w:szCs w:val="18"/>
          <w:color w:val="auto"/>
        </w:rPr>
        <w:t xml:space="preserve"> segments to reflect the fact that uncertainty was dissipating.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in provisions was partially offset by a decrease in expenses at:</w:t>
      </w:r>
    </w:p>
    <w:p>
      <w:pPr>
        <w:spacing w:after="0" w:line="154"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Mibanco</w:t>
      </w:r>
      <w:r>
        <w:rPr>
          <w:rFonts w:ascii="Arial" w:cs="Arial" w:eastAsia="Arial" w:hAnsi="Arial"/>
          <w:sz w:val="18"/>
          <w:szCs w:val="18"/>
          <w:color w:val="auto"/>
        </w:rPr>
        <w:t>, due to the aforementioned QoQ dynamic and to the post-covid environment.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YTD</w:t>
      </w:r>
      <w:r>
        <w:rPr>
          <w:rFonts w:ascii="Times New Roman" w:cs="Times New Roman" w:eastAsia="Times New Roman" w:hAnsi="Times New Roman"/>
          <w:sz w:val="18"/>
          <w:szCs w:val="18"/>
          <w:color w:val="auto"/>
        </w:rPr>
        <w:t>, the provision expense remained relatively stable.</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type w:val="continuous"/>
        </w:sectPr>
      </w:pPr>
    </w:p>
    <w:bookmarkStart w:id="31" w:name="page32"/>
    <w:bookmarkEnd w:id="31"/>
    <w:tbl>
      <w:tblPr>
        <w:tblLayout w:type="fixed"/>
        <w:tblInd w:w="10" w:type="dxa"/>
        <w:tblCellMar>
          <w:top w:w="0" w:type="dxa"/>
          <w:left w:w="0" w:type="dxa"/>
          <w:bottom w:w="0" w:type="dxa"/>
          <w:right w:w="0" w:type="dxa"/>
        </w:tblCellMar>
      </w:tblPr>
      <w:tr>
        <w:trPr>
          <w:trHeight w:val="201"/>
        </w:trPr>
        <w:tc>
          <w:tcPr>
            <w:tcW w:w="2820" w:type="dxa"/>
            <w:vAlign w:val="bottom"/>
            <w:tcBorders>
              <w:left w:val="single" w:sz="8" w:color="auto"/>
              <w:right w:val="single" w:sz="8" w:color="auto"/>
            </w:tcBorders>
            <w:shd w:val="clear" w:color="auto" w:fill="000000"/>
          </w:tcPr>
          <w:p>
            <w:pPr>
              <w:spacing w:after="0"/>
              <w:rPr>
                <w:sz w:val="17"/>
                <w:szCs w:val="17"/>
                <w:color w:val="auto"/>
              </w:rPr>
            </w:pPr>
          </w:p>
        </w:tc>
        <w:tc>
          <w:tcPr>
            <w:tcW w:w="2920" w:type="dxa"/>
            <w:vAlign w:val="bottom"/>
            <w:gridSpan w:val="3"/>
            <w:vMerge w:val="restart"/>
            <w:shd w:val="clear" w:color="auto" w:fill="000000"/>
          </w:tcPr>
          <w:p>
            <w:pPr>
              <w:ind w:left="160"/>
              <w:spacing w:after="0"/>
              <w:rPr>
                <w:sz w:val="20"/>
                <w:szCs w:val="20"/>
                <w:color w:val="auto"/>
              </w:rPr>
            </w:pPr>
            <w:r>
              <w:rPr>
                <w:rFonts w:ascii="Arial" w:cs="Arial" w:eastAsia="Arial" w:hAnsi="Arial"/>
                <w:sz w:val="18"/>
                <w:szCs w:val="18"/>
                <w:color w:val="A5A5A5"/>
              </w:rPr>
              <w:t>Earnings Release 3Q / 2022</w:t>
            </w:r>
          </w:p>
        </w:tc>
        <w:tc>
          <w:tcPr>
            <w:tcW w:w="900" w:type="dxa"/>
            <w:vAlign w:val="bottom"/>
            <w:tcBorders>
              <w:right w:val="single" w:sz="8" w:color="auto"/>
            </w:tcBorders>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3880" w:type="dxa"/>
            <w:vAlign w:val="bottom"/>
            <w:tcBorders>
              <w:right w:val="single" w:sz="8" w:color="auto"/>
            </w:tcBorders>
            <w:gridSpan w:val="4"/>
            <w:vMerge w:val="restart"/>
            <w:shd w:val="clear" w:color="auto" w:fill="000000"/>
          </w:tcPr>
          <w:p>
            <w:pPr>
              <w:ind w:left="240"/>
              <w:spacing w:after="0"/>
              <w:rPr>
                <w:sz w:val="20"/>
                <w:szCs w:val="20"/>
                <w:color w:val="auto"/>
              </w:rPr>
            </w:pPr>
            <w:r>
              <w:rPr>
                <w:rFonts w:ascii="Arial" w:cs="Arial" w:eastAsia="Arial" w:hAnsi="Arial"/>
                <w:sz w:val="20"/>
                <w:szCs w:val="20"/>
                <w:b w:val="1"/>
                <w:bCs w:val="1"/>
                <w:color w:val="E93CAC"/>
                <w:w w:val="96"/>
              </w:rPr>
              <w:t>Analysis of 3Q22 Consolidated Results</w:t>
            </w:r>
          </w:p>
        </w:tc>
        <w:tc>
          <w:tcPr>
            <w:tcW w:w="0" w:type="dxa"/>
            <w:vAlign w:val="bottom"/>
          </w:tcPr>
          <w:p>
            <w:pPr>
              <w:spacing w:after="0"/>
              <w:rPr>
                <w:sz w:val="1"/>
                <w:szCs w:val="1"/>
                <w:color w:val="auto"/>
              </w:rPr>
            </w:pPr>
          </w:p>
        </w:tc>
      </w:tr>
      <w:tr>
        <w:trPr>
          <w:trHeight w:val="380"/>
        </w:trPr>
        <w:tc>
          <w:tcPr>
            <w:tcW w:w="2820" w:type="dxa"/>
            <w:vAlign w:val="bottom"/>
            <w:tcBorders>
              <w:left w:val="single" w:sz="8" w:color="auto"/>
              <w:right w:val="single" w:sz="8" w:color="A5A5A5"/>
            </w:tcBorders>
            <w:shd w:val="clear" w:color="auto" w:fill="000000"/>
          </w:tcPr>
          <w:p>
            <w:pPr>
              <w:spacing w:after="0"/>
              <w:rPr>
                <w:sz w:val="24"/>
                <w:szCs w:val="24"/>
                <w:color w:val="auto"/>
              </w:rPr>
            </w:pPr>
          </w:p>
        </w:tc>
        <w:tc>
          <w:tcPr>
            <w:tcW w:w="2920" w:type="dxa"/>
            <w:vAlign w:val="bottom"/>
            <w:gridSpan w:val="3"/>
            <w:vMerge w:val="continue"/>
            <w:shd w:val="clear" w:color="auto" w:fill="000000"/>
          </w:tcPr>
          <w:p>
            <w:pPr>
              <w:spacing w:after="0"/>
              <w:rPr>
                <w:sz w:val="24"/>
                <w:szCs w:val="24"/>
                <w:color w:val="auto"/>
              </w:rPr>
            </w:pPr>
          </w:p>
        </w:tc>
        <w:tc>
          <w:tcPr>
            <w:tcW w:w="900" w:type="dxa"/>
            <w:vAlign w:val="bottom"/>
            <w:tcBorders>
              <w:right w:val="single" w:sz="8" w:color="auto"/>
            </w:tcBorders>
            <w:shd w:val="clear" w:color="auto" w:fill="000000"/>
          </w:tcPr>
          <w:p>
            <w:pPr>
              <w:spacing w:after="0"/>
              <w:rPr>
                <w:sz w:val="24"/>
                <w:szCs w:val="24"/>
                <w:color w:val="auto"/>
              </w:rPr>
            </w:pPr>
          </w:p>
        </w:tc>
        <w:tc>
          <w:tcPr>
            <w:tcW w:w="720" w:type="dxa"/>
            <w:vAlign w:val="bottom"/>
            <w:shd w:val="clear" w:color="auto" w:fill="000000"/>
          </w:tcPr>
          <w:p>
            <w:pPr>
              <w:spacing w:after="0"/>
              <w:rPr>
                <w:sz w:val="24"/>
                <w:szCs w:val="24"/>
                <w:color w:val="auto"/>
              </w:rPr>
            </w:pPr>
          </w:p>
        </w:tc>
        <w:tc>
          <w:tcPr>
            <w:tcW w:w="3880" w:type="dxa"/>
            <w:vAlign w:val="bottom"/>
            <w:tcBorders>
              <w:right w:val="single" w:sz="8" w:color="auto"/>
            </w:tcBorders>
            <w:gridSpan w:val="4"/>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left w:val="single" w:sz="8" w:color="auto"/>
              <w:right w:val="single" w:sz="8" w:color="A5A5A5"/>
            </w:tcBorders>
            <w:shd w:val="clear" w:color="auto" w:fill="000000"/>
          </w:tcPr>
          <w:p>
            <w:pPr>
              <w:spacing w:after="0"/>
              <w:rPr>
                <w:sz w:val="10"/>
                <w:szCs w:val="10"/>
                <w:color w:val="auto"/>
              </w:rPr>
            </w:pPr>
          </w:p>
        </w:tc>
        <w:tc>
          <w:tcPr>
            <w:tcW w:w="1120" w:type="dxa"/>
            <w:vAlign w:val="bottom"/>
            <w:tcBorders>
              <w:right w:val="single" w:sz="8" w:color="auto"/>
            </w:tcBorders>
            <w:shd w:val="clear" w:color="auto" w:fill="000000"/>
          </w:tcPr>
          <w:p>
            <w:pPr>
              <w:spacing w:after="0"/>
              <w:rPr>
                <w:sz w:val="10"/>
                <w:szCs w:val="10"/>
                <w:color w:val="auto"/>
              </w:rPr>
            </w:pPr>
          </w:p>
        </w:tc>
        <w:tc>
          <w:tcPr>
            <w:tcW w:w="860" w:type="dxa"/>
            <w:vAlign w:val="bottom"/>
            <w:shd w:val="clear" w:color="auto" w:fill="000000"/>
          </w:tcPr>
          <w:p>
            <w:pPr>
              <w:spacing w:after="0"/>
              <w:rPr>
                <w:sz w:val="10"/>
                <w:szCs w:val="10"/>
                <w:color w:val="auto"/>
              </w:rPr>
            </w:pPr>
          </w:p>
        </w:tc>
        <w:tc>
          <w:tcPr>
            <w:tcW w:w="940" w:type="dxa"/>
            <w:vAlign w:val="bottom"/>
            <w:shd w:val="clear" w:color="auto" w:fill="000000"/>
          </w:tcPr>
          <w:p>
            <w:pPr>
              <w:spacing w:after="0"/>
              <w:rPr>
                <w:sz w:val="10"/>
                <w:szCs w:val="10"/>
                <w:color w:val="auto"/>
              </w:rPr>
            </w:pPr>
          </w:p>
        </w:tc>
        <w:tc>
          <w:tcPr>
            <w:tcW w:w="900" w:type="dxa"/>
            <w:vAlign w:val="bottom"/>
            <w:tcBorders>
              <w:right w:val="single" w:sz="8" w:color="auto"/>
            </w:tcBorders>
            <w:shd w:val="clear" w:color="auto" w:fill="000000"/>
          </w:tcPr>
          <w:p>
            <w:pPr>
              <w:spacing w:after="0"/>
              <w:rPr>
                <w:sz w:val="10"/>
                <w:szCs w:val="10"/>
                <w:color w:val="auto"/>
              </w:rPr>
            </w:pPr>
          </w:p>
        </w:tc>
        <w:tc>
          <w:tcPr>
            <w:tcW w:w="720" w:type="dxa"/>
            <w:vAlign w:val="bottom"/>
            <w:shd w:val="clear" w:color="auto" w:fill="000000"/>
          </w:tcPr>
          <w:p>
            <w:pPr>
              <w:spacing w:after="0"/>
              <w:rPr>
                <w:sz w:val="10"/>
                <w:szCs w:val="10"/>
                <w:color w:val="auto"/>
              </w:rPr>
            </w:pPr>
          </w:p>
        </w:tc>
        <w:tc>
          <w:tcPr>
            <w:tcW w:w="780" w:type="dxa"/>
            <w:vAlign w:val="bottom"/>
            <w:tcBorders>
              <w:right w:val="single" w:sz="8" w:color="auto"/>
            </w:tcBorders>
            <w:shd w:val="clear" w:color="auto" w:fill="000000"/>
          </w:tcPr>
          <w:p>
            <w:pPr>
              <w:spacing w:after="0"/>
              <w:rPr>
                <w:sz w:val="10"/>
                <w:szCs w:val="10"/>
                <w:color w:val="auto"/>
              </w:rPr>
            </w:pPr>
          </w:p>
        </w:tc>
        <w:tc>
          <w:tcPr>
            <w:tcW w:w="920" w:type="dxa"/>
            <w:vAlign w:val="bottom"/>
            <w:shd w:val="clear" w:color="auto" w:fill="000000"/>
          </w:tcPr>
          <w:p>
            <w:pPr>
              <w:spacing w:after="0"/>
              <w:rPr>
                <w:sz w:val="10"/>
                <w:szCs w:val="10"/>
                <w:color w:val="auto"/>
              </w:rPr>
            </w:pPr>
          </w:p>
        </w:tc>
        <w:tc>
          <w:tcPr>
            <w:tcW w:w="840" w:type="dxa"/>
            <w:vAlign w:val="bottom"/>
            <w:tcBorders>
              <w:right w:val="single" w:sz="8" w:color="auto"/>
            </w:tcBorders>
            <w:shd w:val="clear" w:color="auto" w:fill="000000"/>
          </w:tcPr>
          <w:p>
            <w:pPr>
              <w:spacing w:after="0"/>
              <w:rPr>
                <w:sz w:val="10"/>
                <w:szCs w:val="10"/>
                <w:color w:val="auto"/>
              </w:rPr>
            </w:pPr>
          </w:p>
        </w:tc>
        <w:tc>
          <w:tcPr>
            <w:tcW w:w="1340" w:type="dxa"/>
            <w:vAlign w:val="bottom"/>
            <w:tcBorders>
              <w:right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820" w:type="dxa"/>
            <w:vAlign w:val="bottom"/>
            <w:tcBorders>
              <w:left w:val="single" w:sz="8" w:color="auto"/>
              <w:right w:val="single" w:sz="8" w:color="auto"/>
            </w:tcBorders>
            <w:shd w:val="clear" w:color="auto" w:fill="000000"/>
          </w:tcPr>
          <w:p>
            <w:pPr>
              <w:spacing w:after="0"/>
              <w:rPr>
                <w:sz w:val="17"/>
                <w:szCs w:val="17"/>
                <w:color w:val="auto"/>
              </w:rPr>
            </w:pPr>
          </w:p>
        </w:tc>
        <w:tc>
          <w:tcPr>
            <w:tcW w:w="1120" w:type="dxa"/>
            <w:vAlign w:val="bottom"/>
            <w:tcBorders>
              <w:right w:val="single" w:sz="8" w:color="auto"/>
            </w:tcBorders>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940" w:type="dxa"/>
            <w:vAlign w:val="bottom"/>
            <w:shd w:val="clear" w:color="auto" w:fill="000000"/>
          </w:tcPr>
          <w:p>
            <w:pPr>
              <w:spacing w:after="0"/>
              <w:rPr>
                <w:sz w:val="17"/>
                <w:szCs w:val="17"/>
                <w:color w:val="auto"/>
              </w:rPr>
            </w:pPr>
          </w:p>
        </w:tc>
        <w:tc>
          <w:tcPr>
            <w:tcW w:w="900" w:type="dxa"/>
            <w:vAlign w:val="bottom"/>
            <w:tcBorders>
              <w:right w:val="single" w:sz="8" w:color="auto"/>
            </w:tcBorders>
            <w:shd w:val="clear" w:color="auto" w:fill="000000"/>
          </w:tcPr>
          <w:p>
            <w:pPr>
              <w:spacing w:after="0"/>
              <w:rPr>
                <w:sz w:val="17"/>
                <w:szCs w:val="17"/>
                <w:color w:val="auto"/>
              </w:rPr>
            </w:pPr>
          </w:p>
        </w:tc>
        <w:tc>
          <w:tcPr>
            <w:tcW w:w="720" w:type="dxa"/>
            <w:vAlign w:val="bottom"/>
            <w:shd w:val="clear" w:color="auto" w:fill="000000"/>
          </w:tcPr>
          <w:p>
            <w:pPr>
              <w:spacing w:after="0"/>
              <w:rPr>
                <w:sz w:val="17"/>
                <w:szCs w:val="17"/>
                <w:color w:val="auto"/>
              </w:rPr>
            </w:pPr>
          </w:p>
        </w:tc>
        <w:tc>
          <w:tcPr>
            <w:tcW w:w="780" w:type="dxa"/>
            <w:vAlign w:val="bottom"/>
            <w:tcBorders>
              <w:right w:val="single" w:sz="8" w:color="auto"/>
            </w:tcBorders>
            <w:shd w:val="clear" w:color="auto" w:fill="000000"/>
          </w:tcPr>
          <w:p>
            <w:pPr>
              <w:spacing w:after="0"/>
              <w:rPr>
                <w:sz w:val="17"/>
                <w:szCs w:val="17"/>
                <w:color w:val="auto"/>
              </w:rPr>
            </w:pPr>
          </w:p>
        </w:tc>
        <w:tc>
          <w:tcPr>
            <w:tcW w:w="920" w:type="dxa"/>
            <w:vAlign w:val="bottom"/>
            <w:shd w:val="clear" w:color="auto" w:fill="000000"/>
          </w:tcPr>
          <w:p>
            <w:pPr>
              <w:spacing w:after="0"/>
              <w:rPr>
                <w:sz w:val="17"/>
                <w:szCs w:val="17"/>
                <w:color w:val="auto"/>
              </w:rPr>
            </w:pPr>
          </w:p>
        </w:tc>
        <w:tc>
          <w:tcPr>
            <w:tcW w:w="840" w:type="dxa"/>
            <w:vAlign w:val="bottom"/>
            <w:tcBorders>
              <w:right w:val="single" w:sz="8" w:color="auto"/>
            </w:tcBorders>
            <w:shd w:val="clear" w:color="auto" w:fill="000000"/>
          </w:tcPr>
          <w:p>
            <w:pPr>
              <w:spacing w:after="0"/>
              <w:rPr>
                <w:sz w:val="17"/>
                <w:szCs w:val="17"/>
                <w:color w:val="auto"/>
              </w:rPr>
            </w:pPr>
          </w:p>
        </w:tc>
        <w:tc>
          <w:tcPr>
            <w:tcW w:w="1340" w:type="dxa"/>
            <w:vAlign w:val="bottom"/>
            <w:tcBorders>
              <w:right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9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940" w:type="dxa"/>
            <w:vAlign w:val="bottom"/>
            <w:tcBorders>
              <w:left w:val="single" w:sz="8" w:color="E93CAC"/>
              <w:right w:val="single" w:sz="8" w:color="E93CAC"/>
            </w:tcBorders>
            <w:gridSpan w:val="2"/>
            <w:shd w:val="clear" w:color="auto" w:fill="E93CAC"/>
          </w:tcPr>
          <w:p>
            <w:pPr>
              <w:spacing w:after="0" w:line="214" w:lineRule="exact"/>
              <w:rPr>
                <w:sz w:val="20"/>
                <w:szCs w:val="20"/>
                <w:color w:val="auto"/>
              </w:rPr>
            </w:pPr>
            <w:r>
              <w:rPr>
                <w:rFonts w:ascii="Arial" w:cs="Arial" w:eastAsia="Arial" w:hAnsi="Arial"/>
                <w:sz w:val="20"/>
                <w:szCs w:val="20"/>
                <w:b w:val="1"/>
                <w:bCs w:val="1"/>
                <w:color w:val="FFFFFF"/>
              </w:rPr>
              <w:t>05 Provisions</w:t>
            </w:r>
          </w:p>
        </w:tc>
        <w:tc>
          <w:tcPr>
            <w:tcW w:w="860" w:type="dxa"/>
            <w:vAlign w:val="bottom"/>
            <w:shd w:val="clear" w:color="auto" w:fill="E93CAC"/>
          </w:tcPr>
          <w:p>
            <w:pPr>
              <w:spacing w:after="0"/>
              <w:rPr>
                <w:sz w:val="18"/>
                <w:szCs w:val="18"/>
                <w:color w:val="auto"/>
              </w:rPr>
            </w:pPr>
          </w:p>
        </w:tc>
        <w:tc>
          <w:tcPr>
            <w:tcW w:w="940" w:type="dxa"/>
            <w:vAlign w:val="bottom"/>
            <w:shd w:val="clear" w:color="auto" w:fill="E93CAC"/>
          </w:tcPr>
          <w:p>
            <w:pPr>
              <w:spacing w:after="0"/>
              <w:rPr>
                <w:sz w:val="18"/>
                <w:szCs w:val="18"/>
                <w:color w:val="auto"/>
              </w:rPr>
            </w:pPr>
          </w:p>
        </w:tc>
        <w:tc>
          <w:tcPr>
            <w:tcW w:w="900" w:type="dxa"/>
            <w:vAlign w:val="bottom"/>
            <w:tcBorders>
              <w:right w:val="single" w:sz="8" w:color="E93CAC"/>
            </w:tcBorders>
            <w:shd w:val="clear" w:color="auto" w:fill="E93CAC"/>
          </w:tcPr>
          <w:p>
            <w:pPr>
              <w:spacing w:after="0"/>
              <w:rPr>
                <w:sz w:val="18"/>
                <w:szCs w:val="18"/>
                <w:color w:val="auto"/>
              </w:rPr>
            </w:pPr>
          </w:p>
        </w:tc>
        <w:tc>
          <w:tcPr>
            <w:tcW w:w="720" w:type="dxa"/>
            <w:vAlign w:val="bottom"/>
            <w:shd w:val="clear" w:color="auto" w:fill="E93CAC"/>
          </w:tcPr>
          <w:p>
            <w:pPr>
              <w:spacing w:after="0"/>
              <w:rPr>
                <w:sz w:val="18"/>
                <w:szCs w:val="18"/>
                <w:color w:val="auto"/>
              </w:rPr>
            </w:pPr>
          </w:p>
        </w:tc>
        <w:tc>
          <w:tcPr>
            <w:tcW w:w="780" w:type="dxa"/>
            <w:vAlign w:val="bottom"/>
            <w:tcBorders>
              <w:right w:val="single" w:sz="8" w:color="E93CAC"/>
            </w:tcBorders>
            <w:shd w:val="clear" w:color="auto" w:fill="E93CAC"/>
          </w:tcPr>
          <w:p>
            <w:pPr>
              <w:spacing w:after="0"/>
              <w:rPr>
                <w:sz w:val="18"/>
                <w:szCs w:val="18"/>
                <w:color w:val="auto"/>
              </w:rPr>
            </w:pPr>
          </w:p>
        </w:tc>
        <w:tc>
          <w:tcPr>
            <w:tcW w:w="920" w:type="dxa"/>
            <w:vAlign w:val="bottom"/>
            <w:shd w:val="clear" w:color="auto" w:fill="E93CAC"/>
          </w:tcPr>
          <w:p>
            <w:pPr>
              <w:spacing w:after="0"/>
              <w:rPr>
                <w:sz w:val="18"/>
                <w:szCs w:val="18"/>
                <w:color w:val="auto"/>
              </w:rPr>
            </w:pPr>
          </w:p>
        </w:tc>
        <w:tc>
          <w:tcPr>
            <w:tcW w:w="840" w:type="dxa"/>
            <w:vAlign w:val="bottom"/>
            <w:tcBorders>
              <w:right w:val="single" w:sz="8" w:color="E93CAC"/>
            </w:tcBorders>
            <w:shd w:val="clear" w:color="auto" w:fill="E93CAC"/>
          </w:tcPr>
          <w:p>
            <w:pPr>
              <w:spacing w:after="0"/>
              <w:rPr>
                <w:sz w:val="18"/>
                <w:szCs w:val="18"/>
                <w:color w:val="auto"/>
              </w:rPr>
            </w:pPr>
          </w:p>
        </w:tc>
        <w:tc>
          <w:tcPr>
            <w:tcW w:w="1340" w:type="dxa"/>
            <w:vAlign w:val="bottom"/>
            <w:tcBorders>
              <w:right w:val="single" w:sz="8" w:color="E93CAC"/>
            </w:tcBorders>
            <w:shd w:val="clear" w:color="auto" w:fill="E93CAC"/>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48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Provisions and CoR in the Government Loan Portfolio (PG)</w:t>
            </w:r>
          </w:p>
        </w:tc>
        <w:tc>
          <w:tcPr>
            <w:tcW w:w="9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Borders>
              <w:left w:val="single" w:sz="8" w:color="auto"/>
              <w:right w:val="single" w:sz="8" w:color="auto"/>
            </w:tcBorders>
            <w:gridSpan w:val="2"/>
            <w:shd w:val="clear" w:color="auto" w:fill="2AD2C9"/>
          </w:tcPr>
          <w:p>
            <w:pPr>
              <w:ind w:left="40"/>
              <w:spacing w:after="0" w:line="182" w:lineRule="exact"/>
              <w:rPr>
                <w:sz w:val="20"/>
                <w:szCs w:val="20"/>
                <w:color w:val="auto"/>
              </w:rPr>
            </w:pPr>
            <w:r>
              <w:rPr>
                <w:rFonts w:ascii="Arial" w:cs="Arial" w:eastAsia="Arial" w:hAnsi="Arial"/>
                <w:sz w:val="18"/>
                <w:szCs w:val="18"/>
                <w:b w:val="1"/>
                <w:bCs w:val="1"/>
                <w:color w:val="FFFFFF"/>
              </w:rPr>
              <w:t>GP Loan Portfolio Provisions</w:t>
            </w:r>
          </w:p>
        </w:tc>
        <w:tc>
          <w:tcPr>
            <w:tcW w:w="860" w:type="dxa"/>
            <w:vAlign w:val="bottom"/>
            <w:shd w:val="clear" w:color="auto" w:fill="2AD2C9"/>
          </w:tcPr>
          <w:p>
            <w:pPr>
              <w:spacing w:after="0"/>
              <w:rPr>
                <w:sz w:val="15"/>
                <w:szCs w:val="15"/>
                <w:color w:val="auto"/>
              </w:rPr>
            </w:pPr>
          </w:p>
        </w:tc>
        <w:tc>
          <w:tcPr>
            <w:tcW w:w="940" w:type="dxa"/>
            <w:vAlign w:val="bottom"/>
            <w:shd w:val="clear" w:color="auto" w:fill="2AD2C9"/>
          </w:tcPr>
          <w:p>
            <w:pPr>
              <w:ind w:left="160"/>
              <w:spacing w:after="0" w:line="182" w:lineRule="exact"/>
              <w:rPr>
                <w:sz w:val="20"/>
                <w:szCs w:val="20"/>
                <w:color w:val="auto"/>
              </w:rPr>
            </w:pPr>
            <w:r>
              <w:rPr>
                <w:rFonts w:ascii="Arial" w:cs="Arial" w:eastAsia="Arial" w:hAnsi="Arial"/>
                <w:sz w:val="18"/>
                <w:szCs w:val="18"/>
                <w:b w:val="1"/>
                <w:bCs w:val="1"/>
                <w:color w:val="FFFFFF"/>
              </w:rPr>
              <w:t>Quarter</w:t>
            </w:r>
          </w:p>
        </w:tc>
        <w:tc>
          <w:tcPr>
            <w:tcW w:w="900" w:type="dxa"/>
            <w:vAlign w:val="bottom"/>
            <w:tcBorders>
              <w:right w:val="single" w:sz="8" w:color="auto"/>
            </w:tcBorders>
            <w:shd w:val="clear" w:color="auto" w:fill="2AD2C9"/>
          </w:tcPr>
          <w:p>
            <w:pPr>
              <w:spacing w:after="0"/>
              <w:rPr>
                <w:sz w:val="15"/>
                <w:szCs w:val="15"/>
                <w:color w:val="auto"/>
              </w:rPr>
            </w:pPr>
          </w:p>
        </w:tc>
        <w:tc>
          <w:tcPr>
            <w:tcW w:w="1500" w:type="dxa"/>
            <w:vAlign w:val="bottom"/>
            <w:tcBorders>
              <w:right w:val="single" w:sz="8" w:color="auto"/>
            </w:tcBorders>
            <w:gridSpan w:val="2"/>
            <w:shd w:val="clear" w:color="auto" w:fill="2AD2C9"/>
          </w:tcPr>
          <w:p>
            <w:pPr>
              <w:jc w:val="center"/>
              <w:spacing w:after="0" w:line="182" w:lineRule="exact"/>
              <w:rPr>
                <w:sz w:val="20"/>
                <w:szCs w:val="20"/>
                <w:color w:val="auto"/>
              </w:rPr>
            </w:pPr>
            <w:r>
              <w:rPr>
                <w:rFonts w:ascii="Arial" w:cs="Arial" w:eastAsia="Arial" w:hAnsi="Arial"/>
                <w:sz w:val="18"/>
                <w:szCs w:val="18"/>
                <w:b w:val="1"/>
                <w:bCs w:val="1"/>
                <w:color w:val="FFFFFF"/>
                <w:w w:val="99"/>
              </w:rPr>
              <w:t>% change</w:t>
            </w:r>
          </w:p>
        </w:tc>
        <w:tc>
          <w:tcPr>
            <w:tcW w:w="1760" w:type="dxa"/>
            <w:vAlign w:val="bottom"/>
            <w:tcBorders>
              <w:right w:val="single" w:sz="8" w:color="auto"/>
            </w:tcBorders>
            <w:gridSpan w:val="2"/>
            <w:shd w:val="clear" w:color="auto" w:fill="2AD2C9"/>
          </w:tcPr>
          <w:p>
            <w:pPr>
              <w:ind w:left="640"/>
              <w:spacing w:after="0" w:line="182" w:lineRule="exact"/>
              <w:rPr>
                <w:sz w:val="20"/>
                <w:szCs w:val="20"/>
                <w:color w:val="auto"/>
              </w:rPr>
            </w:pPr>
            <w:r>
              <w:rPr>
                <w:rFonts w:ascii="Arial" w:cs="Arial" w:eastAsia="Arial" w:hAnsi="Arial"/>
                <w:sz w:val="18"/>
                <w:szCs w:val="18"/>
                <w:b w:val="1"/>
                <w:bCs w:val="1"/>
                <w:color w:val="FFFFFF"/>
              </w:rPr>
              <w:t>As of</w:t>
            </w:r>
          </w:p>
        </w:tc>
        <w:tc>
          <w:tcPr>
            <w:tcW w:w="1340" w:type="dxa"/>
            <w:vAlign w:val="bottom"/>
            <w:tcBorders>
              <w:right w:val="single" w:sz="8" w:color="auto"/>
            </w:tcBorders>
            <w:shd w:val="clear" w:color="auto" w:fill="2AD2C9"/>
          </w:tcPr>
          <w:p>
            <w:pPr>
              <w:jc w:val="center"/>
              <w:spacing w:after="0" w:line="182" w:lineRule="exact"/>
              <w:rPr>
                <w:sz w:val="20"/>
                <w:szCs w:val="20"/>
                <w:color w:val="auto"/>
              </w:rPr>
            </w:pPr>
            <w:r>
              <w:rPr>
                <w:rFonts w:ascii="Arial" w:cs="Arial" w:eastAsia="Arial" w:hAnsi="Arial"/>
                <w:sz w:val="18"/>
                <w:szCs w:val="18"/>
                <w:b w:val="1"/>
                <w:bCs w:val="1"/>
                <w:color w:val="FFFFFF"/>
                <w:w w:val="99"/>
              </w:rPr>
              <w:t>% change</w:t>
            </w:r>
          </w:p>
        </w:tc>
        <w:tc>
          <w:tcPr>
            <w:tcW w:w="0" w:type="dxa"/>
            <w:vAlign w:val="bottom"/>
          </w:tcPr>
          <w:p>
            <w:pPr>
              <w:spacing w:after="0"/>
              <w:rPr>
                <w:sz w:val="1"/>
                <w:szCs w:val="1"/>
                <w:color w:val="auto"/>
              </w:rPr>
            </w:pPr>
          </w:p>
        </w:tc>
      </w:tr>
      <w:tr>
        <w:trPr>
          <w:trHeight w:val="226"/>
        </w:trPr>
        <w:tc>
          <w:tcPr>
            <w:tcW w:w="3940" w:type="dxa"/>
            <w:vAlign w:val="bottom"/>
            <w:tcBorders>
              <w:left w:val="single" w:sz="8" w:color="auto"/>
              <w:bottom w:val="single" w:sz="8" w:color="auto"/>
              <w:right w:val="single" w:sz="8" w:color="auto"/>
            </w:tcBorders>
            <w:gridSpan w:val="2"/>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2Q22</w:t>
            </w:r>
          </w:p>
        </w:tc>
        <w:tc>
          <w:tcPr>
            <w:tcW w:w="9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3Q22</w:t>
            </w:r>
          </w:p>
        </w:tc>
        <w:tc>
          <w:tcPr>
            <w:tcW w:w="7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QoQ</w:t>
            </w:r>
          </w:p>
        </w:tc>
        <w:tc>
          <w:tcPr>
            <w:tcW w:w="780" w:type="dxa"/>
            <w:vAlign w:val="bottom"/>
            <w:tcBorders>
              <w:bottom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18"/>
                <w:szCs w:val="18"/>
                <w:b w:val="1"/>
                <w:bCs w:val="1"/>
                <w:color w:val="FFFFFF"/>
              </w:rPr>
              <w:t>YoY</w:t>
            </w:r>
          </w:p>
        </w:tc>
        <w:tc>
          <w:tcPr>
            <w:tcW w:w="92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8"/>
                <w:szCs w:val="18"/>
                <w:b w:val="1"/>
                <w:bCs w:val="1"/>
                <w:color w:val="FFFFFF"/>
              </w:rPr>
              <w:t>Sep 21</w:t>
            </w:r>
          </w:p>
        </w:tc>
        <w:tc>
          <w:tcPr>
            <w:tcW w:w="840" w:type="dxa"/>
            <w:vAlign w:val="bottom"/>
            <w:tcBorders>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18"/>
                <w:szCs w:val="18"/>
                <w:b w:val="1"/>
                <w:bCs w:val="1"/>
                <w:color w:val="FFFFFF"/>
              </w:rPr>
              <w:t>Sep 22</w:t>
            </w:r>
          </w:p>
        </w:tc>
        <w:tc>
          <w:tcPr>
            <w:tcW w:w="13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c>
          <w:tcPr>
            <w:tcW w:w="0" w:type="dxa"/>
            <w:vAlign w:val="bottom"/>
          </w:tcPr>
          <w:p>
            <w:pPr>
              <w:spacing w:after="0"/>
              <w:rPr>
                <w:sz w:val="1"/>
                <w:szCs w:val="1"/>
                <w:color w:val="auto"/>
              </w:rPr>
            </w:pPr>
          </w:p>
        </w:tc>
      </w:tr>
      <w:tr>
        <w:trPr>
          <w:trHeight w:val="182"/>
        </w:trPr>
        <w:tc>
          <w:tcPr>
            <w:tcW w:w="3940" w:type="dxa"/>
            <w:vAlign w:val="bottom"/>
            <w:tcBorders>
              <w:left w:val="single" w:sz="8" w:color="auto"/>
              <w:right w:val="single" w:sz="8" w:color="auto"/>
            </w:tcBorders>
            <w:gridSpan w:val="2"/>
          </w:tcPr>
          <w:p>
            <w:pPr>
              <w:ind w:left="40"/>
              <w:spacing w:after="0" w:line="182" w:lineRule="exact"/>
              <w:rPr>
                <w:sz w:val="20"/>
                <w:szCs w:val="20"/>
                <w:color w:val="auto"/>
              </w:rPr>
            </w:pPr>
            <w:r>
              <w:rPr>
                <w:rFonts w:ascii="Arial" w:cs="Arial" w:eastAsia="Arial" w:hAnsi="Arial"/>
                <w:sz w:val="18"/>
                <w:szCs w:val="18"/>
                <w:color w:val="auto"/>
                <w:w w:val="99"/>
              </w:rPr>
              <w:t>Gross provision for credit losses on loan portfolio</w:t>
            </w:r>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97"/>
              </w:rPr>
              <w:t>3,492</w:t>
            </w: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w w:val="97"/>
              </w:rPr>
              <w:t>6,569</w:t>
            </w:r>
          </w:p>
        </w:tc>
        <w:tc>
          <w:tcPr>
            <w:tcW w:w="9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39,592</w:t>
            </w:r>
          </w:p>
        </w:tc>
        <w:tc>
          <w:tcPr>
            <w:tcW w:w="720" w:type="dxa"/>
            <w:vAlign w:val="bottom"/>
          </w:tcPr>
          <w:p>
            <w:pPr>
              <w:jc w:val="center"/>
              <w:spacing w:after="0" w:line="182" w:lineRule="exact"/>
              <w:rPr>
                <w:sz w:val="20"/>
                <w:szCs w:val="20"/>
                <w:color w:val="auto"/>
              </w:rPr>
            </w:pPr>
            <w:r>
              <w:rPr>
                <w:rFonts w:ascii="Arial" w:cs="Arial" w:eastAsia="Arial" w:hAnsi="Arial"/>
                <w:sz w:val="18"/>
                <w:szCs w:val="18"/>
                <w:color w:val="auto"/>
                <w:w w:val="95"/>
              </w:rPr>
              <w:t>n.a</w:t>
            </w:r>
          </w:p>
        </w:tc>
        <w:tc>
          <w:tcPr>
            <w:tcW w:w="780" w:type="dxa"/>
            <w:vAlign w:val="bottom"/>
            <w:tcBorders>
              <w:right w:val="single" w:sz="8" w:color="auto"/>
            </w:tcBorders>
          </w:tcPr>
          <w:p>
            <w:pPr>
              <w:jc w:val="right"/>
              <w:ind w:right="49"/>
              <w:spacing w:after="0" w:line="182" w:lineRule="exact"/>
              <w:rPr>
                <w:sz w:val="20"/>
                <w:szCs w:val="20"/>
                <w:color w:val="auto"/>
              </w:rPr>
            </w:pPr>
            <w:r>
              <w:rPr>
                <w:rFonts w:ascii="Arial" w:cs="Arial" w:eastAsia="Arial" w:hAnsi="Arial"/>
                <w:sz w:val="18"/>
                <w:szCs w:val="18"/>
                <w:color w:val="auto"/>
              </w:rPr>
              <w:t>88.1%</w:t>
            </w:r>
          </w:p>
        </w:tc>
        <w:tc>
          <w:tcPr>
            <w:tcW w:w="9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(10,480)</w:t>
            </w:r>
          </w:p>
        </w:tc>
        <w:tc>
          <w:tcPr>
            <w:tcW w:w="840" w:type="dxa"/>
            <w:vAlign w:val="bottom"/>
            <w:tcBorders>
              <w:right w:val="single" w:sz="8" w:color="auto"/>
            </w:tcBorders>
          </w:tcPr>
          <w:p>
            <w:pPr>
              <w:jc w:val="right"/>
              <w:ind w:right="131"/>
              <w:spacing w:after="0" w:line="182" w:lineRule="exact"/>
              <w:rPr>
                <w:sz w:val="20"/>
                <w:szCs w:val="20"/>
                <w:color w:val="auto"/>
              </w:rPr>
            </w:pPr>
            <w:r>
              <w:rPr>
                <w:rFonts w:ascii="Arial" w:cs="Arial" w:eastAsia="Arial" w:hAnsi="Arial"/>
                <w:sz w:val="18"/>
                <w:szCs w:val="18"/>
                <w:color w:val="auto"/>
              </w:rPr>
              <w:t>2,697</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01"/>
        </w:trPr>
        <w:tc>
          <w:tcPr>
            <w:tcW w:w="394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color w:val="auto"/>
              </w:rPr>
              <w:t>Recoveries of written-off loans</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900" w:type="dxa"/>
            <w:vAlign w:val="bottom"/>
            <w:tcBorders>
              <w:right w:val="single" w:sz="8" w:color="auto"/>
            </w:tcBorders>
          </w:tcPr>
          <w:p>
            <w:pPr>
              <w:jc w:val="right"/>
              <w:ind w:right="331"/>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Borders>
              <w:right w:val="single" w:sz="8" w:color="auto"/>
            </w:tcBorders>
          </w:tcPr>
          <w:p>
            <w:pPr>
              <w:jc w:val="right"/>
              <w:ind w:right="269"/>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31"/>
              <w:spacing w:after="0" w:line="201" w:lineRule="exact"/>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tcPr>
          <w:p>
            <w:pPr>
              <w:jc w:val="right"/>
              <w:ind w:right="311"/>
              <w:spacing w:after="0" w:line="201" w:lineRule="exact"/>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1"/>
        </w:trPr>
        <w:tc>
          <w:tcPr>
            <w:tcW w:w="3940" w:type="dxa"/>
            <w:vAlign w:val="bottom"/>
            <w:tcBorders>
              <w:left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8"/>
                <w:szCs w:val="18"/>
                <w:b w:val="1"/>
                <w:bCs w:val="1"/>
                <w:color w:val="auto"/>
              </w:rPr>
              <w:t>Provision for credit losses on loan portfolio,</w:t>
            </w:r>
          </w:p>
        </w:tc>
        <w:tc>
          <w:tcPr>
            <w:tcW w:w="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3,492</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6,569</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39,592</w:t>
            </w:r>
          </w:p>
        </w:tc>
        <w:tc>
          <w:tcPr>
            <w:tcW w:w="7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w:t>
            </w:r>
          </w:p>
        </w:tc>
        <w:tc>
          <w:tcPr>
            <w:tcW w:w="7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n.a</w:t>
            </w:r>
          </w:p>
        </w:tc>
        <w:tc>
          <w:tcPr>
            <w:tcW w:w="92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(10,481)</w:t>
            </w:r>
          </w:p>
        </w:tc>
        <w:tc>
          <w:tcPr>
            <w:tcW w:w="840" w:type="dxa"/>
            <w:vAlign w:val="bottom"/>
            <w:tcBorders>
              <w:right w:val="single" w:sz="8" w:color="auto"/>
            </w:tcBorders>
            <w:vMerge w:val="restart"/>
          </w:tcPr>
          <w:p>
            <w:pPr>
              <w:jc w:val="right"/>
              <w:ind w:right="111"/>
              <w:spacing w:after="0"/>
              <w:rPr>
                <w:sz w:val="20"/>
                <w:szCs w:val="20"/>
                <w:color w:val="auto"/>
              </w:rPr>
            </w:pPr>
            <w:r>
              <w:rPr>
                <w:rFonts w:ascii="Arial" w:cs="Arial" w:eastAsia="Arial" w:hAnsi="Arial"/>
                <w:sz w:val="18"/>
                <w:szCs w:val="18"/>
                <w:b w:val="1"/>
                <w:bCs w:val="1"/>
                <w:color w:val="auto"/>
              </w:rPr>
              <w:t>2,697</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-125.7%</w:t>
            </w:r>
          </w:p>
        </w:tc>
        <w:tc>
          <w:tcPr>
            <w:tcW w:w="0" w:type="dxa"/>
            <w:vAlign w:val="bottom"/>
          </w:tcPr>
          <w:p>
            <w:pPr>
              <w:spacing w:after="0"/>
              <w:rPr>
                <w:sz w:val="1"/>
                <w:szCs w:val="1"/>
                <w:color w:val="auto"/>
              </w:rPr>
            </w:pPr>
          </w:p>
        </w:tc>
      </w:tr>
      <w:tr>
        <w:trPr>
          <w:trHeight w:val="138"/>
        </w:trPr>
        <w:tc>
          <w:tcPr>
            <w:tcW w:w="394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8"/>
                <w:szCs w:val="18"/>
                <w:b w:val="1"/>
                <w:bCs w:val="1"/>
                <w:color w:val="auto"/>
              </w:rPr>
              <w:t>net of recoveries</w:t>
            </w:r>
          </w:p>
        </w:tc>
        <w:tc>
          <w:tcPr>
            <w:tcW w:w="8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940" w:type="dxa"/>
            <w:vAlign w:val="bottom"/>
            <w:tcBorders>
              <w:left w:val="single" w:sz="8" w:color="auto"/>
              <w:bottom w:val="single" w:sz="8" w:color="auto"/>
              <w:right w:val="single" w:sz="8" w:color="auto"/>
            </w:tcBorders>
            <w:gridSpan w:val="2"/>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84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940" w:type="dxa"/>
            <w:vAlign w:val="bottom"/>
            <w:tcBorders>
              <w:left w:val="single" w:sz="8" w:color="auto"/>
              <w:bottom w:val="single" w:sz="8" w:color="auto"/>
              <w:right w:val="single" w:sz="8" w:color="auto"/>
            </w:tcBorders>
            <w:gridSpan w:val="2"/>
          </w:tcPr>
          <w:p>
            <w:pPr>
              <w:ind w:left="40"/>
              <w:spacing w:after="0" w:line="201" w:lineRule="exact"/>
              <w:rPr>
                <w:sz w:val="20"/>
                <w:szCs w:val="20"/>
                <w:color w:val="auto"/>
              </w:rPr>
            </w:pPr>
            <w:r>
              <w:rPr>
                <w:rFonts w:ascii="Arial" w:cs="Arial" w:eastAsia="Arial" w:hAnsi="Arial"/>
                <w:sz w:val="15"/>
                <w:szCs w:val="15"/>
                <w:color w:val="auto"/>
              </w:rPr>
              <w:t xml:space="preserve">GP Cost of risk </w:t>
            </w:r>
            <w:r>
              <w:rPr>
                <w:rFonts w:ascii="Arial" w:cs="Arial" w:eastAsia="Arial" w:hAnsi="Arial"/>
                <w:sz w:val="23"/>
                <w:szCs w:val="23"/>
                <w:color w:val="auto"/>
                <w:vertAlign w:val="superscript"/>
              </w:rPr>
              <w:t>(1)</w:t>
            </w:r>
          </w:p>
        </w:tc>
        <w:tc>
          <w:tcPr>
            <w:tcW w:w="8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-0.07%</w:t>
            </w:r>
          </w:p>
        </w:tc>
        <w:tc>
          <w:tcPr>
            <w:tcW w:w="9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-0.18%</w:t>
            </w:r>
          </w:p>
        </w:tc>
        <w:tc>
          <w:tcPr>
            <w:tcW w:w="90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-1.29%</w:t>
            </w:r>
          </w:p>
        </w:tc>
        <w:tc>
          <w:tcPr>
            <w:tcW w:w="1500" w:type="dxa"/>
            <w:vAlign w:val="bottom"/>
            <w:tcBorders>
              <w:bottom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7"/>
              </w:rPr>
              <w:t>-111 bps -122 bps</w:t>
            </w:r>
          </w:p>
        </w:tc>
        <w:tc>
          <w:tcPr>
            <w:tcW w:w="920" w:type="dxa"/>
            <w:vAlign w:val="bottom"/>
            <w:tcBorders>
              <w:bottom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rPr>
              <w:t>0.07%</w:t>
            </w:r>
          </w:p>
        </w:tc>
        <w:tc>
          <w:tcPr>
            <w:tcW w:w="840" w:type="dxa"/>
            <w:vAlign w:val="bottom"/>
            <w:tcBorders>
              <w:bottom w:val="single" w:sz="8" w:color="auto"/>
              <w:right w:val="single" w:sz="8" w:color="auto"/>
            </w:tcBorders>
          </w:tcPr>
          <w:p>
            <w:pPr>
              <w:jc w:val="right"/>
              <w:ind w:right="71"/>
              <w:spacing w:after="0" w:line="201" w:lineRule="exact"/>
              <w:rPr>
                <w:sz w:val="20"/>
                <w:szCs w:val="20"/>
                <w:color w:val="auto"/>
              </w:rPr>
            </w:pPr>
            <w:r>
              <w:rPr>
                <w:rFonts w:ascii="Arial" w:cs="Arial" w:eastAsia="Arial" w:hAnsi="Arial"/>
                <w:sz w:val="18"/>
                <w:szCs w:val="18"/>
                <w:color w:val="auto"/>
              </w:rPr>
              <w:t>-0.03%</w:t>
            </w:r>
          </w:p>
        </w:tc>
        <w:tc>
          <w:tcPr>
            <w:tcW w:w="13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-10 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259715</wp:posOffset>
            </wp:positionH>
            <wp:positionV relativeFrom="paragraph">
              <wp:posOffset>-1929130</wp:posOffset>
            </wp:positionV>
            <wp:extent cx="1266825" cy="3143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66825" cy="31432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GP Cost of risk includes the Provisions for credit losses on loan portfolio, net of recoveries and Total Loans from the Reactiva Peru and FAE Government Programs.</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GP provisions fell significantly QoQ due to an uptick in honoring of State guarantees. YoY, the drop reflects growth in amortizations and positive results through honoring processes.</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provisions balance for GP loans represents 7% of Credicorp’s total provisions balance. The relatively small balance reflects the fact that GP loans are backed by guarantees that cover between 80-98% of the disbursement amount. For more information, see 1.2 Portfolio Quality– NPL portfolio for GP Loans.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and CoR of Total Portfolio</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940" w:type="dxa"/>
            <w:vAlign w:val="bottom"/>
            <w:tcBorders>
              <w:top w:val="single" w:sz="8" w:color="auto"/>
              <w:left w:val="single" w:sz="8" w:color="auto"/>
              <w:right w:val="single" w:sz="8" w:color="auto"/>
            </w:tcBorders>
            <w:shd w:val="clear" w:color="auto" w:fill="2AD2C9"/>
          </w:tcPr>
          <w:p>
            <w:pPr>
              <w:ind w:left="40"/>
              <w:spacing w:after="0" w:line="189" w:lineRule="exact"/>
              <w:rPr>
                <w:sz w:val="20"/>
                <w:szCs w:val="20"/>
                <w:color w:val="auto"/>
              </w:rPr>
            </w:pPr>
            <w:r>
              <w:rPr>
                <w:rFonts w:ascii="Arial" w:cs="Arial" w:eastAsia="Arial" w:hAnsi="Arial"/>
                <w:sz w:val="18"/>
                <w:szCs w:val="18"/>
                <w:b w:val="1"/>
                <w:bCs w:val="1"/>
                <w:color w:val="FFFFFF"/>
              </w:rPr>
              <w:t>Loan Portfolio Provisions</w:t>
            </w:r>
          </w:p>
        </w:tc>
        <w:tc>
          <w:tcPr>
            <w:tcW w:w="860" w:type="dxa"/>
            <w:vAlign w:val="bottom"/>
            <w:tcBorders>
              <w:top w:val="single" w:sz="8" w:color="auto"/>
            </w:tcBorders>
            <w:shd w:val="clear" w:color="auto" w:fill="2AD2C9"/>
          </w:tcPr>
          <w:p>
            <w:pPr>
              <w:spacing w:after="0"/>
              <w:rPr>
                <w:sz w:val="16"/>
                <w:szCs w:val="16"/>
                <w:color w:val="auto"/>
              </w:rPr>
            </w:pPr>
          </w:p>
        </w:tc>
        <w:tc>
          <w:tcPr>
            <w:tcW w:w="900" w:type="dxa"/>
            <w:vAlign w:val="bottom"/>
            <w:tcBorders>
              <w:top w:val="single" w:sz="8" w:color="auto"/>
            </w:tcBorders>
            <w:shd w:val="clear" w:color="auto" w:fill="2AD2C9"/>
          </w:tcPr>
          <w:p>
            <w:pPr>
              <w:ind w:left="160"/>
              <w:spacing w:after="0" w:line="189" w:lineRule="exact"/>
              <w:rPr>
                <w:sz w:val="20"/>
                <w:szCs w:val="20"/>
                <w:color w:val="auto"/>
              </w:rPr>
            </w:pPr>
            <w:r>
              <w:rPr>
                <w:rFonts w:ascii="Arial" w:cs="Arial" w:eastAsia="Arial" w:hAnsi="Arial"/>
                <w:sz w:val="18"/>
                <w:szCs w:val="18"/>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16"/>
                <w:szCs w:val="16"/>
                <w:color w:val="auto"/>
              </w:rPr>
            </w:pPr>
          </w:p>
        </w:tc>
        <w:tc>
          <w:tcPr>
            <w:tcW w:w="1260" w:type="dxa"/>
            <w:vAlign w:val="bottom"/>
            <w:tcBorders>
              <w:top w:val="single" w:sz="8" w:color="auto"/>
              <w:right w:val="single" w:sz="8" w:color="auto"/>
            </w:tcBorders>
            <w:gridSpan w:val="2"/>
            <w:shd w:val="clear" w:color="auto" w:fill="2AD2C9"/>
          </w:tcPr>
          <w:p>
            <w:pPr>
              <w:jc w:val="center"/>
              <w:spacing w:after="0" w:line="189" w:lineRule="exact"/>
              <w:rPr>
                <w:sz w:val="20"/>
                <w:szCs w:val="20"/>
                <w:color w:val="auto"/>
              </w:rPr>
            </w:pPr>
            <w:r>
              <w:rPr>
                <w:rFonts w:ascii="Arial" w:cs="Arial" w:eastAsia="Arial" w:hAnsi="Arial"/>
                <w:sz w:val="18"/>
                <w:szCs w:val="18"/>
                <w:b w:val="1"/>
                <w:bCs w:val="1"/>
                <w:color w:val="FFFFFF"/>
                <w:w w:val="99"/>
              </w:rPr>
              <w:t>% change</w:t>
            </w:r>
          </w:p>
        </w:tc>
        <w:tc>
          <w:tcPr>
            <w:tcW w:w="2000" w:type="dxa"/>
            <w:vAlign w:val="bottom"/>
            <w:tcBorders>
              <w:top w:val="single" w:sz="8" w:color="auto"/>
              <w:right w:val="single" w:sz="8" w:color="auto"/>
            </w:tcBorders>
            <w:gridSpan w:val="2"/>
            <w:shd w:val="clear" w:color="auto" w:fill="2AD2C9"/>
          </w:tcPr>
          <w:p>
            <w:pPr>
              <w:jc w:val="center"/>
              <w:spacing w:after="0" w:line="189" w:lineRule="exact"/>
              <w:rPr>
                <w:sz w:val="20"/>
                <w:szCs w:val="20"/>
                <w:color w:val="auto"/>
              </w:rPr>
            </w:pPr>
            <w:r>
              <w:rPr>
                <w:rFonts w:ascii="Arial" w:cs="Arial" w:eastAsia="Arial" w:hAnsi="Arial"/>
                <w:sz w:val="18"/>
                <w:szCs w:val="18"/>
                <w:b w:val="1"/>
                <w:bCs w:val="1"/>
                <w:color w:val="FFFFFF"/>
              </w:rPr>
              <w:t>As of</w:t>
            </w:r>
          </w:p>
        </w:tc>
        <w:tc>
          <w:tcPr>
            <w:tcW w:w="1340" w:type="dxa"/>
            <w:vAlign w:val="bottom"/>
            <w:tcBorders>
              <w:top w:val="single" w:sz="8" w:color="auto"/>
              <w:right w:val="single" w:sz="8" w:color="auto"/>
            </w:tcBorders>
            <w:shd w:val="clear" w:color="auto" w:fill="2AD2C9"/>
          </w:tcPr>
          <w:p>
            <w:pPr>
              <w:jc w:val="center"/>
              <w:spacing w:after="0" w:line="189" w:lineRule="exact"/>
              <w:rPr>
                <w:sz w:val="20"/>
                <w:szCs w:val="20"/>
                <w:color w:val="auto"/>
              </w:rPr>
            </w:pPr>
            <w:r>
              <w:rPr>
                <w:rFonts w:ascii="Arial" w:cs="Arial" w:eastAsia="Arial" w:hAnsi="Arial"/>
                <w:sz w:val="18"/>
                <w:szCs w:val="18"/>
                <w:b w:val="1"/>
                <w:bCs w:val="1"/>
                <w:color w:val="FFFFFF"/>
                <w:w w:val="99"/>
              </w:rPr>
              <w:t>% change</w:t>
            </w:r>
          </w:p>
        </w:tc>
      </w:tr>
      <w:tr>
        <w:trPr>
          <w:trHeight w:val="226"/>
        </w:trPr>
        <w:tc>
          <w:tcPr>
            <w:tcW w:w="394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5"/>
              </w:rPr>
              <w:t>2Q22</w:t>
            </w:r>
          </w:p>
        </w:tc>
        <w:tc>
          <w:tcPr>
            <w:tcW w:w="9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3Q22</w:t>
            </w:r>
          </w:p>
        </w:tc>
        <w:tc>
          <w:tcPr>
            <w:tcW w:w="58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18"/>
                <w:szCs w:val="18"/>
                <w:b w:val="1"/>
                <w:bCs w:val="1"/>
                <w:color w:val="FFFFFF"/>
              </w:rPr>
              <w:t>QoQ</w:t>
            </w:r>
          </w:p>
        </w:tc>
        <w:tc>
          <w:tcPr>
            <w:tcW w:w="6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1"/>
              </w:rPr>
              <w:t>YoY</w:t>
            </w:r>
          </w:p>
        </w:tc>
        <w:tc>
          <w:tcPr>
            <w:tcW w:w="100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18"/>
                <w:szCs w:val="18"/>
                <w:b w:val="1"/>
                <w:bCs w:val="1"/>
                <w:color w:val="FFFFFF"/>
              </w:rPr>
              <w:t>Sep 21</w:t>
            </w:r>
          </w:p>
        </w:tc>
        <w:tc>
          <w:tcPr>
            <w:tcW w:w="100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8"/>
                <w:szCs w:val="18"/>
                <w:b w:val="1"/>
                <w:bCs w:val="1"/>
                <w:color w:val="FFFFFF"/>
              </w:rPr>
              <w:t>Sep 22</w:t>
            </w:r>
          </w:p>
        </w:tc>
        <w:tc>
          <w:tcPr>
            <w:tcW w:w="13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r>
      <w:tr>
        <w:trPr>
          <w:trHeight w:val="182"/>
        </w:trPr>
        <w:tc>
          <w:tcPr>
            <w:tcW w:w="39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w w:val="99"/>
              </w:rPr>
              <w:t>Gross provision for credit losses on loan portfolio</w:t>
            </w:r>
          </w:p>
        </w:tc>
        <w:tc>
          <w:tcPr>
            <w:tcW w:w="860" w:type="dxa"/>
            <w:vAlign w:val="bottom"/>
          </w:tcPr>
          <w:p>
            <w:pPr>
              <w:jc w:val="center"/>
              <w:spacing w:after="0" w:line="182" w:lineRule="exact"/>
              <w:rPr>
                <w:sz w:val="20"/>
                <w:szCs w:val="20"/>
                <w:color w:val="auto"/>
              </w:rPr>
            </w:pPr>
            <w:r>
              <w:rPr>
                <w:rFonts w:ascii="Arial" w:cs="Arial" w:eastAsia="Arial" w:hAnsi="Arial"/>
                <w:sz w:val="18"/>
                <w:szCs w:val="18"/>
                <w:color w:val="auto"/>
                <w:w w:val="98"/>
              </w:rPr>
              <w:t>(265,158)</w:t>
            </w: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rPr>
              <w:t>(447,036)</w:t>
            </w:r>
          </w:p>
        </w:tc>
        <w:tc>
          <w:tcPr>
            <w:tcW w:w="9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(545,249)</w:t>
            </w:r>
          </w:p>
        </w:tc>
        <w:tc>
          <w:tcPr>
            <w:tcW w:w="1260" w:type="dxa"/>
            <w:vAlign w:val="bottom"/>
            <w:tcBorders>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9"/>
              </w:rPr>
              <w:t>22.0% 105.6%</w:t>
            </w:r>
          </w:p>
        </w:tc>
        <w:tc>
          <w:tcPr>
            <w:tcW w:w="2000" w:type="dxa"/>
            <w:vAlign w:val="bottom"/>
            <w:tcBorders>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rPr>
              <w:t>(1,329,147) (1,342,966)</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1.0%</w:t>
            </w:r>
          </w:p>
        </w:tc>
      </w:tr>
      <w:tr>
        <w:trPr>
          <w:trHeight w:val="201"/>
        </w:trPr>
        <w:tc>
          <w:tcPr>
            <w:tcW w:w="39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Recoveries of written-off loans</w:t>
            </w:r>
          </w:p>
        </w:tc>
        <w:tc>
          <w:tcPr>
            <w:tcW w:w="860" w:type="dxa"/>
            <w:vAlign w:val="bottom"/>
          </w:tcPr>
          <w:p>
            <w:pPr>
              <w:jc w:val="center"/>
              <w:spacing w:after="0" w:line="201" w:lineRule="exact"/>
              <w:rPr>
                <w:sz w:val="20"/>
                <w:szCs w:val="20"/>
                <w:color w:val="auto"/>
              </w:rPr>
            </w:pPr>
            <w:r>
              <w:rPr>
                <w:rFonts w:ascii="Arial" w:cs="Arial" w:eastAsia="Arial" w:hAnsi="Arial"/>
                <w:sz w:val="18"/>
                <w:szCs w:val="18"/>
                <w:color w:val="auto"/>
                <w:w w:val="98"/>
              </w:rPr>
              <w:t>100,744</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8"/>
              </w:rPr>
              <w:t>83,745</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85,273</w:t>
            </w:r>
          </w:p>
        </w:tc>
        <w:tc>
          <w:tcPr>
            <w:tcW w:w="580" w:type="dxa"/>
            <w:vAlign w:val="bottom"/>
          </w:tcPr>
          <w:p>
            <w:pPr>
              <w:ind w:left="100"/>
              <w:spacing w:after="0" w:line="201" w:lineRule="exact"/>
              <w:rPr>
                <w:sz w:val="20"/>
                <w:szCs w:val="20"/>
                <w:color w:val="auto"/>
              </w:rPr>
            </w:pPr>
            <w:r>
              <w:rPr>
                <w:rFonts w:ascii="Arial" w:cs="Arial" w:eastAsia="Arial" w:hAnsi="Arial"/>
                <w:sz w:val="18"/>
                <w:szCs w:val="18"/>
                <w:color w:val="auto"/>
              </w:rPr>
              <w:t>1.8%</w:t>
            </w:r>
          </w:p>
        </w:tc>
        <w:tc>
          <w:tcPr>
            <w:tcW w:w="6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-15.4%</w:t>
            </w:r>
          </w:p>
        </w:tc>
        <w:tc>
          <w:tcPr>
            <w:tcW w:w="1000" w:type="dxa"/>
            <w:vAlign w:val="bottom"/>
          </w:tcPr>
          <w:p>
            <w:pPr>
              <w:jc w:val="right"/>
              <w:ind w:right="91"/>
              <w:spacing w:after="0" w:line="201" w:lineRule="exact"/>
              <w:rPr>
                <w:sz w:val="20"/>
                <w:szCs w:val="20"/>
                <w:color w:val="auto"/>
              </w:rPr>
            </w:pPr>
            <w:r>
              <w:rPr>
                <w:rFonts w:ascii="Arial" w:cs="Arial" w:eastAsia="Arial" w:hAnsi="Arial"/>
                <w:sz w:val="18"/>
                <w:szCs w:val="18"/>
                <w:color w:val="auto"/>
              </w:rPr>
              <w:t>243,706</w:t>
            </w:r>
          </w:p>
        </w:tc>
        <w:tc>
          <w:tcPr>
            <w:tcW w:w="1000" w:type="dxa"/>
            <w:vAlign w:val="bottom"/>
            <w:tcBorders>
              <w:right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262,109</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7.6%</w:t>
            </w:r>
          </w:p>
        </w:tc>
      </w:tr>
      <w:tr>
        <w:trPr>
          <w:trHeight w:val="273"/>
        </w:trPr>
        <w:tc>
          <w:tcPr>
            <w:tcW w:w="3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Provision for credit losses on loan portfolio,</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8"/>
              </w:rPr>
              <w:t>(164,414)</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rPr>
              <w:t>(363,291)</w:t>
            </w: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(459,976)</w:t>
            </w:r>
          </w:p>
        </w:tc>
        <w:tc>
          <w:tcPr>
            <w:tcW w:w="12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26.6% 179.8%</w:t>
            </w:r>
          </w:p>
        </w:tc>
        <w:tc>
          <w:tcPr>
            <w:tcW w:w="20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(1,085,440) (1,080,857)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-0.4%</w:t>
            </w:r>
          </w:p>
        </w:tc>
      </w:tr>
      <w:tr>
        <w:trPr>
          <w:trHeight w:val="154"/>
        </w:trPr>
        <w:tc>
          <w:tcPr>
            <w:tcW w:w="3940" w:type="dxa"/>
            <w:vAlign w:val="bottom"/>
            <w:tcBorders>
              <w:left w:val="single" w:sz="8" w:color="auto"/>
              <w:bottom w:val="single" w:sz="8" w:color="auto"/>
              <w:right w:val="single" w:sz="8" w:color="auto"/>
            </w:tcBorders>
          </w:tcPr>
          <w:p>
            <w:pPr>
              <w:ind w:left="160"/>
              <w:spacing w:after="0" w:line="147" w:lineRule="exact"/>
              <w:rPr>
                <w:sz w:val="20"/>
                <w:szCs w:val="20"/>
                <w:color w:val="auto"/>
              </w:rPr>
            </w:pPr>
            <w:r>
              <w:rPr>
                <w:rFonts w:ascii="Arial" w:cs="Arial" w:eastAsia="Arial" w:hAnsi="Arial"/>
                <w:sz w:val="17"/>
                <w:szCs w:val="17"/>
                <w:b w:val="1"/>
                <w:bCs w:val="1"/>
                <w:color w:val="auto"/>
              </w:rPr>
              <w:t>net of recoveries</w:t>
            </w:r>
          </w:p>
        </w:tc>
        <w:tc>
          <w:tcPr>
            <w:tcW w:w="8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r>
      <w:tr>
        <w:trPr>
          <w:trHeight w:val="208"/>
        </w:trPr>
        <w:tc>
          <w:tcPr>
            <w:tcW w:w="394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5"/>
                <w:szCs w:val="15"/>
                <w:color w:val="auto"/>
              </w:rPr>
              <w:t xml:space="preserve">Cost of risk </w:t>
            </w:r>
            <w:r>
              <w:rPr>
                <w:rFonts w:ascii="Arial" w:cs="Arial" w:eastAsia="Arial" w:hAnsi="Arial"/>
                <w:sz w:val="23"/>
                <w:szCs w:val="23"/>
                <w:color w:val="auto"/>
                <w:vertAlign w:val="superscript"/>
              </w:rPr>
              <w:t>(1)</w:t>
            </w:r>
          </w:p>
        </w:tc>
        <w:tc>
          <w:tcPr>
            <w:tcW w:w="8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0.45%</w:t>
            </w: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0.97%</w:t>
            </w:r>
          </w:p>
        </w:tc>
        <w:tc>
          <w:tcPr>
            <w:tcW w:w="9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1.22%</w:t>
            </w:r>
          </w:p>
        </w:tc>
        <w:tc>
          <w:tcPr>
            <w:tcW w:w="1260" w:type="dxa"/>
            <w:vAlign w:val="bottom"/>
            <w:tcBorders>
              <w:bottom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25 bps 77 bps</w:t>
            </w:r>
          </w:p>
        </w:tc>
        <w:tc>
          <w:tcPr>
            <w:tcW w:w="100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color w:val="auto"/>
              </w:rPr>
              <w:t>0.99%</w:t>
            </w:r>
          </w:p>
        </w:tc>
        <w:tc>
          <w:tcPr>
            <w:tcW w:w="1000" w:type="dxa"/>
            <w:vAlign w:val="bottom"/>
            <w:tcBorders>
              <w:bottom w:val="single" w:sz="8" w:color="auto"/>
              <w:right w:val="single" w:sz="8" w:color="auto"/>
            </w:tcBorders>
          </w:tcPr>
          <w:p>
            <w:pPr>
              <w:jc w:val="right"/>
              <w:ind w:right="171"/>
              <w:spacing w:after="0" w:line="201" w:lineRule="exact"/>
              <w:rPr>
                <w:sz w:val="20"/>
                <w:szCs w:val="20"/>
                <w:color w:val="auto"/>
              </w:rPr>
            </w:pPr>
            <w:r>
              <w:rPr>
                <w:rFonts w:ascii="Arial" w:cs="Arial" w:eastAsia="Arial" w:hAnsi="Arial"/>
                <w:sz w:val="18"/>
                <w:szCs w:val="18"/>
                <w:color w:val="auto"/>
              </w:rPr>
              <w:t>0.95%</w:t>
            </w:r>
          </w:p>
        </w:tc>
        <w:tc>
          <w:tcPr>
            <w:tcW w:w="13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-4 bps</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Annualized Provision for credit losses on loan portfolio, net of recoveries / Total Loans.</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analysis of structural and GP loans shows that the CoR for the total portfolio rose 26bps QoQ and dropped -5bps YoY. The impact of GP loans, which stood at 11bps, was attributable to a denominator effect, in line with amortizations of GP loans.</w:t>
      </w:r>
    </w:p>
    <w:p>
      <w:pPr>
        <w:spacing w:after="0" w:line="186" w:lineRule="exact"/>
        <w:rPr>
          <w:sz w:val="20"/>
          <w:szCs w:val="20"/>
          <w:color w:val="auto"/>
        </w:rPr>
      </w:pPr>
    </w:p>
    <w:p>
      <w:pPr>
        <w:ind w:left="142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QoQ Evolution of the Cost of Risk</w:t>
      </w:r>
      <w:r>
        <w:rPr>
          <w:sz w:val="20"/>
          <w:szCs w:val="20"/>
          <w:color w:val="auto"/>
        </w:rPr>
        <w:tab/>
      </w:r>
      <w:r>
        <w:rPr>
          <w:rFonts w:ascii="Times New Roman" w:cs="Times New Roman" w:eastAsia="Times New Roman" w:hAnsi="Times New Roman"/>
          <w:sz w:val="17"/>
          <w:szCs w:val="17"/>
          <w:b w:val="1"/>
          <w:bCs w:val="1"/>
          <w:color w:val="auto"/>
        </w:rPr>
        <w:t>YoY Evolution of the Cost of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19050</wp:posOffset>
            </wp:positionV>
            <wp:extent cx="6784975" cy="1411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84975" cy="141160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(1) Others include BCP Bolivia, Mibanco Colombia, ASB Bank Corp and eliminations.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Others include BCP Bolivia, Mibanco Colombia, ASB Bank Corp and eliminations.</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40005</wp:posOffset>
            </wp:positionV>
            <wp:extent cx="713359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2">
            <w:col w:w="5120" w:space="720"/>
            <w:col w:w="5400"/>
          </w:cols>
          <w:pgMar w:left="320" w:top="140" w:right="339" w:bottom="1440" w:gutter="0" w:footer="0" w:header="0"/>
          <w:type w:val="continuous"/>
        </w:sectPr>
      </w:pPr>
    </w:p>
    <w:bookmarkStart w:id="32" w:name="page33"/>
    <w:bookmarkEnd w:id="32"/>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06 </w:t>
      </w:r>
      <w:r>
        <w:rPr>
          <w:rFonts w:ascii="Times New Roman" w:cs="Times New Roman" w:eastAsia="Times New Roman" w:hAnsi="Times New Roman"/>
          <w:sz w:val="32"/>
          <w:szCs w:val="32"/>
          <w:color w:val="E93C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9950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3590" cy="995045"/>
                    </a:xfrm>
                    <a:prstGeom prst="rect">
                      <a:avLst/>
                    </a:prstGeom>
                    <a:noFill/>
                  </pic:spPr>
                </pic:pic>
              </a:graphicData>
            </a:graphic>
          </wp:anchor>
        </w:drawing>
      </w:r>
    </w:p>
    <w:p>
      <w:pPr>
        <w:spacing w:after="0" w:line="348" w:lineRule="exact"/>
        <w:rPr>
          <w:sz w:val="20"/>
          <w:szCs w:val="20"/>
          <w:color w:val="auto"/>
        </w:rPr>
      </w:pPr>
    </w:p>
    <w:p>
      <w:pPr>
        <w:jc w:val="both"/>
        <w:ind w:left="120" w:right="120"/>
        <w:spacing w:after="0" w:line="265" w:lineRule="auto"/>
        <w:rPr>
          <w:sz w:val="20"/>
          <w:szCs w:val="20"/>
          <w:color w:val="auto"/>
        </w:rPr>
      </w:pPr>
      <w:r>
        <w:rPr>
          <w:rFonts w:ascii="Arial" w:cs="Arial" w:eastAsia="Arial" w:hAnsi="Arial"/>
          <w:sz w:val="18"/>
          <w:szCs w:val="18"/>
          <w:color w:val="FFFFFF"/>
        </w:rPr>
        <w:t>Other core income continues to follow an upward trend. This improvement was fueled by growth in fee income, which was driven by an uptick in transactions and improvements in FX products and channels.</w:t>
      </w:r>
    </w:p>
    <w:p>
      <w:pPr>
        <w:spacing w:after="0" w:line="132"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8"/>
          <w:szCs w:val="18"/>
          <w:color w:val="FFFFFF"/>
        </w:rPr>
        <w:t>Other non-core income grew QoQ, mainly due to gains in the fixed income portfolio at Credicorp Capital Colombia. YoY and YTD, non-core other income decreased due to Net Losses on Securities which was driven by stock market volatility, and its consequents impacts on investments at Credicorp Individual, Prima, ASB and Pacifico.</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6.1 Other core income</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40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Core Other Income</w:t>
            </w:r>
          </w:p>
        </w:tc>
        <w:tc>
          <w:tcPr>
            <w:tcW w:w="1180" w:type="dxa"/>
            <w:vAlign w:val="bottom"/>
            <w:tcBorders>
              <w:top w:val="single" w:sz="8" w:color="auto"/>
            </w:tcBorders>
            <w:shd w:val="clear" w:color="auto" w:fill="2AD2C9"/>
          </w:tcPr>
          <w:p>
            <w:pPr>
              <w:spacing w:after="0"/>
              <w:rPr>
                <w:sz w:val="18"/>
                <w:szCs w:val="18"/>
                <w:color w:val="auto"/>
              </w:rPr>
            </w:pPr>
          </w:p>
        </w:tc>
        <w:tc>
          <w:tcPr>
            <w:tcW w:w="1120" w:type="dxa"/>
            <w:vAlign w:val="bottom"/>
            <w:tcBorders>
              <w:top w:val="single" w:sz="8" w:color="auto"/>
            </w:tcBorders>
            <w:shd w:val="clear" w:color="auto" w:fill="2AD2C9"/>
          </w:tcPr>
          <w:p>
            <w:pPr>
              <w:jc w:val="right"/>
              <w:ind w:right="271"/>
              <w:spacing w:after="0"/>
              <w:rPr>
                <w:sz w:val="20"/>
                <w:szCs w:val="20"/>
                <w:color w:val="auto"/>
              </w:rPr>
            </w:pPr>
            <w:r>
              <w:rPr>
                <w:rFonts w:ascii="Arial" w:cs="Arial" w:eastAsia="Arial" w:hAnsi="Arial"/>
                <w:sz w:val="18"/>
                <w:szCs w:val="18"/>
                <w:b w:val="1"/>
                <w:bCs w:val="1"/>
                <w:color w:val="FFFFFF"/>
              </w:rPr>
              <w:t>Quarter</w:t>
            </w:r>
          </w:p>
        </w:tc>
        <w:tc>
          <w:tcPr>
            <w:tcW w:w="960" w:type="dxa"/>
            <w:vAlign w:val="bottom"/>
            <w:tcBorders>
              <w:top w:val="single" w:sz="8" w:color="auto"/>
              <w:right w:val="single" w:sz="8" w:color="auto"/>
            </w:tcBorders>
            <w:shd w:val="clear" w:color="auto" w:fill="2AD2C9"/>
          </w:tcPr>
          <w:p>
            <w:pPr>
              <w:spacing w:after="0"/>
              <w:rPr>
                <w:sz w:val="18"/>
                <w:szCs w:val="18"/>
                <w:color w:val="auto"/>
              </w:rPr>
            </w:pPr>
          </w:p>
        </w:tc>
        <w:tc>
          <w:tcPr>
            <w:tcW w:w="1120" w:type="dxa"/>
            <w:vAlign w:val="bottom"/>
            <w:tcBorders>
              <w:top w:val="single" w:sz="8" w:color="auto"/>
              <w:right w:val="single" w:sz="8" w:color="auto"/>
            </w:tcBorders>
            <w:gridSpan w:val="2"/>
            <w:shd w:val="clear" w:color="auto" w:fill="2AD2C9"/>
          </w:tcPr>
          <w:p>
            <w:pPr>
              <w:ind w:left="120"/>
              <w:spacing w:after="0"/>
              <w:rPr>
                <w:sz w:val="20"/>
                <w:szCs w:val="20"/>
                <w:color w:val="auto"/>
              </w:rPr>
            </w:pPr>
            <w:r>
              <w:rPr>
                <w:rFonts w:ascii="Arial" w:cs="Arial" w:eastAsia="Arial" w:hAnsi="Arial"/>
                <w:sz w:val="18"/>
                <w:szCs w:val="18"/>
                <w:b w:val="1"/>
                <w:bCs w:val="1"/>
                <w:color w:val="FFFFFF"/>
              </w:rPr>
              <w:t>% Change</w:t>
            </w:r>
          </w:p>
        </w:tc>
        <w:tc>
          <w:tcPr>
            <w:tcW w:w="130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8"/>
                <w:szCs w:val="18"/>
                <w:b w:val="1"/>
                <w:bCs w:val="1"/>
                <w:color w:val="FFFFFF"/>
              </w:rPr>
              <w:t>As of</w:t>
            </w:r>
          </w:p>
        </w:tc>
        <w:tc>
          <w:tcPr>
            <w:tcW w:w="880" w:type="dxa"/>
            <w:vAlign w:val="bottom"/>
            <w:tcBorders>
              <w:top w:val="single" w:sz="8" w:color="auto"/>
              <w:right w:val="single" w:sz="8" w:color="auto"/>
            </w:tcBorders>
            <w:shd w:val="clear" w:color="auto" w:fill="2AD2C9"/>
          </w:tcPr>
          <w:p>
            <w:pPr>
              <w:spacing w:after="0"/>
              <w:rPr>
                <w:sz w:val="18"/>
                <w:szCs w:val="18"/>
                <w:color w:val="auto"/>
              </w:rPr>
            </w:pPr>
          </w:p>
        </w:tc>
        <w:tc>
          <w:tcPr>
            <w:tcW w:w="128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 Change</w:t>
            </w:r>
          </w:p>
        </w:tc>
      </w:tr>
      <w:tr>
        <w:trPr>
          <w:trHeight w:val="226"/>
        </w:trPr>
        <w:tc>
          <w:tcPr>
            <w:tcW w:w="340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1180" w:type="dxa"/>
            <w:vAlign w:val="bottom"/>
            <w:tcBorders>
              <w:bottom w:val="single" w:sz="8" w:color="auto"/>
            </w:tcBorders>
            <w:shd w:val="clear" w:color="auto" w:fill="2AD2C9"/>
          </w:tcPr>
          <w:p>
            <w:pPr>
              <w:jc w:val="right"/>
              <w:ind w:right="351"/>
              <w:spacing w:after="0"/>
              <w:rPr>
                <w:sz w:val="20"/>
                <w:szCs w:val="20"/>
                <w:color w:val="auto"/>
              </w:rPr>
            </w:pPr>
            <w:r>
              <w:rPr>
                <w:rFonts w:ascii="Arial" w:cs="Arial" w:eastAsia="Arial" w:hAnsi="Arial"/>
                <w:sz w:val="18"/>
                <w:szCs w:val="18"/>
                <w:b w:val="1"/>
                <w:bCs w:val="1"/>
                <w:color w:val="FFFFFF"/>
              </w:rPr>
              <w:t>3Q21</w:t>
            </w:r>
          </w:p>
        </w:tc>
        <w:tc>
          <w:tcPr>
            <w:tcW w:w="1120" w:type="dxa"/>
            <w:vAlign w:val="bottom"/>
            <w:tcBorders>
              <w:bottom w:val="single" w:sz="8" w:color="auto"/>
            </w:tcBorders>
            <w:shd w:val="clear" w:color="auto" w:fill="2AD2C9"/>
          </w:tcPr>
          <w:p>
            <w:pPr>
              <w:jc w:val="right"/>
              <w:ind w:right="391"/>
              <w:spacing w:after="0"/>
              <w:rPr>
                <w:sz w:val="20"/>
                <w:szCs w:val="20"/>
                <w:color w:val="auto"/>
              </w:rPr>
            </w:pPr>
            <w:r>
              <w:rPr>
                <w:rFonts w:ascii="Arial" w:cs="Arial" w:eastAsia="Arial" w:hAnsi="Arial"/>
                <w:sz w:val="18"/>
                <w:szCs w:val="18"/>
                <w:b w:val="1"/>
                <w:bCs w:val="1"/>
                <w:color w:val="FFFFFF"/>
              </w:rPr>
              <w:t>2Q22</w:t>
            </w:r>
          </w:p>
        </w:tc>
        <w:tc>
          <w:tcPr>
            <w:tcW w:w="960" w:type="dxa"/>
            <w:vAlign w:val="bottom"/>
            <w:tcBorders>
              <w:bottom w:val="single" w:sz="8" w:color="auto"/>
              <w:right w:val="single" w:sz="8" w:color="auto"/>
            </w:tcBorders>
            <w:shd w:val="clear" w:color="auto" w:fill="2AD2C9"/>
          </w:tcPr>
          <w:p>
            <w:pPr>
              <w:jc w:val="right"/>
              <w:ind w:right="251"/>
              <w:spacing w:after="0"/>
              <w:rPr>
                <w:sz w:val="20"/>
                <w:szCs w:val="20"/>
                <w:color w:val="auto"/>
              </w:rPr>
            </w:pPr>
            <w:r>
              <w:rPr>
                <w:rFonts w:ascii="Arial" w:cs="Arial" w:eastAsia="Arial" w:hAnsi="Arial"/>
                <w:sz w:val="18"/>
                <w:szCs w:val="18"/>
                <w:b w:val="1"/>
                <w:bCs w:val="1"/>
                <w:color w:val="FFFFFF"/>
              </w:rPr>
              <w:t>3Q22</w:t>
            </w:r>
          </w:p>
        </w:tc>
        <w:tc>
          <w:tcPr>
            <w:tcW w:w="560" w:type="dxa"/>
            <w:vAlign w:val="bottom"/>
            <w:tcBorders>
              <w:bottom w:val="single" w:sz="8" w:color="auto"/>
            </w:tcBorders>
            <w:shd w:val="clear" w:color="auto" w:fill="2AD2C9"/>
          </w:tcPr>
          <w:p>
            <w:pPr>
              <w:ind w:left="80"/>
              <w:spacing w:after="0"/>
              <w:rPr>
                <w:sz w:val="20"/>
                <w:szCs w:val="20"/>
                <w:color w:val="auto"/>
              </w:rPr>
            </w:pPr>
            <w:r>
              <w:rPr>
                <w:rFonts w:ascii="Arial" w:cs="Arial" w:eastAsia="Arial" w:hAnsi="Arial"/>
                <w:sz w:val="18"/>
                <w:szCs w:val="18"/>
                <w:b w:val="1"/>
                <w:bCs w:val="1"/>
                <w:color w:val="FFFFFF"/>
              </w:rPr>
              <w:t>QoQ</w:t>
            </w:r>
          </w:p>
        </w:tc>
        <w:tc>
          <w:tcPr>
            <w:tcW w:w="5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6"/>
              </w:rPr>
              <w:t>YoY</w:t>
            </w:r>
          </w:p>
        </w:tc>
        <w:tc>
          <w:tcPr>
            <w:tcW w:w="1300" w:type="dxa"/>
            <w:vAlign w:val="bottom"/>
            <w:tcBorders>
              <w:bottom w:val="single" w:sz="8" w:color="auto"/>
            </w:tcBorders>
            <w:shd w:val="clear" w:color="auto" w:fill="2AD2C9"/>
          </w:tcPr>
          <w:p>
            <w:pPr>
              <w:jc w:val="right"/>
              <w:ind w:right="391"/>
              <w:spacing w:after="0"/>
              <w:rPr>
                <w:sz w:val="20"/>
                <w:szCs w:val="20"/>
                <w:color w:val="auto"/>
              </w:rPr>
            </w:pPr>
            <w:r>
              <w:rPr>
                <w:rFonts w:ascii="Arial" w:cs="Arial" w:eastAsia="Arial" w:hAnsi="Arial"/>
                <w:sz w:val="18"/>
                <w:szCs w:val="18"/>
                <w:b w:val="1"/>
                <w:bCs w:val="1"/>
                <w:color w:val="FFFFFF"/>
              </w:rPr>
              <w:t>Sep 21</w:t>
            </w:r>
          </w:p>
        </w:tc>
        <w:tc>
          <w:tcPr>
            <w:tcW w:w="880" w:type="dxa"/>
            <w:vAlign w:val="bottom"/>
            <w:tcBorders>
              <w:bottom w:val="single" w:sz="8" w:color="auto"/>
              <w:right w:val="single" w:sz="8" w:color="auto"/>
            </w:tcBorders>
            <w:shd w:val="clear" w:color="auto" w:fill="2AD2C9"/>
          </w:tcPr>
          <w:p>
            <w:pPr>
              <w:jc w:val="right"/>
              <w:ind w:right="191"/>
              <w:spacing w:after="0"/>
              <w:rPr>
                <w:sz w:val="20"/>
                <w:szCs w:val="20"/>
                <w:color w:val="auto"/>
              </w:rPr>
            </w:pPr>
            <w:r>
              <w:rPr>
                <w:rFonts w:ascii="Arial" w:cs="Arial" w:eastAsia="Arial" w:hAnsi="Arial"/>
                <w:sz w:val="18"/>
                <w:szCs w:val="18"/>
                <w:b w:val="1"/>
                <w:bCs w:val="1"/>
                <w:color w:val="FFFFFF"/>
                <w:w w:val="99"/>
              </w:rPr>
              <w:t>Sep 22</w:t>
            </w:r>
          </w:p>
        </w:tc>
        <w:tc>
          <w:tcPr>
            <w:tcW w:w="12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Sep 22/ Sep 21</w:t>
            </w:r>
          </w:p>
        </w:tc>
      </w:tr>
      <w:tr>
        <w:trPr>
          <w:trHeight w:val="182"/>
        </w:trPr>
        <w:tc>
          <w:tcPr>
            <w:tcW w:w="340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Fee income</w:t>
            </w:r>
          </w:p>
        </w:tc>
        <w:tc>
          <w:tcPr>
            <w:tcW w:w="1180" w:type="dxa"/>
            <w:vAlign w:val="bottom"/>
          </w:tcPr>
          <w:p>
            <w:pPr>
              <w:jc w:val="right"/>
              <w:ind w:right="31"/>
              <w:spacing w:after="0" w:line="182" w:lineRule="exact"/>
              <w:rPr>
                <w:sz w:val="20"/>
                <w:szCs w:val="20"/>
                <w:color w:val="auto"/>
              </w:rPr>
            </w:pPr>
            <w:r>
              <w:rPr>
                <w:rFonts w:ascii="Arial" w:cs="Arial" w:eastAsia="Arial" w:hAnsi="Arial"/>
                <w:sz w:val="18"/>
                <w:szCs w:val="18"/>
                <w:color w:val="auto"/>
              </w:rPr>
              <w:t>876,391</w:t>
            </w:r>
          </w:p>
        </w:tc>
        <w:tc>
          <w:tcPr>
            <w:tcW w:w="1120" w:type="dxa"/>
            <w:vAlign w:val="bottom"/>
          </w:tcPr>
          <w:p>
            <w:pPr>
              <w:jc w:val="right"/>
              <w:ind w:right="51"/>
              <w:spacing w:after="0" w:line="182" w:lineRule="exact"/>
              <w:rPr>
                <w:sz w:val="20"/>
                <w:szCs w:val="20"/>
                <w:color w:val="auto"/>
              </w:rPr>
            </w:pPr>
            <w:r>
              <w:rPr>
                <w:rFonts w:ascii="Arial" w:cs="Arial" w:eastAsia="Arial" w:hAnsi="Arial"/>
                <w:sz w:val="18"/>
                <w:szCs w:val="18"/>
                <w:color w:val="auto"/>
              </w:rPr>
              <w:t>920,492</w:t>
            </w:r>
          </w:p>
        </w:tc>
        <w:tc>
          <w:tcPr>
            <w:tcW w:w="9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934,244</w:t>
            </w: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rPr>
              <w:t>1.5%</w:t>
            </w:r>
          </w:p>
        </w:tc>
        <w:tc>
          <w:tcPr>
            <w:tcW w:w="5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6.6%</w:t>
            </w:r>
          </w:p>
        </w:tc>
        <w:tc>
          <w:tcPr>
            <w:tcW w:w="1300" w:type="dxa"/>
            <w:vAlign w:val="bottom"/>
          </w:tcPr>
          <w:p>
            <w:pPr>
              <w:jc w:val="right"/>
              <w:ind w:right="151"/>
              <w:spacing w:after="0" w:line="182" w:lineRule="exact"/>
              <w:rPr>
                <w:sz w:val="20"/>
                <w:szCs w:val="20"/>
                <w:color w:val="auto"/>
              </w:rPr>
            </w:pPr>
            <w:r>
              <w:rPr>
                <w:rFonts w:ascii="Arial" w:cs="Arial" w:eastAsia="Arial" w:hAnsi="Arial"/>
                <w:sz w:val="18"/>
                <w:szCs w:val="18"/>
                <w:color w:val="auto"/>
              </w:rPr>
              <w:t>2,569,573</w:t>
            </w:r>
          </w:p>
        </w:tc>
        <w:tc>
          <w:tcPr>
            <w:tcW w:w="8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2,745,767</w:t>
            </w:r>
          </w:p>
        </w:tc>
        <w:tc>
          <w:tcPr>
            <w:tcW w:w="1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6.9%</w:t>
            </w:r>
          </w:p>
        </w:tc>
      </w:tr>
      <w:tr>
        <w:trPr>
          <w:trHeight w:val="226"/>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Net gain on foreign exchange transactions</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246,649</w:t>
            </w:r>
          </w:p>
        </w:tc>
        <w:tc>
          <w:tcPr>
            <w:tcW w:w="11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269,059</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262,167</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-2.6%</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6.3%</w:t>
            </w:r>
          </w:p>
        </w:tc>
        <w:tc>
          <w:tcPr>
            <w:tcW w:w="13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659,900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790,936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19.9%</w:t>
            </w:r>
          </w:p>
        </w:tc>
      </w:tr>
      <w:tr>
        <w:trPr>
          <w:trHeight w:val="208"/>
        </w:trPr>
        <w:tc>
          <w:tcPr>
            <w:tcW w:w="340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Total other income Core</w:t>
            </w:r>
          </w:p>
        </w:tc>
        <w:tc>
          <w:tcPr>
            <w:tcW w:w="118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b w:val="1"/>
                <w:bCs w:val="1"/>
                <w:color w:val="auto"/>
              </w:rPr>
              <w:t>1,123,040</w:t>
            </w:r>
          </w:p>
        </w:tc>
        <w:tc>
          <w:tcPr>
            <w:tcW w:w="1120" w:type="dxa"/>
            <w:vAlign w:val="bottom"/>
            <w:tcBorders>
              <w:bottom w:val="single" w:sz="8" w:color="auto"/>
            </w:tcBorders>
          </w:tcPr>
          <w:p>
            <w:pPr>
              <w:jc w:val="right"/>
              <w:ind w:right="51"/>
              <w:spacing w:after="0" w:line="201" w:lineRule="exact"/>
              <w:rPr>
                <w:sz w:val="20"/>
                <w:szCs w:val="20"/>
                <w:color w:val="auto"/>
              </w:rPr>
            </w:pPr>
            <w:r>
              <w:rPr>
                <w:rFonts w:ascii="Arial" w:cs="Arial" w:eastAsia="Arial" w:hAnsi="Arial"/>
                <w:sz w:val="18"/>
                <w:szCs w:val="18"/>
                <w:b w:val="1"/>
                <w:bCs w:val="1"/>
                <w:color w:val="auto"/>
              </w:rPr>
              <w:t>1,189,551</w:t>
            </w:r>
          </w:p>
        </w:tc>
        <w:tc>
          <w:tcPr>
            <w:tcW w:w="96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1,196,411</w:t>
            </w:r>
          </w:p>
        </w:tc>
        <w:tc>
          <w:tcPr>
            <w:tcW w:w="5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0.6%</w:t>
            </w:r>
          </w:p>
        </w:tc>
        <w:tc>
          <w:tcPr>
            <w:tcW w:w="56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6.5%</w:t>
            </w:r>
          </w:p>
        </w:tc>
        <w:tc>
          <w:tcPr>
            <w:tcW w:w="130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b w:val="1"/>
                <w:bCs w:val="1"/>
                <w:color w:val="auto"/>
              </w:rPr>
              <w:t>3,229,473</w:t>
            </w:r>
          </w:p>
        </w:tc>
        <w:tc>
          <w:tcPr>
            <w:tcW w:w="8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3,536,703</w:t>
            </w:r>
          </w:p>
        </w:tc>
        <w:tc>
          <w:tcPr>
            <w:tcW w:w="128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9.5%</w:t>
            </w:r>
          </w:p>
        </w:tc>
      </w:tr>
    </w:tbl>
    <w:p>
      <w:pPr>
        <w:spacing w:after="0" w:line="2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QoQ </w:t>
      </w:r>
      <w:r>
        <w:rPr>
          <w:rFonts w:ascii="Times New Roman" w:cs="Times New Roman" w:eastAsia="Times New Roman" w:hAnsi="Times New Roman"/>
          <w:sz w:val="18"/>
          <w:szCs w:val="18"/>
          <w:color w:val="auto"/>
        </w:rPr>
        <w:t>the upward trend in core income continued, led by BCP Stand-alone, which registered growth in fee income due to an uptick in transactions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venues and POS. In this context, 43% of the transaction amount corresponds to transactions that do not involve cash. The aforementioned was partially offset by a drop in fees for insurance at Mibanco, which was associated with the reduction in loan disbursements. Exchange rate transactions fell alongside a reduction in capital market operations at Credicorp Capital and ASB.</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YoY and YTD, </w:t>
      </w:r>
      <w:r>
        <w:rPr>
          <w:rFonts w:ascii="Times New Roman" w:cs="Times New Roman" w:eastAsia="Times New Roman" w:hAnsi="Times New Roman"/>
          <w:sz w:val="18"/>
          <w:szCs w:val="18"/>
          <w:color w:val="auto"/>
        </w:rPr>
        <w:t>fee income rose at BCP And Mibanco. This growth was driven by an uptick in transactions and in loan disbursements, which were partially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offset by a drop in fees relative to mutual funds given that in 2Q21 and 3Q21, extraordinary income was reported due to inflows of third-party funds through international platforms. Gains on FX transactions continued to follow an upward trend due to growth in transaction volumes and the improvement in products and channels offered.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Fee income by banking business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Composition of fee income by banking business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60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Banking Business Fees</w:t>
            </w:r>
          </w:p>
        </w:tc>
        <w:tc>
          <w:tcPr>
            <w:tcW w:w="880" w:type="dxa"/>
            <w:vAlign w:val="bottom"/>
            <w:tcBorders>
              <w:top w:val="single" w:sz="8" w:color="auto"/>
            </w:tcBorders>
            <w:shd w:val="clear" w:color="auto" w:fill="2AD2C9"/>
          </w:tcPr>
          <w:p>
            <w:pPr>
              <w:spacing w:after="0"/>
              <w:rPr>
                <w:sz w:val="18"/>
                <w:szCs w:val="18"/>
                <w:color w:val="auto"/>
              </w:rPr>
            </w:pPr>
          </w:p>
        </w:tc>
        <w:tc>
          <w:tcPr>
            <w:tcW w:w="880" w:type="dxa"/>
            <w:vAlign w:val="bottom"/>
            <w:tcBorders>
              <w:top w:val="single" w:sz="8" w:color="auto"/>
            </w:tcBorders>
            <w:shd w:val="clear" w:color="auto" w:fill="2AD2C9"/>
          </w:tcPr>
          <w:p>
            <w:pPr>
              <w:jc w:val="right"/>
              <w:ind w:right="111"/>
              <w:spacing w:after="0"/>
              <w:rPr>
                <w:sz w:val="20"/>
                <w:szCs w:val="20"/>
                <w:color w:val="auto"/>
              </w:rPr>
            </w:pPr>
            <w:r>
              <w:rPr>
                <w:rFonts w:ascii="Arial" w:cs="Arial" w:eastAsia="Arial" w:hAnsi="Arial"/>
                <w:sz w:val="18"/>
                <w:szCs w:val="18"/>
                <w:b w:val="1"/>
                <w:bCs w:val="1"/>
                <w:color w:val="FFFFFF"/>
              </w:rPr>
              <w:t>Quarter</w:t>
            </w:r>
          </w:p>
        </w:tc>
        <w:tc>
          <w:tcPr>
            <w:tcW w:w="760" w:type="dxa"/>
            <w:vAlign w:val="bottom"/>
            <w:tcBorders>
              <w:top w:val="single" w:sz="8" w:color="auto"/>
              <w:right w:val="single" w:sz="8" w:color="auto"/>
            </w:tcBorders>
            <w:shd w:val="clear" w:color="auto" w:fill="2AD2C9"/>
          </w:tcPr>
          <w:p>
            <w:pPr>
              <w:spacing w:after="0"/>
              <w:rPr>
                <w:sz w:val="18"/>
                <w:szCs w:val="18"/>
                <w:color w:val="auto"/>
              </w:rPr>
            </w:pPr>
          </w:p>
        </w:tc>
        <w:tc>
          <w:tcPr>
            <w:tcW w:w="1800" w:type="dxa"/>
            <w:vAlign w:val="bottom"/>
            <w:tcBorders>
              <w:top w:val="single" w:sz="8" w:color="auto"/>
              <w:right w:val="single" w:sz="8" w:color="auto"/>
            </w:tcBorders>
            <w:gridSpan w:val="2"/>
            <w:shd w:val="clear" w:color="auto" w:fill="2AD2C9"/>
          </w:tcPr>
          <w:p>
            <w:pPr>
              <w:jc w:val="right"/>
              <w:ind w:right="391"/>
              <w:spacing w:after="0"/>
              <w:rPr>
                <w:sz w:val="20"/>
                <w:szCs w:val="20"/>
                <w:color w:val="auto"/>
              </w:rPr>
            </w:pPr>
            <w:r>
              <w:rPr>
                <w:rFonts w:ascii="Arial" w:cs="Arial" w:eastAsia="Arial" w:hAnsi="Arial"/>
                <w:sz w:val="18"/>
                <w:szCs w:val="18"/>
                <w:b w:val="1"/>
                <w:bCs w:val="1"/>
                <w:color w:val="FFFFFF"/>
              </w:rPr>
              <w:t>% Change</w:t>
            </w:r>
          </w:p>
        </w:tc>
        <w:tc>
          <w:tcPr>
            <w:tcW w:w="1920" w:type="dxa"/>
            <w:vAlign w:val="bottom"/>
            <w:tcBorders>
              <w:top w:val="single" w:sz="8" w:color="auto"/>
              <w:right w:val="single" w:sz="8" w:color="auto"/>
            </w:tcBorders>
            <w:gridSpan w:val="2"/>
            <w:shd w:val="clear" w:color="auto" w:fill="2AD2C9"/>
          </w:tcPr>
          <w:p>
            <w:pPr>
              <w:jc w:val="right"/>
              <w:ind w:right="651"/>
              <w:spacing w:after="0"/>
              <w:rPr>
                <w:sz w:val="20"/>
                <w:szCs w:val="20"/>
                <w:color w:val="auto"/>
              </w:rPr>
            </w:pPr>
            <w:r>
              <w:rPr>
                <w:rFonts w:ascii="Arial" w:cs="Arial" w:eastAsia="Arial" w:hAnsi="Arial"/>
                <w:sz w:val="18"/>
                <w:szCs w:val="18"/>
                <w:b w:val="1"/>
                <w:bCs w:val="1"/>
                <w:color w:val="FFFFFF"/>
              </w:rPr>
              <w:t>As of</w:t>
            </w:r>
          </w:p>
        </w:tc>
        <w:tc>
          <w:tcPr>
            <w:tcW w:w="1400" w:type="dxa"/>
            <w:vAlign w:val="bottom"/>
            <w:tcBorders>
              <w:top w:val="single" w:sz="8" w:color="auto"/>
              <w:right w:val="single" w:sz="8" w:color="auto"/>
            </w:tcBorders>
            <w:shd w:val="clear" w:color="auto" w:fill="2AD2C9"/>
          </w:tcPr>
          <w:p>
            <w:pPr>
              <w:jc w:val="right"/>
              <w:ind w:right="191"/>
              <w:spacing w:after="0"/>
              <w:rPr>
                <w:sz w:val="20"/>
                <w:szCs w:val="20"/>
                <w:color w:val="auto"/>
              </w:rPr>
            </w:pPr>
            <w:r>
              <w:rPr>
                <w:rFonts w:ascii="Arial" w:cs="Arial" w:eastAsia="Arial" w:hAnsi="Arial"/>
                <w:sz w:val="18"/>
                <w:szCs w:val="18"/>
                <w:b w:val="1"/>
                <w:bCs w:val="1"/>
                <w:color w:val="FFFFFF"/>
              </w:rPr>
              <w:t>% Change</w:t>
            </w:r>
          </w:p>
        </w:tc>
      </w:tr>
      <w:tr>
        <w:trPr>
          <w:trHeight w:val="226"/>
        </w:trPr>
        <w:tc>
          <w:tcPr>
            <w:tcW w:w="360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880" w:type="dxa"/>
            <w:vAlign w:val="bottom"/>
            <w:tcBorders>
              <w:bottom w:val="single" w:sz="8" w:color="auto"/>
            </w:tcBorders>
            <w:shd w:val="clear" w:color="auto" w:fill="2AD2C9"/>
          </w:tcPr>
          <w:p>
            <w:pPr>
              <w:jc w:val="right"/>
              <w:ind w:right="171"/>
              <w:spacing w:after="0"/>
              <w:rPr>
                <w:sz w:val="20"/>
                <w:szCs w:val="20"/>
                <w:color w:val="auto"/>
              </w:rPr>
            </w:pPr>
            <w:r>
              <w:rPr>
                <w:rFonts w:ascii="Arial" w:cs="Arial" w:eastAsia="Arial" w:hAnsi="Arial"/>
                <w:sz w:val="18"/>
                <w:szCs w:val="18"/>
                <w:b w:val="1"/>
                <w:bCs w:val="1"/>
                <w:color w:val="FFFFFF"/>
              </w:rPr>
              <w:t>3Q21</w:t>
            </w:r>
          </w:p>
        </w:tc>
        <w:tc>
          <w:tcPr>
            <w:tcW w:w="880" w:type="dxa"/>
            <w:vAlign w:val="bottom"/>
            <w:tcBorders>
              <w:bottom w:val="single" w:sz="8" w:color="auto"/>
            </w:tcBorders>
            <w:shd w:val="clear" w:color="auto" w:fill="2AD2C9"/>
          </w:tcPr>
          <w:p>
            <w:pPr>
              <w:jc w:val="right"/>
              <w:ind w:right="211"/>
              <w:spacing w:after="0"/>
              <w:rPr>
                <w:sz w:val="20"/>
                <w:szCs w:val="20"/>
                <w:color w:val="auto"/>
              </w:rPr>
            </w:pPr>
            <w:r>
              <w:rPr>
                <w:rFonts w:ascii="Arial" w:cs="Arial" w:eastAsia="Arial" w:hAnsi="Arial"/>
                <w:sz w:val="18"/>
                <w:szCs w:val="18"/>
                <w:b w:val="1"/>
                <w:bCs w:val="1"/>
                <w:color w:val="FFFFFF"/>
              </w:rPr>
              <w:t>2Q22</w:t>
            </w:r>
          </w:p>
        </w:tc>
        <w:tc>
          <w:tcPr>
            <w:tcW w:w="760" w:type="dxa"/>
            <w:vAlign w:val="bottom"/>
            <w:tcBorders>
              <w:bottom w:val="single" w:sz="8" w:color="auto"/>
              <w:right w:val="single" w:sz="8" w:color="auto"/>
            </w:tcBorders>
            <w:shd w:val="clear" w:color="auto" w:fill="2AD2C9"/>
          </w:tcPr>
          <w:p>
            <w:pPr>
              <w:jc w:val="right"/>
              <w:ind w:right="131"/>
              <w:spacing w:after="0"/>
              <w:rPr>
                <w:sz w:val="20"/>
                <w:szCs w:val="20"/>
                <w:color w:val="auto"/>
              </w:rPr>
            </w:pPr>
            <w:r>
              <w:rPr>
                <w:rFonts w:ascii="Arial" w:cs="Arial" w:eastAsia="Arial" w:hAnsi="Arial"/>
                <w:sz w:val="18"/>
                <w:szCs w:val="18"/>
                <w:b w:val="1"/>
                <w:bCs w:val="1"/>
                <w:color w:val="FFFFFF"/>
              </w:rPr>
              <w:t>3Q22</w:t>
            </w:r>
          </w:p>
        </w:tc>
        <w:tc>
          <w:tcPr>
            <w:tcW w:w="940" w:type="dxa"/>
            <w:vAlign w:val="bottom"/>
            <w:tcBorders>
              <w:bottom w:val="single" w:sz="8" w:color="auto"/>
            </w:tcBorders>
            <w:shd w:val="clear" w:color="auto" w:fill="2AD2C9"/>
          </w:tcPr>
          <w:p>
            <w:pPr>
              <w:jc w:val="right"/>
              <w:ind w:right="231"/>
              <w:spacing w:after="0"/>
              <w:rPr>
                <w:sz w:val="20"/>
                <w:szCs w:val="20"/>
                <w:color w:val="auto"/>
              </w:rPr>
            </w:pPr>
            <w:r>
              <w:rPr>
                <w:rFonts w:ascii="Arial" w:cs="Arial" w:eastAsia="Arial" w:hAnsi="Arial"/>
                <w:sz w:val="18"/>
                <w:szCs w:val="18"/>
                <w:b w:val="1"/>
                <w:bCs w:val="1"/>
                <w:color w:val="FFFFFF"/>
              </w:rPr>
              <w:t>QoQ</w:t>
            </w:r>
          </w:p>
        </w:tc>
        <w:tc>
          <w:tcPr>
            <w:tcW w:w="860" w:type="dxa"/>
            <w:vAlign w:val="bottom"/>
            <w:tcBorders>
              <w:bottom w:val="single" w:sz="8" w:color="auto"/>
              <w:right w:val="single" w:sz="8" w:color="auto"/>
            </w:tcBorders>
            <w:shd w:val="clear" w:color="auto" w:fill="2AD2C9"/>
          </w:tcPr>
          <w:p>
            <w:pPr>
              <w:jc w:val="right"/>
              <w:ind w:right="231"/>
              <w:spacing w:after="0"/>
              <w:rPr>
                <w:sz w:val="20"/>
                <w:szCs w:val="20"/>
                <w:color w:val="auto"/>
              </w:rPr>
            </w:pPr>
            <w:r>
              <w:rPr>
                <w:rFonts w:ascii="Arial" w:cs="Arial" w:eastAsia="Arial" w:hAnsi="Arial"/>
                <w:sz w:val="18"/>
                <w:szCs w:val="18"/>
                <w:b w:val="1"/>
                <w:bCs w:val="1"/>
                <w:color w:val="FFFFFF"/>
              </w:rPr>
              <w:t>YoY</w:t>
            </w:r>
          </w:p>
        </w:tc>
        <w:tc>
          <w:tcPr>
            <w:tcW w:w="1020" w:type="dxa"/>
            <w:vAlign w:val="bottom"/>
            <w:tcBorders>
              <w:bottom w:val="single" w:sz="8" w:color="auto"/>
            </w:tcBorders>
            <w:shd w:val="clear" w:color="auto" w:fill="2AD2C9"/>
          </w:tcPr>
          <w:p>
            <w:pPr>
              <w:jc w:val="right"/>
              <w:ind w:right="171"/>
              <w:spacing w:after="0"/>
              <w:rPr>
                <w:sz w:val="20"/>
                <w:szCs w:val="20"/>
                <w:color w:val="auto"/>
              </w:rPr>
            </w:pPr>
            <w:r>
              <w:rPr>
                <w:rFonts w:ascii="Arial" w:cs="Arial" w:eastAsia="Arial" w:hAnsi="Arial"/>
                <w:sz w:val="18"/>
                <w:szCs w:val="18"/>
                <w:b w:val="1"/>
                <w:bCs w:val="1"/>
                <w:color w:val="FFFFFF"/>
              </w:rPr>
              <w:t>Sep 21</w:t>
            </w:r>
          </w:p>
        </w:tc>
        <w:tc>
          <w:tcPr>
            <w:tcW w:w="900" w:type="dxa"/>
            <w:vAlign w:val="bottom"/>
            <w:tcBorders>
              <w:bottom w:val="single" w:sz="8" w:color="auto"/>
              <w:right w:val="single" w:sz="8" w:color="auto"/>
            </w:tcBorders>
            <w:shd w:val="clear" w:color="auto" w:fill="2AD2C9"/>
          </w:tcPr>
          <w:p>
            <w:pPr>
              <w:jc w:val="right"/>
              <w:ind w:right="111"/>
              <w:spacing w:after="0"/>
              <w:rPr>
                <w:sz w:val="20"/>
                <w:szCs w:val="20"/>
                <w:color w:val="auto"/>
              </w:rPr>
            </w:pPr>
            <w:r>
              <w:rPr>
                <w:rFonts w:ascii="Arial" w:cs="Arial" w:eastAsia="Arial" w:hAnsi="Arial"/>
                <w:sz w:val="18"/>
                <w:szCs w:val="18"/>
                <w:b w:val="1"/>
                <w:bCs w:val="1"/>
                <w:color w:val="FFFFFF"/>
              </w:rPr>
              <w:t>Sep 22</w:t>
            </w:r>
          </w:p>
        </w:tc>
        <w:tc>
          <w:tcPr>
            <w:tcW w:w="140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8"/>
                <w:szCs w:val="18"/>
                <w:b w:val="1"/>
                <w:bCs w:val="1"/>
                <w:color w:val="FFFFFF"/>
              </w:rPr>
              <w:t>Sep 22 / Sep 21</w:t>
            </w:r>
          </w:p>
        </w:tc>
      </w:tr>
      <w:tr>
        <w:trPr>
          <w:trHeight w:val="173"/>
        </w:trPr>
        <w:tc>
          <w:tcPr>
            <w:tcW w:w="3600" w:type="dxa"/>
            <w:vAlign w:val="bottom"/>
            <w:tcBorders>
              <w:left w:val="single" w:sz="8" w:color="auto"/>
              <w:right w:val="single" w:sz="8" w:color="auto"/>
            </w:tcBorders>
          </w:tcPr>
          <w:p>
            <w:pPr>
              <w:ind w:left="40"/>
              <w:spacing w:after="0" w:line="173" w:lineRule="exact"/>
              <w:rPr>
                <w:sz w:val="20"/>
                <w:szCs w:val="20"/>
                <w:color w:val="auto"/>
              </w:rPr>
            </w:pPr>
            <w:r>
              <w:rPr>
                <w:rFonts w:ascii="Arial" w:cs="Arial" w:eastAsia="Arial" w:hAnsi="Arial"/>
                <w:sz w:val="13"/>
                <w:szCs w:val="13"/>
                <w:color w:val="auto"/>
              </w:rPr>
              <w:t xml:space="preserve">Payments and transactionals </w:t>
            </w:r>
            <w:r>
              <w:rPr>
                <w:rFonts w:ascii="Arial" w:cs="Arial" w:eastAsia="Arial" w:hAnsi="Arial"/>
                <w:sz w:val="20"/>
                <w:szCs w:val="20"/>
                <w:color w:val="auto"/>
                <w:vertAlign w:val="superscript"/>
              </w:rPr>
              <w:t>(1)</w:t>
            </w:r>
          </w:p>
        </w:tc>
        <w:tc>
          <w:tcPr>
            <w:tcW w:w="880" w:type="dxa"/>
            <w:vAlign w:val="bottom"/>
          </w:tcPr>
          <w:p>
            <w:pPr>
              <w:jc w:val="right"/>
              <w:spacing w:after="0" w:line="173" w:lineRule="exact"/>
              <w:rPr>
                <w:sz w:val="20"/>
                <w:szCs w:val="20"/>
                <w:color w:val="auto"/>
              </w:rPr>
            </w:pPr>
            <w:r>
              <w:rPr>
                <w:rFonts w:ascii="Arial" w:cs="Arial" w:eastAsia="Arial" w:hAnsi="Arial"/>
                <w:sz w:val="18"/>
                <w:szCs w:val="18"/>
                <w:color w:val="auto"/>
              </w:rPr>
              <w:t>258,756</w:t>
            </w:r>
          </w:p>
        </w:tc>
        <w:tc>
          <w:tcPr>
            <w:tcW w:w="880" w:type="dxa"/>
            <w:vAlign w:val="bottom"/>
          </w:tcPr>
          <w:p>
            <w:pPr>
              <w:jc w:val="right"/>
              <w:ind w:right="11"/>
              <w:spacing w:after="0" w:line="173" w:lineRule="exact"/>
              <w:rPr>
                <w:sz w:val="20"/>
                <w:szCs w:val="20"/>
                <w:color w:val="auto"/>
              </w:rPr>
            </w:pPr>
            <w:r>
              <w:rPr>
                <w:rFonts w:ascii="Arial" w:cs="Arial" w:eastAsia="Arial" w:hAnsi="Arial"/>
                <w:sz w:val="18"/>
                <w:szCs w:val="18"/>
                <w:color w:val="auto"/>
              </w:rPr>
              <w:t>306,095</w:t>
            </w:r>
          </w:p>
        </w:tc>
        <w:tc>
          <w:tcPr>
            <w:tcW w:w="76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8"/>
                <w:szCs w:val="18"/>
                <w:color w:val="auto"/>
              </w:rPr>
              <w:t>328,202</w:t>
            </w:r>
          </w:p>
        </w:tc>
        <w:tc>
          <w:tcPr>
            <w:tcW w:w="940" w:type="dxa"/>
            <w:vAlign w:val="bottom"/>
          </w:tcPr>
          <w:p>
            <w:pPr>
              <w:jc w:val="right"/>
              <w:spacing w:after="0" w:line="173" w:lineRule="exact"/>
              <w:rPr>
                <w:sz w:val="20"/>
                <w:szCs w:val="20"/>
                <w:color w:val="auto"/>
              </w:rPr>
            </w:pPr>
            <w:r>
              <w:rPr>
                <w:rFonts w:ascii="Arial" w:cs="Arial" w:eastAsia="Arial" w:hAnsi="Arial"/>
                <w:sz w:val="18"/>
                <w:szCs w:val="18"/>
                <w:color w:val="auto"/>
              </w:rPr>
              <w:t>7.22%</w:t>
            </w:r>
          </w:p>
        </w:tc>
        <w:tc>
          <w:tcPr>
            <w:tcW w:w="86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8"/>
                <w:szCs w:val="18"/>
                <w:color w:val="auto"/>
              </w:rPr>
              <w:t>26.84%</w:t>
            </w:r>
          </w:p>
        </w:tc>
        <w:tc>
          <w:tcPr>
            <w:tcW w:w="1020" w:type="dxa"/>
            <w:vAlign w:val="bottom"/>
          </w:tcPr>
          <w:p>
            <w:pPr>
              <w:jc w:val="right"/>
              <w:spacing w:after="0" w:line="173" w:lineRule="exact"/>
              <w:rPr>
                <w:sz w:val="20"/>
                <w:szCs w:val="20"/>
                <w:color w:val="auto"/>
              </w:rPr>
            </w:pPr>
            <w:r>
              <w:rPr>
                <w:rFonts w:ascii="Arial" w:cs="Arial" w:eastAsia="Arial" w:hAnsi="Arial"/>
                <w:sz w:val="18"/>
                <w:szCs w:val="18"/>
                <w:color w:val="auto"/>
              </w:rPr>
              <w:t>718,794</w:t>
            </w:r>
          </w:p>
        </w:tc>
        <w:tc>
          <w:tcPr>
            <w:tcW w:w="90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8"/>
                <w:szCs w:val="18"/>
                <w:color w:val="auto"/>
              </w:rPr>
              <w:t>924,494</w:t>
            </w:r>
          </w:p>
        </w:tc>
        <w:tc>
          <w:tcPr>
            <w:tcW w:w="140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8"/>
                <w:szCs w:val="18"/>
                <w:color w:val="auto"/>
              </w:rPr>
              <w:t>28.62%</w:t>
            </w:r>
          </w:p>
        </w:tc>
      </w:tr>
      <w:tr>
        <w:trPr>
          <w:trHeight w:val="201"/>
        </w:trPr>
        <w:tc>
          <w:tcPr>
            <w:tcW w:w="36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5"/>
                <w:szCs w:val="15"/>
                <w:color w:val="auto"/>
              </w:rPr>
              <w:t xml:space="preserve">Liability accounts </w:t>
            </w:r>
            <w:r>
              <w:rPr>
                <w:rFonts w:ascii="Arial" w:cs="Arial" w:eastAsia="Arial" w:hAnsi="Arial"/>
                <w:sz w:val="23"/>
                <w:szCs w:val="23"/>
                <w:color w:val="auto"/>
                <w:vertAlign w:val="superscript"/>
              </w:rPr>
              <w:t>(2)</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226,051</w:t>
            </w:r>
          </w:p>
        </w:tc>
        <w:tc>
          <w:tcPr>
            <w:tcW w:w="8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234,038</w:t>
            </w:r>
          </w:p>
        </w:tc>
        <w:tc>
          <w:tcPr>
            <w:tcW w:w="7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237,873</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1.64%</w:t>
            </w:r>
          </w:p>
        </w:tc>
        <w:tc>
          <w:tcPr>
            <w:tcW w:w="8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5.23%</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967,842</w:t>
            </w:r>
          </w:p>
        </w:tc>
        <w:tc>
          <w:tcPr>
            <w:tcW w:w="9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1,061,962</w:t>
            </w:r>
          </w:p>
        </w:tc>
        <w:tc>
          <w:tcPr>
            <w:tcW w:w="14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9.72%</w:t>
            </w:r>
          </w:p>
        </w:tc>
      </w:tr>
      <w:tr>
        <w:trPr>
          <w:trHeight w:val="210"/>
        </w:trPr>
        <w:tc>
          <w:tcPr>
            <w:tcW w:w="3600" w:type="dxa"/>
            <w:vAlign w:val="bottom"/>
            <w:tcBorders>
              <w:left w:val="single" w:sz="8" w:color="auto"/>
              <w:right w:val="single" w:sz="8" w:color="auto"/>
            </w:tcBorders>
          </w:tcPr>
          <w:p>
            <w:pPr>
              <w:ind w:left="40"/>
              <w:spacing w:after="0" w:line="210" w:lineRule="exact"/>
              <w:rPr>
                <w:sz w:val="20"/>
                <w:szCs w:val="20"/>
                <w:color w:val="auto"/>
              </w:rPr>
            </w:pPr>
            <w:r>
              <w:rPr>
                <w:rFonts w:ascii="Arial" w:cs="Arial" w:eastAsia="Arial" w:hAnsi="Arial"/>
                <w:sz w:val="15"/>
                <w:szCs w:val="15"/>
                <w:color w:val="auto"/>
              </w:rPr>
              <w:t xml:space="preserve">Loan Disbursement </w:t>
            </w:r>
            <w:r>
              <w:rPr>
                <w:rFonts w:ascii="Arial" w:cs="Arial" w:eastAsia="Arial" w:hAnsi="Arial"/>
                <w:sz w:val="24"/>
                <w:szCs w:val="24"/>
                <w:color w:val="auto"/>
                <w:vertAlign w:val="superscript"/>
              </w:rPr>
              <w:t>(3)</w:t>
            </w:r>
          </w:p>
        </w:tc>
        <w:tc>
          <w:tcPr>
            <w:tcW w:w="880" w:type="dxa"/>
            <w:vAlign w:val="bottom"/>
          </w:tcPr>
          <w:p>
            <w:pPr>
              <w:jc w:val="right"/>
              <w:spacing w:after="0"/>
              <w:rPr>
                <w:sz w:val="20"/>
                <w:szCs w:val="20"/>
                <w:color w:val="auto"/>
              </w:rPr>
            </w:pPr>
            <w:r>
              <w:rPr>
                <w:rFonts w:ascii="Arial" w:cs="Arial" w:eastAsia="Arial" w:hAnsi="Arial"/>
                <w:sz w:val="18"/>
                <w:szCs w:val="18"/>
                <w:color w:val="auto"/>
              </w:rPr>
              <w:t>67,644</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91,940</w:t>
            </w: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100,721</w:t>
            </w:r>
          </w:p>
        </w:tc>
        <w:tc>
          <w:tcPr>
            <w:tcW w:w="940" w:type="dxa"/>
            <w:vAlign w:val="bottom"/>
          </w:tcPr>
          <w:p>
            <w:pPr>
              <w:jc w:val="right"/>
              <w:spacing w:after="0"/>
              <w:rPr>
                <w:sz w:val="20"/>
                <w:szCs w:val="20"/>
                <w:color w:val="auto"/>
              </w:rPr>
            </w:pPr>
            <w:r>
              <w:rPr>
                <w:rFonts w:ascii="Arial" w:cs="Arial" w:eastAsia="Arial" w:hAnsi="Arial"/>
                <w:sz w:val="18"/>
                <w:szCs w:val="18"/>
                <w:color w:val="auto"/>
              </w:rPr>
              <w:t>9.55%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020" w:type="dxa"/>
            <w:vAlign w:val="bottom"/>
          </w:tcPr>
          <w:p>
            <w:pPr>
              <w:jc w:val="right"/>
              <w:spacing w:after="0"/>
              <w:rPr>
                <w:sz w:val="20"/>
                <w:szCs w:val="20"/>
                <w:color w:val="auto"/>
              </w:rPr>
            </w:pPr>
            <w:r>
              <w:rPr>
                <w:rFonts w:ascii="Arial" w:cs="Arial" w:eastAsia="Arial" w:hAnsi="Arial"/>
                <w:sz w:val="18"/>
                <w:szCs w:val="18"/>
                <w:color w:val="auto"/>
              </w:rPr>
              <w:t>868,872</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973,104</w:t>
            </w:r>
          </w:p>
        </w:tc>
        <w:tc>
          <w:tcPr>
            <w:tcW w:w="14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12.00%</w:t>
            </w:r>
          </w:p>
        </w:tc>
      </w:tr>
      <w:tr>
        <w:trPr>
          <w:trHeight w:val="201"/>
        </w:trPr>
        <w:tc>
          <w:tcPr>
            <w:tcW w:w="36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Off-balance sheet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65,919</w:t>
            </w:r>
          </w:p>
        </w:tc>
        <w:tc>
          <w:tcPr>
            <w:tcW w:w="8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59,304</w:t>
            </w:r>
          </w:p>
        </w:tc>
        <w:tc>
          <w:tcPr>
            <w:tcW w:w="7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60,283</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1.65%</w:t>
            </w:r>
          </w:p>
        </w:tc>
        <w:tc>
          <w:tcPr>
            <w:tcW w:w="8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-8.55%</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419,644</w:t>
            </w:r>
          </w:p>
        </w:tc>
        <w:tc>
          <w:tcPr>
            <w:tcW w:w="9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463,194</w:t>
            </w:r>
          </w:p>
        </w:tc>
        <w:tc>
          <w:tcPr>
            <w:tcW w:w="14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10.38%</w:t>
            </w:r>
          </w:p>
        </w:tc>
      </w:tr>
      <w:tr>
        <w:trPr>
          <w:trHeight w:val="201"/>
        </w:trPr>
        <w:tc>
          <w:tcPr>
            <w:tcW w:w="36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Mibanco (Peru and Colombia)</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26,046</w:t>
            </w:r>
          </w:p>
        </w:tc>
        <w:tc>
          <w:tcPr>
            <w:tcW w:w="8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35,190</w:t>
            </w:r>
          </w:p>
        </w:tc>
        <w:tc>
          <w:tcPr>
            <w:tcW w:w="7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32,258</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-8.33%</w:t>
            </w:r>
          </w:p>
        </w:tc>
        <w:tc>
          <w:tcPr>
            <w:tcW w:w="8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23.85%</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252,217</w:t>
            </w:r>
          </w:p>
        </w:tc>
        <w:tc>
          <w:tcPr>
            <w:tcW w:w="9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280,681</w:t>
            </w:r>
          </w:p>
        </w:tc>
        <w:tc>
          <w:tcPr>
            <w:tcW w:w="14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11.29%</w:t>
            </w:r>
          </w:p>
        </w:tc>
      </w:tr>
      <w:tr>
        <w:trPr>
          <w:trHeight w:val="201"/>
        </w:trPr>
        <w:tc>
          <w:tcPr>
            <w:tcW w:w="36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Insurances</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28,713</w:t>
            </w:r>
          </w:p>
        </w:tc>
        <w:tc>
          <w:tcPr>
            <w:tcW w:w="8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28,823</w:t>
            </w:r>
          </w:p>
        </w:tc>
        <w:tc>
          <w:tcPr>
            <w:tcW w:w="7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31,382</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8.88%</w:t>
            </w:r>
          </w:p>
        </w:tc>
        <w:tc>
          <w:tcPr>
            <w:tcW w:w="8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9.29%</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148,641</w:t>
            </w:r>
          </w:p>
        </w:tc>
        <w:tc>
          <w:tcPr>
            <w:tcW w:w="9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191,232</w:t>
            </w:r>
          </w:p>
        </w:tc>
        <w:tc>
          <w:tcPr>
            <w:tcW w:w="14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28.65%</w:t>
            </w:r>
          </w:p>
        </w:tc>
      </w:tr>
      <w:tr>
        <w:trPr>
          <w:trHeight w:val="201"/>
        </w:trPr>
        <w:tc>
          <w:tcPr>
            <w:tcW w:w="36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BCP Bolivia</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30,494</w:t>
            </w:r>
          </w:p>
        </w:tc>
        <w:tc>
          <w:tcPr>
            <w:tcW w:w="8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25,470</w:t>
            </w:r>
          </w:p>
        </w:tc>
        <w:tc>
          <w:tcPr>
            <w:tcW w:w="7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26,296</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3.24%</w:t>
            </w:r>
          </w:p>
        </w:tc>
        <w:tc>
          <w:tcPr>
            <w:tcW w:w="8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-13.77%</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178,383</w:t>
            </w:r>
          </w:p>
        </w:tc>
        <w:tc>
          <w:tcPr>
            <w:tcW w:w="9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169,674</w:t>
            </w:r>
          </w:p>
        </w:tc>
        <w:tc>
          <w:tcPr>
            <w:tcW w:w="14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-4.88%</w:t>
            </w:r>
          </w:p>
        </w:tc>
      </w:tr>
      <w:tr>
        <w:trPr>
          <w:trHeight w:val="201"/>
        </w:trPr>
        <w:tc>
          <w:tcPr>
            <w:tcW w:w="36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9"/>
              </w:rPr>
              <w:t>Wealth Management and Corporate Finance</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24,545</w:t>
            </w:r>
          </w:p>
        </w:tc>
        <w:tc>
          <w:tcPr>
            <w:tcW w:w="8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18,126</w:t>
            </w:r>
          </w:p>
        </w:tc>
        <w:tc>
          <w:tcPr>
            <w:tcW w:w="7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15,593</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-13.97%</w:t>
            </w:r>
          </w:p>
        </w:tc>
        <w:tc>
          <w:tcPr>
            <w:tcW w:w="8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-36.47%</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153,577</w:t>
            </w:r>
          </w:p>
        </w:tc>
        <w:tc>
          <w:tcPr>
            <w:tcW w:w="9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131,670</w:t>
            </w:r>
          </w:p>
        </w:tc>
        <w:tc>
          <w:tcPr>
            <w:tcW w:w="14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-14.26%</w:t>
            </w:r>
          </w:p>
        </w:tc>
      </w:tr>
      <w:tr>
        <w:trPr>
          <w:trHeight w:val="192"/>
        </w:trPr>
        <w:tc>
          <w:tcPr>
            <w:tcW w:w="360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18"/>
                <w:szCs w:val="18"/>
                <w:color w:val="auto"/>
              </w:rPr>
              <w:t>ASB</w:t>
            </w:r>
          </w:p>
        </w:tc>
        <w:tc>
          <w:tcPr>
            <w:tcW w:w="880" w:type="dxa"/>
            <w:vAlign w:val="bottom"/>
          </w:tcPr>
          <w:p>
            <w:pPr>
              <w:jc w:val="right"/>
              <w:spacing w:after="0" w:line="192" w:lineRule="exact"/>
              <w:rPr>
                <w:sz w:val="20"/>
                <w:szCs w:val="20"/>
                <w:color w:val="auto"/>
              </w:rPr>
            </w:pPr>
            <w:r>
              <w:rPr>
                <w:rFonts w:ascii="Arial" w:cs="Arial" w:eastAsia="Arial" w:hAnsi="Arial"/>
                <w:sz w:val="18"/>
                <w:szCs w:val="18"/>
                <w:color w:val="auto"/>
              </w:rPr>
              <w:t>7,385</w:t>
            </w:r>
          </w:p>
        </w:tc>
        <w:tc>
          <w:tcPr>
            <w:tcW w:w="880" w:type="dxa"/>
            <w:vAlign w:val="bottom"/>
          </w:tcPr>
          <w:p>
            <w:pPr>
              <w:jc w:val="right"/>
              <w:ind w:right="11"/>
              <w:spacing w:after="0" w:line="192" w:lineRule="exact"/>
              <w:rPr>
                <w:sz w:val="20"/>
                <w:szCs w:val="20"/>
                <w:color w:val="auto"/>
              </w:rPr>
            </w:pPr>
            <w:r>
              <w:rPr>
                <w:rFonts w:ascii="Arial" w:cs="Arial" w:eastAsia="Arial" w:hAnsi="Arial"/>
                <w:sz w:val="18"/>
                <w:szCs w:val="18"/>
                <w:color w:val="auto"/>
              </w:rPr>
              <w:t>9,483</w:t>
            </w:r>
          </w:p>
        </w:tc>
        <w:tc>
          <w:tcPr>
            <w:tcW w:w="76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18"/>
                <w:szCs w:val="18"/>
                <w:color w:val="auto"/>
              </w:rPr>
              <w:t>10,422</w:t>
            </w:r>
          </w:p>
        </w:tc>
        <w:tc>
          <w:tcPr>
            <w:tcW w:w="940" w:type="dxa"/>
            <w:vAlign w:val="bottom"/>
          </w:tcPr>
          <w:p>
            <w:pPr>
              <w:jc w:val="right"/>
              <w:spacing w:after="0" w:line="192" w:lineRule="exact"/>
              <w:rPr>
                <w:sz w:val="20"/>
                <w:szCs w:val="20"/>
                <w:color w:val="auto"/>
              </w:rPr>
            </w:pPr>
            <w:r>
              <w:rPr>
                <w:rFonts w:ascii="Arial" w:cs="Arial" w:eastAsia="Arial" w:hAnsi="Arial"/>
                <w:sz w:val="18"/>
                <w:szCs w:val="18"/>
                <w:color w:val="auto"/>
              </w:rPr>
              <w:t>9.90%</w:t>
            </w:r>
          </w:p>
        </w:tc>
        <w:tc>
          <w:tcPr>
            <w:tcW w:w="86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18"/>
                <w:szCs w:val="18"/>
                <w:color w:val="auto"/>
              </w:rPr>
              <w:t>41.13%</w:t>
            </w:r>
          </w:p>
        </w:tc>
        <w:tc>
          <w:tcPr>
            <w:tcW w:w="1020" w:type="dxa"/>
            <w:vAlign w:val="bottom"/>
          </w:tcPr>
          <w:p>
            <w:pPr>
              <w:jc w:val="right"/>
              <w:spacing w:after="0" w:line="192" w:lineRule="exact"/>
              <w:rPr>
                <w:sz w:val="20"/>
                <w:szCs w:val="20"/>
                <w:color w:val="auto"/>
              </w:rPr>
            </w:pPr>
            <w:r>
              <w:rPr>
                <w:rFonts w:ascii="Arial" w:cs="Arial" w:eastAsia="Arial" w:hAnsi="Arial"/>
                <w:sz w:val="18"/>
                <w:szCs w:val="18"/>
                <w:color w:val="auto"/>
              </w:rPr>
              <w:t>89,713</w:t>
            </w:r>
          </w:p>
        </w:tc>
        <w:tc>
          <w:tcPr>
            <w:tcW w:w="90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18"/>
                <w:szCs w:val="18"/>
                <w:color w:val="auto"/>
              </w:rPr>
              <w:t>84,689</w:t>
            </w:r>
          </w:p>
        </w:tc>
        <w:tc>
          <w:tcPr>
            <w:tcW w:w="140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18"/>
                <w:szCs w:val="18"/>
                <w:color w:val="auto"/>
              </w:rPr>
              <w:t>-5.60%</w:t>
            </w:r>
          </w:p>
        </w:tc>
      </w:tr>
      <w:tr>
        <w:trPr>
          <w:trHeight w:val="236"/>
        </w:trPr>
        <w:tc>
          <w:tcPr>
            <w:tcW w:w="3600" w:type="dxa"/>
            <w:vAlign w:val="bottom"/>
            <w:tcBorders>
              <w:left w:val="single" w:sz="8" w:color="auto"/>
              <w:bottom w:val="single" w:sz="8" w:color="auto"/>
              <w:right w:val="single" w:sz="8" w:color="auto"/>
            </w:tcBorders>
          </w:tcPr>
          <w:p>
            <w:pPr>
              <w:ind w:left="40"/>
              <w:spacing w:after="0" w:line="228" w:lineRule="exact"/>
              <w:rPr>
                <w:sz w:val="20"/>
                <w:szCs w:val="20"/>
                <w:color w:val="auto"/>
              </w:rPr>
            </w:pPr>
            <w:r>
              <w:rPr>
                <w:rFonts w:ascii="Arial" w:cs="Arial" w:eastAsia="Arial" w:hAnsi="Arial"/>
                <w:sz w:val="16"/>
                <w:szCs w:val="16"/>
                <w:color w:val="auto"/>
              </w:rPr>
              <w:t xml:space="preserve">Others </w:t>
            </w:r>
            <w:r>
              <w:rPr>
                <w:rFonts w:ascii="Arial" w:cs="Arial" w:eastAsia="Arial" w:hAnsi="Arial"/>
                <w:sz w:val="26"/>
                <w:szCs w:val="26"/>
                <w:color w:val="auto"/>
                <w:vertAlign w:val="superscript"/>
              </w:rPr>
              <w:t>(4)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15,131</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-1,145</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329.84%</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-132.53%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65,082</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30,714</w:t>
            </w:r>
          </w:p>
        </w:tc>
        <w:tc>
          <w:tcPr>
            <w:tcW w:w="14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-52.81%</w:t>
            </w:r>
          </w:p>
        </w:tc>
      </w:tr>
      <w:tr>
        <w:trPr>
          <w:trHeight w:val="208"/>
        </w:trPr>
        <w:tc>
          <w:tcPr>
            <w:tcW w:w="360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Total</w:t>
            </w:r>
          </w:p>
        </w:tc>
        <w:tc>
          <w:tcPr>
            <w:tcW w:w="8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750,683</w:t>
            </w:r>
          </w:p>
        </w:tc>
        <w:tc>
          <w:tcPr>
            <w:tcW w:w="88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b w:val="1"/>
                <w:bCs w:val="1"/>
                <w:color w:val="auto"/>
              </w:rPr>
              <w:t>807,324</w:t>
            </w:r>
          </w:p>
        </w:tc>
        <w:tc>
          <w:tcPr>
            <w:tcW w:w="76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838,108</w:t>
            </w:r>
          </w:p>
        </w:tc>
        <w:tc>
          <w:tcPr>
            <w:tcW w:w="94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3.81%</w:t>
            </w:r>
          </w:p>
        </w:tc>
        <w:tc>
          <w:tcPr>
            <w:tcW w:w="86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11.65%</w:t>
            </w:r>
          </w:p>
        </w:tc>
        <w:tc>
          <w:tcPr>
            <w:tcW w:w="10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3,862,766</w:t>
            </w:r>
          </w:p>
        </w:tc>
        <w:tc>
          <w:tcPr>
            <w:tcW w:w="9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4,311,414</w:t>
            </w:r>
          </w:p>
        </w:tc>
        <w:tc>
          <w:tcPr>
            <w:tcW w:w="140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11.61%</w:t>
            </w:r>
          </w:p>
        </w:tc>
      </w:tr>
    </w:tbl>
    <w:p>
      <w:pPr>
        <w:spacing w:after="0" w:line="233" w:lineRule="exact"/>
        <w:rPr>
          <w:sz w:val="20"/>
          <w:szCs w:val="20"/>
          <w:color w:val="auto"/>
        </w:rPr>
      </w:pPr>
    </w:p>
    <w:p>
      <w:pPr>
        <w:ind w:left="180" w:hanging="173"/>
        <w:spacing w:after="0"/>
        <w:tabs>
          <w:tab w:leader="none" w:pos="1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Corresponds to fees from: credit and debit cards; payments and collections.</w:t>
      </w:r>
    </w:p>
    <w:p>
      <w:pPr>
        <w:spacing w:after="0" w:line="7"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Corresponds to fees from: Account maintenance, interbank transfers, national money orders y international transfers.</w:t>
      </w:r>
    </w:p>
    <w:p>
      <w:pPr>
        <w:ind w:left="180" w:hanging="173"/>
        <w:spacing w:after="0" w:line="232" w:lineRule="auto"/>
        <w:tabs>
          <w:tab w:leader="none" w:pos="1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Corresponds to fees from retail and wholesale loan disbursements.</w:t>
      </w:r>
    </w:p>
    <w:p>
      <w:pPr>
        <w:ind w:left="180" w:hanging="173"/>
        <w:spacing w:after="0"/>
        <w:tabs>
          <w:tab w:leader="none" w:pos="18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of third-party network, other services to third parties and Commissions in foreign branches.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Fee income for banking services followed an upward trajectory </w:t>
      </w:r>
      <w:r>
        <w:rPr>
          <w:rFonts w:ascii="Times New Roman" w:cs="Times New Roman" w:eastAsia="Times New Roman" w:hAnsi="Times New Roman"/>
          <w:sz w:val="18"/>
          <w:szCs w:val="18"/>
          <w:b w:val="1"/>
          <w:bCs w:val="1"/>
          <w:color w:val="auto"/>
        </w:rPr>
        <w:t>QoQ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YTD</w:t>
      </w:r>
      <w:r>
        <w:rPr>
          <w:rFonts w:ascii="Times New Roman" w:cs="Times New Roman" w:eastAsia="Times New Roman" w:hAnsi="Times New Roman"/>
          <w:sz w:val="18"/>
          <w:szCs w:val="18"/>
          <w:color w:val="auto"/>
        </w:rPr>
        <w:t xml:space="preserve"> due to:</w:t>
      </w:r>
    </w:p>
    <w:p>
      <w:pPr>
        <w:spacing w:after="0" w:line="252" w:lineRule="exact"/>
        <w:rPr>
          <w:sz w:val="20"/>
          <w:szCs w:val="20"/>
          <w:color w:val="auto"/>
        </w:rPr>
      </w:pPr>
    </w:p>
    <w:p>
      <w:pPr>
        <w:jc w:val="both"/>
        <w:ind w:left="980" w:hanging="652"/>
        <w:spacing w:after="0" w:line="24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Growth in transactions and on-going migration to digital venues and POS, which unlike cash, generate fee income. In the aforementioned context, consumption with debit cards rose 13% QoQ, 76% YoY and 69% YTD while credit card use rose 8% QoQ, 32% YoY and 38% YTD.</w:t>
      </w:r>
    </w:p>
    <w:p>
      <w:pPr>
        <w:spacing w:after="0" w:line="35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33" w:name="page34"/>
    <w:bookmarkEnd w:id="33"/>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ind w:left="360" w:hanging="353"/>
        <w:spacing w:after="0"/>
        <w:tabs>
          <w:tab w:leader="none" w:pos="360" w:val="left"/>
        </w:tabs>
        <w:numPr>
          <w:ilvl w:val="0"/>
          <w:numId w:val="32"/>
        </w:numPr>
        <w:rPr>
          <w:rFonts w:ascii="Arial" w:cs="Arial" w:eastAsia="Arial" w:hAnsi="Arial"/>
          <w:sz w:val="21"/>
          <w:szCs w:val="21"/>
          <w:b w:val="1"/>
          <w:bCs w:val="1"/>
          <w:color w:val="FFFFFF"/>
        </w:rPr>
      </w:pPr>
      <w:r>
        <w:rPr>
          <w:rFonts w:ascii="Arial" w:cs="Arial" w:eastAsia="Arial" w:hAnsi="Arial"/>
          <w:sz w:val="21"/>
          <w:szCs w:val="21"/>
          <w:b w:val="1"/>
          <w:bCs w:val="1"/>
          <w:color w:val="FFFFFF"/>
        </w:rPr>
        <w:t>Other Income</w:t>
      </w:r>
    </w:p>
    <w:p>
      <w:pPr>
        <w:spacing w:after="0" w:line="397" w:lineRule="exact"/>
        <w:rPr>
          <w:rFonts w:ascii="Arial" w:cs="Arial" w:eastAsia="Arial" w:hAnsi="Arial"/>
          <w:sz w:val="21"/>
          <w:szCs w:val="21"/>
          <w:b w:val="1"/>
          <w:bCs w:val="1"/>
          <w:color w:val="FFFFFF"/>
        </w:rPr>
      </w:pPr>
    </w:p>
    <w:p>
      <w:pPr>
        <w:ind w:left="980" w:hanging="652"/>
        <w:spacing w:after="0" w:line="265"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Growth in fees for credit disbursements, which rose QoQ due to an uptick of 34% in loans for foreign trade and YoY and YTD in personal loans, via increases of 49% and 65% respectively.</w:t>
      </w:r>
    </w:p>
    <w:p>
      <w:pPr>
        <w:spacing w:after="0" w:line="185" w:lineRule="exact"/>
        <w:rPr>
          <w:rFonts w:ascii="Arial" w:cs="Arial" w:eastAsia="Arial" w:hAnsi="Arial"/>
          <w:sz w:val="18"/>
          <w:szCs w:val="18"/>
          <w:color w:val="auto"/>
        </w:rPr>
      </w:pPr>
    </w:p>
    <w:p>
      <w:pPr>
        <w:ind w:left="980" w:hanging="652"/>
        <w:spacing w:after="0" w:line="265" w:lineRule="auto"/>
        <w:tabs>
          <w:tab w:leader="none" w:pos="9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Growth in fees for passive account maintenance and interbank transfers. Interbank transfers increased 21% QoQ, 53% YoY and 58% YTD.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-1085215</wp:posOffset>
            </wp:positionV>
            <wp:extent cx="7133590" cy="24638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3590" cy="24638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was partially offset by a decrease in fees relative to Mutual Funds, which was in term associated with a drop in the AUM level.</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 Other non-core income</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12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Non-core Other income</w:t>
            </w:r>
          </w:p>
        </w:tc>
        <w:tc>
          <w:tcPr>
            <w:tcW w:w="1180" w:type="dxa"/>
            <w:vAlign w:val="bottom"/>
            <w:tcBorders>
              <w:top w:val="single" w:sz="8" w:color="auto"/>
            </w:tcBorders>
            <w:shd w:val="clear" w:color="auto" w:fill="2AD2C9"/>
          </w:tcPr>
          <w:p>
            <w:pPr>
              <w:spacing w:after="0"/>
              <w:rPr>
                <w:sz w:val="18"/>
                <w:szCs w:val="18"/>
                <w:color w:val="auto"/>
              </w:rPr>
            </w:pPr>
          </w:p>
        </w:tc>
        <w:tc>
          <w:tcPr>
            <w:tcW w:w="1140" w:type="dxa"/>
            <w:vAlign w:val="bottom"/>
            <w:tcBorders>
              <w:top w:val="single" w:sz="8" w:color="auto"/>
            </w:tcBorders>
            <w:shd w:val="clear" w:color="auto" w:fill="2AD2C9"/>
          </w:tcPr>
          <w:p>
            <w:pPr>
              <w:jc w:val="right"/>
              <w:ind w:right="271"/>
              <w:spacing w:after="0"/>
              <w:rPr>
                <w:sz w:val="20"/>
                <w:szCs w:val="20"/>
                <w:color w:val="auto"/>
              </w:rPr>
            </w:pPr>
            <w:r>
              <w:rPr>
                <w:rFonts w:ascii="Arial" w:cs="Arial" w:eastAsia="Arial" w:hAnsi="Arial"/>
                <w:sz w:val="18"/>
                <w:szCs w:val="18"/>
                <w:b w:val="1"/>
                <w:bCs w:val="1"/>
                <w:color w:val="FFFFFF"/>
              </w:rPr>
              <w:t>Quarter</w:t>
            </w:r>
          </w:p>
        </w:tc>
        <w:tc>
          <w:tcPr>
            <w:tcW w:w="960" w:type="dxa"/>
            <w:vAlign w:val="bottom"/>
            <w:tcBorders>
              <w:top w:val="single" w:sz="8" w:color="auto"/>
              <w:right w:val="single" w:sz="8" w:color="auto"/>
            </w:tcBorders>
            <w:shd w:val="clear" w:color="auto" w:fill="2AD2C9"/>
          </w:tcPr>
          <w:p>
            <w:pPr>
              <w:spacing w:after="0"/>
              <w:rPr>
                <w:sz w:val="18"/>
                <w:szCs w:val="18"/>
                <w:color w:val="auto"/>
              </w:rPr>
            </w:pPr>
          </w:p>
        </w:tc>
        <w:tc>
          <w:tcPr>
            <w:tcW w:w="1360" w:type="dxa"/>
            <w:vAlign w:val="bottom"/>
            <w:tcBorders>
              <w:top w:val="single" w:sz="8" w:color="auto"/>
              <w:right w:val="single" w:sz="8" w:color="auto"/>
            </w:tcBorders>
            <w:gridSpan w:val="2"/>
            <w:shd w:val="clear" w:color="auto" w:fill="2AD2C9"/>
          </w:tcPr>
          <w:p>
            <w:pPr>
              <w:ind w:left="240"/>
              <w:spacing w:after="0"/>
              <w:rPr>
                <w:sz w:val="20"/>
                <w:szCs w:val="20"/>
                <w:color w:val="auto"/>
              </w:rPr>
            </w:pPr>
            <w:r>
              <w:rPr>
                <w:rFonts w:ascii="Arial" w:cs="Arial" w:eastAsia="Arial" w:hAnsi="Arial"/>
                <w:sz w:val="18"/>
                <w:szCs w:val="18"/>
                <w:b w:val="1"/>
                <w:bCs w:val="1"/>
                <w:color w:val="FFFFFF"/>
              </w:rPr>
              <w:t>% Change</w:t>
            </w:r>
          </w:p>
        </w:tc>
        <w:tc>
          <w:tcPr>
            <w:tcW w:w="132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8"/>
                <w:szCs w:val="18"/>
                <w:b w:val="1"/>
                <w:bCs w:val="1"/>
                <w:color w:val="FFFFFF"/>
              </w:rPr>
              <w:t>As of</w:t>
            </w:r>
          </w:p>
        </w:tc>
        <w:tc>
          <w:tcPr>
            <w:tcW w:w="880" w:type="dxa"/>
            <w:vAlign w:val="bottom"/>
            <w:tcBorders>
              <w:top w:val="single" w:sz="8" w:color="auto"/>
              <w:right w:val="single" w:sz="8" w:color="auto"/>
            </w:tcBorders>
            <w:shd w:val="clear" w:color="auto" w:fill="2AD2C9"/>
          </w:tcPr>
          <w:p>
            <w:pPr>
              <w:spacing w:after="0"/>
              <w:rPr>
                <w:sz w:val="18"/>
                <w:szCs w:val="18"/>
                <w:color w:val="auto"/>
              </w:rPr>
            </w:pPr>
          </w:p>
        </w:tc>
        <w:tc>
          <w:tcPr>
            <w:tcW w:w="128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 Change</w:t>
            </w:r>
          </w:p>
        </w:tc>
      </w:tr>
      <w:tr>
        <w:trPr>
          <w:trHeight w:val="226"/>
        </w:trPr>
        <w:tc>
          <w:tcPr>
            <w:tcW w:w="312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1180" w:type="dxa"/>
            <w:vAlign w:val="bottom"/>
            <w:tcBorders>
              <w:bottom w:val="single" w:sz="8" w:color="auto"/>
            </w:tcBorders>
            <w:shd w:val="clear" w:color="auto" w:fill="2AD2C9"/>
          </w:tcPr>
          <w:p>
            <w:pPr>
              <w:jc w:val="right"/>
              <w:ind w:right="331"/>
              <w:spacing w:after="0"/>
              <w:rPr>
                <w:sz w:val="20"/>
                <w:szCs w:val="20"/>
                <w:color w:val="auto"/>
              </w:rPr>
            </w:pPr>
            <w:r>
              <w:rPr>
                <w:rFonts w:ascii="Arial" w:cs="Arial" w:eastAsia="Arial" w:hAnsi="Arial"/>
                <w:sz w:val="18"/>
                <w:szCs w:val="18"/>
                <w:b w:val="1"/>
                <w:bCs w:val="1"/>
                <w:color w:val="FFFFFF"/>
              </w:rPr>
              <w:t>3Q21</w:t>
            </w:r>
          </w:p>
        </w:tc>
        <w:tc>
          <w:tcPr>
            <w:tcW w:w="1140" w:type="dxa"/>
            <w:vAlign w:val="bottom"/>
            <w:tcBorders>
              <w:bottom w:val="single" w:sz="8" w:color="auto"/>
            </w:tcBorders>
            <w:shd w:val="clear" w:color="auto" w:fill="2AD2C9"/>
          </w:tcPr>
          <w:p>
            <w:pPr>
              <w:jc w:val="right"/>
              <w:ind w:right="411"/>
              <w:spacing w:after="0"/>
              <w:rPr>
                <w:sz w:val="20"/>
                <w:szCs w:val="20"/>
                <w:color w:val="auto"/>
              </w:rPr>
            </w:pPr>
            <w:r>
              <w:rPr>
                <w:rFonts w:ascii="Arial" w:cs="Arial" w:eastAsia="Arial" w:hAnsi="Arial"/>
                <w:sz w:val="18"/>
                <w:szCs w:val="18"/>
                <w:b w:val="1"/>
                <w:bCs w:val="1"/>
                <w:color w:val="FFFFFF"/>
              </w:rPr>
              <w:t>2Q22</w:t>
            </w:r>
          </w:p>
        </w:tc>
        <w:tc>
          <w:tcPr>
            <w:tcW w:w="960" w:type="dxa"/>
            <w:vAlign w:val="bottom"/>
            <w:tcBorders>
              <w:bottom w:val="single" w:sz="8" w:color="auto"/>
              <w:right w:val="single" w:sz="8" w:color="auto"/>
            </w:tcBorders>
            <w:shd w:val="clear" w:color="auto" w:fill="2AD2C9"/>
          </w:tcPr>
          <w:p>
            <w:pPr>
              <w:jc w:val="right"/>
              <w:ind w:right="271"/>
              <w:spacing w:after="0"/>
              <w:rPr>
                <w:sz w:val="20"/>
                <w:szCs w:val="20"/>
                <w:color w:val="auto"/>
              </w:rPr>
            </w:pPr>
            <w:r>
              <w:rPr>
                <w:rFonts w:ascii="Arial" w:cs="Arial" w:eastAsia="Arial" w:hAnsi="Arial"/>
                <w:sz w:val="18"/>
                <w:szCs w:val="18"/>
                <w:b w:val="1"/>
                <w:bCs w:val="1"/>
                <w:color w:val="FFFFFF"/>
              </w:rPr>
              <w:t>3Q22</w:t>
            </w:r>
          </w:p>
        </w:tc>
        <w:tc>
          <w:tcPr>
            <w:tcW w:w="6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QoQ</w:t>
            </w:r>
          </w:p>
        </w:tc>
        <w:tc>
          <w:tcPr>
            <w:tcW w:w="680" w:type="dxa"/>
            <w:vAlign w:val="bottom"/>
            <w:tcBorders>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8"/>
                <w:szCs w:val="18"/>
                <w:b w:val="1"/>
                <w:bCs w:val="1"/>
                <w:color w:val="FFFFFF"/>
              </w:rPr>
              <w:t>YoY</w:t>
            </w:r>
          </w:p>
        </w:tc>
        <w:tc>
          <w:tcPr>
            <w:tcW w:w="1320" w:type="dxa"/>
            <w:vAlign w:val="bottom"/>
            <w:tcBorders>
              <w:bottom w:val="single" w:sz="8" w:color="auto"/>
            </w:tcBorders>
            <w:shd w:val="clear" w:color="auto" w:fill="2AD2C9"/>
          </w:tcPr>
          <w:p>
            <w:pPr>
              <w:jc w:val="right"/>
              <w:ind w:right="411"/>
              <w:spacing w:after="0"/>
              <w:rPr>
                <w:sz w:val="20"/>
                <w:szCs w:val="20"/>
                <w:color w:val="auto"/>
              </w:rPr>
            </w:pPr>
            <w:r>
              <w:rPr>
                <w:rFonts w:ascii="Arial" w:cs="Arial" w:eastAsia="Arial" w:hAnsi="Arial"/>
                <w:sz w:val="18"/>
                <w:szCs w:val="18"/>
                <w:b w:val="1"/>
                <w:bCs w:val="1"/>
                <w:color w:val="FFFFFF"/>
              </w:rPr>
              <w:t>Sep 21</w:t>
            </w:r>
          </w:p>
        </w:tc>
        <w:tc>
          <w:tcPr>
            <w:tcW w:w="880" w:type="dxa"/>
            <w:vAlign w:val="bottom"/>
            <w:tcBorders>
              <w:bottom w:val="single" w:sz="8" w:color="auto"/>
              <w:right w:val="single" w:sz="8" w:color="auto"/>
            </w:tcBorders>
            <w:shd w:val="clear" w:color="auto" w:fill="2AD2C9"/>
          </w:tcPr>
          <w:p>
            <w:pPr>
              <w:jc w:val="right"/>
              <w:ind w:right="211"/>
              <w:spacing w:after="0"/>
              <w:rPr>
                <w:sz w:val="20"/>
                <w:szCs w:val="20"/>
                <w:color w:val="auto"/>
              </w:rPr>
            </w:pPr>
            <w:r>
              <w:rPr>
                <w:rFonts w:ascii="Arial" w:cs="Arial" w:eastAsia="Arial" w:hAnsi="Arial"/>
                <w:sz w:val="18"/>
                <w:szCs w:val="18"/>
                <w:b w:val="1"/>
                <w:bCs w:val="1"/>
                <w:color w:val="FFFFFF"/>
                <w:w w:val="96"/>
              </w:rPr>
              <w:t>Sep 22</w:t>
            </w:r>
          </w:p>
        </w:tc>
        <w:tc>
          <w:tcPr>
            <w:tcW w:w="12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Sep 22/ Sep 21</w:t>
            </w:r>
          </w:p>
        </w:tc>
      </w:tr>
      <w:tr>
        <w:trPr>
          <w:trHeight w:val="173"/>
        </w:trPr>
        <w:tc>
          <w:tcPr>
            <w:tcW w:w="3120" w:type="dxa"/>
            <w:vAlign w:val="bottom"/>
            <w:tcBorders>
              <w:left w:val="single" w:sz="8" w:color="auto"/>
              <w:right w:val="single" w:sz="8" w:color="auto"/>
            </w:tcBorders>
          </w:tcPr>
          <w:p>
            <w:pPr>
              <w:ind w:left="40"/>
              <w:spacing w:after="0" w:line="173" w:lineRule="exact"/>
              <w:rPr>
                <w:sz w:val="20"/>
                <w:szCs w:val="20"/>
                <w:color w:val="auto"/>
              </w:rPr>
            </w:pPr>
            <w:r>
              <w:rPr>
                <w:rFonts w:ascii="Arial" w:cs="Arial" w:eastAsia="Arial" w:hAnsi="Arial"/>
                <w:sz w:val="18"/>
                <w:szCs w:val="18"/>
                <w:color w:val="auto"/>
              </w:rPr>
              <w:t>Net gain on securities</w:t>
            </w:r>
          </w:p>
        </w:tc>
        <w:tc>
          <w:tcPr>
            <w:tcW w:w="1180" w:type="dxa"/>
            <w:vAlign w:val="bottom"/>
          </w:tcPr>
          <w:p>
            <w:pPr>
              <w:jc w:val="right"/>
              <w:ind w:right="31"/>
              <w:spacing w:after="0" w:line="173" w:lineRule="exact"/>
              <w:rPr>
                <w:sz w:val="20"/>
                <w:szCs w:val="20"/>
                <w:color w:val="auto"/>
              </w:rPr>
            </w:pPr>
            <w:r>
              <w:rPr>
                <w:rFonts w:ascii="Arial" w:cs="Arial" w:eastAsia="Arial" w:hAnsi="Arial"/>
                <w:sz w:val="18"/>
                <w:szCs w:val="18"/>
                <w:color w:val="auto"/>
              </w:rPr>
              <w:t>5,739</w:t>
            </w:r>
          </w:p>
        </w:tc>
        <w:tc>
          <w:tcPr>
            <w:tcW w:w="1140" w:type="dxa"/>
            <w:vAlign w:val="bottom"/>
          </w:tcPr>
          <w:p>
            <w:pPr>
              <w:jc w:val="right"/>
              <w:ind w:right="91"/>
              <w:spacing w:after="0" w:line="173" w:lineRule="exact"/>
              <w:rPr>
                <w:sz w:val="20"/>
                <w:szCs w:val="20"/>
                <w:color w:val="auto"/>
              </w:rPr>
            </w:pPr>
            <w:r>
              <w:rPr>
                <w:rFonts w:ascii="Arial" w:cs="Arial" w:eastAsia="Arial" w:hAnsi="Arial"/>
                <w:sz w:val="18"/>
                <w:szCs w:val="18"/>
                <w:color w:val="auto"/>
              </w:rPr>
              <w:t>(94,180)</w:t>
            </w:r>
          </w:p>
        </w:tc>
        <w:tc>
          <w:tcPr>
            <w:tcW w:w="96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8"/>
                <w:szCs w:val="18"/>
                <w:color w:val="auto"/>
              </w:rPr>
              <w:t>(25,459)</w:t>
            </w:r>
          </w:p>
        </w:tc>
        <w:tc>
          <w:tcPr>
            <w:tcW w:w="680" w:type="dxa"/>
            <w:vAlign w:val="bottom"/>
          </w:tcPr>
          <w:p>
            <w:pPr>
              <w:jc w:val="center"/>
              <w:spacing w:after="0" w:line="173" w:lineRule="exact"/>
              <w:rPr>
                <w:sz w:val="20"/>
                <w:szCs w:val="20"/>
                <w:color w:val="auto"/>
              </w:rPr>
            </w:pPr>
            <w:r>
              <w:rPr>
                <w:rFonts w:ascii="Arial" w:cs="Arial" w:eastAsia="Arial" w:hAnsi="Arial"/>
                <w:sz w:val="18"/>
                <w:szCs w:val="18"/>
                <w:color w:val="auto"/>
                <w:w w:val="99"/>
              </w:rPr>
              <w:t>n.a.</w:t>
            </w:r>
          </w:p>
        </w:tc>
        <w:tc>
          <w:tcPr>
            <w:tcW w:w="680" w:type="dxa"/>
            <w:vAlign w:val="bottom"/>
            <w:tcBorders>
              <w:right w:val="single" w:sz="8" w:color="auto"/>
            </w:tcBorders>
          </w:tcPr>
          <w:p>
            <w:pPr>
              <w:ind w:left="160"/>
              <w:spacing w:after="0" w:line="173" w:lineRule="exact"/>
              <w:rPr>
                <w:sz w:val="20"/>
                <w:szCs w:val="20"/>
                <w:color w:val="auto"/>
              </w:rPr>
            </w:pPr>
            <w:r>
              <w:rPr>
                <w:rFonts w:ascii="Arial" w:cs="Arial" w:eastAsia="Arial" w:hAnsi="Arial"/>
                <w:sz w:val="18"/>
                <w:szCs w:val="18"/>
                <w:color w:val="auto"/>
              </w:rPr>
              <w:t>n.a.</w:t>
            </w:r>
          </w:p>
        </w:tc>
        <w:tc>
          <w:tcPr>
            <w:tcW w:w="1320" w:type="dxa"/>
            <w:vAlign w:val="bottom"/>
          </w:tcPr>
          <w:p>
            <w:pPr>
              <w:jc w:val="right"/>
              <w:ind w:right="151"/>
              <w:spacing w:after="0" w:line="173" w:lineRule="exact"/>
              <w:rPr>
                <w:sz w:val="20"/>
                <w:szCs w:val="20"/>
                <w:color w:val="auto"/>
              </w:rPr>
            </w:pPr>
            <w:r>
              <w:rPr>
                <w:rFonts w:ascii="Arial" w:cs="Arial" w:eastAsia="Arial" w:hAnsi="Arial"/>
                <w:sz w:val="18"/>
                <w:szCs w:val="18"/>
                <w:color w:val="auto"/>
              </w:rPr>
              <w:t>(47,921)</w:t>
            </w:r>
          </w:p>
        </w:tc>
        <w:tc>
          <w:tcPr>
            <w:tcW w:w="88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8"/>
                <w:szCs w:val="18"/>
                <w:color w:val="auto"/>
              </w:rPr>
              <w:t>(176,505)</w:t>
            </w:r>
          </w:p>
        </w:tc>
        <w:tc>
          <w:tcPr>
            <w:tcW w:w="128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n.a.</w:t>
            </w:r>
          </w:p>
        </w:tc>
      </w:tr>
      <w:tr>
        <w:trPr>
          <w:trHeight w:val="210"/>
        </w:trPr>
        <w:tc>
          <w:tcPr>
            <w:tcW w:w="3120" w:type="dxa"/>
            <w:vAlign w:val="bottom"/>
            <w:tcBorders>
              <w:left w:val="single" w:sz="8" w:color="auto"/>
              <w:right w:val="single" w:sz="8" w:color="auto"/>
            </w:tcBorders>
          </w:tcPr>
          <w:p>
            <w:pPr>
              <w:ind w:left="40"/>
              <w:spacing w:after="0" w:line="210" w:lineRule="exact"/>
              <w:rPr>
                <w:sz w:val="20"/>
                <w:szCs w:val="20"/>
                <w:color w:val="auto"/>
              </w:rPr>
            </w:pPr>
            <w:r>
              <w:rPr>
                <w:rFonts w:ascii="Arial" w:cs="Arial" w:eastAsia="Arial" w:hAnsi="Arial"/>
                <w:sz w:val="15"/>
                <w:szCs w:val="15"/>
                <w:color w:val="auto"/>
              </w:rPr>
              <w:t xml:space="preserve">Net gain from associates </w:t>
            </w:r>
            <w:r>
              <w:rPr>
                <w:rFonts w:ascii="Arial" w:cs="Arial" w:eastAsia="Arial" w:hAnsi="Arial"/>
                <w:sz w:val="24"/>
                <w:szCs w:val="24"/>
                <w:color w:val="auto"/>
                <w:vertAlign w:val="superscript"/>
              </w:rPr>
              <w:t>(1)</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19,090</w:t>
            </w: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29,219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25,806</w:t>
            </w:r>
          </w:p>
        </w:tc>
        <w:tc>
          <w:tcPr>
            <w:tcW w:w="680" w:type="dxa"/>
            <w:vAlign w:val="bottom"/>
          </w:tcPr>
          <w:p>
            <w:pPr>
              <w:jc w:val="center"/>
              <w:spacing w:after="0"/>
              <w:rPr>
                <w:sz w:val="20"/>
                <w:szCs w:val="20"/>
                <w:color w:val="auto"/>
              </w:rPr>
            </w:pPr>
            <w:r>
              <w:rPr>
                <w:rFonts w:ascii="Arial" w:cs="Arial" w:eastAsia="Arial" w:hAnsi="Arial"/>
                <w:sz w:val="18"/>
                <w:szCs w:val="18"/>
                <w:color w:val="auto"/>
                <w:w w:val="98"/>
              </w:rPr>
              <w:t>-11.7%</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35.2%</w:t>
            </w:r>
          </w:p>
        </w:tc>
        <w:tc>
          <w:tcPr>
            <w:tcW w:w="1320" w:type="dxa"/>
            <w:vAlign w:val="bottom"/>
          </w:tcPr>
          <w:p>
            <w:pPr>
              <w:jc w:val="right"/>
              <w:ind w:right="151"/>
              <w:spacing w:after="0"/>
              <w:rPr>
                <w:sz w:val="20"/>
                <w:szCs w:val="20"/>
                <w:color w:val="auto"/>
              </w:rPr>
            </w:pPr>
            <w:r>
              <w:rPr>
                <w:rFonts w:ascii="Arial" w:cs="Arial" w:eastAsia="Arial" w:hAnsi="Arial"/>
                <w:sz w:val="18"/>
                <w:szCs w:val="18"/>
                <w:color w:val="auto"/>
              </w:rPr>
              <w:t>60,797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79,039</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30.0%</w:t>
            </w:r>
          </w:p>
        </w:tc>
      </w:tr>
      <w:tr>
        <w:trPr>
          <w:trHeight w:val="201"/>
        </w:trPr>
        <w:tc>
          <w:tcPr>
            <w:tcW w:w="31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8"/>
              </w:rPr>
              <w:t>Net gain on derivatives held for trading</w:t>
            </w:r>
          </w:p>
        </w:tc>
        <w:tc>
          <w:tcPr>
            <w:tcW w:w="11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43,365</w:t>
            </w:r>
          </w:p>
        </w:tc>
        <w:tc>
          <w:tcPr>
            <w:tcW w:w="11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12,304</w:t>
            </w:r>
          </w:p>
        </w:tc>
        <w:tc>
          <w:tcPr>
            <w:tcW w:w="9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53,008</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22.2%</w:t>
            </w:r>
          </w:p>
        </w:tc>
        <w:tc>
          <w:tcPr>
            <w:tcW w:w="132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174,518</w:t>
            </w:r>
          </w:p>
        </w:tc>
        <w:tc>
          <w:tcPr>
            <w:tcW w:w="8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59,330</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-66.0%</w:t>
            </w:r>
          </w:p>
        </w:tc>
      </w:tr>
      <w:tr>
        <w:trPr>
          <w:trHeight w:val="201"/>
        </w:trPr>
        <w:tc>
          <w:tcPr>
            <w:tcW w:w="31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Net gain from exchange differences</w:t>
            </w:r>
          </w:p>
        </w:tc>
        <w:tc>
          <w:tcPr>
            <w:tcW w:w="1180" w:type="dxa"/>
            <w:vAlign w:val="bottom"/>
          </w:tcPr>
          <w:p>
            <w:pPr>
              <w:jc w:val="right"/>
              <w:ind w:right="31"/>
              <w:spacing w:after="0" w:line="201" w:lineRule="exact"/>
              <w:rPr>
                <w:sz w:val="20"/>
                <w:szCs w:val="20"/>
                <w:color w:val="auto"/>
              </w:rPr>
            </w:pPr>
            <w:r>
              <w:rPr>
                <w:rFonts w:ascii="Arial" w:cs="Arial" w:eastAsia="Arial" w:hAnsi="Arial"/>
                <w:sz w:val="18"/>
                <w:szCs w:val="18"/>
                <w:color w:val="auto"/>
              </w:rPr>
              <w:t>(4,809)</w:t>
            </w:r>
          </w:p>
        </w:tc>
        <w:tc>
          <w:tcPr>
            <w:tcW w:w="1140" w:type="dxa"/>
            <w:vAlign w:val="bottom"/>
          </w:tcPr>
          <w:p>
            <w:pPr>
              <w:jc w:val="right"/>
              <w:ind w:right="91"/>
              <w:spacing w:after="0" w:line="201" w:lineRule="exact"/>
              <w:rPr>
                <w:sz w:val="20"/>
                <w:szCs w:val="20"/>
                <w:color w:val="auto"/>
              </w:rPr>
            </w:pPr>
            <w:r>
              <w:rPr>
                <w:rFonts w:ascii="Arial" w:cs="Arial" w:eastAsia="Arial" w:hAnsi="Arial"/>
                <w:sz w:val="18"/>
                <w:szCs w:val="18"/>
                <w:color w:val="auto"/>
              </w:rPr>
              <w:t>(17,066)</w:t>
            </w:r>
          </w:p>
        </w:tc>
        <w:tc>
          <w:tcPr>
            <w:tcW w:w="9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(4,071)</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8"/>
              </w:rPr>
              <w:t>-76.1%</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-15.3%</w:t>
            </w:r>
          </w:p>
        </w:tc>
        <w:tc>
          <w:tcPr>
            <w:tcW w:w="1320" w:type="dxa"/>
            <w:vAlign w:val="bottom"/>
          </w:tcPr>
          <w:p>
            <w:pPr>
              <w:jc w:val="right"/>
              <w:ind w:right="151"/>
              <w:spacing w:after="0" w:line="201" w:lineRule="exact"/>
              <w:rPr>
                <w:sz w:val="20"/>
                <w:szCs w:val="20"/>
                <w:color w:val="auto"/>
              </w:rPr>
            </w:pPr>
            <w:r>
              <w:rPr>
                <w:rFonts w:ascii="Arial" w:cs="Arial" w:eastAsia="Arial" w:hAnsi="Arial"/>
                <w:sz w:val="18"/>
                <w:szCs w:val="18"/>
                <w:color w:val="auto"/>
              </w:rPr>
              <w:t>18,868</w:t>
            </w:r>
          </w:p>
        </w:tc>
        <w:tc>
          <w:tcPr>
            <w:tcW w:w="8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(38,197)</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-302.4%</w:t>
            </w:r>
          </w:p>
        </w:tc>
      </w:tr>
      <w:tr>
        <w:trPr>
          <w:trHeight w:val="226"/>
        </w:trPr>
        <w:tc>
          <w:tcPr>
            <w:tcW w:w="31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non-financial income</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52,258</w:t>
            </w: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84,152</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64,890</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-22.9%</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24.2%</w:t>
            </w:r>
          </w:p>
        </w:tc>
        <w:tc>
          <w:tcPr>
            <w:tcW w:w="13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189,172</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296,944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57.0%</w:t>
            </w:r>
          </w:p>
        </w:tc>
      </w:tr>
      <w:tr>
        <w:trPr>
          <w:trHeight w:val="208"/>
        </w:trPr>
        <w:tc>
          <w:tcPr>
            <w:tcW w:w="312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Total other income Non-Core</w:t>
            </w:r>
          </w:p>
        </w:tc>
        <w:tc>
          <w:tcPr>
            <w:tcW w:w="118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b w:val="1"/>
                <w:bCs w:val="1"/>
                <w:color w:val="auto"/>
              </w:rPr>
              <w:t>115,643</w:t>
            </w:r>
          </w:p>
        </w:tc>
        <w:tc>
          <w:tcPr>
            <w:tcW w:w="1140" w:type="dxa"/>
            <w:vAlign w:val="bottom"/>
            <w:tcBorders>
              <w:bottom w:val="single" w:sz="8" w:color="auto"/>
            </w:tcBorders>
          </w:tcPr>
          <w:p>
            <w:pPr>
              <w:jc w:val="right"/>
              <w:ind w:right="91"/>
              <w:spacing w:after="0" w:line="201" w:lineRule="exact"/>
              <w:rPr>
                <w:sz w:val="20"/>
                <w:szCs w:val="20"/>
                <w:color w:val="auto"/>
              </w:rPr>
            </w:pPr>
            <w:r>
              <w:rPr>
                <w:rFonts w:ascii="Arial" w:cs="Arial" w:eastAsia="Arial" w:hAnsi="Arial"/>
                <w:sz w:val="18"/>
                <w:szCs w:val="18"/>
                <w:b w:val="1"/>
                <w:bCs w:val="1"/>
                <w:color w:val="auto"/>
              </w:rPr>
              <w:t>14,429</w:t>
            </w:r>
          </w:p>
        </w:tc>
        <w:tc>
          <w:tcPr>
            <w:tcW w:w="96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114,174</w:t>
            </w:r>
          </w:p>
        </w:tc>
        <w:tc>
          <w:tcPr>
            <w:tcW w:w="6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691.3%</w:t>
            </w:r>
          </w:p>
        </w:tc>
        <w:tc>
          <w:tcPr>
            <w:tcW w:w="68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-1.3%</w:t>
            </w:r>
          </w:p>
        </w:tc>
        <w:tc>
          <w:tcPr>
            <w:tcW w:w="1320" w:type="dxa"/>
            <w:vAlign w:val="bottom"/>
            <w:tcBorders>
              <w:bottom w:val="single" w:sz="8" w:color="auto"/>
            </w:tcBorders>
          </w:tcPr>
          <w:p>
            <w:pPr>
              <w:jc w:val="right"/>
              <w:ind w:right="151"/>
              <w:spacing w:after="0" w:line="201" w:lineRule="exact"/>
              <w:rPr>
                <w:sz w:val="20"/>
                <w:szCs w:val="20"/>
                <w:color w:val="auto"/>
              </w:rPr>
            </w:pPr>
            <w:r>
              <w:rPr>
                <w:rFonts w:ascii="Arial" w:cs="Arial" w:eastAsia="Arial" w:hAnsi="Arial"/>
                <w:sz w:val="18"/>
                <w:szCs w:val="18"/>
                <w:b w:val="1"/>
                <w:bCs w:val="1"/>
                <w:color w:val="auto"/>
              </w:rPr>
              <w:t>395,434</w:t>
            </w:r>
          </w:p>
        </w:tc>
        <w:tc>
          <w:tcPr>
            <w:tcW w:w="8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220,611</w:t>
            </w:r>
          </w:p>
        </w:tc>
        <w:tc>
          <w:tcPr>
            <w:tcW w:w="128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-44.2%</w:t>
            </w:r>
          </w:p>
        </w:tc>
      </w:tr>
    </w:tbl>
    <w:p>
      <w:pPr>
        <w:spacing w:after="0" w:line="233" w:lineRule="exact"/>
        <w:rPr>
          <w:sz w:val="20"/>
          <w:szCs w:val="20"/>
          <w:color w:val="auto"/>
        </w:rPr>
      </w:pPr>
    </w:p>
    <w:p>
      <w:pPr>
        <w:ind w:left="640" w:hanging="512"/>
        <w:spacing w:after="0"/>
        <w:tabs>
          <w:tab w:leader="none" w:pos="6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Includes gains on other investments, which are mainly attributable to the Banmedica result.</w:t>
      </w:r>
    </w:p>
    <w:p>
      <w:pPr>
        <w:sectPr>
          <w:pgSz w:w="11900" w:h="16838" w:orient="portrait"/>
          <w:cols w:equalWidth="0" w:num="1">
            <w:col w:w="11240"/>
          </w:cols>
          <w:pgMar w:left="320" w:top="451" w:right="339" w:bottom="1440" w:gutter="0" w:footer="0" w:header="0"/>
        </w:sectPr>
      </w:pPr>
    </w:p>
    <w:p>
      <w:pPr>
        <w:spacing w:after="0" w:line="276"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b w:val="1"/>
          <w:bCs w:val="1"/>
          <w:color w:val="auto"/>
        </w:rPr>
        <w:t>YTD evolution of non-core income</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YoY evolution of non-core income</w:t>
      </w:r>
    </w:p>
    <w:p>
      <w:pPr>
        <w:spacing w:after="0" w:line="42" w:lineRule="exact"/>
        <w:rPr>
          <w:sz w:val="20"/>
          <w:szCs w:val="20"/>
          <w:color w:val="auto"/>
        </w:rPr>
      </w:pPr>
    </w:p>
    <w:p>
      <w:pPr>
        <w:sectPr>
          <w:pgSz w:w="11900" w:h="16838" w:orient="portrait"/>
          <w:cols w:equalWidth="0" w:num="2">
            <w:col w:w="6540" w:space="720"/>
            <w:col w:w="3980"/>
          </w:cols>
          <w:pgMar w:left="320" w:top="451" w:right="339" w:bottom="1440" w:gutter="0" w:footer="0" w:header="0"/>
          <w:type w:val="continuous"/>
        </w:sectPr>
      </w:pPr>
    </w:p>
    <w:p>
      <w:pPr>
        <w:ind w:left="1840"/>
        <w:spacing w:after="0"/>
        <w:rPr>
          <w:sz w:val="20"/>
          <w:szCs w:val="20"/>
          <w:color w:val="auto"/>
        </w:rPr>
      </w:pPr>
      <w:r>
        <w:rPr>
          <w:rFonts w:ascii="Times New Roman" w:cs="Times New Roman" w:eastAsia="Times New Roman" w:hAnsi="Times New Roman"/>
          <w:sz w:val="21"/>
          <w:szCs w:val="21"/>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0</wp:posOffset>
            </wp:positionV>
            <wp:extent cx="2533650" cy="22955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33650" cy="2295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(thousands of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0</wp:posOffset>
            </wp:positionV>
            <wp:extent cx="2482850" cy="22618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82850" cy="2261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60"/>
          </w:cols>
          <w:pgMar w:left="320" w:top="4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2"/>
          <w:szCs w:val="12"/>
          <w:color w:val="auto"/>
        </w:rPr>
        <w:t>(1) Others includes Grupo Credito, Credicorp Individual, eliminations and others.</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Other non-core income rose QoQ, which was primarily attributable to a decrease in net losses on securities given that Credicorp Capital Colombia reported gains on its fixed income portfolio in 3Q22. Additionally, results for speculative derivatives improved at BCP Stand-alone, Credicorp Capital and ASB, which reflected the change in valuation of these instruments from LIBOR to SOFR.</w:t>
      </w:r>
    </w:p>
    <w:p>
      <w:pPr>
        <w:spacing w:after="0" w:line="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YoY and YTD, </w:t>
      </w:r>
      <w:r>
        <w:rPr>
          <w:rFonts w:ascii="Times New Roman" w:cs="Times New Roman" w:eastAsia="Times New Roman" w:hAnsi="Times New Roman"/>
          <w:sz w:val="18"/>
          <w:szCs w:val="18"/>
          <w:color w:val="auto"/>
        </w:rPr>
        <w:t>other non-core income fell due to an uptick in net losses on securities after rising market rates led to devaluation of the SOFR fixed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portfolios at different subsidiaries. </w:t>
      </w:r>
      <w:r>
        <w:rPr>
          <w:rFonts w:ascii="Times New Roman" w:cs="Times New Roman" w:eastAsia="Times New Roman" w:hAnsi="Times New Roman"/>
          <w:sz w:val="18"/>
          <w:szCs w:val="18"/>
          <w:b w:val="1"/>
          <w:bCs w:val="1"/>
          <w:color w:val="auto"/>
        </w:rPr>
        <w:t>YTD</w:t>
      </w:r>
      <w:r>
        <w:rPr>
          <w:rFonts w:ascii="Times New Roman" w:cs="Times New Roman" w:eastAsia="Times New Roman" w:hAnsi="Times New Roman"/>
          <w:sz w:val="18"/>
          <w:szCs w:val="18"/>
          <w:color w:val="auto"/>
        </w:rPr>
        <w:t>, losses were partially offset by extraordinary income at BCP in 1Q22, which was associated with tax refund for payments made in 2021.</w:t>
      </w:r>
    </w:p>
    <w:p>
      <w:pPr>
        <w:spacing w:after="0" w:line="3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type w:val="continuous"/>
        </w:sectPr>
      </w:pPr>
    </w:p>
    <w:bookmarkStart w:id="34" w:name="page35"/>
    <w:bookmarkEnd w:id="34"/>
    <w:p>
      <w:pPr>
        <w:ind w:left="2980"/>
        <w:spacing w:after="0"/>
        <w:tabs>
          <w:tab w:leader="none" w:pos="758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07 </w:t>
      </w:r>
      <w:r>
        <w:rPr>
          <w:rFonts w:ascii="Times New Roman" w:cs="Times New Roman" w:eastAsia="Times New Roman" w:hAnsi="Times New Roman"/>
          <w:sz w:val="32"/>
          <w:szCs w:val="32"/>
          <w:color w:val="E93CAC"/>
        </w:rPr>
        <w:t>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0966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3590" cy="1096645"/>
                    </a:xfrm>
                    <a:prstGeom prst="rect">
                      <a:avLst/>
                    </a:prstGeom>
                    <a:noFill/>
                  </pic:spPr>
                </pic:pic>
              </a:graphicData>
            </a:graphic>
          </wp:anchor>
        </w:drawing>
      </w:r>
    </w:p>
    <w:p>
      <w:pPr>
        <w:spacing w:after="0" w:line="34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8"/>
          <w:szCs w:val="18"/>
          <w:color w:val="FFFFFF"/>
        </w:rPr>
        <w:t>The insurance underwriting result rose 45.1% QoQ in the last quarter to reach the highest level this year. The aforementioned was driven primarily by the Life Business, which registered growth in premiums across all lines (mainly in Credit Life and Group Life products) and a decrease in claims associated with an improvement in sanitary conditions.</w:t>
      </w:r>
    </w:p>
    <w:p>
      <w:pPr>
        <w:spacing w:after="0" w:line="92"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8"/>
          <w:szCs w:val="18"/>
          <w:color w:val="FFFFFF"/>
        </w:rPr>
        <w:t>In the YoY and YTD analysis, the insurance underwriting result rose due to a drop in claims in the Life business and growth in net earned premiums in both business lines, which reflects the impact of economic reactivation. The aforementioned was partially attenuated by increase in claims in P&amp;C in the accumulated.</w:t>
      </w:r>
    </w:p>
    <w:p>
      <w:pPr>
        <w:spacing w:after="0" w:line="39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480" w:type="dxa"/>
            <w:vAlign w:val="bottom"/>
            <w:tcBorders>
              <w:top w:val="single" w:sz="8" w:color="auto"/>
              <w:left w:val="single" w:sz="8" w:color="auto"/>
              <w:right w:val="single" w:sz="8" w:color="auto"/>
            </w:tcBorders>
            <w:gridSpan w:val="2"/>
            <w:shd w:val="clear" w:color="auto" w:fill="2AD2C9"/>
          </w:tcPr>
          <w:p>
            <w:pPr>
              <w:ind w:left="40"/>
              <w:spacing w:after="0" w:line="209" w:lineRule="exact"/>
              <w:rPr>
                <w:sz w:val="20"/>
                <w:szCs w:val="20"/>
                <w:color w:val="auto"/>
              </w:rPr>
            </w:pPr>
            <w:r>
              <w:rPr>
                <w:rFonts w:ascii="Arial" w:cs="Arial" w:eastAsia="Arial" w:hAnsi="Arial"/>
                <w:sz w:val="15"/>
                <w:szCs w:val="15"/>
                <w:b w:val="1"/>
                <w:bCs w:val="1"/>
                <w:color w:val="FFFFFF"/>
              </w:rPr>
              <w:t xml:space="preserve">Insurance underwriting result </w:t>
            </w:r>
            <w:r>
              <w:rPr>
                <w:rFonts w:ascii="Arial" w:cs="Arial" w:eastAsia="Arial" w:hAnsi="Arial"/>
                <w:sz w:val="24"/>
                <w:szCs w:val="24"/>
                <w:b w:val="1"/>
                <w:bCs w:val="1"/>
                <w:color w:val="FFFFFF"/>
                <w:vertAlign w:val="superscript"/>
              </w:rPr>
              <w:t>(1)</w:t>
            </w:r>
          </w:p>
        </w:tc>
        <w:tc>
          <w:tcPr>
            <w:tcW w:w="940" w:type="dxa"/>
            <w:vAlign w:val="bottom"/>
            <w:tcBorders>
              <w:top w:val="single" w:sz="8" w:color="auto"/>
            </w:tcBorders>
            <w:shd w:val="clear" w:color="auto" w:fill="2AD2C9"/>
          </w:tcPr>
          <w:p>
            <w:pPr>
              <w:spacing w:after="0"/>
              <w:rPr>
                <w:sz w:val="18"/>
                <w:szCs w:val="18"/>
                <w:color w:val="auto"/>
              </w:rPr>
            </w:pPr>
          </w:p>
        </w:tc>
        <w:tc>
          <w:tcPr>
            <w:tcW w:w="900" w:type="dxa"/>
            <w:vAlign w:val="bottom"/>
            <w:tcBorders>
              <w:top w:val="single" w:sz="8" w:color="auto"/>
            </w:tcBorders>
            <w:shd w:val="clear" w:color="auto" w:fill="2AD2C9"/>
          </w:tcPr>
          <w:p>
            <w:pPr>
              <w:jc w:val="right"/>
              <w:ind w:right="91"/>
              <w:spacing w:after="0"/>
              <w:rPr>
                <w:sz w:val="20"/>
                <w:szCs w:val="20"/>
                <w:color w:val="auto"/>
              </w:rPr>
            </w:pPr>
            <w:r>
              <w:rPr>
                <w:rFonts w:ascii="Arial" w:cs="Arial" w:eastAsia="Arial" w:hAnsi="Arial"/>
                <w:sz w:val="18"/>
                <w:szCs w:val="18"/>
                <w:b w:val="1"/>
                <w:bCs w:val="1"/>
                <w:color w:val="FFFFFF"/>
              </w:rPr>
              <w:t>Quarter</w:t>
            </w:r>
          </w:p>
        </w:tc>
        <w:tc>
          <w:tcPr>
            <w:tcW w:w="860" w:type="dxa"/>
            <w:vAlign w:val="bottom"/>
            <w:tcBorders>
              <w:top w:val="single" w:sz="8" w:color="auto"/>
              <w:right w:val="single" w:sz="8" w:color="auto"/>
            </w:tcBorders>
            <w:shd w:val="clear" w:color="auto" w:fill="2AD2C9"/>
          </w:tcPr>
          <w:p>
            <w:pPr>
              <w:spacing w:after="0"/>
              <w:rPr>
                <w:sz w:val="18"/>
                <w:szCs w:val="18"/>
                <w:color w:val="auto"/>
              </w:rPr>
            </w:pPr>
          </w:p>
        </w:tc>
        <w:tc>
          <w:tcPr>
            <w:tcW w:w="1700" w:type="dxa"/>
            <w:vAlign w:val="bottom"/>
            <w:tcBorders>
              <w:top w:val="single" w:sz="8" w:color="auto"/>
              <w:right w:val="single" w:sz="8" w:color="auto"/>
            </w:tcBorders>
            <w:gridSpan w:val="2"/>
            <w:shd w:val="clear" w:color="auto" w:fill="2AD2C9"/>
          </w:tcPr>
          <w:p>
            <w:pPr>
              <w:jc w:val="right"/>
              <w:ind w:right="351"/>
              <w:spacing w:after="0"/>
              <w:rPr>
                <w:sz w:val="20"/>
                <w:szCs w:val="20"/>
                <w:color w:val="auto"/>
              </w:rPr>
            </w:pPr>
            <w:r>
              <w:rPr>
                <w:rFonts w:ascii="Arial" w:cs="Arial" w:eastAsia="Arial" w:hAnsi="Arial"/>
                <w:sz w:val="18"/>
                <w:szCs w:val="18"/>
                <w:b w:val="1"/>
                <w:bCs w:val="1"/>
                <w:color w:val="FFFFFF"/>
              </w:rPr>
              <w:t>% change</w:t>
            </w:r>
          </w:p>
        </w:tc>
        <w:tc>
          <w:tcPr>
            <w:tcW w:w="2020" w:type="dxa"/>
            <w:vAlign w:val="bottom"/>
            <w:tcBorders>
              <w:top w:val="single" w:sz="8" w:color="auto"/>
              <w:right w:val="single" w:sz="8" w:color="auto"/>
            </w:tcBorders>
            <w:gridSpan w:val="2"/>
            <w:shd w:val="clear" w:color="auto" w:fill="2AD2C9"/>
          </w:tcPr>
          <w:p>
            <w:pPr>
              <w:jc w:val="right"/>
              <w:ind w:right="711"/>
              <w:spacing w:after="0"/>
              <w:rPr>
                <w:sz w:val="20"/>
                <w:szCs w:val="20"/>
                <w:color w:val="auto"/>
              </w:rPr>
            </w:pPr>
            <w:r>
              <w:rPr>
                <w:rFonts w:ascii="Arial" w:cs="Arial" w:eastAsia="Arial" w:hAnsi="Arial"/>
                <w:sz w:val="18"/>
                <w:szCs w:val="18"/>
                <w:b w:val="1"/>
                <w:bCs w:val="1"/>
                <w:color w:val="FFFFFF"/>
              </w:rPr>
              <w:t>As of</w:t>
            </w:r>
          </w:p>
        </w:tc>
        <w:tc>
          <w:tcPr>
            <w:tcW w:w="13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 change</w:t>
            </w:r>
          </w:p>
        </w:tc>
      </w:tr>
      <w:tr>
        <w:trPr>
          <w:trHeight w:val="226"/>
        </w:trPr>
        <w:tc>
          <w:tcPr>
            <w:tcW w:w="3480" w:type="dxa"/>
            <w:vAlign w:val="bottom"/>
            <w:tcBorders>
              <w:left w:val="single" w:sz="8" w:color="auto"/>
              <w:bottom w:val="single" w:sz="8" w:color="auto"/>
              <w:right w:val="single" w:sz="8" w:color="auto"/>
            </w:tcBorders>
            <w:gridSpan w:val="2"/>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940" w:type="dxa"/>
            <w:vAlign w:val="bottom"/>
            <w:tcBorders>
              <w:bottom w:val="single" w:sz="8" w:color="auto"/>
            </w:tcBorders>
            <w:shd w:val="clear" w:color="auto" w:fill="2AD2C9"/>
          </w:tcPr>
          <w:p>
            <w:pPr>
              <w:jc w:val="right"/>
              <w:ind w:right="191"/>
              <w:spacing w:after="0"/>
              <w:rPr>
                <w:sz w:val="20"/>
                <w:szCs w:val="20"/>
                <w:color w:val="auto"/>
              </w:rPr>
            </w:pPr>
            <w:r>
              <w:rPr>
                <w:rFonts w:ascii="Arial" w:cs="Arial" w:eastAsia="Arial" w:hAnsi="Arial"/>
                <w:sz w:val="18"/>
                <w:szCs w:val="18"/>
                <w:b w:val="1"/>
                <w:bCs w:val="1"/>
                <w:color w:val="FFFFFF"/>
              </w:rPr>
              <w:t>3Q21</w:t>
            </w:r>
          </w:p>
        </w:tc>
        <w:tc>
          <w:tcPr>
            <w:tcW w:w="900" w:type="dxa"/>
            <w:vAlign w:val="bottom"/>
            <w:tcBorders>
              <w:bottom w:val="single" w:sz="8" w:color="auto"/>
            </w:tcBorders>
            <w:shd w:val="clear" w:color="auto" w:fill="2AD2C9"/>
          </w:tcPr>
          <w:p>
            <w:pPr>
              <w:jc w:val="right"/>
              <w:ind w:right="211"/>
              <w:spacing w:after="0"/>
              <w:rPr>
                <w:sz w:val="20"/>
                <w:szCs w:val="20"/>
                <w:color w:val="auto"/>
              </w:rPr>
            </w:pPr>
            <w:r>
              <w:rPr>
                <w:rFonts w:ascii="Arial" w:cs="Arial" w:eastAsia="Arial" w:hAnsi="Arial"/>
                <w:sz w:val="18"/>
                <w:szCs w:val="18"/>
                <w:b w:val="1"/>
                <w:bCs w:val="1"/>
                <w:color w:val="FFFFFF"/>
              </w:rPr>
              <w:t>2Q22</w:t>
            </w:r>
          </w:p>
        </w:tc>
        <w:tc>
          <w:tcPr>
            <w:tcW w:w="860" w:type="dxa"/>
            <w:vAlign w:val="bottom"/>
            <w:tcBorders>
              <w:bottom w:val="single" w:sz="8" w:color="auto"/>
              <w:right w:val="single" w:sz="8" w:color="auto"/>
            </w:tcBorders>
            <w:shd w:val="clear" w:color="auto" w:fill="2AD2C9"/>
          </w:tcPr>
          <w:p>
            <w:pPr>
              <w:jc w:val="right"/>
              <w:ind w:right="171"/>
              <w:spacing w:after="0"/>
              <w:rPr>
                <w:sz w:val="20"/>
                <w:szCs w:val="20"/>
                <w:color w:val="auto"/>
              </w:rPr>
            </w:pPr>
            <w:r>
              <w:rPr>
                <w:rFonts w:ascii="Arial" w:cs="Arial" w:eastAsia="Arial" w:hAnsi="Arial"/>
                <w:sz w:val="18"/>
                <w:szCs w:val="18"/>
                <w:b w:val="1"/>
                <w:bCs w:val="1"/>
                <w:color w:val="FFFFFF"/>
              </w:rPr>
              <w:t>3Q22</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rPr>
              <w:t>QoQ</w:t>
            </w:r>
          </w:p>
        </w:tc>
        <w:tc>
          <w:tcPr>
            <w:tcW w:w="920" w:type="dxa"/>
            <w:vAlign w:val="bottom"/>
            <w:tcBorders>
              <w:bottom w:val="single" w:sz="8" w:color="auto"/>
              <w:right w:val="single" w:sz="8" w:color="auto"/>
            </w:tcBorders>
            <w:shd w:val="clear" w:color="auto" w:fill="2AD2C9"/>
          </w:tcPr>
          <w:p>
            <w:pPr>
              <w:jc w:val="right"/>
              <w:ind w:right="191"/>
              <w:spacing w:after="0"/>
              <w:rPr>
                <w:sz w:val="20"/>
                <w:szCs w:val="20"/>
                <w:color w:val="auto"/>
              </w:rPr>
            </w:pPr>
            <w:r>
              <w:rPr>
                <w:rFonts w:ascii="Arial" w:cs="Arial" w:eastAsia="Arial" w:hAnsi="Arial"/>
                <w:sz w:val="18"/>
                <w:szCs w:val="18"/>
                <w:b w:val="1"/>
                <w:bCs w:val="1"/>
                <w:color w:val="FFFFFF"/>
              </w:rPr>
              <w:t>YoY</w:t>
            </w:r>
          </w:p>
        </w:tc>
        <w:tc>
          <w:tcPr>
            <w:tcW w:w="1060" w:type="dxa"/>
            <w:vAlign w:val="bottom"/>
            <w:tcBorders>
              <w:bottom w:val="single" w:sz="8" w:color="auto"/>
            </w:tcBorders>
            <w:shd w:val="clear" w:color="auto" w:fill="2AD2C9"/>
          </w:tcPr>
          <w:p>
            <w:pPr>
              <w:jc w:val="right"/>
              <w:ind w:right="171"/>
              <w:spacing w:after="0"/>
              <w:rPr>
                <w:sz w:val="20"/>
                <w:szCs w:val="20"/>
                <w:color w:val="auto"/>
              </w:rPr>
            </w:pPr>
            <w:r>
              <w:rPr>
                <w:rFonts w:ascii="Arial" w:cs="Arial" w:eastAsia="Arial" w:hAnsi="Arial"/>
                <w:sz w:val="18"/>
                <w:szCs w:val="18"/>
                <w:b w:val="1"/>
                <w:bCs w:val="1"/>
                <w:color w:val="FFFFFF"/>
              </w:rPr>
              <w:t>Sep 21</w:t>
            </w:r>
          </w:p>
        </w:tc>
        <w:tc>
          <w:tcPr>
            <w:tcW w:w="960" w:type="dxa"/>
            <w:vAlign w:val="bottom"/>
            <w:tcBorders>
              <w:bottom w:val="single" w:sz="8" w:color="auto"/>
              <w:right w:val="single" w:sz="8" w:color="auto"/>
            </w:tcBorders>
            <w:shd w:val="clear" w:color="auto" w:fill="2AD2C9"/>
          </w:tcPr>
          <w:p>
            <w:pPr>
              <w:jc w:val="right"/>
              <w:ind w:right="131"/>
              <w:spacing w:after="0"/>
              <w:rPr>
                <w:sz w:val="20"/>
                <w:szCs w:val="20"/>
                <w:color w:val="auto"/>
              </w:rPr>
            </w:pPr>
            <w:r>
              <w:rPr>
                <w:rFonts w:ascii="Arial" w:cs="Arial" w:eastAsia="Arial" w:hAnsi="Arial"/>
                <w:sz w:val="18"/>
                <w:szCs w:val="18"/>
                <w:b w:val="1"/>
                <w:bCs w:val="1"/>
                <w:color w:val="FFFFFF"/>
              </w:rPr>
              <w:t>Sep 22</w:t>
            </w:r>
          </w:p>
        </w:tc>
        <w:tc>
          <w:tcPr>
            <w:tcW w:w="13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r>
      <w:tr>
        <w:trPr>
          <w:trHeight w:val="182"/>
        </w:trPr>
        <w:tc>
          <w:tcPr>
            <w:tcW w:w="480" w:type="dxa"/>
            <w:vAlign w:val="bottom"/>
            <w:tcBorders>
              <w:left w:val="single" w:sz="8" w:color="auto"/>
              <w:right w:val="single" w:sz="8" w:color="auto"/>
            </w:tcBorders>
          </w:tcPr>
          <w:p>
            <w:pPr>
              <w:spacing w:after="0"/>
              <w:rPr>
                <w:sz w:val="15"/>
                <w:szCs w:val="15"/>
                <w:color w:val="auto"/>
              </w:rPr>
            </w:pPr>
          </w:p>
        </w:tc>
        <w:tc>
          <w:tcPr>
            <w:tcW w:w="30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Net earned premiums</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675,571</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695,547</w:t>
            </w:r>
          </w:p>
        </w:tc>
        <w:tc>
          <w:tcPr>
            <w:tcW w:w="8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751,936</w:t>
            </w: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7"/>
              </w:rPr>
              <w:t>8.1%</w:t>
            </w:r>
          </w:p>
        </w:tc>
        <w:tc>
          <w:tcPr>
            <w:tcW w:w="9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11.3%</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1,959,443</w:t>
            </w:r>
          </w:p>
        </w:tc>
        <w:tc>
          <w:tcPr>
            <w:tcW w:w="9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2,138,019</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9.1%</w:t>
            </w:r>
          </w:p>
        </w:tc>
      </w:tr>
      <w:tr>
        <w:trPr>
          <w:trHeight w:val="192"/>
        </w:trPr>
        <w:tc>
          <w:tcPr>
            <w:tcW w:w="480" w:type="dxa"/>
            <w:vAlign w:val="bottom"/>
            <w:tcBorders>
              <w:left w:val="single" w:sz="8" w:color="auto"/>
              <w:right w:val="single" w:sz="8" w:color="auto"/>
            </w:tcBorders>
          </w:tcPr>
          <w:p>
            <w:pPr>
              <w:spacing w:after="0"/>
              <w:rPr>
                <w:sz w:val="16"/>
                <w:szCs w:val="16"/>
                <w:color w:val="auto"/>
              </w:rPr>
            </w:pPr>
          </w:p>
        </w:tc>
        <w:tc>
          <w:tcPr>
            <w:tcW w:w="3000" w:type="dxa"/>
            <w:vAlign w:val="bottom"/>
            <w:tcBorders>
              <w:right w:val="single" w:sz="8" w:color="auto"/>
            </w:tcBorders>
          </w:tcPr>
          <w:p>
            <w:pPr>
              <w:spacing w:after="0" w:line="192" w:lineRule="exact"/>
              <w:rPr>
                <w:sz w:val="20"/>
                <w:szCs w:val="20"/>
                <w:color w:val="auto"/>
              </w:rPr>
            </w:pPr>
            <w:r>
              <w:rPr>
                <w:rFonts w:ascii="Arial" w:cs="Arial" w:eastAsia="Arial" w:hAnsi="Arial"/>
                <w:sz w:val="18"/>
                <w:szCs w:val="18"/>
                <w:color w:val="auto"/>
              </w:rPr>
              <w:t>Net claims</w:t>
            </w:r>
          </w:p>
        </w:tc>
        <w:tc>
          <w:tcPr>
            <w:tcW w:w="940" w:type="dxa"/>
            <w:vAlign w:val="bottom"/>
          </w:tcPr>
          <w:p>
            <w:pPr>
              <w:jc w:val="right"/>
              <w:spacing w:after="0" w:line="192" w:lineRule="exact"/>
              <w:rPr>
                <w:sz w:val="20"/>
                <w:szCs w:val="20"/>
                <w:color w:val="auto"/>
              </w:rPr>
            </w:pPr>
            <w:r>
              <w:rPr>
                <w:rFonts w:ascii="Arial" w:cs="Arial" w:eastAsia="Arial" w:hAnsi="Arial"/>
                <w:sz w:val="18"/>
                <w:szCs w:val="18"/>
                <w:color w:val="auto"/>
              </w:rPr>
              <w:t>(517,951)</w:t>
            </w:r>
          </w:p>
        </w:tc>
        <w:tc>
          <w:tcPr>
            <w:tcW w:w="900" w:type="dxa"/>
            <w:vAlign w:val="bottom"/>
          </w:tcPr>
          <w:p>
            <w:pPr>
              <w:jc w:val="right"/>
              <w:spacing w:after="0" w:line="192" w:lineRule="exact"/>
              <w:rPr>
                <w:sz w:val="20"/>
                <w:szCs w:val="20"/>
                <w:color w:val="auto"/>
              </w:rPr>
            </w:pPr>
            <w:r>
              <w:rPr>
                <w:rFonts w:ascii="Arial" w:cs="Arial" w:eastAsia="Arial" w:hAnsi="Arial"/>
                <w:sz w:val="18"/>
                <w:szCs w:val="18"/>
                <w:color w:val="auto"/>
              </w:rPr>
              <w:t>(492,258)</w:t>
            </w:r>
          </w:p>
        </w:tc>
        <w:tc>
          <w:tcPr>
            <w:tcW w:w="86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18"/>
                <w:szCs w:val="18"/>
                <w:color w:val="auto"/>
              </w:rPr>
              <w:t>(478,039)</w:t>
            </w:r>
          </w:p>
        </w:tc>
        <w:tc>
          <w:tcPr>
            <w:tcW w:w="780" w:type="dxa"/>
            <w:vAlign w:val="bottom"/>
          </w:tcPr>
          <w:p>
            <w:pPr>
              <w:jc w:val="center"/>
              <w:spacing w:after="0" w:line="192" w:lineRule="exact"/>
              <w:rPr>
                <w:sz w:val="20"/>
                <w:szCs w:val="20"/>
                <w:color w:val="auto"/>
              </w:rPr>
            </w:pPr>
            <w:r>
              <w:rPr>
                <w:rFonts w:ascii="Arial" w:cs="Arial" w:eastAsia="Arial" w:hAnsi="Arial"/>
                <w:sz w:val="18"/>
                <w:szCs w:val="18"/>
                <w:color w:val="auto"/>
              </w:rPr>
              <w:t>-2.9%</w:t>
            </w:r>
          </w:p>
        </w:tc>
        <w:tc>
          <w:tcPr>
            <w:tcW w:w="9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rPr>
              <w:t>-7.7%</w:t>
            </w:r>
          </w:p>
        </w:tc>
        <w:tc>
          <w:tcPr>
            <w:tcW w:w="1060" w:type="dxa"/>
            <w:vAlign w:val="bottom"/>
          </w:tcPr>
          <w:p>
            <w:pPr>
              <w:jc w:val="right"/>
              <w:spacing w:after="0" w:line="192" w:lineRule="exact"/>
              <w:rPr>
                <w:sz w:val="20"/>
                <w:szCs w:val="20"/>
                <w:color w:val="auto"/>
              </w:rPr>
            </w:pPr>
            <w:r>
              <w:rPr>
                <w:rFonts w:ascii="Arial" w:cs="Arial" w:eastAsia="Arial" w:hAnsi="Arial"/>
                <w:sz w:val="18"/>
                <w:szCs w:val="18"/>
                <w:color w:val="auto"/>
              </w:rPr>
              <w:t>(1,832,639)</w:t>
            </w:r>
          </w:p>
        </w:tc>
        <w:tc>
          <w:tcPr>
            <w:tcW w:w="96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18"/>
                <w:szCs w:val="18"/>
                <w:color w:val="auto"/>
                <w:w w:val="99"/>
              </w:rPr>
              <w:t>(1,448,803)</w:t>
            </w:r>
          </w:p>
        </w:tc>
        <w:tc>
          <w:tcPr>
            <w:tcW w:w="13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8"/>
              </w:rPr>
              <w:t>-20.9%</w:t>
            </w:r>
          </w:p>
        </w:tc>
      </w:tr>
      <w:tr>
        <w:trPr>
          <w:trHeight w:val="210"/>
        </w:trPr>
        <w:tc>
          <w:tcPr>
            <w:tcW w:w="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w w:val="92"/>
              </w:rPr>
              <w:t>Total</w:t>
            </w:r>
          </w:p>
        </w:tc>
        <w:tc>
          <w:tcPr>
            <w:tcW w:w="3000" w:type="dxa"/>
            <w:vAlign w:val="bottom"/>
            <w:tcBorders>
              <w:right w:val="single" w:sz="8" w:color="auto"/>
            </w:tcBorders>
          </w:tcPr>
          <w:p>
            <w:pPr>
              <w:spacing w:after="0" w:line="210" w:lineRule="exact"/>
              <w:rPr>
                <w:sz w:val="20"/>
                <w:szCs w:val="20"/>
                <w:color w:val="auto"/>
              </w:rPr>
            </w:pPr>
            <w:r>
              <w:rPr>
                <w:rFonts w:ascii="Arial" w:cs="Arial" w:eastAsia="Arial" w:hAnsi="Arial"/>
                <w:sz w:val="15"/>
                <w:szCs w:val="15"/>
                <w:color w:val="auto"/>
              </w:rPr>
              <w:t xml:space="preserve">Acquisition cost </w:t>
            </w:r>
            <w:r>
              <w:rPr>
                <w:rFonts w:ascii="Arial" w:cs="Arial" w:eastAsia="Arial" w:hAnsi="Arial"/>
                <w:sz w:val="24"/>
                <w:szCs w:val="24"/>
                <w:color w:val="auto"/>
                <w:vertAlign w:val="superscript"/>
              </w:rPr>
              <w:t>(2)</w:t>
            </w:r>
          </w:p>
        </w:tc>
        <w:tc>
          <w:tcPr>
            <w:tcW w:w="940" w:type="dxa"/>
            <w:vAlign w:val="bottom"/>
          </w:tcPr>
          <w:p>
            <w:pPr>
              <w:jc w:val="right"/>
              <w:spacing w:after="0"/>
              <w:rPr>
                <w:sz w:val="20"/>
                <w:szCs w:val="20"/>
                <w:color w:val="auto"/>
              </w:rPr>
            </w:pPr>
            <w:r>
              <w:rPr>
                <w:rFonts w:ascii="Arial" w:cs="Arial" w:eastAsia="Arial" w:hAnsi="Arial"/>
                <w:sz w:val="18"/>
                <w:szCs w:val="18"/>
                <w:color w:val="auto"/>
              </w:rPr>
              <w:t>(87,416)</w:t>
            </w:r>
          </w:p>
        </w:tc>
        <w:tc>
          <w:tcPr>
            <w:tcW w:w="900" w:type="dxa"/>
            <w:vAlign w:val="bottom"/>
          </w:tcPr>
          <w:p>
            <w:pPr>
              <w:jc w:val="right"/>
              <w:spacing w:after="0"/>
              <w:rPr>
                <w:sz w:val="20"/>
                <w:szCs w:val="20"/>
                <w:color w:val="auto"/>
              </w:rPr>
            </w:pPr>
            <w:r>
              <w:rPr>
                <w:rFonts w:ascii="Arial" w:cs="Arial" w:eastAsia="Arial" w:hAnsi="Arial"/>
                <w:sz w:val="18"/>
                <w:szCs w:val="18"/>
                <w:color w:val="auto"/>
              </w:rPr>
              <w:t>(66,247)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(75,055)</w:t>
            </w:r>
          </w:p>
        </w:tc>
        <w:tc>
          <w:tcPr>
            <w:tcW w:w="780" w:type="dxa"/>
            <w:vAlign w:val="bottom"/>
          </w:tcPr>
          <w:p>
            <w:pPr>
              <w:jc w:val="center"/>
              <w:spacing w:after="0"/>
              <w:rPr>
                <w:sz w:val="20"/>
                <w:szCs w:val="20"/>
                <w:color w:val="auto"/>
              </w:rPr>
            </w:pPr>
            <w:r>
              <w:rPr>
                <w:rFonts w:ascii="Arial" w:cs="Arial" w:eastAsia="Arial" w:hAnsi="Arial"/>
                <w:sz w:val="18"/>
                <w:szCs w:val="18"/>
                <w:color w:val="auto"/>
              </w:rPr>
              <w:t>13.3%</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-14.1%</w:t>
            </w:r>
          </w:p>
        </w:tc>
        <w:tc>
          <w:tcPr>
            <w:tcW w:w="1060" w:type="dxa"/>
            <w:vAlign w:val="bottom"/>
          </w:tcPr>
          <w:p>
            <w:pPr>
              <w:jc w:val="right"/>
              <w:spacing w:after="0"/>
              <w:rPr>
                <w:sz w:val="20"/>
                <w:szCs w:val="20"/>
                <w:color w:val="auto"/>
              </w:rPr>
            </w:pPr>
            <w:r>
              <w:rPr>
                <w:rFonts w:ascii="Arial" w:cs="Arial" w:eastAsia="Arial" w:hAnsi="Arial"/>
                <w:sz w:val="18"/>
                <w:szCs w:val="18"/>
                <w:color w:val="auto"/>
              </w:rPr>
              <w:t>(258,182)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(211,786)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-18.0%</w:t>
            </w:r>
          </w:p>
        </w:tc>
      </w:tr>
      <w:tr>
        <w:trPr>
          <w:trHeight w:val="201"/>
        </w:trPr>
        <w:tc>
          <w:tcPr>
            <w:tcW w:w="480" w:type="dxa"/>
            <w:vAlign w:val="bottom"/>
            <w:tcBorders>
              <w:left w:val="single" w:sz="8" w:color="auto"/>
              <w:right w:val="single" w:sz="8" w:color="auto"/>
            </w:tcBorders>
          </w:tcPr>
          <w:p>
            <w:pPr>
              <w:spacing w:after="0"/>
              <w:rPr>
                <w:sz w:val="17"/>
                <w:szCs w:val="17"/>
                <w:color w:val="auto"/>
              </w:rPr>
            </w:pPr>
          </w:p>
        </w:tc>
        <w:tc>
          <w:tcPr>
            <w:tcW w:w="30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98"/>
              </w:rPr>
              <w:t>Total insurance underwriting result</w:t>
            </w:r>
          </w:p>
        </w:tc>
        <w:tc>
          <w:tcPr>
            <w:tcW w:w="9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70,204</w:t>
            </w:r>
          </w:p>
        </w:tc>
        <w:tc>
          <w:tcPr>
            <w:tcW w:w="9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137,042</w:t>
            </w:r>
          </w:p>
        </w:tc>
        <w:tc>
          <w:tcPr>
            <w:tcW w:w="8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198,842</w:t>
            </w:r>
          </w:p>
        </w:tc>
        <w:tc>
          <w:tcPr>
            <w:tcW w:w="7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45.1%</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183.2%</w:t>
            </w:r>
          </w:p>
        </w:tc>
        <w:tc>
          <w:tcPr>
            <w:tcW w:w="10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(131,378)</w:t>
            </w:r>
          </w:p>
        </w:tc>
        <w:tc>
          <w:tcPr>
            <w:tcW w:w="9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477,430</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n.a.</w:t>
            </w: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Loss Ratio</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70.8%</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63.6%</w:t>
            </w:r>
          </w:p>
        </w:tc>
        <w:tc>
          <w:tcPr>
            <w:tcW w:w="17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-720 bps -1310 bps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93.5%</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67.8%</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-2570 bps</w:t>
            </w:r>
          </w:p>
        </w:tc>
      </w:tr>
      <w:tr>
        <w:trPr>
          <w:trHeight w:val="182"/>
        </w:trPr>
        <w:tc>
          <w:tcPr>
            <w:tcW w:w="480" w:type="dxa"/>
            <w:vAlign w:val="bottom"/>
            <w:tcBorders>
              <w:left w:val="single" w:sz="8" w:color="auto"/>
              <w:right w:val="single" w:sz="8" w:color="auto"/>
            </w:tcBorders>
          </w:tcPr>
          <w:p>
            <w:pPr>
              <w:spacing w:after="0"/>
              <w:rPr>
                <w:sz w:val="15"/>
                <w:szCs w:val="15"/>
                <w:color w:val="auto"/>
              </w:rPr>
            </w:pPr>
          </w:p>
        </w:tc>
        <w:tc>
          <w:tcPr>
            <w:tcW w:w="30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Net earned premiums</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346,986</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365,452</w:t>
            </w:r>
          </w:p>
        </w:tc>
        <w:tc>
          <w:tcPr>
            <w:tcW w:w="8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411,042</w:t>
            </w: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rPr>
              <w:t>12.5%</w:t>
            </w:r>
          </w:p>
        </w:tc>
        <w:tc>
          <w:tcPr>
            <w:tcW w:w="9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18.5%</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1,021,969</w:t>
            </w:r>
          </w:p>
        </w:tc>
        <w:tc>
          <w:tcPr>
            <w:tcW w:w="9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1,141,986</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11.7%</w:t>
            </w:r>
          </w:p>
        </w:tc>
      </w:tr>
      <w:tr>
        <w:trPr>
          <w:trHeight w:val="201"/>
        </w:trPr>
        <w:tc>
          <w:tcPr>
            <w:tcW w:w="480" w:type="dxa"/>
            <w:vAlign w:val="bottom"/>
            <w:tcBorders>
              <w:left w:val="single" w:sz="8" w:color="auto"/>
              <w:right w:val="single" w:sz="8" w:color="auto"/>
            </w:tcBorders>
          </w:tcPr>
          <w:p>
            <w:pPr>
              <w:ind w:left="80"/>
              <w:spacing w:after="0" w:line="201" w:lineRule="exact"/>
              <w:rPr>
                <w:sz w:val="20"/>
                <w:szCs w:val="20"/>
                <w:color w:val="auto"/>
              </w:rPr>
            </w:pPr>
            <w:r>
              <w:rPr>
                <w:rFonts w:ascii="Arial" w:cs="Arial" w:eastAsia="Arial" w:hAnsi="Arial"/>
                <w:sz w:val="18"/>
                <w:szCs w:val="18"/>
                <w:b w:val="1"/>
                <w:bCs w:val="1"/>
                <w:color w:val="auto"/>
              </w:rPr>
              <w:t>Life</w:t>
            </w:r>
          </w:p>
        </w:tc>
        <w:tc>
          <w:tcPr>
            <w:tcW w:w="30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Net claims</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(343,269)</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(335,204)</w:t>
            </w:r>
          </w:p>
        </w:tc>
        <w:tc>
          <w:tcPr>
            <w:tcW w:w="8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(315,334)</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rPr>
              <w:t>-5.9%</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-8.1%</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(1,391,421)</w:t>
            </w:r>
          </w:p>
        </w:tc>
        <w:tc>
          <w:tcPr>
            <w:tcW w:w="9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(966,256)</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-30.6%</w:t>
            </w: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Loss Ratio</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76.7%</w:t>
            </w:r>
          </w:p>
        </w:tc>
        <w:tc>
          <w:tcPr>
            <w:tcW w:w="170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-1500 bps-2220 bps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136.2%</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84.6%</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-5160 bps</w:t>
            </w:r>
          </w:p>
        </w:tc>
      </w:tr>
      <w:tr>
        <w:trPr>
          <w:trHeight w:val="182"/>
        </w:trPr>
        <w:tc>
          <w:tcPr>
            <w:tcW w:w="480" w:type="dxa"/>
            <w:vAlign w:val="bottom"/>
            <w:tcBorders>
              <w:left w:val="single" w:sz="8" w:color="auto"/>
              <w:right w:val="single" w:sz="8" w:color="auto"/>
            </w:tcBorders>
          </w:tcPr>
          <w:p>
            <w:pPr>
              <w:spacing w:after="0"/>
              <w:rPr>
                <w:sz w:val="15"/>
                <w:szCs w:val="15"/>
                <w:color w:val="auto"/>
              </w:rPr>
            </w:pPr>
          </w:p>
        </w:tc>
        <w:tc>
          <w:tcPr>
            <w:tcW w:w="300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Net earned premiums</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310,653</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313,518</w:t>
            </w:r>
          </w:p>
        </w:tc>
        <w:tc>
          <w:tcPr>
            <w:tcW w:w="8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324,127</w:t>
            </w: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7"/>
              </w:rPr>
              <w:t>3.4%</w:t>
            </w:r>
          </w:p>
        </w:tc>
        <w:tc>
          <w:tcPr>
            <w:tcW w:w="9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4.3%</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886,248</w:t>
            </w:r>
          </w:p>
        </w:tc>
        <w:tc>
          <w:tcPr>
            <w:tcW w:w="9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946,536</w:t>
            </w:r>
          </w:p>
        </w:tc>
        <w:tc>
          <w:tcPr>
            <w:tcW w:w="13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6.8%</w:t>
            </w:r>
          </w:p>
        </w:tc>
      </w:tr>
      <w:tr>
        <w:trPr>
          <w:trHeight w:val="201"/>
        </w:trPr>
        <w:tc>
          <w:tcPr>
            <w:tcW w:w="480" w:type="dxa"/>
            <w:vAlign w:val="bottom"/>
            <w:tcBorders>
              <w:left w:val="single" w:sz="8" w:color="auto"/>
              <w:right w:val="single" w:sz="8" w:color="auto"/>
            </w:tcBorders>
          </w:tcPr>
          <w:p>
            <w:pPr>
              <w:ind w:left="60"/>
              <w:spacing w:after="0" w:line="201" w:lineRule="exact"/>
              <w:rPr>
                <w:sz w:val="20"/>
                <w:szCs w:val="20"/>
                <w:color w:val="auto"/>
              </w:rPr>
            </w:pPr>
            <w:r>
              <w:rPr>
                <w:rFonts w:ascii="Arial" w:cs="Arial" w:eastAsia="Arial" w:hAnsi="Arial"/>
                <w:sz w:val="18"/>
                <w:szCs w:val="18"/>
                <w:b w:val="1"/>
                <w:bCs w:val="1"/>
                <w:color w:val="auto"/>
                <w:w w:val="99"/>
              </w:rPr>
              <w:t>P&amp;C</w:t>
            </w:r>
          </w:p>
        </w:tc>
        <w:tc>
          <w:tcPr>
            <w:tcW w:w="300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Net claims</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(164,369)</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(153,046)</w:t>
            </w:r>
          </w:p>
        </w:tc>
        <w:tc>
          <w:tcPr>
            <w:tcW w:w="8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(158,037)</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7"/>
              </w:rPr>
              <w:t>3.3%</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-3.9%</w:t>
            </w: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(414,483)</w:t>
            </w:r>
          </w:p>
        </w:tc>
        <w:tc>
          <w:tcPr>
            <w:tcW w:w="9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(467,935)</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12.9%</w:t>
            </w:r>
          </w:p>
        </w:tc>
      </w:tr>
      <w:tr>
        <w:trPr>
          <w:trHeight w:val="226"/>
        </w:trPr>
        <w:tc>
          <w:tcPr>
            <w:tcW w:w="480" w:type="dxa"/>
            <w:vAlign w:val="bottom"/>
            <w:tcBorders>
              <w:left w:val="single" w:sz="8" w:color="auto"/>
              <w:bottom w:val="single" w:sz="8" w:color="auto"/>
              <w:right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Loss Ratio</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48.8%</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48.8%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0 bps</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-410 bps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46.8%</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49.4%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260 bps</w:t>
            </w:r>
          </w:p>
        </w:tc>
      </w:tr>
    </w:tbl>
    <w:p>
      <w:pPr>
        <w:spacing w:after="0" w:line="233" w:lineRule="exact"/>
        <w:rPr>
          <w:sz w:val="20"/>
          <w:szCs w:val="20"/>
          <w:color w:val="auto"/>
        </w:rPr>
      </w:pPr>
    </w:p>
    <w:p>
      <w:pPr>
        <w:ind w:left="180" w:hanging="173"/>
        <w:spacing w:after="0"/>
        <w:tabs>
          <w:tab w:leader="none" w:pos="1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the results of the Life, Property &amp; Casualty and Crediseguros business</w:t>
      </w:r>
    </w:p>
    <w:p>
      <w:pPr>
        <w:spacing w:after="0" w:line="7" w:lineRule="exact"/>
        <w:rPr>
          <w:rFonts w:ascii="Times New Roman" w:cs="Times New Roman" w:eastAsia="Times New Roman" w:hAnsi="Times New Roman"/>
          <w:sz w:val="12"/>
          <w:szCs w:val="12"/>
          <w:color w:val="auto"/>
        </w:rPr>
      </w:pPr>
    </w:p>
    <w:p>
      <w:pPr>
        <w:ind w:left="180" w:hanging="173"/>
        <w:spacing w:after="0"/>
        <w:tabs>
          <w:tab w:leader="none" w:pos="1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net fees and underwriting expenses.</w:t>
      </w:r>
    </w:p>
    <w:p>
      <w:pPr>
        <w:spacing w:after="0" w:line="2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From a </w:t>
      </w:r>
      <w:r>
        <w:rPr>
          <w:rFonts w:ascii="Times New Roman" w:cs="Times New Roman" w:eastAsia="Times New Roman" w:hAnsi="Times New Roman"/>
          <w:sz w:val="18"/>
          <w:szCs w:val="18"/>
          <w:b w:val="1"/>
          <w:bCs w:val="1"/>
          <w:color w:val="auto"/>
        </w:rPr>
        <w:t>QoQ</w:t>
      </w:r>
      <w:r>
        <w:rPr>
          <w:rFonts w:ascii="Times New Roman" w:cs="Times New Roman" w:eastAsia="Times New Roman" w:hAnsi="Times New Roman"/>
          <w:sz w:val="18"/>
          <w:szCs w:val="18"/>
          <w:color w:val="auto"/>
        </w:rPr>
        <w:t xml:space="preserve"> perspective, the underwriting result rose due to an 8.1% increase in net earned premiums and a drop in net claims. Both Life and P&amp;C reported an uptick in net earned premiums, but growth was led by Life with an increase of 12.5%. In particular, (i) Credit Life, which registered higher sales of products through BCP and Banco de la Nacion and (ii) Group Life, which reported growth through its Complementary Insurance for Occupational Risk (SCTR) product. Reported claims dropped in Life this quarter as COVID-19 waned. This dynamic was partially mitigated by an increase in claims in P&amp;C and by an uptick in the acquisition cost in both businesses, related to higher premiums.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From a </w:t>
      </w:r>
      <w:r>
        <w:rPr>
          <w:rFonts w:ascii="Times New Roman" w:cs="Times New Roman" w:eastAsia="Times New Roman" w:hAnsi="Times New Roman"/>
          <w:sz w:val="18"/>
          <w:szCs w:val="18"/>
          <w:b w:val="1"/>
          <w:bCs w:val="1"/>
          <w:color w:val="auto"/>
        </w:rPr>
        <w:t>YoY</w:t>
      </w:r>
      <w:r>
        <w:rPr>
          <w:rFonts w:ascii="Times New Roman" w:cs="Times New Roman" w:eastAsia="Times New Roman" w:hAnsi="Times New Roman"/>
          <w:sz w:val="18"/>
          <w:szCs w:val="18"/>
          <w:color w:val="auto"/>
        </w:rPr>
        <w:t xml:space="preserve"> perspective, the insurance underwriting result improved significantly. The following factors stood out:</w:t>
      </w:r>
    </w:p>
    <w:p>
      <w:pPr>
        <w:spacing w:after="0" w:line="158" w:lineRule="exact"/>
        <w:rPr>
          <w:sz w:val="20"/>
          <w:szCs w:val="20"/>
          <w:color w:val="auto"/>
        </w:rPr>
      </w:pPr>
    </w:p>
    <w:p>
      <w:pPr>
        <w:ind w:left="640" w:hanging="312"/>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Growth in net earned premiums in the Life (+18.5%) and P&amp;C businesses (+4.3%) due to economic reactivation post-pandemic;</w:t>
      </w:r>
    </w:p>
    <w:p>
      <w:pPr>
        <w:spacing w:after="0" w:line="11" w:lineRule="exact"/>
        <w:rPr>
          <w:rFonts w:ascii="Arial" w:cs="Arial" w:eastAsia="Arial" w:hAnsi="Arial"/>
          <w:sz w:val="18"/>
          <w:szCs w:val="18"/>
          <w:color w:val="auto"/>
        </w:rPr>
      </w:pPr>
    </w:p>
    <w:p>
      <w:pPr>
        <w:ind w:left="640" w:hanging="312"/>
        <w:spacing w:after="0" w:line="232"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drop in claims in the Life business (-8.1%), which reflects a decrease in COVID-19 claims in a context of advances in the vaccination level. P &amp; C also reported a decrease in claims, to the order of 3.9%;</w:t>
      </w:r>
    </w:p>
    <w:p>
      <w:pPr>
        <w:spacing w:after="0" w:line="1" w:lineRule="exact"/>
        <w:rPr>
          <w:rFonts w:ascii="Arial" w:cs="Arial" w:eastAsia="Arial" w:hAnsi="Arial"/>
          <w:sz w:val="18"/>
          <w:szCs w:val="18"/>
          <w:color w:val="auto"/>
        </w:rPr>
      </w:pPr>
    </w:p>
    <w:p>
      <w:pPr>
        <w:ind w:left="640" w:hanging="312"/>
        <w:spacing w:after="0" w:line="245" w:lineRule="auto"/>
        <w:tabs>
          <w:tab w:leader="none" w:pos="640" w:val="left"/>
        </w:tabs>
        <w:numPr>
          <w:ilvl w:val="0"/>
          <w:numId w:val="35"/>
        </w:numPr>
        <w:rPr>
          <w:rFonts w:ascii="Arial" w:cs="Arial" w:eastAsia="Arial" w:hAnsi="Arial"/>
          <w:sz w:val="18"/>
          <w:szCs w:val="18"/>
          <w:i w:val="1"/>
          <w:iCs w:val="1"/>
          <w:color w:val="auto"/>
        </w:rPr>
      </w:pPr>
      <w:r>
        <w:rPr>
          <w:rFonts w:ascii="Arial" w:cs="Arial" w:eastAsia="Arial" w:hAnsi="Arial"/>
          <w:sz w:val="18"/>
          <w:szCs w:val="18"/>
          <w:color w:val="auto"/>
        </w:rPr>
        <w:t>A 14.1% decrease in the acquisition cost, which reflected a decrease in commissions after a contract in the alliance channel expired at the end of 2021.</w:t>
      </w:r>
    </w:p>
    <w:p>
      <w:pPr>
        <w:spacing w:after="0" w:line="203"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YTD, the underwriting result entered positive terrain. This evolution was primarily driven by the Life business and was associated with a drop in excess mortality for COVID-19. Growth in the level of net earned premiums, which reflected economic reactivation, also bolstered the result this quarter.</w:t>
      </w:r>
    </w:p>
    <w:p>
      <w:pPr>
        <w:spacing w:after="0" w:line="34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35" w:name="page36"/>
    <w:bookmarkEnd w:id="35"/>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07. 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2463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3590" cy="24638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Earned Premiums by Business</w:t>
      </w:r>
    </w:p>
    <w:p>
      <w:pPr>
        <w:sectPr>
          <w:pgSz w:w="11900" w:h="16838" w:orient="portrait"/>
          <w:cols w:equalWidth="0" w:num="1">
            <w:col w:w="11240"/>
          </w:cols>
          <w:pgMar w:left="320" w:top="451" w:right="339" w:bottom="1440" w:gutter="0" w:footer="0" w:header="0"/>
        </w:sect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Net Earned Premiums in the Life Business(1)</w:t>
      </w:r>
    </w:p>
    <w:p>
      <w:pPr>
        <w:spacing w:after="0" w:line="8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4445</wp:posOffset>
            </wp:positionV>
            <wp:extent cx="3256280" cy="18281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56280" cy="1828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Net Earned Premiums in P&amp;C Business</w:t>
      </w:r>
      <w:r>
        <w:rPr>
          <w:rFonts w:ascii="Times New Roman" w:cs="Times New Roman" w:eastAsia="Times New Roman" w:hAnsi="Times New Roman"/>
          <w:sz w:val="13"/>
          <w:szCs w:val="13"/>
          <w:b w:val="1"/>
          <w:bCs w:val="1"/>
          <w:color w:val="auto"/>
        </w:rPr>
        <w:t>(1)</w:t>
      </w:r>
    </w:p>
    <w:p>
      <w:pPr>
        <w:spacing w:after="0" w:line="5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wp:posOffset>
            </wp:positionH>
            <wp:positionV relativeFrom="paragraph">
              <wp:posOffset>4445</wp:posOffset>
            </wp:positionV>
            <wp:extent cx="2890520" cy="18453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90520" cy="18453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60" w:space="720"/>
            <w:col w:w="4260"/>
          </w:cols>
          <w:pgMar w:left="320" w:top="4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6" w:lineRule="exact"/>
        <w:rPr>
          <w:sz w:val="20"/>
          <w:szCs w:val="20"/>
          <w:color w:val="auto"/>
        </w:rPr>
      </w:pPr>
      <w:r>
        <w:rPr>
          <w:rFonts w:ascii="Times New Roman" w:cs="Times New Roman" w:eastAsia="Times New Roman" w:hAnsi="Times New Roman"/>
          <w:sz w:val="18"/>
          <w:szCs w:val="18"/>
          <w:color w:val="auto"/>
        </w:rPr>
        <w:t>In the QoQ analysis, net earned premiums in the Life business rose across products. Growth was noteworthy in (i) Credit Life, which was attributable to an uptick in sales through BCP due to higher consumer credit and Banco de la Nacion; (ii) Group Life, which was primarily attributable to Complementary Insurance for Occupational Risk (SCTR) due to a seasonal effect generated by statutory bonuses and (iii) D&amp;S associated with higher revenue collection in SISCO V</w:t>
      </w:r>
      <w:r>
        <w:rPr>
          <w:rFonts w:ascii="MS PGothic" w:cs="MS PGothic" w:eastAsia="MS PGothic" w:hAnsi="MS PGothic"/>
          <w:sz w:val="18"/>
          <w:szCs w:val="18"/>
          <w:color w:val="auto"/>
        </w:rPr>
        <w:t>⁽</w:t>
      </w:r>
      <w:r>
        <w:rPr>
          <w:rFonts w:ascii="Times New Roman" w:cs="Times New Roman" w:eastAsia="Times New Roman" w:hAnsi="Times New Roman"/>
          <w:sz w:val="29"/>
          <w:szCs w:val="29"/>
          <w:color w:val="auto"/>
          <w:vertAlign w:val="superscript"/>
        </w:rPr>
        <w:t>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the P&amp;C business, net earned premiums rose 3.4%, driven primarily by (i) Personal Lines, which reflects an upswing in Home Mortgage and Card Protection products and (ii) Cars through bancassurance and brokers channels.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YoY and YTD analysis, net earned premiums in the Life business rose 18.5% and 11.7% respectively, particularly in (i) Credit Life, due to growth in the Bancassurance channel given higher consumer credit, (ii) Group Life, in line with price adjustments and growth in new sales of Complementary Insurance for Occupational Risk products and (iii) D&amp;S, given that the insured base broadened in a context of recovery of business activities. Net earned premiums for P&amp;C increased 4.3% YoY and 6.8% YTD, driven by: (i) Medical Assistance, due to an uptick in sales of Oncological Compensation products and (ii) Personal Lines, due to growth in sales of Home Mortgage and Card protection products in the Bancassurance channel.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Claims by Business</w:t>
      </w:r>
    </w:p>
    <w:p>
      <w:pPr>
        <w:spacing w:after="0" w:line="221" w:lineRule="exact"/>
        <w:rPr>
          <w:sz w:val="20"/>
          <w:szCs w:val="20"/>
          <w:color w:val="auto"/>
        </w:rPr>
      </w:pPr>
    </w:p>
    <w:tbl>
      <w:tblPr>
        <w:tblLayout w:type="fixed"/>
        <w:tblInd w:w="2140" w:type="dxa"/>
        <w:tblCellMar>
          <w:top w:w="0" w:type="dxa"/>
          <w:left w:w="0" w:type="dxa"/>
          <w:bottom w:w="0" w:type="dxa"/>
          <w:right w:w="0" w:type="dxa"/>
        </w:tblCellMar>
      </w:tblPr>
      <w:tr>
        <w:trPr>
          <w:trHeight w:val="218"/>
        </w:trPr>
        <w:tc>
          <w:tcPr>
            <w:tcW w:w="2420" w:type="dxa"/>
            <w:vAlign w:val="bottom"/>
          </w:tcPr>
          <w:p>
            <w:pPr>
              <w:jc w:val="center"/>
              <w:ind w:right="1224"/>
              <w:spacing w:after="0"/>
              <w:rPr>
                <w:sz w:val="20"/>
                <w:szCs w:val="20"/>
                <w:color w:val="auto"/>
              </w:rPr>
            </w:pPr>
            <w:r>
              <w:rPr>
                <w:rFonts w:ascii="Times New Roman" w:cs="Times New Roman" w:eastAsia="Times New Roman" w:hAnsi="Times New Roman"/>
                <w:sz w:val="18"/>
                <w:szCs w:val="18"/>
                <w:b w:val="1"/>
                <w:bCs w:val="1"/>
                <w:color w:val="auto"/>
                <w:w w:val="99"/>
              </w:rPr>
              <w:t>Net Loss Ratio</w:t>
            </w: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The Net Loss Ratio stood at 63.6%, (-720bps QoQ). The drop in claims in</w:t>
            </w:r>
          </w:p>
        </w:tc>
      </w:tr>
      <w:tr>
        <w:trPr>
          <w:trHeight w:val="214"/>
        </w:trPr>
        <w:tc>
          <w:tcPr>
            <w:tcW w:w="2420" w:type="dxa"/>
            <w:vAlign w:val="bottom"/>
          </w:tcPr>
          <w:p>
            <w:pPr>
              <w:jc w:val="right"/>
              <w:ind w:right="1684"/>
              <w:spacing w:after="0"/>
              <w:rPr>
                <w:sz w:val="20"/>
                <w:szCs w:val="20"/>
                <w:color w:val="auto"/>
              </w:rPr>
            </w:pPr>
            <w:r>
              <w:rPr>
                <w:rFonts w:ascii="Times New Roman" w:cs="Times New Roman" w:eastAsia="Times New Roman" w:hAnsi="Times New Roman"/>
                <w:sz w:val="12"/>
                <w:szCs w:val="12"/>
                <w:color w:val="auto"/>
              </w:rPr>
              <w:t>(%)</w:t>
            </w: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the Life business was particularly noteworthy (-1500bps QoQ) and was</w:t>
            </w:r>
          </w:p>
        </w:tc>
      </w:tr>
      <w:tr>
        <w:trPr>
          <w:trHeight w:val="214"/>
        </w:trPr>
        <w:tc>
          <w:tcPr>
            <w:tcW w:w="2420" w:type="dxa"/>
            <w:vAlign w:val="bottom"/>
          </w:tcPr>
          <w:p>
            <w:pPr>
              <w:spacing w:after="0"/>
              <w:rPr>
                <w:sz w:val="18"/>
                <w:szCs w:val="18"/>
                <w:color w:val="auto"/>
              </w:rPr>
            </w:pP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driven by a drop in claims for (i) D &amp; S, due to a decrease in regular cases</w:t>
            </w:r>
          </w:p>
        </w:tc>
      </w:tr>
      <w:tr>
        <w:trPr>
          <w:trHeight w:val="214"/>
        </w:trPr>
        <w:tc>
          <w:tcPr>
            <w:tcW w:w="2420" w:type="dxa"/>
            <w:vAlign w:val="bottom"/>
          </w:tcPr>
          <w:p>
            <w:pPr>
              <w:spacing w:after="0"/>
              <w:rPr>
                <w:sz w:val="18"/>
                <w:szCs w:val="18"/>
                <w:color w:val="auto"/>
              </w:rPr>
            </w:pP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and reported COVID-19 cases and (ii) Individual Life, due to a release of</w:t>
            </w:r>
          </w:p>
        </w:tc>
      </w:tr>
      <w:tr>
        <w:trPr>
          <w:trHeight w:val="214"/>
        </w:trPr>
        <w:tc>
          <w:tcPr>
            <w:tcW w:w="2420" w:type="dxa"/>
            <w:vAlign w:val="bottom"/>
          </w:tcPr>
          <w:p>
            <w:pPr>
              <w:spacing w:after="0"/>
              <w:rPr>
                <w:sz w:val="18"/>
                <w:szCs w:val="18"/>
                <w:color w:val="auto"/>
              </w:rPr>
            </w:pP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IBNR reserves and to a lesser extent to group life insurance products. The</w:t>
            </w:r>
          </w:p>
        </w:tc>
      </w:tr>
      <w:tr>
        <w:trPr>
          <w:trHeight w:val="214"/>
        </w:trPr>
        <w:tc>
          <w:tcPr>
            <w:tcW w:w="2420" w:type="dxa"/>
            <w:vAlign w:val="bottom"/>
          </w:tcPr>
          <w:p>
            <w:pPr>
              <w:spacing w:after="0"/>
              <w:rPr>
                <w:sz w:val="18"/>
                <w:szCs w:val="18"/>
                <w:color w:val="auto"/>
              </w:rPr>
            </w:pP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Loss Ratio for the P&amp;C business remained stable QoQ. It is important</w:t>
            </w:r>
          </w:p>
        </w:tc>
      </w:tr>
      <w:tr>
        <w:trPr>
          <w:trHeight w:val="214"/>
        </w:trPr>
        <w:tc>
          <w:tcPr>
            <w:tcW w:w="2420" w:type="dxa"/>
            <w:vAlign w:val="bottom"/>
          </w:tcPr>
          <w:p>
            <w:pPr>
              <w:spacing w:after="0"/>
              <w:rPr>
                <w:sz w:val="18"/>
                <w:szCs w:val="18"/>
                <w:color w:val="auto"/>
              </w:rPr>
            </w:pP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to note the 3.3% increase in claims; this evolution was attributable to</w:t>
            </w:r>
          </w:p>
        </w:tc>
      </w:tr>
      <w:tr>
        <w:trPr>
          <w:trHeight w:val="214"/>
        </w:trPr>
        <w:tc>
          <w:tcPr>
            <w:tcW w:w="2420" w:type="dxa"/>
            <w:vAlign w:val="bottom"/>
          </w:tcPr>
          <w:p>
            <w:pPr>
              <w:spacing w:after="0"/>
              <w:rPr>
                <w:sz w:val="18"/>
                <w:szCs w:val="18"/>
                <w:color w:val="auto"/>
              </w:rPr>
            </w:pP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Medical Assistance which reflected an increase in visits to clinics by</w:t>
            </w:r>
          </w:p>
        </w:tc>
      </w:tr>
      <w:tr>
        <w:trPr>
          <w:trHeight w:val="214"/>
        </w:trPr>
        <w:tc>
          <w:tcPr>
            <w:tcW w:w="2420" w:type="dxa"/>
            <w:vAlign w:val="bottom"/>
          </w:tcPr>
          <w:p>
            <w:pPr>
              <w:spacing w:after="0"/>
              <w:rPr>
                <w:sz w:val="18"/>
                <w:szCs w:val="18"/>
                <w:color w:val="auto"/>
              </w:rPr>
            </w:pP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insured parties and regularization of lags in claims reporting. Additionally,</w:t>
            </w:r>
          </w:p>
        </w:tc>
      </w:tr>
      <w:tr>
        <w:trPr>
          <w:trHeight w:val="233"/>
        </w:trPr>
        <w:tc>
          <w:tcPr>
            <w:tcW w:w="2420" w:type="dxa"/>
            <w:vAlign w:val="bottom"/>
          </w:tcPr>
          <w:p>
            <w:pPr>
              <w:spacing w:after="0"/>
              <w:rPr>
                <w:sz w:val="20"/>
                <w:szCs w:val="20"/>
                <w:color w:val="auto"/>
              </w:rPr>
            </w:pPr>
          </w:p>
        </w:tc>
        <w:tc>
          <w:tcPr>
            <w:tcW w:w="66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Cars and SOAT reported an increase in case frequency.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-1139190</wp:posOffset>
            </wp:positionV>
            <wp:extent cx="2252980" cy="13944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52980" cy="139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color w:val="auto"/>
        </w:rPr>
        <w:t>In the YoY and YTD analysis, the Net Loss Ratio improved after net claims in the Life business fell 7.7% and 20.9% respectively. This dynamic was driven by a decline in COVID cases due to an improvement in the sanitary situation.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132080</wp:posOffset>
            </wp:positionV>
            <wp:extent cx="14281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28115" cy="17145"/>
                    </a:xfrm>
                    <a:prstGeom prst="rect">
                      <a:avLst/>
                    </a:prstGeom>
                    <a:noFill/>
                  </pic:spPr>
                </pic:pic>
              </a:graphicData>
            </a:graphic>
          </wp:anchor>
        </w:drawing>
      </w:r>
    </w:p>
    <w:p>
      <w:pPr>
        <w:spacing w:after="0" w:line="195" w:lineRule="exact"/>
        <w:rPr>
          <w:sz w:val="20"/>
          <w:szCs w:val="20"/>
          <w:color w:val="auto"/>
        </w:rPr>
      </w:pPr>
    </w:p>
    <w:p>
      <w:pPr>
        <w:ind w:left="100" w:hanging="93"/>
        <w:spacing w:after="0"/>
        <w:tabs>
          <w:tab w:leader="none" w:pos="100" w:val="left"/>
        </w:tabs>
        <w:numPr>
          <w:ilvl w:val="0"/>
          <w:numId w:val="3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Total premiums less premiums ceded to reinsurance and adjustments in constitution of technical reserves.</w:t>
      </w:r>
    </w:p>
    <w:p>
      <w:pPr>
        <w:ind w:left="100" w:hanging="93"/>
        <w:spacing w:after="0" w:line="183" w:lineRule="auto"/>
        <w:tabs>
          <w:tab w:leader="none" w:pos="100" w:val="left"/>
        </w:tabs>
        <w:numPr>
          <w:ilvl w:val="0"/>
          <w:numId w:val="3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0"/>
          <w:szCs w:val="10"/>
          <w:color w:val="auto"/>
        </w:rPr>
        <w:t>Public bidding process as a result of which the insurance companies that will collectively manage the risks of disability, survival and burial of AFP members for the period 2021-2022 are selected.</w:t>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type w:val="continuous"/>
        </w:sectPr>
      </w:pPr>
    </w:p>
    <w:bookmarkStart w:id="36" w:name="page37"/>
    <w:bookmarkEnd w:id="36"/>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07. 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-134620</wp:posOffset>
            </wp:positionV>
            <wp:extent cx="7133590" cy="2463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3590" cy="24638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cost</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218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Acquisition cost</w:t>
            </w:r>
          </w:p>
        </w:tc>
        <w:tc>
          <w:tcPr>
            <w:tcW w:w="1380" w:type="dxa"/>
            <w:vAlign w:val="bottom"/>
            <w:tcBorders>
              <w:top w:val="single" w:sz="8" w:color="auto"/>
            </w:tcBorders>
            <w:shd w:val="clear" w:color="auto" w:fill="2AD2C9"/>
          </w:tcPr>
          <w:p>
            <w:pPr>
              <w:spacing w:after="0"/>
              <w:rPr>
                <w:sz w:val="18"/>
                <w:szCs w:val="18"/>
                <w:color w:val="auto"/>
              </w:rPr>
            </w:pPr>
          </w:p>
        </w:tc>
        <w:tc>
          <w:tcPr>
            <w:tcW w:w="1300" w:type="dxa"/>
            <w:vAlign w:val="bottom"/>
            <w:tcBorders>
              <w:top w:val="single" w:sz="8" w:color="auto"/>
            </w:tcBorders>
            <w:shd w:val="clear" w:color="auto" w:fill="2AD2C9"/>
          </w:tcPr>
          <w:p>
            <w:pPr>
              <w:jc w:val="right"/>
              <w:ind w:right="411"/>
              <w:spacing w:after="0"/>
              <w:rPr>
                <w:sz w:val="20"/>
                <w:szCs w:val="20"/>
                <w:color w:val="auto"/>
              </w:rPr>
            </w:pPr>
            <w:r>
              <w:rPr>
                <w:rFonts w:ascii="Arial" w:cs="Arial" w:eastAsia="Arial" w:hAnsi="Arial"/>
                <w:sz w:val="18"/>
                <w:szCs w:val="18"/>
                <w:b w:val="1"/>
                <w:bCs w:val="1"/>
                <w:color w:val="FFFFFF"/>
              </w:rPr>
              <w:t>Quarter</w:t>
            </w:r>
          </w:p>
        </w:tc>
        <w:tc>
          <w:tcPr>
            <w:tcW w:w="1060" w:type="dxa"/>
            <w:vAlign w:val="bottom"/>
            <w:tcBorders>
              <w:top w:val="single" w:sz="8" w:color="auto"/>
              <w:right w:val="single" w:sz="8" w:color="auto"/>
            </w:tcBorders>
            <w:shd w:val="clear" w:color="auto" w:fill="2AD2C9"/>
          </w:tcPr>
          <w:p>
            <w:pPr>
              <w:spacing w:after="0"/>
              <w:rPr>
                <w:sz w:val="18"/>
                <w:szCs w:val="18"/>
                <w:color w:val="auto"/>
              </w:rPr>
            </w:pPr>
          </w:p>
        </w:tc>
        <w:tc>
          <w:tcPr>
            <w:tcW w:w="1420" w:type="dxa"/>
            <w:vAlign w:val="bottom"/>
            <w:tcBorders>
              <w:top w:val="single" w:sz="8" w:color="auto"/>
              <w:right w:val="single" w:sz="8" w:color="auto"/>
            </w:tcBorders>
            <w:gridSpan w:val="2"/>
            <w:shd w:val="clear" w:color="auto" w:fill="2AD2C9"/>
          </w:tcPr>
          <w:p>
            <w:pPr>
              <w:ind w:left="280"/>
              <w:spacing w:after="0"/>
              <w:rPr>
                <w:sz w:val="20"/>
                <w:szCs w:val="20"/>
                <w:color w:val="auto"/>
              </w:rPr>
            </w:pPr>
            <w:r>
              <w:rPr>
                <w:rFonts w:ascii="Arial" w:cs="Arial" w:eastAsia="Arial" w:hAnsi="Arial"/>
                <w:sz w:val="18"/>
                <w:szCs w:val="18"/>
                <w:b w:val="1"/>
                <w:bCs w:val="1"/>
                <w:color w:val="FFFFFF"/>
              </w:rPr>
              <w:t>% change</w:t>
            </w:r>
          </w:p>
        </w:tc>
        <w:tc>
          <w:tcPr>
            <w:tcW w:w="152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8"/>
                <w:szCs w:val="18"/>
                <w:b w:val="1"/>
                <w:bCs w:val="1"/>
                <w:color w:val="FFFFFF"/>
              </w:rPr>
              <w:t>As of</w:t>
            </w:r>
          </w:p>
        </w:tc>
        <w:tc>
          <w:tcPr>
            <w:tcW w:w="980" w:type="dxa"/>
            <w:vAlign w:val="bottom"/>
            <w:tcBorders>
              <w:top w:val="single" w:sz="8" w:color="auto"/>
              <w:right w:val="single" w:sz="8" w:color="auto"/>
            </w:tcBorders>
            <w:shd w:val="clear" w:color="auto" w:fill="2AD2C9"/>
          </w:tcPr>
          <w:p>
            <w:pPr>
              <w:spacing w:after="0"/>
              <w:rPr>
                <w:sz w:val="18"/>
                <w:szCs w:val="18"/>
                <w:color w:val="auto"/>
              </w:rPr>
            </w:pPr>
          </w:p>
        </w:tc>
        <w:tc>
          <w:tcPr>
            <w:tcW w:w="140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 change</w:t>
            </w:r>
          </w:p>
        </w:tc>
      </w:tr>
      <w:tr>
        <w:trPr>
          <w:trHeight w:val="226"/>
        </w:trPr>
        <w:tc>
          <w:tcPr>
            <w:tcW w:w="218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1380" w:type="dxa"/>
            <w:vAlign w:val="bottom"/>
            <w:tcBorders>
              <w:bottom w:val="single" w:sz="8" w:color="auto"/>
            </w:tcBorders>
            <w:shd w:val="clear" w:color="auto" w:fill="2AD2C9"/>
          </w:tcPr>
          <w:p>
            <w:pPr>
              <w:jc w:val="right"/>
              <w:ind w:right="451"/>
              <w:spacing w:after="0"/>
              <w:rPr>
                <w:sz w:val="20"/>
                <w:szCs w:val="20"/>
                <w:color w:val="auto"/>
              </w:rPr>
            </w:pPr>
            <w:r>
              <w:rPr>
                <w:rFonts w:ascii="Arial" w:cs="Arial" w:eastAsia="Arial" w:hAnsi="Arial"/>
                <w:sz w:val="18"/>
                <w:szCs w:val="18"/>
                <w:b w:val="1"/>
                <w:bCs w:val="1"/>
                <w:color w:val="FFFFFF"/>
              </w:rPr>
              <w:t>3Q21</w:t>
            </w:r>
          </w:p>
        </w:tc>
        <w:tc>
          <w:tcPr>
            <w:tcW w:w="1300" w:type="dxa"/>
            <w:vAlign w:val="bottom"/>
            <w:tcBorders>
              <w:bottom w:val="single" w:sz="8" w:color="auto"/>
            </w:tcBorders>
            <w:shd w:val="clear" w:color="auto" w:fill="2AD2C9"/>
          </w:tcPr>
          <w:p>
            <w:pPr>
              <w:jc w:val="right"/>
              <w:ind w:right="511"/>
              <w:spacing w:after="0"/>
              <w:rPr>
                <w:sz w:val="20"/>
                <w:szCs w:val="20"/>
                <w:color w:val="auto"/>
              </w:rPr>
            </w:pPr>
            <w:r>
              <w:rPr>
                <w:rFonts w:ascii="Arial" w:cs="Arial" w:eastAsia="Arial" w:hAnsi="Arial"/>
                <w:sz w:val="18"/>
                <w:szCs w:val="18"/>
                <w:b w:val="1"/>
                <w:bCs w:val="1"/>
                <w:color w:val="FFFFFF"/>
              </w:rPr>
              <w:t>2Q22</w:t>
            </w:r>
          </w:p>
        </w:tc>
        <w:tc>
          <w:tcPr>
            <w:tcW w:w="1060" w:type="dxa"/>
            <w:vAlign w:val="bottom"/>
            <w:tcBorders>
              <w:bottom w:val="single" w:sz="8" w:color="auto"/>
              <w:right w:val="single" w:sz="8" w:color="auto"/>
            </w:tcBorders>
            <w:shd w:val="clear" w:color="auto" w:fill="2AD2C9"/>
          </w:tcPr>
          <w:p>
            <w:pPr>
              <w:jc w:val="right"/>
              <w:ind w:right="331"/>
              <w:spacing w:after="0"/>
              <w:rPr>
                <w:sz w:val="20"/>
                <w:szCs w:val="20"/>
                <w:color w:val="auto"/>
              </w:rPr>
            </w:pPr>
            <w:r>
              <w:rPr>
                <w:rFonts w:ascii="Arial" w:cs="Arial" w:eastAsia="Arial" w:hAnsi="Arial"/>
                <w:sz w:val="18"/>
                <w:szCs w:val="18"/>
                <w:b w:val="1"/>
                <w:bCs w:val="1"/>
                <w:color w:val="FFFFFF"/>
              </w:rPr>
              <w:t>3Q22</w:t>
            </w:r>
          </w:p>
        </w:tc>
        <w:tc>
          <w:tcPr>
            <w:tcW w:w="6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QoQ</w:t>
            </w:r>
          </w:p>
        </w:tc>
        <w:tc>
          <w:tcPr>
            <w:tcW w:w="76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8"/>
                <w:szCs w:val="18"/>
                <w:b w:val="1"/>
                <w:bCs w:val="1"/>
                <w:color w:val="FFFFFF"/>
              </w:rPr>
              <w:t>YoY</w:t>
            </w:r>
          </w:p>
        </w:tc>
        <w:tc>
          <w:tcPr>
            <w:tcW w:w="1520" w:type="dxa"/>
            <w:vAlign w:val="bottom"/>
            <w:tcBorders>
              <w:bottom w:val="single" w:sz="8" w:color="auto"/>
            </w:tcBorders>
            <w:shd w:val="clear" w:color="auto" w:fill="2AD2C9"/>
          </w:tcPr>
          <w:p>
            <w:pPr>
              <w:jc w:val="right"/>
              <w:ind w:right="531"/>
              <w:spacing w:after="0"/>
              <w:rPr>
                <w:sz w:val="20"/>
                <w:szCs w:val="20"/>
                <w:color w:val="auto"/>
              </w:rPr>
            </w:pPr>
            <w:r>
              <w:rPr>
                <w:rFonts w:ascii="Arial" w:cs="Arial" w:eastAsia="Arial" w:hAnsi="Arial"/>
                <w:sz w:val="18"/>
                <w:szCs w:val="18"/>
                <w:b w:val="1"/>
                <w:bCs w:val="1"/>
                <w:color w:val="FFFFFF"/>
              </w:rPr>
              <w:t>Sep 21</w:t>
            </w:r>
          </w:p>
        </w:tc>
        <w:tc>
          <w:tcPr>
            <w:tcW w:w="980" w:type="dxa"/>
            <w:vAlign w:val="bottom"/>
            <w:tcBorders>
              <w:bottom w:val="single" w:sz="8" w:color="auto"/>
              <w:right w:val="single" w:sz="8" w:color="auto"/>
            </w:tcBorders>
            <w:shd w:val="clear" w:color="auto" w:fill="2AD2C9"/>
          </w:tcPr>
          <w:p>
            <w:pPr>
              <w:jc w:val="right"/>
              <w:ind w:right="311"/>
              <w:spacing w:after="0"/>
              <w:rPr>
                <w:sz w:val="20"/>
                <w:szCs w:val="20"/>
                <w:color w:val="auto"/>
              </w:rPr>
            </w:pPr>
            <w:r>
              <w:rPr>
                <w:rFonts w:ascii="Arial" w:cs="Arial" w:eastAsia="Arial" w:hAnsi="Arial"/>
                <w:sz w:val="18"/>
                <w:szCs w:val="18"/>
                <w:b w:val="1"/>
                <w:bCs w:val="1"/>
                <w:color w:val="FFFFFF"/>
              </w:rPr>
              <w:t>Sep22</w:t>
            </w:r>
          </w:p>
        </w:tc>
        <w:tc>
          <w:tcPr>
            <w:tcW w:w="14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r>
      <w:tr>
        <w:trPr>
          <w:trHeight w:val="182"/>
        </w:trPr>
        <w:tc>
          <w:tcPr>
            <w:tcW w:w="21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Net fees</w:t>
            </w:r>
          </w:p>
        </w:tc>
        <w:tc>
          <w:tcPr>
            <w:tcW w:w="1380" w:type="dxa"/>
            <w:vAlign w:val="bottom"/>
          </w:tcPr>
          <w:p>
            <w:pPr>
              <w:jc w:val="right"/>
              <w:ind w:right="71"/>
              <w:spacing w:after="0" w:line="182" w:lineRule="exact"/>
              <w:rPr>
                <w:sz w:val="20"/>
                <w:szCs w:val="20"/>
                <w:color w:val="auto"/>
              </w:rPr>
            </w:pPr>
            <w:r>
              <w:rPr>
                <w:rFonts w:ascii="Arial" w:cs="Arial" w:eastAsia="Arial" w:hAnsi="Arial"/>
                <w:sz w:val="18"/>
                <w:szCs w:val="18"/>
                <w:color w:val="auto"/>
              </w:rPr>
              <w:t>(51,617)</w:t>
            </w:r>
          </w:p>
        </w:tc>
        <w:tc>
          <w:tcPr>
            <w:tcW w:w="1300" w:type="dxa"/>
            <w:vAlign w:val="bottom"/>
          </w:tcPr>
          <w:p>
            <w:pPr>
              <w:jc w:val="right"/>
              <w:ind w:right="111"/>
              <w:spacing w:after="0" w:line="182" w:lineRule="exact"/>
              <w:rPr>
                <w:sz w:val="20"/>
                <w:szCs w:val="20"/>
                <w:color w:val="auto"/>
              </w:rPr>
            </w:pPr>
            <w:r>
              <w:rPr>
                <w:rFonts w:ascii="Arial" w:cs="Arial" w:eastAsia="Arial" w:hAnsi="Arial"/>
                <w:sz w:val="18"/>
                <w:szCs w:val="18"/>
                <w:color w:val="auto"/>
              </w:rPr>
              <w:t>(39,352)</w:t>
            </w:r>
          </w:p>
        </w:tc>
        <w:tc>
          <w:tcPr>
            <w:tcW w:w="10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(43,738)</w:t>
            </w:r>
          </w:p>
        </w:tc>
        <w:tc>
          <w:tcPr>
            <w:tcW w:w="660" w:type="dxa"/>
            <w:vAlign w:val="bottom"/>
          </w:tcPr>
          <w:p>
            <w:pPr>
              <w:jc w:val="center"/>
              <w:spacing w:after="0" w:line="182" w:lineRule="exact"/>
              <w:rPr>
                <w:sz w:val="20"/>
                <w:szCs w:val="20"/>
                <w:color w:val="auto"/>
              </w:rPr>
            </w:pPr>
            <w:r>
              <w:rPr>
                <w:rFonts w:ascii="Arial" w:cs="Arial" w:eastAsia="Arial" w:hAnsi="Arial"/>
                <w:sz w:val="18"/>
                <w:szCs w:val="18"/>
                <w:color w:val="auto"/>
                <w:w w:val="97"/>
              </w:rPr>
              <w:t>11.1%</w:t>
            </w:r>
          </w:p>
        </w:tc>
        <w:tc>
          <w:tcPr>
            <w:tcW w:w="7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-15.3%</w:t>
            </w:r>
          </w:p>
        </w:tc>
        <w:tc>
          <w:tcPr>
            <w:tcW w:w="1520" w:type="dxa"/>
            <w:vAlign w:val="bottom"/>
          </w:tcPr>
          <w:p>
            <w:pPr>
              <w:jc w:val="right"/>
              <w:ind w:right="211"/>
              <w:spacing w:after="0" w:line="182" w:lineRule="exact"/>
              <w:rPr>
                <w:sz w:val="20"/>
                <w:szCs w:val="20"/>
                <w:color w:val="auto"/>
              </w:rPr>
            </w:pPr>
            <w:r>
              <w:rPr>
                <w:rFonts w:ascii="Arial" w:cs="Arial" w:eastAsia="Arial" w:hAnsi="Arial"/>
                <w:sz w:val="18"/>
                <w:szCs w:val="18"/>
                <w:color w:val="auto"/>
              </w:rPr>
              <w:t>(161,030)</w:t>
            </w:r>
          </w:p>
        </w:tc>
        <w:tc>
          <w:tcPr>
            <w:tcW w:w="98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(122,965)</w:t>
            </w:r>
          </w:p>
        </w:tc>
        <w:tc>
          <w:tcPr>
            <w:tcW w:w="14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-23.6%</w:t>
            </w:r>
          </w:p>
        </w:tc>
      </w:tr>
      <w:tr>
        <w:trPr>
          <w:trHeight w:val="201"/>
        </w:trPr>
        <w:tc>
          <w:tcPr>
            <w:tcW w:w="21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Underwriting expenses</w:t>
            </w:r>
          </w:p>
        </w:tc>
        <w:tc>
          <w:tcPr>
            <w:tcW w:w="1380" w:type="dxa"/>
            <w:vAlign w:val="bottom"/>
          </w:tcPr>
          <w:p>
            <w:pPr>
              <w:jc w:val="right"/>
              <w:ind w:right="71"/>
              <w:spacing w:after="0" w:line="201" w:lineRule="exact"/>
              <w:rPr>
                <w:sz w:val="20"/>
                <w:szCs w:val="20"/>
                <w:color w:val="auto"/>
              </w:rPr>
            </w:pPr>
            <w:r>
              <w:rPr>
                <w:rFonts w:ascii="Arial" w:cs="Arial" w:eastAsia="Arial" w:hAnsi="Arial"/>
                <w:sz w:val="18"/>
                <w:szCs w:val="18"/>
                <w:color w:val="auto"/>
              </w:rPr>
              <w:t>(33,542)</w:t>
            </w:r>
          </w:p>
        </w:tc>
        <w:tc>
          <w:tcPr>
            <w:tcW w:w="1300" w:type="dxa"/>
            <w:vAlign w:val="bottom"/>
          </w:tcPr>
          <w:p>
            <w:pPr>
              <w:jc w:val="right"/>
              <w:ind w:right="111"/>
              <w:spacing w:after="0" w:line="201" w:lineRule="exact"/>
              <w:rPr>
                <w:sz w:val="20"/>
                <w:szCs w:val="20"/>
                <w:color w:val="auto"/>
              </w:rPr>
            </w:pPr>
            <w:r>
              <w:rPr>
                <w:rFonts w:ascii="Arial" w:cs="Arial" w:eastAsia="Arial" w:hAnsi="Arial"/>
                <w:sz w:val="18"/>
                <w:szCs w:val="18"/>
                <w:color w:val="auto"/>
              </w:rPr>
              <w:t>(27,943)</w:t>
            </w:r>
          </w:p>
        </w:tc>
        <w:tc>
          <w:tcPr>
            <w:tcW w:w="10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(32,619)</w:t>
            </w:r>
          </w:p>
        </w:tc>
        <w:tc>
          <w:tcPr>
            <w:tcW w:w="660" w:type="dxa"/>
            <w:vAlign w:val="bottom"/>
          </w:tcPr>
          <w:p>
            <w:pPr>
              <w:jc w:val="center"/>
              <w:spacing w:after="0" w:line="201" w:lineRule="exact"/>
              <w:rPr>
                <w:sz w:val="20"/>
                <w:szCs w:val="20"/>
                <w:color w:val="auto"/>
              </w:rPr>
            </w:pPr>
            <w:r>
              <w:rPr>
                <w:rFonts w:ascii="Arial" w:cs="Arial" w:eastAsia="Arial" w:hAnsi="Arial"/>
                <w:sz w:val="18"/>
                <w:szCs w:val="18"/>
                <w:color w:val="auto"/>
                <w:w w:val="97"/>
              </w:rPr>
              <w:t>16.7%</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-2.8%</w:t>
            </w:r>
          </w:p>
        </w:tc>
        <w:tc>
          <w:tcPr>
            <w:tcW w:w="1520" w:type="dxa"/>
            <w:vAlign w:val="bottom"/>
          </w:tcPr>
          <w:p>
            <w:pPr>
              <w:jc w:val="right"/>
              <w:ind w:right="211"/>
              <w:spacing w:after="0" w:line="201" w:lineRule="exact"/>
              <w:rPr>
                <w:sz w:val="20"/>
                <w:szCs w:val="20"/>
                <w:color w:val="auto"/>
              </w:rPr>
            </w:pPr>
            <w:r>
              <w:rPr>
                <w:rFonts w:ascii="Arial" w:cs="Arial" w:eastAsia="Arial" w:hAnsi="Arial"/>
                <w:sz w:val="18"/>
                <w:szCs w:val="18"/>
                <w:color w:val="auto"/>
              </w:rPr>
              <w:t>(96,942)</w:t>
            </w:r>
          </w:p>
        </w:tc>
        <w:tc>
          <w:tcPr>
            <w:tcW w:w="98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(91,848)</w:t>
            </w:r>
          </w:p>
        </w:tc>
        <w:tc>
          <w:tcPr>
            <w:tcW w:w="14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-5.3%</w:t>
            </w:r>
          </w:p>
        </w:tc>
      </w:tr>
      <w:tr>
        <w:trPr>
          <w:trHeight w:val="226"/>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Underwriting income</w:t>
            </w:r>
          </w:p>
        </w:tc>
        <w:tc>
          <w:tcPr>
            <w:tcW w:w="13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(2,257)</w:t>
            </w: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1,047</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24.4%</w:t>
            </w:r>
          </w:p>
        </w:tc>
        <w:tc>
          <w:tcPr>
            <w:tcW w:w="76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n.a.</w:t>
            </w:r>
          </w:p>
        </w:tc>
        <w:tc>
          <w:tcPr>
            <w:tcW w:w="152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color w:val="auto"/>
              </w:rPr>
              <w:t>(210)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3,027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r>
        <w:trPr>
          <w:trHeight w:val="208"/>
        </w:trPr>
        <w:tc>
          <w:tcPr>
            <w:tcW w:w="218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Acquisition cost</w:t>
            </w:r>
          </w:p>
        </w:tc>
        <w:tc>
          <w:tcPr>
            <w:tcW w:w="1380" w:type="dxa"/>
            <w:vAlign w:val="bottom"/>
            <w:tcBorders>
              <w:bottom w:val="single" w:sz="8" w:color="auto"/>
            </w:tcBorders>
          </w:tcPr>
          <w:p>
            <w:pPr>
              <w:jc w:val="right"/>
              <w:ind w:right="71"/>
              <w:spacing w:after="0" w:line="201" w:lineRule="exact"/>
              <w:rPr>
                <w:sz w:val="20"/>
                <w:szCs w:val="20"/>
                <w:color w:val="auto"/>
              </w:rPr>
            </w:pPr>
            <w:r>
              <w:rPr>
                <w:rFonts w:ascii="Arial" w:cs="Arial" w:eastAsia="Arial" w:hAnsi="Arial"/>
                <w:sz w:val="18"/>
                <w:szCs w:val="18"/>
                <w:b w:val="1"/>
                <w:bCs w:val="1"/>
                <w:color w:val="auto"/>
              </w:rPr>
              <w:t>(87,416)</w:t>
            </w:r>
          </w:p>
        </w:tc>
        <w:tc>
          <w:tcPr>
            <w:tcW w:w="1300" w:type="dxa"/>
            <w:vAlign w:val="bottom"/>
            <w:tcBorders>
              <w:bottom w:val="single" w:sz="8" w:color="auto"/>
            </w:tcBorders>
          </w:tcPr>
          <w:p>
            <w:pPr>
              <w:jc w:val="right"/>
              <w:ind w:right="111"/>
              <w:spacing w:after="0" w:line="201" w:lineRule="exact"/>
              <w:rPr>
                <w:sz w:val="20"/>
                <w:szCs w:val="20"/>
                <w:color w:val="auto"/>
              </w:rPr>
            </w:pPr>
            <w:r>
              <w:rPr>
                <w:rFonts w:ascii="Arial" w:cs="Arial" w:eastAsia="Arial" w:hAnsi="Arial"/>
                <w:sz w:val="18"/>
                <w:szCs w:val="18"/>
                <w:b w:val="1"/>
                <w:bCs w:val="1"/>
                <w:color w:val="auto"/>
              </w:rPr>
              <w:t>(66,248)</w:t>
            </w:r>
          </w:p>
        </w:tc>
        <w:tc>
          <w:tcPr>
            <w:tcW w:w="106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(75,055)</w:t>
            </w:r>
          </w:p>
        </w:tc>
        <w:tc>
          <w:tcPr>
            <w:tcW w:w="6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13.3%</w:t>
            </w:r>
          </w:p>
        </w:tc>
        <w:tc>
          <w:tcPr>
            <w:tcW w:w="76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-14.1%</w:t>
            </w:r>
          </w:p>
        </w:tc>
        <w:tc>
          <w:tcPr>
            <w:tcW w:w="1520" w:type="dxa"/>
            <w:vAlign w:val="bottom"/>
            <w:tcBorders>
              <w:bottom w:val="single" w:sz="8" w:color="auto"/>
            </w:tcBorders>
          </w:tcPr>
          <w:p>
            <w:pPr>
              <w:jc w:val="right"/>
              <w:ind w:right="211"/>
              <w:spacing w:after="0" w:line="201" w:lineRule="exact"/>
              <w:rPr>
                <w:sz w:val="20"/>
                <w:szCs w:val="20"/>
                <w:color w:val="auto"/>
              </w:rPr>
            </w:pPr>
            <w:r>
              <w:rPr>
                <w:rFonts w:ascii="Arial" w:cs="Arial" w:eastAsia="Arial" w:hAnsi="Arial"/>
                <w:sz w:val="18"/>
                <w:szCs w:val="18"/>
                <w:b w:val="1"/>
                <w:bCs w:val="1"/>
                <w:color w:val="auto"/>
              </w:rPr>
              <w:t>(258,182)</w:t>
            </w:r>
          </w:p>
        </w:tc>
        <w:tc>
          <w:tcPr>
            <w:tcW w:w="98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(211,786)</w:t>
            </w:r>
          </w:p>
        </w:tc>
        <w:tc>
          <w:tcPr>
            <w:tcW w:w="140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-18.0%</w:t>
            </w:r>
          </w:p>
        </w:tc>
      </w:tr>
    </w:tbl>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acquisition cost increased 13.3% QoQ, which reflects an upswing in underwriting results in the P &amp; C business and an increase in commissions in the Life business. In the Life Business, growth in the acquisition cost is attributable to an increase in commissions through Credit Life and Complementary Insurance for Occupational Risk (SCTR), which was associated with growth in registered premiums. In the P &amp; C line, the increase in the acquisition cost was attributable to higher underwriting expenses in Cars, Commercial Line and Medical Assistance, after more provisions were set aside for uncollectible premiums, and to Personal Lines.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the YoY and YTD analysis, the acquisition cost fell 14.1% and 18.0% respectively. This evolution was primarily attributable to a decrease in commissions in the Life business after a contract in the alliance channel expired at the end of 2021 and underwriting expenses fell in the P&amp;C business.</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37" w:name="page38"/>
    <w:bookmarkEnd w:id="37"/>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08 </w:t>
      </w:r>
      <w:r>
        <w:rPr>
          <w:rFonts w:ascii="Times New Roman" w:cs="Times New Roman" w:eastAsia="Times New Roman" w:hAnsi="Times New Roman"/>
          <w:sz w:val="32"/>
          <w:szCs w:val="32"/>
          <w:color w:val="E93CAC"/>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6203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3590" cy="620395"/>
                    </a:xfrm>
                    <a:prstGeom prst="rect">
                      <a:avLst/>
                    </a:prstGeom>
                    <a:noFill/>
                  </pic:spPr>
                </pic:pic>
              </a:graphicData>
            </a:graphic>
          </wp:anchor>
        </w:drawing>
      </w:r>
    </w:p>
    <w:p>
      <w:pPr>
        <w:spacing w:after="0" w:line="34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8"/>
          <w:szCs w:val="18"/>
          <w:color w:val="FFFFFF"/>
        </w:rPr>
        <w:t>Operating expenses rose, driven mainly by an increase variable compensation, which was attributable to an uptick in loan disbursements and better resuts this quarter. Growth in administrative expenses was associated with IT developments and higher expenses for fidelity programs, which rose alongsidegrowth in transactions. Finally, expenses for disruptive initiatives continue to rise.</w:t>
      </w:r>
    </w:p>
    <w:p>
      <w:pPr>
        <w:spacing w:after="0" w:line="200" w:lineRule="exact"/>
        <w:rPr>
          <w:sz w:val="20"/>
          <w:szCs w:val="20"/>
          <w:color w:val="auto"/>
        </w:rPr>
      </w:pPr>
    </w:p>
    <w:p>
      <w:pPr>
        <w:spacing w:after="0" w:line="31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32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Operating expenses</w:t>
            </w:r>
          </w:p>
        </w:tc>
        <w:tc>
          <w:tcPr>
            <w:tcW w:w="1080" w:type="dxa"/>
            <w:vAlign w:val="bottom"/>
            <w:tcBorders>
              <w:top w:val="single" w:sz="8" w:color="auto"/>
            </w:tcBorders>
            <w:shd w:val="clear" w:color="auto" w:fill="2AD2C9"/>
          </w:tcPr>
          <w:p>
            <w:pPr>
              <w:spacing w:after="0"/>
              <w:rPr>
                <w:sz w:val="18"/>
                <w:szCs w:val="18"/>
                <w:color w:val="auto"/>
              </w:rPr>
            </w:pPr>
          </w:p>
        </w:tc>
        <w:tc>
          <w:tcPr>
            <w:tcW w:w="1020" w:type="dxa"/>
            <w:vAlign w:val="bottom"/>
            <w:tcBorders>
              <w:top w:val="single" w:sz="8" w:color="auto"/>
            </w:tcBorders>
            <w:shd w:val="clear" w:color="auto" w:fill="2AD2C9"/>
          </w:tcPr>
          <w:p>
            <w:pPr>
              <w:jc w:val="right"/>
              <w:ind w:right="191"/>
              <w:spacing w:after="0"/>
              <w:rPr>
                <w:sz w:val="20"/>
                <w:szCs w:val="20"/>
                <w:color w:val="auto"/>
              </w:rPr>
            </w:pPr>
            <w:r>
              <w:rPr>
                <w:rFonts w:ascii="Arial" w:cs="Arial" w:eastAsia="Arial" w:hAnsi="Arial"/>
                <w:sz w:val="18"/>
                <w:szCs w:val="18"/>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18"/>
                <w:szCs w:val="18"/>
                <w:color w:val="auto"/>
              </w:rPr>
            </w:pPr>
          </w:p>
        </w:tc>
        <w:tc>
          <w:tcPr>
            <w:tcW w:w="1320" w:type="dxa"/>
            <w:vAlign w:val="bottom"/>
            <w:tcBorders>
              <w:top w:val="single" w:sz="8" w:color="auto"/>
              <w:right w:val="single" w:sz="8" w:color="auto"/>
            </w:tcBorders>
            <w:gridSpan w:val="2"/>
            <w:shd w:val="clear" w:color="auto" w:fill="2AD2C9"/>
          </w:tcPr>
          <w:p>
            <w:pPr>
              <w:ind w:left="220"/>
              <w:spacing w:after="0"/>
              <w:rPr>
                <w:sz w:val="20"/>
                <w:szCs w:val="20"/>
                <w:color w:val="auto"/>
              </w:rPr>
            </w:pPr>
            <w:r>
              <w:rPr>
                <w:rFonts w:ascii="Arial" w:cs="Arial" w:eastAsia="Arial" w:hAnsi="Arial"/>
                <w:sz w:val="18"/>
                <w:szCs w:val="18"/>
                <w:b w:val="1"/>
                <w:bCs w:val="1"/>
                <w:color w:val="FFFFFF"/>
              </w:rPr>
              <w:t>% change</w:t>
            </w:r>
          </w:p>
        </w:tc>
        <w:tc>
          <w:tcPr>
            <w:tcW w:w="128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8"/>
                <w:szCs w:val="18"/>
                <w:b w:val="1"/>
                <w:bCs w:val="1"/>
                <w:color w:val="FFFFFF"/>
              </w:rPr>
              <w:t>As of</w:t>
            </w:r>
          </w:p>
        </w:tc>
        <w:tc>
          <w:tcPr>
            <w:tcW w:w="840" w:type="dxa"/>
            <w:vAlign w:val="bottom"/>
            <w:tcBorders>
              <w:top w:val="single" w:sz="8" w:color="auto"/>
              <w:right w:val="single" w:sz="8" w:color="auto"/>
            </w:tcBorders>
            <w:shd w:val="clear" w:color="auto" w:fill="2AD2C9"/>
          </w:tcPr>
          <w:p>
            <w:pPr>
              <w:spacing w:after="0"/>
              <w:rPr>
                <w:sz w:val="18"/>
                <w:szCs w:val="18"/>
                <w:color w:val="auto"/>
              </w:rPr>
            </w:pPr>
          </w:p>
        </w:tc>
        <w:tc>
          <w:tcPr>
            <w:tcW w:w="14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 change</w:t>
            </w:r>
          </w:p>
        </w:tc>
      </w:tr>
      <w:tr>
        <w:trPr>
          <w:trHeight w:val="226"/>
        </w:trPr>
        <w:tc>
          <w:tcPr>
            <w:tcW w:w="332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1080" w:type="dxa"/>
            <w:vAlign w:val="bottom"/>
            <w:tcBorders>
              <w:bottom w:val="single" w:sz="8" w:color="auto"/>
            </w:tcBorders>
            <w:shd w:val="clear" w:color="auto" w:fill="2AD2C9"/>
          </w:tcPr>
          <w:p>
            <w:pPr>
              <w:jc w:val="right"/>
              <w:ind w:right="291"/>
              <w:spacing w:after="0"/>
              <w:rPr>
                <w:sz w:val="20"/>
                <w:szCs w:val="20"/>
                <w:color w:val="auto"/>
              </w:rPr>
            </w:pPr>
            <w:r>
              <w:rPr>
                <w:rFonts w:ascii="Arial" w:cs="Arial" w:eastAsia="Arial" w:hAnsi="Arial"/>
                <w:sz w:val="18"/>
                <w:szCs w:val="18"/>
                <w:b w:val="1"/>
                <w:bCs w:val="1"/>
                <w:color w:val="FFFFFF"/>
              </w:rPr>
              <w:t>3Q21</w:t>
            </w:r>
          </w:p>
        </w:tc>
        <w:tc>
          <w:tcPr>
            <w:tcW w:w="1020" w:type="dxa"/>
            <w:vAlign w:val="bottom"/>
            <w:tcBorders>
              <w:bottom w:val="single" w:sz="8" w:color="auto"/>
            </w:tcBorders>
            <w:shd w:val="clear" w:color="auto" w:fill="2AD2C9"/>
          </w:tcPr>
          <w:p>
            <w:pPr>
              <w:jc w:val="right"/>
              <w:ind w:right="311"/>
              <w:spacing w:after="0"/>
              <w:rPr>
                <w:sz w:val="20"/>
                <w:szCs w:val="20"/>
                <w:color w:val="auto"/>
              </w:rPr>
            </w:pPr>
            <w:r>
              <w:rPr>
                <w:rFonts w:ascii="Arial" w:cs="Arial" w:eastAsia="Arial" w:hAnsi="Arial"/>
                <w:sz w:val="18"/>
                <w:szCs w:val="18"/>
                <w:b w:val="1"/>
                <w:bCs w:val="1"/>
                <w:color w:val="FFFFFF"/>
              </w:rPr>
              <w:t>2Q22</w:t>
            </w:r>
          </w:p>
        </w:tc>
        <w:tc>
          <w:tcPr>
            <w:tcW w:w="940" w:type="dxa"/>
            <w:vAlign w:val="bottom"/>
            <w:tcBorders>
              <w:bottom w:val="single" w:sz="8" w:color="auto"/>
              <w:right w:val="single" w:sz="8" w:color="auto"/>
            </w:tcBorders>
            <w:shd w:val="clear" w:color="auto" w:fill="2AD2C9"/>
          </w:tcPr>
          <w:p>
            <w:pPr>
              <w:jc w:val="right"/>
              <w:ind w:right="231"/>
              <w:spacing w:after="0"/>
              <w:rPr>
                <w:sz w:val="20"/>
                <w:szCs w:val="20"/>
                <w:color w:val="auto"/>
              </w:rPr>
            </w:pPr>
            <w:r>
              <w:rPr>
                <w:rFonts w:ascii="Arial" w:cs="Arial" w:eastAsia="Arial" w:hAnsi="Arial"/>
                <w:sz w:val="18"/>
                <w:szCs w:val="18"/>
                <w:b w:val="1"/>
                <w:bCs w:val="1"/>
                <w:color w:val="FFFFFF"/>
              </w:rPr>
              <w:t>3Q22</w:t>
            </w:r>
          </w:p>
        </w:tc>
        <w:tc>
          <w:tcPr>
            <w:tcW w:w="620" w:type="dxa"/>
            <w:vAlign w:val="bottom"/>
            <w:tcBorders>
              <w:bottom w:val="single" w:sz="8" w:color="auto"/>
            </w:tcBorders>
            <w:shd w:val="clear" w:color="auto" w:fill="2AD2C9"/>
          </w:tcPr>
          <w:p>
            <w:pPr>
              <w:ind w:left="120"/>
              <w:spacing w:after="0"/>
              <w:rPr>
                <w:sz w:val="20"/>
                <w:szCs w:val="20"/>
                <w:color w:val="auto"/>
              </w:rPr>
            </w:pPr>
            <w:r>
              <w:rPr>
                <w:rFonts w:ascii="Arial" w:cs="Arial" w:eastAsia="Arial" w:hAnsi="Arial"/>
                <w:sz w:val="18"/>
                <w:szCs w:val="18"/>
                <w:b w:val="1"/>
                <w:bCs w:val="1"/>
                <w:color w:val="FFFFFF"/>
              </w:rPr>
              <w:t>QoQ</w:t>
            </w:r>
          </w:p>
        </w:tc>
        <w:tc>
          <w:tcPr>
            <w:tcW w:w="700" w:type="dxa"/>
            <w:vAlign w:val="bottom"/>
            <w:tcBorders>
              <w:bottom w:val="single" w:sz="8" w:color="auto"/>
              <w:right w:val="single" w:sz="8" w:color="auto"/>
            </w:tcBorders>
            <w:shd w:val="clear" w:color="auto" w:fill="2AD2C9"/>
          </w:tcPr>
          <w:p>
            <w:pPr>
              <w:ind w:left="180"/>
              <w:spacing w:after="0"/>
              <w:rPr>
                <w:sz w:val="20"/>
                <w:szCs w:val="20"/>
                <w:color w:val="auto"/>
              </w:rPr>
            </w:pPr>
            <w:r>
              <w:rPr>
                <w:rFonts w:ascii="Arial" w:cs="Arial" w:eastAsia="Arial" w:hAnsi="Arial"/>
                <w:sz w:val="18"/>
                <w:szCs w:val="18"/>
                <w:b w:val="1"/>
                <w:bCs w:val="1"/>
                <w:color w:val="FFFFFF"/>
              </w:rPr>
              <w:t>YoY</w:t>
            </w:r>
          </w:p>
        </w:tc>
        <w:tc>
          <w:tcPr>
            <w:tcW w:w="1280" w:type="dxa"/>
            <w:vAlign w:val="bottom"/>
            <w:tcBorders>
              <w:bottom w:val="single" w:sz="8" w:color="auto"/>
            </w:tcBorders>
            <w:shd w:val="clear" w:color="auto" w:fill="2AD2C9"/>
          </w:tcPr>
          <w:p>
            <w:pPr>
              <w:jc w:val="right"/>
              <w:ind w:right="371"/>
              <w:spacing w:after="0"/>
              <w:rPr>
                <w:sz w:val="20"/>
                <w:szCs w:val="20"/>
                <w:color w:val="auto"/>
              </w:rPr>
            </w:pPr>
            <w:r>
              <w:rPr>
                <w:rFonts w:ascii="Arial" w:cs="Arial" w:eastAsia="Arial" w:hAnsi="Arial"/>
                <w:sz w:val="18"/>
                <w:szCs w:val="18"/>
                <w:b w:val="1"/>
                <w:bCs w:val="1"/>
                <w:color w:val="FFFFFF"/>
              </w:rPr>
              <w:t>Sep 21</w:t>
            </w:r>
          </w:p>
        </w:tc>
        <w:tc>
          <w:tcPr>
            <w:tcW w:w="840" w:type="dxa"/>
            <w:vAlign w:val="bottom"/>
            <w:tcBorders>
              <w:bottom w:val="single" w:sz="8" w:color="auto"/>
              <w:right w:val="single" w:sz="8" w:color="auto"/>
            </w:tcBorders>
            <w:shd w:val="clear" w:color="auto" w:fill="2AD2C9"/>
          </w:tcPr>
          <w:p>
            <w:pPr>
              <w:jc w:val="right"/>
              <w:ind w:right="171"/>
              <w:spacing w:after="0"/>
              <w:rPr>
                <w:sz w:val="20"/>
                <w:szCs w:val="20"/>
                <w:color w:val="auto"/>
              </w:rPr>
            </w:pPr>
            <w:r>
              <w:rPr>
                <w:rFonts w:ascii="Arial" w:cs="Arial" w:eastAsia="Arial" w:hAnsi="Arial"/>
                <w:sz w:val="18"/>
                <w:szCs w:val="18"/>
                <w:b w:val="1"/>
                <w:bCs w:val="1"/>
                <w:color w:val="FFFFFF"/>
                <w:w w:val="96"/>
              </w:rPr>
              <w:t>Sep 22</w:t>
            </w:r>
          </w:p>
        </w:tc>
        <w:tc>
          <w:tcPr>
            <w:tcW w:w="14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r>
      <w:tr>
        <w:trPr>
          <w:trHeight w:val="182"/>
        </w:trPr>
        <w:tc>
          <w:tcPr>
            <w:tcW w:w="332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Salaries and employees benefits</w:t>
            </w:r>
          </w:p>
        </w:tc>
        <w:tc>
          <w:tcPr>
            <w:tcW w:w="1080" w:type="dxa"/>
            <w:vAlign w:val="bottom"/>
          </w:tcPr>
          <w:p>
            <w:pPr>
              <w:jc w:val="right"/>
              <w:ind w:right="11"/>
              <w:spacing w:after="0" w:line="182" w:lineRule="exact"/>
              <w:rPr>
                <w:sz w:val="20"/>
                <w:szCs w:val="20"/>
                <w:color w:val="auto"/>
              </w:rPr>
            </w:pPr>
            <w:r>
              <w:rPr>
                <w:rFonts w:ascii="Arial" w:cs="Arial" w:eastAsia="Arial" w:hAnsi="Arial"/>
                <w:sz w:val="18"/>
                <w:szCs w:val="18"/>
                <w:color w:val="auto"/>
              </w:rPr>
              <w:t>915,564</w:t>
            </w:r>
          </w:p>
        </w:tc>
        <w:tc>
          <w:tcPr>
            <w:tcW w:w="10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975,420</w:t>
            </w:r>
          </w:p>
        </w:tc>
        <w:tc>
          <w:tcPr>
            <w:tcW w:w="9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1,021,946</w:t>
            </w:r>
          </w:p>
        </w:tc>
        <w:tc>
          <w:tcPr>
            <w:tcW w:w="620" w:type="dxa"/>
            <w:vAlign w:val="bottom"/>
          </w:tcPr>
          <w:p>
            <w:pPr>
              <w:jc w:val="center"/>
              <w:spacing w:after="0" w:line="182" w:lineRule="exact"/>
              <w:rPr>
                <w:sz w:val="20"/>
                <w:szCs w:val="20"/>
                <w:color w:val="auto"/>
              </w:rPr>
            </w:pPr>
            <w:r>
              <w:rPr>
                <w:rFonts w:ascii="Arial" w:cs="Arial" w:eastAsia="Arial" w:hAnsi="Arial"/>
                <w:sz w:val="18"/>
                <w:szCs w:val="18"/>
                <w:color w:val="auto"/>
              </w:rPr>
              <w:t>4.8%</w:t>
            </w:r>
          </w:p>
        </w:tc>
        <w:tc>
          <w:tcPr>
            <w:tcW w:w="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3"/>
              </w:rPr>
              <w:t>11.6%</w:t>
            </w:r>
          </w:p>
        </w:tc>
        <w:tc>
          <w:tcPr>
            <w:tcW w:w="1280" w:type="dxa"/>
            <w:vAlign w:val="bottom"/>
          </w:tcPr>
          <w:p>
            <w:pPr>
              <w:jc w:val="right"/>
              <w:ind w:right="131"/>
              <w:spacing w:after="0" w:line="182" w:lineRule="exact"/>
              <w:rPr>
                <w:sz w:val="20"/>
                <w:szCs w:val="20"/>
                <w:color w:val="auto"/>
              </w:rPr>
            </w:pPr>
            <w:r>
              <w:rPr>
                <w:rFonts w:ascii="Arial" w:cs="Arial" w:eastAsia="Arial" w:hAnsi="Arial"/>
                <w:sz w:val="18"/>
                <w:szCs w:val="18"/>
                <w:color w:val="auto"/>
              </w:rPr>
              <w:t>2,655,300</w:t>
            </w:r>
          </w:p>
        </w:tc>
        <w:tc>
          <w:tcPr>
            <w:tcW w:w="8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2,975,319</w:t>
            </w:r>
          </w:p>
        </w:tc>
        <w:tc>
          <w:tcPr>
            <w:tcW w:w="14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12.1%</w:t>
            </w:r>
          </w:p>
        </w:tc>
      </w:tr>
      <w:tr>
        <w:trPr>
          <w:trHeight w:val="201"/>
        </w:trPr>
        <w:tc>
          <w:tcPr>
            <w:tcW w:w="33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8"/>
              </w:rPr>
              <w:t>Administrative, general and tax expenses</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802,547</w:t>
            </w:r>
          </w:p>
        </w:tc>
        <w:tc>
          <w:tcPr>
            <w:tcW w:w="10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850,560</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870,852</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rPr>
              <w:t>2.4%</w:t>
            </w:r>
          </w:p>
        </w:tc>
        <w:tc>
          <w:tcPr>
            <w:tcW w:w="7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8.5%</w:t>
            </w:r>
          </w:p>
        </w:tc>
        <w:tc>
          <w:tcPr>
            <w:tcW w:w="128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2,055,040</w:t>
            </w:r>
          </w:p>
        </w:tc>
        <w:tc>
          <w:tcPr>
            <w:tcW w:w="8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2,446,326</w:t>
            </w:r>
          </w:p>
        </w:tc>
        <w:tc>
          <w:tcPr>
            <w:tcW w:w="14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19.0%</w:t>
            </w:r>
          </w:p>
        </w:tc>
      </w:tr>
      <w:tr>
        <w:trPr>
          <w:trHeight w:val="201"/>
        </w:trPr>
        <w:tc>
          <w:tcPr>
            <w:tcW w:w="332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Depreciation and amortization</w:t>
            </w:r>
          </w:p>
        </w:tc>
        <w:tc>
          <w:tcPr>
            <w:tcW w:w="1080" w:type="dxa"/>
            <w:vAlign w:val="bottom"/>
          </w:tcPr>
          <w:p>
            <w:pPr>
              <w:jc w:val="right"/>
              <w:ind w:right="11"/>
              <w:spacing w:after="0" w:line="201" w:lineRule="exact"/>
              <w:rPr>
                <w:sz w:val="20"/>
                <w:szCs w:val="20"/>
                <w:color w:val="auto"/>
              </w:rPr>
            </w:pPr>
            <w:r>
              <w:rPr>
                <w:rFonts w:ascii="Arial" w:cs="Arial" w:eastAsia="Arial" w:hAnsi="Arial"/>
                <w:sz w:val="18"/>
                <w:szCs w:val="18"/>
                <w:color w:val="auto"/>
              </w:rPr>
              <w:t>170,960</w:t>
            </w:r>
          </w:p>
        </w:tc>
        <w:tc>
          <w:tcPr>
            <w:tcW w:w="1020" w:type="dxa"/>
            <w:vAlign w:val="bottom"/>
          </w:tcPr>
          <w:p>
            <w:pPr>
              <w:jc w:val="right"/>
              <w:ind w:right="31"/>
              <w:spacing w:after="0" w:line="201" w:lineRule="exact"/>
              <w:rPr>
                <w:sz w:val="20"/>
                <w:szCs w:val="20"/>
                <w:color w:val="auto"/>
              </w:rPr>
            </w:pPr>
            <w:r>
              <w:rPr>
                <w:rFonts w:ascii="Arial" w:cs="Arial" w:eastAsia="Arial" w:hAnsi="Arial"/>
                <w:sz w:val="18"/>
                <w:szCs w:val="18"/>
                <w:color w:val="auto"/>
              </w:rPr>
              <w:t>168,845</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173,500</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rPr>
              <w:t>2.8%</w:t>
            </w:r>
          </w:p>
        </w:tc>
        <w:tc>
          <w:tcPr>
            <w:tcW w:w="7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1.5%</w:t>
            </w:r>
          </w:p>
        </w:tc>
        <w:tc>
          <w:tcPr>
            <w:tcW w:w="1280" w:type="dxa"/>
            <w:vAlign w:val="bottom"/>
          </w:tcPr>
          <w:p>
            <w:pPr>
              <w:jc w:val="right"/>
              <w:ind w:right="131"/>
              <w:spacing w:after="0" w:line="201" w:lineRule="exact"/>
              <w:rPr>
                <w:sz w:val="20"/>
                <w:szCs w:val="20"/>
                <w:color w:val="auto"/>
              </w:rPr>
            </w:pPr>
            <w:r>
              <w:rPr>
                <w:rFonts w:ascii="Arial" w:cs="Arial" w:eastAsia="Arial" w:hAnsi="Arial"/>
                <w:sz w:val="18"/>
                <w:szCs w:val="18"/>
                <w:color w:val="auto"/>
              </w:rPr>
              <w:t>501,594</w:t>
            </w:r>
          </w:p>
        </w:tc>
        <w:tc>
          <w:tcPr>
            <w:tcW w:w="8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506,859</w:t>
            </w:r>
          </w:p>
        </w:tc>
        <w:tc>
          <w:tcPr>
            <w:tcW w:w="14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1.0%</w:t>
            </w:r>
          </w:p>
        </w:tc>
      </w:tr>
      <w:tr>
        <w:trPr>
          <w:trHeight w:val="192"/>
        </w:trPr>
        <w:tc>
          <w:tcPr>
            <w:tcW w:w="332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18"/>
                <w:szCs w:val="18"/>
                <w:color w:val="auto"/>
              </w:rPr>
              <w:t>Association in participation</w:t>
            </w:r>
          </w:p>
        </w:tc>
        <w:tc>
          <w:tcPr>
            <w:tcW w:w="1080" w:type="dxa"/>
            <w:vAlign w:val="bottom"/>
          </w:tcPr>
          <w:p>
            <w:pPr>
              <w:jc w:val="right"/>
              <w:ind w:right="11"/>
              <w:spacing w:after="0" w:line="192" w:lineRule="exact"/>
              <w:rPr>
                <w:sz w:val="20"/>
                <w:szCs w:val="20"/>
                <w:color w:val="auto"/>
              </w:rPr>
            </w:pPr>
            <w:r>
              <w:rPr>
                <w:rFonts w:ascii="Arial" w:cs="Arial" w:eastAsia="Arial" w:hAnsi="Arial"/>
                <w:sz w:val="18"/>
                <w:szCs w:val="18"/>
                <w:color w:val="auto"/>
              </w:rPr>
              <w:t>10,426</w:t>
            </w:r>
          </w:p>
        </w:tc>
        <w:tc>
          <w:tcPr>
            <w:tcW w:w="1020" w:type="dxa"/>
            <w:vAlign w:val="bottom"/>
          </w:tcPr>
          <w:p>
            <w:pPr>
              <w:jc w:val="right"/>
              <w:ind w:right="31"/>
              <w:spacing w:after="0" w:line="192" w:lineRule="exact"/>
              <w:rPr>
                <w:sz w:val="20"/>
                <w:szCs w:val="20"/>
                <w:color w:val="auto"/>
              </w:rPr>
            </w:pPr>
            <w:r>
              <w:rPr>
                <w:rFonts w:ascii="Arial" w:cs="Arial" w:eastAsia="Arial" w:hAnsi="Arial"/>
                <w:sz w:val="18"/>
                <w:szCs w:val="18"/>
                <w:color w:val="auto"/>
              </w:rPr>
              <w:t>10,329</w:t>
            </w:r>
          </w:p>
        </w:tc>
        <w:tc>
          <w:tcPr>
            <w:tcW w:w="94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18"/>
                <w:szCs w:val="18"/>
                <w:color w:val="auto"/>
              </w:rPr>
              <w:t>9,999</w:t>
            </w:r>
          </w:p>
        </w:tc>
        <w:tc>
          <w:tcPr>
            <w:tcW w:w="620" w:type="dxa"/>
            <w:vAlign w:val="bottom"/>
          </w:tcPr>
          <w:p>
            <w:pPr>
              <w:jc w:val="center"/>
              <w:spacing w:after="0" w:line="192" w:lineRule="exact"/>
              <w:rPr>
                <w:sz w:val="20"/>
                <w:szCs w:val="20"/>
                <w:color w:val="auto"/>
              </w:rPr>
            </w:pPr>
            <w:r>
              <w:rPr>
                <w:rFonts w:ascii="Arial" w:cs="Arial" w:eastAsia="Arial" w:hAnsi="Arial"/>
                <w:sz w:val="18"/>
                <w:szCs w:val="18"/>
                <w:color w:val="auto"/>
                <w:w w:val="97"/>
              </w:rPr>
              <w:t>-3.2%</w:t>
            </w:r>
          </w:p>
        </w:tc>
        <w:tc>
          <w:tcPr>
            <w:tcW w:w="7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rPr>
              <w:t>-4.1%</w:t>
            </w:r>
          </w:p>
        </w:tc>
        <w:tc>
          <w:tcPr>
            <w:tcW w:w="1280" w:type="dxa"/>
            <w:vAlign w:val="bottom"/>
          </w:tcPr>
          <w:p>
            <w:pPr>
              <w:jc w:val="right"/>
              <w:ind w:right="131"/>
              <w:spacing w:after="0" w:line="192" w:lineRule="exact"/>
              <w:rPr>
                <w:sz w:val="20"/>
                <w:szCs w:val="20"/>
                <w:color w:val="auto"/>
              </w:rPr>
            </w:pPr>
            <w:r>
              <w:rPr>
                <w:rFonts w:ascii="Arial" w:cs="Arial" w:eastAsia="Arial" w:hAnsi="Arial"/>
                <w:sz w:val="18"/>
                <w:szCs w:val="18"/>
                <w:color w:val="auto"/>
              </w:rPr>
              <w:t>33,211</w:t>
            </w:r>
          </w:p>
        </w:tc>
        <w:tc>
          <w:tcPr>
            <w:tcW w:w="84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18"/>
                <w:szCs w:val="18"/>
                <w:color w:val="auto"/>
              </w:rPr>
              <w:t>28,019</w:t>
            </w:r>
          </w:p>
        </w:tc>
        <w:tc>
          <w:tcPr>
            <w:tcW w:w="14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rPr>
              <w:t>-15.6%</w:t>
            </w:r>
          </w:p>
        </w:tc>
      </w:tr>
      <w:tr>
        <w:trPr>
          <w:trHeight w:val="236"/>
        </w:trPr>
        <w:tc>
          <w:tcPr>
            <w:tcW w:w="3320" w:type="dxa"/>
            <w:vAlign w:val="bottom"/>
            <w:tcBorders>
              <w:left w:val="single" w:sz="8" w:color="auto"/>
              <w:bottom w:val="single" w:sz="8" w:color="auto"/>
              <w:right w:val="single" w:sz="8" w:color="auto"/>
            </w:tcBorders>
          </w:tcPr>
          <w:p>
            <w:pPr>
              <w:ind w:left="40"/>
              <w:spacing w:after="0" w:line="228" w:lineRule="exact"/>
              <w:rPr>
                <w:sz w:val="20"/>
                <w:szCs w:val="20"/>
                <w:color w:val="auto"/>
              </w:rPr>
            </w:pPr>
            <w:r>
              <w:rPr>
                <w:rFonts w:ascii="Arial" w:cs="Arial" w:eastAsia="Arial" w:hAnsi="Arial"/>
                <w:sz w:val="16"/>
                <w:szCs w:val="16"/>
                <w:color w:val="auto"/>
              </w:rPr>
              <w:t xml:space="preserve">Acquisition cost </w:t>
            </w:r>
            <w:r>
              <w:rPr>
                <w:rFonts w:ascii="Arial" w:cs="Arial" w:eastAsia="Arial" w:hAnsi="Arial"/>
                <w:sz w:val="26"/>
                <w:szCs w:val="26"/>
                <w:color w:val="auto"/>
                <w:vertAlign w:val="superscript"/>
              </w:rPr>
              <w:t>(1)</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87,416</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66,247</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75,055</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13.3%</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-14.1%</w:t>
            </w: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258,182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211,786</w:t>
            </w:r>
          </w:p>
        </w:tc>
        <w:tc>
          <w:tcPr>
            <w:tcW w:w="1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-18.0%</w:t>
            </w:r>
          </w:p>
        </w:tc>
      </w:tr>
      <w:tr>
        <w:trPr>
          <w:trHeight w:val="208"/>
        </w:trPr>
        <w:tc>
          <w:tcPr>
            <w:tcW w:w="332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Operating expenses</w:t>
            </w:r>
          </w:p>
        </w:tc>
        <w:tc>
          <w:tcPr>
            <w:tcW w:w="1080" w:type="dxa"/>
            <w:vAlign w:val="bottom"/>
            <w:tcBorders>
              <w:bottom w:val="single" w:sz="8" w:color="auto"/>
            </w:tcBorders>
          </w:tcPr>
          <w:p>
            <w:pPr>
              <w:jc w:val="right"/>
              <w:ind w:right="11"/>
              <w:spacing w:after="0" w:line="201" w:lineRule="exact"/>
              <w:rPr>
                <w:sz w:val="20"/>
                <w:szCs w:val="20"/>
                <w:color w:val="auto"/>
              </w:rPr>
            </w:pPr>
            <w:r>
              <w:rPr>
                <w:rFonts w:ascii="Arial" w:cs="Arial" w:eastAsia="Arial" w:hAnsi="Arial"/>
                <w:sz w:val="18"/>
                <w:szCs w:val="18"/>
                <w:color w:val="auto"/>
              </w:rPr>
              <w:t>1,986,913</w:t>
            </w:r>
          </w:p>
        </w:tc>
        <w:tc>
          <w:tcPr>
            <w:tcW w:w="102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color w:val="auto"/>
              </w:rPr>
              <w:t>2,071,401</w:t>
            </w:r>
          </w:p>
        </w:tc>
        <w:tc>
          <w:tcPr>
            <w:tcW w:w="94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2,151,352</w:t>
            </w:r>
          </w:p>
        </w:tc>
        <w:tc>
          <w:tcPr>
            <w:tcW w:w="6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color w:val="auto"/>
              </w:rPr>
              <w:t>3.9%</w:t>
            </w:r>
          </w:p>
        </w:tc>
        <w:tc>
          <w:tcPr>
            <w:tcW w:w="70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8.3%</w:t>
            </w:r>
          </w:p>
        </w:tc>
        <w:tc>
          <w:tcPr>
            <w:tcW w:w="1280" w:type="dxa"/>
            <w:vAlign w:val="bottom"/>
            <w:tcBorders>
              <w:bottom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rPr>
              <w:t>5,503,327</w:t>
            </w:r>
          </w:p>
        </w:tc>
        <w:tc>
          <w:tcPr>
            <w:tcW w:w="840" w:type="dxa"/>
            <w:vAlign w:val="bottom"/>
            <w:tcBorders>
              <w:bottom w:val="single" w:sz="8" w:color="auto"/>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9"/>
              </w:rPr>
              <w:t>6,168,309</w:t>
            </w:r>
          </w:p>
        </w:tc>
        <w:tc>
          <w:tcPr>
            <w:tcW w:w="14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12.1%</w:t>
            </w:r>
          </w:p>
        </w:tc>
      </w:tr>
    </w:tbl>
    <w:p>
      <w:pPr>
        <w:spacing w:after="0" w:line="232" w:lineRule="exact"/>
        <w:rPr>
          <w:sz w:val="20"/>
          <w:szCs w:val="20"/>
          <w:color w:val="auto"/>
        </w:rPr>
      </w:pPr>
    </w:p>
    <w:p>
      <w:pPr>
        <w:ind w:left="380" w:hanging="373"/>
        <w:spacing w:after="0"/>
        <w:tabs>
          <w:tab w:leader="none" w:pos="3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acquisition cost of Pacifico includes net fees and underwriting expenses.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expenses analysis, YoY and YTD movements will be taken into account in order to eliminate seasonal effects between quarters.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continue to rise due to:</w:t>
      </w:r>
    </w:p>
    <w:p>
      <w:pPr>
        <w:spacing w:after="0" w:line="248" w:lineRule="exact"/>
        <w:rPr>
          <w:sz w:val="20"/>
          <w:szCs w:val="20"/>
          <w:color w:val="auto"/>
        </w:rPr>
      </w:pPr>
    </w:p>
    <w:p>
      <w:pPr>
        <w:jc w:val="both"/>
        <w:ind w:left="640" w:hanging="312"/>
        <w:spacing w:after="0" w:line="239"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Administrative and general expenses and taxes,</w:t>
      </w:r>
      <w:r>
        <w:rPr>
          <w:rFonts w:ascii="Arial" w:cs="Arial" w:eastAsia="Arial" w:hAnsi="Arial"/>
          <w:sz w:val="18"/>
          <w:szCs w:val="18"/>
          <w:color w:val="auto"/>
        </w:rPr>
        <w:t xml:space="preserve"> which was attributable to growth in IT expenses related to the digital transformation strategy, and to an increase in transactional expenses in a context marked by economic reactivation and an uptick in consumption; and</w:t>
      </w:r>
    </w:p>
    <w:p>
      <w:pPr>
        <w:spacing w:after="0" w:line="2" w:lineRule="exact"/>
        <w:rPr>
          <w:rFonts w:ascii="Arial" w:cs="Arial" w:eastAsia="Arial" w:hAnsi="Arial"/>
          <w:sz w:val="18"/>
          <w:szCs w:val="18"/>
          <w:color w:val="auto"/>
        </w:rPr>
      </w:pPr>
    </w:p>
    <w:p>
      <w:pPr>
        <w:ind w:left="640" w:right="20" w:hanging="312"/>
        <w:spacing w:after="0" w:line="245" w:lineRule="auto"/>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Increase in </w:t>
      </w:r>
      <w:r>
        <w:rPr>
          <w:rFonts w:ascii="Arial" w:cs="Arial" w:eastAsia="Arial" w:hAnsi="Arial"/>
          <w:sz w:val="18"/>
          <w:szCs w:val="18"/>
          <w:b w:val="1"/>
          <w:bCs w:val="1"/>
          <w:color w:val="auto"/>
        </w:rPr>
        <w:t>Salaries and Employee benefits</w:t>
      </w:r>
      <w:r>
        <w:rPr>
          <w:rFonts w:ascii="Arial" w:cs="Arial" w:eastAsia="Arial" w:hAnsi="Arial"/>
          <w:sz w:val="18"/>
          <w:szCs w:val="18"/>
          <w:color w:val="auto"/>
        </w:rPr>
        <w:t>, after more provisions were set aside for earnings this quarter. Variable compensation rose after commercial targets for the quarter were exceeded.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Administrative and general expenses and taxes</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900" w:type="dxa"/>
            <w:vAlign w:val="bottom"/>
            <w:tcBorders>
              <w:top w:val="single" w:sz="8" w:color="auto"/>
              <w:left w:val="single" w:sz="8" w:color="auto"/>
              <w:right w:val="single" w:sz="8" w:color="auto"/>
            </w:tcBorders>
            <w:shd w:val="clear" w:color="auto" w:fill="2AD2C9"/>
          </w:tcPr>
          <w:p>
            <w:pPr>
              <w:ind w:left="40"/>
              <w:spacing w:after="0" w:line="189" w:lineRule="exact"/>
              <w:rPr>
                <w:sz w:val="20"/>
                <w:szCs w:val="20"/>
                <w:color w:val="auto"/>
              </w:rPr>
            </w:pPr>
            <w:r>
              <w:rPr>
                <w:rFonts w:ascii="Arial" w:cs="Arial" w:eastAsia="Arial" w:hAnsi="Arial"/>
                <w:sz w:val="18"/>
                <w:szCs w:val="18"/>
                <w:b w:val="1"/>
                <w:bCs w:val="1"/>
                <w:color w:val="FFFFFF"/>
              </w:rPr>
              <w:t>Administrative and general expenses</w:t>
            </w:r>
          </w:p>
        </w:tc>
        <w:tc>
          <w:tcPr>
            <w:tcW w:w="820" w:type="dxa"/>
            <w:vAlign w:val="bottom"/>
            <w:tcBorders>
              <w:top w:val="single" w:sz="8" w:color="auto"/>
            </w:tcBorders>
            <w:shd w:val="clear" w:color="auto" w:fill="2AD2C9"/>
          </w:tcPr>
          <w:p>
            <w:pPr>
              <w:spacing w:after="0"/>
              <w:rPr>
                <w:sz w:val="16"/>
                <w:szCs w:val="16"/>
                <w:color w:val="auto"/>
              </w:rPr>
            </w:pPr>
          </w:p>
        </w:tc>
        <w:tc>
          <w:tcPr>
            <w:tcW w:w="820" w:type="dxa"/>
            <w:vAlign w:val="bottom"/>
            <w:tcBorders>
              <w:top w:val="single" w:sz="8" w:color="auto"/>
            </w:tcBorders>
            <w:shd w:val="clear" w:color="auto" w:fill="2AD2C9"/>
          </w:tcPr>
          <w:p>
            <w:pPr>
              <w:ind w:left="80"/>
              <w:spacing w:after="0" w:line="189" w:lineRule="exact"/>
              <w:rPr>
                <w:sz w:val="20"/>
                <w:szCs w:val="20"/>
                <w:color w:val="auto"/>
              </w:rPr>
            </w:pPr>
            <w:r>
              <w:rPr>
                <w:rFonts w:ascii="Arial" w:cs="Arial" w:eastAsia="Arial" w:hAnsi="Arial"/>
                <w:sz w:val="18"/>
                <w:szCs w:val="18"/>
                <w:b w:val="1"/>
                <w:bCs w:val="1"/>
                <w:color w:val="FFFFFF"/>
              </w:rPr>
              <w:t>Quarter</w:t>
            </w:r>
          </w:p>
        </w:tc>
        <w:tc>
          <w:tcPr>
            <w:tcW w:w="840" w:type="dxa"/>
            <w:vAlign w:val="bottom"/>
            <w:tcBorders>
              <w:top w:val="single" w:sz="8" w:color="auto"/>
              <w:right w:val="single" w:sz="8" w:color="auto"/>
            </w:tcBorders>
            <w:shd w:val="clear" w:color="auto" w:fill="2AD2C9"/>
          </w:tcPr>
          <w:p>
            <w:pPr>
              <w:spacing w:after="0"/>
              <w:rPr>
                <w:sz w:val="16"/>
                <w:szCs w:val="16"/>
                <w:color w:val="auto"/>
              </w:rPr>
            </w:pPr>
          </w:p>
        </w:tc>
        <w:tc>
          <w:tcPr>
            <w:tcW w:w="1520" w:type="dxa"/>
            <w:vAlign w:val="bottom"/>
            <w:tcBorders>
              <w:top w:val="single" w:sz="8" w:color="auto"/>
              <w:right w:val="single" w:sz="8" w:color="auto"/>
            </w:tcBorders>
            <w:gridSpan w:val="2"/>
            <w:shd w:val="clear" w:color="auto" w:fill="2AD2C9"/>
          </w:tcPr>
          <w:p>
            <w:pPr>
              <w:ind w:left="320"/>
              <w:spacing w:after="0" w:line="189" w:lineRule="exact"/>
              <w:rPr>
                <w:sz w:val="20"/>
                <w:szCs w:val="20"/>
                <w:color w:val="auto"/>
              </w:rPr>
            </w:pPr>
            <w:r>
              <w:rPr>
                <w:rFonts w:ascii="Arial" w:cs="Arial" w:eastAsia="Arial" w:hAnsi="Arial"/>
                <w:sz w:val="18"/>
                <w:szCs w:val="18"/>
                <w:b w:val="1"/>
                <w:bCs w:val="1"/>
                <w:color w:val="FFFFFF"/>
              </w:rPr>
              <w:t>% Change</w:t>
            </w:r>
          </w:p>
        </w:tc>
        <w:tc>
          <w:tcPr>
            <w:tcW w:w="1920" w:type="dxa"/>
            <w:vAlign w:val="bottom"/>
            <w:tcBorders>
              <w:top w:val="single" w:sz="8" w:color="auto"/>
              <w:right w:val="single" w:sz="8" w:color="auto"/>
            </w:tcBorders>
            <w:gridSpan w:val="2"/>
            <w:shd w:val="clear" w:color="auto" w:fill="2AD2C9"/>
          </w:tcPr>
          <w:p>
            <w:pPr>
              <w:jc w:val="right"/>
              <w:ind w:right="671"/>
              <w:spacing w:after="0" w:line="189" w:lineRule="exact"/>
              <w:rPr>
                <w:sz w:val="20"/>
                <w:szCs w:val="20"/>
                <w:color w:val="auto"/>
              </w:rPr>
            </w:pPr>
            <w:r>
              <w:rPr>
                <w:rFonts w:ascii="Arial" w:cs="Arial" w:eastAsia="Arial" w:hAnsi="Arial"/>
                <w:sz w:val="18"/>
                <w:szCs w:val="18"/>
                <w:b w:val="1"/>
                <w:bCs w:val="1"/>
                <w:color w:val="FFFFFF"/>
              </w:rPr>
              <w:t>As of</w:t>
            </w:r>
          </w:p>
        </w:tc>
        <w:tc>
          <w:tcPr>
            <w:tcW w:w="1420" w:type="dxa"/>
            <w:vAlign w:val="bottom"/>
            <w:tcBorders>
              <w:top w:val="single" w:sz="8" w:color="auto"/>
              <w:right w:val="single" w:sz="8" w:color="auto"/>
            </w:tcBorders>
            <w:shd w:val="clear" w:color="auto" w:fill="2AD2C9"/>
          </w:tcPr>
          <w:p>
            <w:pPr>
              <w:jc w:val="center"/>
              <w:spacing w:after="0" w:line="189" w:lineRule="exact"/>
              <w:rPr>
                <w:sz w:val="20"/>
                <w:szCs w:val="20"/>
                <w:color w:val="auto"/>
              </w:rPr>
            </w:pPr>
            <w:r>
              <w:rPr>
                <w:rFonts w:ascii="Arial" w:cs="Arial" w:eastAsia="Arial" w:hAnsi="Arial"/>
                <w:sz w:val="18"/>
                <w:szCs w:val="18"/>
                <w:b w:val="1"/>
                <w:bCs w:val="1"/>
                <w:color w:val="FFFFFF"/>
                <w:w w:val="99"/>
              </w:rPr>
              <w:t>% change</w:t>
            </w:r>
          </w:p>
        </w:tc>
      </w:tr>
      <w:tr>
        <w:trPr>
          <w:trHeight w:val="226"/>
        </w:trPr>
        <w:tc>
          <w:tcPr>
            <w:tcW w:w="390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8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8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2Q22</w:t>
            </w:r>
          </w:p>
        </w:tc>
        <w:tc>
          <w:tcPr>
            <w:tcW w:w="8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3Q22</w:t>
            </w:r>
          </w:p>
        </w:tc>
        <w:tc>
          <w:tcPr>
            <w:tcW w:w="76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8"/>
                <w:szCs w:val="18"/>
                <w:b w:val="1"/>
                <w:bCs w:val="1"/>
                <w:color w:val="FFFFFF"/>
              </w:rPr>
              <w:t>QoQ</w:t>
            </w:r>
          </w:p>
        </w:tc>
        <w:tc>
          <w:tcPr>
            <w:tcW w:w="76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8"/>
                <w:szCs w:val="18"/>
                <w:b w:val="1"/>
                <w:bCs w:val="1"/>
                <w:color w:val="FFFFFF"/>
              </w:rPr>
              <w:t>YoY</w:t>
            </w:r>
          </w:p>
        </w:tc>
        <w:tc>
          <w:tcPr>
            <w:tcW w:w="980" w:type="dxa"/>
            <w:vAlign w:val="bottom"/>
            <w:tcBorders>
              <w:bottom w:val="single" w:sz="8" w:color="auto"/>
            </w:tcBorders>
            <w:shd w:val="clear" w:color="auto" w:fill="2AD2C9"/>
          </w:tcPr>
          <w:p>
            <w:pPr>
              <w:jc w:val="right"/>
              <w:ind w:right="131"/>
              <w:spacing w:after="0"/>
              <w:rPr>
                <w:sz w:val="20"/>
                <w:szCs w:val="20"/>
                <w:color w:val="auto"/>
              </w:rPr>
            </w:pPr>
            <w:r>
              <w:rPr>
                <w:rFonts w:ascii="Arial" w:cs="Arial" w:eastAsia="Arial" w:hAnsi="Arial"/>
                <w:sz w:val="18"/>
                <w:szCs w:val="18"/>
                <w:b w:val="1"/>
                <w:bCs w:val="1"/>
                <w:color w:val="FFFFFF"/>
              </w:rPr>
              <w:t>Sep 21</w:t>
            </w:r>
          </w:p>
        </w:tc>
        <w:tc>
          <w:tcPr>
            <w:tcW w:w="940" w:type="dxa"/>
            <w:vAlign w:val="bottom"/>
            <w:tcBorders>
              <w:bottom w:val="single" w:sz="8" w:color="auto"/>
              <w:right w:val="single" w:sz="8" w:color="auto"/>
            </w:tcBorders>
            <w:shd w:val="clear" w:color="auto" w:fill="2AD2C9"/>
          </w:tcPr>
          <w:p>
            <w:pPr>
              <w:jc w:val="right"/>
              <w:ind w:right="131"/>
              <w:spacing w:after="0"/>
              <w:rPr>
                <w:sz w:val="20"/>
                <w:szCs w:val="20"/>
                <w:color w:val="auto"/>
              </w:rPr>
            </w:pPr>
            <w:r>
              <w:rPr>
                <w:rFonts w:ascii="Arial" w:cs="Arial" w:eastAsia="Arial" w:hAnsi="Arial"/>
                <w:sz w:val="18"/>
                <w:szCs w:val="18"/>
                <w:b w:val="1"/>
                <w:bCs w:val="1"/>
                <w:color w:val="FFFFFF"/>
              </w:rPr>
              <w:t>Sep 22</w:t>
            </w:r>
          </w:p>
        </w:tc>
        <w:tc>
          <w:tcPr>
            <w:tcW w:w="14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r>
      <w:tr>
        <w:trPr>
          <w:trHeight w:val="182"/>
        </w:trPr>
        <w:tc>
          <w:tcPr>
            <w:tcW w:w="390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IT expenses and IT third-party services</w:t>
            </w:r>
          </w:p>
        </w:tc>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98"/>
              </w:rPr>
              <w:t>196,970</w:t>
            </w:r>
          </w:p>
        </w:tc>
        <w:tc>
          <w:tcPr>
            <w:tcW w:w="820" w:type="dxa"/>
            <w:vAlign w:val="bottom"/>
          </w:tcPr>
          <w:p>
            <w:pPr>
              <w:jc w:val="center"/>
              <w:spacing w:after="0" w:line="182" w:lineRule="exact"/>
              <w:rPr>
                <w:sz w:val="20"/>
                <w:szCs w:val="20"/>
                <w:color w:val="auto"/>
              </w:rPr>
            </w:pPr>
            <w:r>
              <w:rPr>
                <w:rFonts w:ascii="Arial" w:cs="Arial" w:eastAsia="Arial" w:hAnsi="Arial"/>
                <w:sz w:val="18"/>
                <w:szCs w:val="18"/>
                <w:color w:val="auto"/>
                <w:w w:val="98"/>
              </w:rPr>
              <w:t>236,252</w:t>
            </w:r>
          </w:p>
        </w:tc>
        <w:tc>
          <w:tcPr>
            <w:tcW w:w="8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8"/>
              </w:rPr>
              <w:t>229,025</w:t>
            </w:r>
          </w:p>
        </w:tc>
        <w:tc>
          <w:tcPr>
            <w:tcW w:w="760" w:type="dxa"/>
            <w:vAlign w:val="bottom"/>
          </w:tcPr>
          <w:p>
            <w:pPr>
              <w:jc w:val="center"/>
              <w:spacing w:after="0" w:line="182" w:lineRule="exact"/>
              <w:rPr>
                <w:sz w:val="20"/>
                <w:szCs w:val="20"/>
                <w:color w:val="auto"/>
              </w:rPr>
            </w:pPr>
            <w:r>
              <w:rPr>
                <w:rFonts w:ascii="Arial" w:cs="Arial" w:eastAsia="Arial" w:hAnsi="Arial"/>
                <w:sz w:val="18"/>
                <w:szCs w:val="18"/>
                <w:color w:val="auto"/>
              </w:rPr>
              <w:t>-3.1%</w:t>
            </w:r>
          </w:p>
        </w:tc>
        <w:tc>
          <w:tcPr>
            <w:tcW w:w="7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16.3%</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497,800</w:t>
            </w:r>
          </w:p>
        </w:tc>
        <w:tc>
          <w:tcPr>
            <w:tcW w:w="9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666,034</w:t>
            </w:r>
          </w:p>
        </w:tc>
        <w:tc>
          <w:tcPr>
            <w:tcW w:w="14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33.8%</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Advertising and customer loyalty programs</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8"/>
              </w:rPr>
              <w:t>123,603</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8"/>
              </w:rPr>
              <w:t>156,285</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173,728</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3"/>
              </w:rPr>
              <w:t>11.2%</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40.6%</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300,989</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440,510</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46.4%</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Taxes and contributions</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80,626</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78,510</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51,963</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8"/>
              </w:rPr>
              <w:t>-33.8%</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-35.6%</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226,840</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204,536</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-9.8%</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8"/>
              </w:rPr>
              <w:t>Audit Services, Consulting and professional fees</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8"/>
              </w:rPr>
              <w:t>114,073</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70,654</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74,790</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7"/>
              </w:rPr>
              <w:t>5.9%</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-34.4%</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216,268</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197,962</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-8.5%</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Transport and communications</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54,312</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49,771</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74,435</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rPr>
              <w:t>49.6%</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37.1%</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142,035</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164,370</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15.7%</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Repair and maintenance</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30,125</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40,832</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30,563</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8"/>
              </w:rPr>
              <w:t>-25.1%</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1.5%</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88,170</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101,334</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14.9%</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Agents' Fees</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26,486</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26,091</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25,574</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rPr>
              <w:t>-2.0%</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-3.4%</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76,740</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78,683</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2.5%</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Services by third-party</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26,094</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33,791</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29,799</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8"/>
              </w:rPr>
              <w:t>-11.8%</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14.2%</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69,797</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82,001</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17.5%</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Leases of low value and short-term</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23,517</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22,610</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24,171</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7"/>
              </w:rPr>
              <w:t>6.9%</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2.8%</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64,564</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67,712</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4.9%</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Miscellaneous supplies</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13,068</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20,657</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25,266</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rPr>
              <w:t>22.3%</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93.3%</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42,058</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65,000</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54.5%</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Security and protection</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15,468</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15,798</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16,841</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7"/>
              </w:rPr>
              <w:t>6.6%</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8.9%</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47,119</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48,115</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2.1%</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Subscriptions and quotes</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13,363</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15,968</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14,013</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8"/>
              </w:rPr>
              <w:t>-12.2%</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4.9%</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40,448</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43,418</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7.3%</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Electricity and water</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4"/>
              </w:rPr>
              <w:t>11,102</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13,567</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11,867</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8"/>
              </w:rPr>
              <w:t>-12.5%</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6.9%</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34,502</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36,111</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4.7%</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Electronic processing</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10,863</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7"/>
              </w:rPr>
              <w:t>8,208</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7,770</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rPr>
              <w:t>-5.3%</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-28.5%</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31,954</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23,671</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-25.9%</w:t>
            </w:r>
          </w:p>
        </w:tc>
      </w:tr>
      <w:tr>
        <w:trPr>
          <w:trHeight w:val="201"/>
        </w:trPr>
        <w:tc>
          <w:tcPr>
            <w:tcW w:w="390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Insurance</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36,968</w:t>
            </w: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7"/>
              </w:rPr>
              <w:t>4,888</w:t>
            </w:r>
          </w:p>
        </w:tc>
        <w:tc>
          <w:tcPr>
            <w:tcW w:w="8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40,561</w:t>
            </w: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98"/>
              </w:rPr>
              <w:t>729.8%</w:t>
            </w:r>
          </w:p>
        </w:tc>
        <w:tc>
          <w:tcPr>
            <w:tcW w:w="7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9.7%</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48,798</w:t>
            </w:r>
          </w:p>
        </w:tc>
        <w:tc>
          <w:tcPr>
            <w:tcW w:w="9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54,365</w:t>
            </w:r>
          </w:p>
        </w:tc>
        <w:tc>
          <w:tcPr>
            <w:tcW w:w="14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11.4%</w:t>
            </w:r>
          </w:p>
        </w:tc>
      </w:tr>
      <w:tr>
        <w:trPr>
          <w:trHeight w:val="192"/>
        </w:trPr>
        <w:tc>
          <w:tcPr>
            <w:tcW w:w="3900" w:type="dxa"/>
            <w:vAlign w:val="bottom"/>
            <w:tcBorders>
              <w:left w:val="single" w:sz="8" w:color="auto"/>
              <w:right w:val="single" w:sz="8" w:color="auto"/>
            </w:tcBorders>
          </w:tcPr>
          <w:p>
            <w:pPr>
              <w:ind w:left="40"/>
              <w:spacing w:after="0" w:line="192" w:lineRule="exact"/>
              <w:rPr>
                <w:sz w:val="20"/>
                <w:szCs w:val="20"/>
                <w:color w:val="auto"/>
              </w:rPr>
            </w:pPr>
            <w:r>
              <w:rPr>
                <w:rFonts w:ascii="Arial" w:cs="Arial" w:eastAsia="Arial" w:hAnsi="Arial"/>
                <w:sz w:val="18"/>
                <w:szCs w:val="18"/>
                <w:color w:val="auto"/>
              </w:rPr>
              <w:t>Cleaning</w:t>
            </w:r>
          </w:p>
        </w:tc>
        <w:tc>
          <w:tcPr>
            <w:tcW w:w="820" w:type="dxa"/>
            <w:vAlign w:val="bottom"/>
          </w:tcPr>
          <w:p>
            <w:pPr>
              <w:jc w:val="center"/>
              <w:spacing w:after="0" w:line="192" w:lineRule="exact"/>
              <w:rPr>
                <w:sz w:val="20"/>
                <w:szCs w:val="20"/>
                <w:color w:val="auto"/>
              </w:rPr>
            </w:pPr>
            <w:r>
              <w:rPr>
                <w:rFonts w:ascii="Arial" w:cs="Arial" w:eastAsia="Arial" w:hAnsi="Arial"/>
                <w:sz w:val="18"/>
                <w:szCs w:val="18"/>
                <w:color w:val="auto"/>
                <w:w w:val="97"/>
              </w:rPr>
              <w:t>4,630</w:t>
            </w:r>
          </w:p>
        </w:tc>
        <w:tc>
          <w:tcPr>
            <w:tcW w:w="820" w:type="dxa"/>
            <w:vAlign w:val="bottom"/>
          </w:tcPr>
          <w:p>
            <w:pPr>
              <w:jc w:val="center"/>
              <w:spacing w:after="0" w:line="192" w:lineRule="exact"/>
              <w:rPr>
                <w:sz w:val="20"/>
                <w:szCs w:val="20"/>
                <w:color w:val="auto"/>
              </w:rPr>
            </w:pPr>
            <w:r>
              <w:rPr>
                <w:rFonts w:ascii="Arial" w:cs="Arial" w:eastAsia="Arial" w:hAnsi="Arial"/>
                <w:sz w:val="18"/>
                <w:szCs w:val="18"/>
                <w:color w:val="auto"/>
                <w:w w:val="97"/>
              </w:rPr>
              <w:t>5,203</w:t>
            </w:r>
          </w:p>
        </w:tc>
        <w:tc>
          <w:tcPr>
            <w:tcW w:w="8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7"/>
              </w:rPr>
              <w:t>5,358</w:t>
            </w:r>
          </w:p>
        </w:tc>
        <w:tc>
          <w:tcPr>
            <w:tcW w:w="760" w:type="dxa"/>
            <w:vAlign w:val="bottom"/>
          </w:tcPr>
          <w:p>
            <w:pPr>
              <w:jc w:val="center"/>
              <w:spacing w:after="0" w:line="192" w:lineRule="exact"/>
              <w:rPr>
                <w:sz w:val="20"/>
                <w:szCs w:val="20"/>
                <w:color w:val="auto"/>
              </w:rPr>
            </w:pPr>
            <w:r>
              <w:rPr>
                <w:rFonts w:ascii="Arial" w:cs="Arial" w:eastAsia="Arial" w:hAnsi="Arial"/>
                <w:sz w:val="18"/>
                <w:szCs w:val="18"/>
                <w:color w:val="auto"/>
                <w:w w:val="97"/>
              </w:rPr>
              <w:t>3.0%</w:t>
            </w:r>
          </w:p>
        </w:tc>
        <w:tc>
          <w:tcPr>
            <w:tcW w:w="7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7"/>
              </w:rPr>
              <w:t>15.7%</w:t>
            </w:r>
          </w:p>
        </w:tc>
        <w:tc>
          <w:tcPr>
            <w:tcW w:w="980" w:type="dxa"/>
            <w:vAlign w:val="bottom"/>
          </w:tcPr>
          <w:p>
            <w:pPr>
              <w:jc w:val="right"/>
              <w:spacing w:after="0" w:line="192" w:lineRule="exact"/>
              <w:rPr>
                <w:sz w:val="20"/>
                <w:szCs w:val="20"/>
                <w:color w:val="auto"/>
              </w:rPr>
            </w:pPr>
            <w:r>
              <w:rPr>
                <w:rFonts w:ascii="Arial" w:cs="Arial" w:eastAsia="Arial" w:hAnsi="Arial"/>
                <w:sz w:val="18"/>
                <w:szCs w:val="18"/>
                <w:color w:val="auto"/>
              </w:rPr>
              <w:t>15,118</w:t>
            </w:r>
          </w:p>
        </w:tc>
        <w:tc>
          <w:tcPr>
            <w:tcW w:w="940" w:type="dxa"/>
            <w:vAlign w:val="bottom"/>
            <w:tcBorders>
              <w:right w:val="single" w:sz="8" w:color="auto"/>
            </w:tcBorders>
          </w:tcPr>
          <w:p>
            <w:pPr>
              <w:jc w:val="right"/>
              <w:spacing w:after="0" w:line="192" w:lineRule="exact"/>
              <w:rPr>
                <w:sz w:val="20"/>
                <w:szCs w:val="20"/>
                <w:color w:val="auto"/>
              </w:rPr>
            </w:pPr>
            <w:r>
              <w:rPr>
                <w:rFonts w:ascii="Arial" w:cs="Arial" w:eastAsia="Arial" w:hAnsi="Arial"/>
                <w:sz w:val="18"/>
                <w:szCs w:val="18"/>
                <w:color w:val="auto"/>
              </w:rPr>
              <w:t>15,067</w:t>
            </w:r>
          </w:p>
        </w:tc>
        <w:tc>
          <w:tcPr>
            <w:tcW w:w="14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rPr>
              <w:t>-0.3%</w:t>
            </w:r>
          </w:p>
        </w:tc>
      </w:tr>
      <w:tr>
        <w:trPr>
          <w:trHeight w:val="236"/>
        </w:trPr>
        <w:tc>
          <w:tcPr>
            <w:tcW w:w="3900" w:type="dxa"/>
            <w:vAlign w:val="bottom"/>
            <w:tcBorders>
              <w:left w:val="single" w:sz="8" w:color="auto"/>
              <w:bottom w:val="single" w:sz="8" w:color="auto"/>
              <w:right w:val="single" w:sz="8" w:color="auto"/>
            </w:tcBorders>
          </w:tcPr>
          <w:p>
            <w:pPr>
              <w:ind w:left="40"/>
              <w:spacing w:after="0" w:line="228" w:lineRule="exact"/>
              <w:rPr>
                <w:sz w:val="20"/>
                <w:szCs w:val="20"/>
                <w:color w:val="auto"/>
              </w:rPr>
            </w:pPr>
            <w:r>
              <w:rPr>
                <w:rFonts w:ascii="Arial" w:cs="Arial" w:eastAsia="Arial" w:hAnsi="Arial"/>
                <w:sz w:val="16"/>
                <w:szCs w:val="16"/>
                <w:color w:val="auto"/>
              </w:rPr>
              <w:t xml:space="preserve">Others </w:t>
            </w:r>
            <w:r>
              <w:rPr>
                <w:rFonts w:ascii="Arial" w:cs="Arial" w:eastAsia="Arial" w:hAnsi="Arial"/>
                <w:sz w:val="26"/>
                <w:szCs w:val="26"/>
                <w:color w:val="auto"/>
                <w:vertAlign w:val="superscript"/>
              </w:rPr>
              <w:t>(1)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21,888</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50,850</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35,128</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-30.9%</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60.5%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111,840</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157,437</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40.8%</w:t>
            </w:r>
          </w:p>
        </w:tc>
      </w:tr>
      <w:tr>
        <w:trPr>
          <w:trHeight w:val="208"/>
        </w:trPr>
        <w:tc>
          <w:tcPr>
            <w:tcW w:w="390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Total</w:t>
            </w:r>
          </w:p>
        </w:tc>
        <w:tc>
          <w:tcPr>
            <w:tcW w:w="8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803,156</w:t>
            </w:r>
          </w:p>
        </w:tc>
        <w:tc>
          <w:tcPr>
            <w:tcW w:w="8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849,935</w:t>
            </w:r>
          </w:p>
        </w:tc>
        <w:tc>
          <w:tcPr>
            <w:tcW w:w="8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870,852</w:t>
            </w:r>
          </w:p>
        </w:tc>
        <w:tc>
          <w:tcPr>
            <w:tcW w:w="7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2.5%</w:t>
            </w:r>
          </w:p>
        </w:tc>
        <w:tc>
          <w:tcPr>
            <w:tcW w:w="76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8.4%</w:t>
            </w:r>
          </w:p>
        </w:tc>
        <w:tc>
          <w:tcPr>
            <w:tcW w:w="980" w:type="dxa"/>
            <w:vAlign w:val="bottom"/>
            <w:tcBorders>
              <w:bottom w:val="single" w:sz="8" w:color="auto"/>
            </w:tcBorders>
          </w:tcPr>
          <w:p>
            <w:pPr>
              <w:jc w:val="right"/>
              <w:ind w:right="31"/>
              <w:spacing w:after="0" w:line="201" w:lineRule="exact"/>
              <w:rPr>
                <w:sz w:val="20"/>
                <w:szCs w:val="20"/>
                <w:color w:val="auto"/>
              </w:rPr>
            </w:pPr>
            <w:r>
              <w:rPr>
                <w:rFonts w:ascii="Arial" w:cs="Arial" w:eastAsia="Arial" w:hAnsi="Arial"/>
                <w:sz w:val="18"/>
                <w:szCs w:val="18"/>
                <w:b w:val="1"/>
                <w:bCs w:val="1"/>
                <w:color w:val="auto"/>
              </w:rPr>
              <w:t>2,055,040</w:t>
            </w:r>
          </w:p>
        </w:tc>
        <w:tc>
          <w:tcPr>
            <w:tcW w:w="940" w:type="dxa"/>
            <w:vAlign w:val="bottom"/>
            <w:tcBorders>
              <w:bottom w:val="single" w:sz="8" w:color="auto"/>
              <w:right w:val="single" w:sz="8" w:color="auto"/>
            </w:tcBorders>
          </w:tcPr>
          <w:p>
            <w:pPr>
              <w:jc w:val="right"/>
              <w:ind w:right="11"/>
              <w:spacing w:after="0" w:line="201" w:lineRule="exact"/>
              <w:rPr>
                <w:sz w:val="20"/>
                <w:szCs w:val="20"/>
                <w:color w:val="auto"/>
              </w:rPr>
            </w:pPr>
            <w:r>
              <w:rPr>
                <w:rFonts w:ascii="Arial" w:cs="Arial" w:eastAsia="Arial" w:hAnsi="Arial"/>
                <w:sz w:val="18"/>
                <w:szCs w:val="18"/>
                <w:b w:val="1"/>
                <w:bCs w:val="1"/>
                <w:color w:val="auto"/>
              </w:rPr>
              <w:t>2,446,326</w:t>
            </w:r>
          </w:p>
        </w:tc>
        <w:tc>
          <w:tcPr>
            <w:tcW w:w="142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19.0%</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Others consists mainly of security and protection services, cleaning service, representation expenses, electricity and water utilities, insurance policy expenses, subscription expenses and commission expenses.</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38" w:name="page39"/>
    <w:bookmarkEnd w:id="38"/>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08.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-130175</wp:posOffset>
            </wp:positionV>
            <wp:extent cx="7133590" cy="2298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3590" cy="22987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and general expenses and taxes rose due to:</w:t>
      </w:r>
    </w:p>
    <w:p>
      <w:pPr>
        <w:spacing w:after="0" w:line="248" w:lineRule="exact"/>
        <w:rPr>
          <w:sz w:val="20"/>
          <w:szCs w:val="20"/>
          <w:color w:val="auto"/>
        </w:rPr>
      </w:pPr>
    </w:p>
    <w:p>
      <w:pPr>
        <w:ind w:left="640" w:hanging="312"/>
        <w:spacing w:after="0" w:line="243"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Growth in </w:t>
      </w:r>
      <w:r>
        <w:rPr>
          <w:rFonts w:ascii="Arial" w:cs="Arial" w:eastAsia="Arial" w:hAnsi="Arial"/>
          <w:sz w:val="18"/>
          <w:szCs w:val="18"/>
          <w:b w:val="1"/>
          <w:bCs w:val="1"/>
          <w:color w:val="auto"/>
        </w:rPr>
        <w:t>IT expenses and systems outsourcing</w:t>
      </w:r>
      <w:r>
        <w:rPr>
          <w:rFonts w:ascii="Arial" w:cs="Arial" w:eastAsia="Arial" w:hAnsi="Arial"/>
          <w:sz w:val="18"/>
          <w:szCs w:val="18"/>
          <w:color w:val="auto"/>
        </w:rPr>
        <w:t>, which was related to cybersecurity, infrastructure upgrades, development of new applications, renewal and improvement of software; and</w:t>
      </w:r>
    </w:p>
    <w:p>
      <w:pPr>
        <w:ind w:left="640" w:right="20" w:hanging="312"/>
        <w:spacing w:after="0" w:line="232"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 62% increase in </w:t>
      </w:r>
      <w:r>
        <w:rPr>
          <w:rFonts w:ascii="Arial" w:cs="Arial" w:eastAsia="Arial" w:hAnsi="Arial"/>
          <w:sz w:val="18"/>
          <w:szCs w:val="18"/>
          <w:b w:val="1"/>
          <w:bCs w:val="1"/>
          <w:color w:val="auto"/>
        </w:rPr>
        <w:t>Advertising</w:t>
      </w:r>
      <w:r>
        <w:rPr>
          <w:rFonts w:ascii="Arial" w:cs="Arial" w:eastAsia="Arial" w:hAnsi="Arial"/>
          <w:sz w:val="18"/>
          <w:szCs w:val="18"/>
          <w:color w:val="auto"/>
        </w:rPr>
        <w:t xml:space="preserve"> expenses, which was primarily associated with disruptive initiatives. If we exclude disruptive expenses, expenses for advertising register a 15% increase.</w:t>
      </w:r>
    </w:p>
    <w:p>
      <w:pPr>
        <w:spacing w:after="0" w:line="1" w:lineRule="exact"/>
        <w:rPr>
          <w:rFonts w:ascii="Arial" w:cs="Arial" w:eastAsia="Arial" w:hAnsi="Arial"/>
          <w:sz w:val="18"/>
          <w:szCs w:val="18"/>
          <w:color w:val="auto"/>
        </w:rPr>
      </w:pPr>
    </w:p>
    <w:p>
      <w:pPr>
        <w:ind w:left="640" w:hanging="312"/>
        <w:spacing w:after="0" w:line="245" w:lineRule="auto"/>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The 38% increase in expenses for the </w:t>
      </w:r>
      <w:r>
        <w:rPr>
          <w:rFonts w:ascii="Arial" w:cs="Arial" w:eastAsia="Arial" w:hAnsi="Arial"/>
          <w:sz w:val="18"/>
          <w:szCs w:val="18"/>
          <w:b w:val="1"/>
          <w:bCs w:val="1"/>
          <w:color w:val="auto"/>
        </w:rPr>
        <w:t>Loyalty Program</w:t>
      </w:r>
      <w:r>
        <w:rPr>
          <w:rFonts w:ascii="Arial" w:cs="Arial" w:eastAsia="Arial" w:hAnsi="Arial"/>
          <w:sz w:val="18"/>
          <w:szCs w:val="18"/>
          <w:color w:val="auto"/>
        </w:rPr>
        <w:t>. This was related to an increase of consumption of LATAM miles, which reflected growth in consumption with credit and debit cards at establishments (related fees up 44%).</w:t>
      </w: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39" w:name="page40"/>
    <w:bookmarkEnd w:id="39"/>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09 </w:t>
      </w:r>
      <w:r>
        <w:rPr>
          <w:rFonts w:ascii="Times New Roman" w:cs="Times New Roman" w:eastAsia="Times New Roman" w:hAnsi="Times New Roman"/>
          <w:sz w:val="32"/>
          <w:szCs w:val="32"/>
          <w:color w:val="E93C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7143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3590" cy="714375"/>
                    </a:xfrm>
                    <a:prstGeom prst="rect">
                      <a:avLst/>
                    </a:prstGeom>
                    <a:noFill/>
                  </pic:spPr>
                </pic:pic>
              </a:graphicData>
            </a:graphic>
          </wp:anchor>
        </w:drawing>
      </w:r>
    </w:p>
    <w:p>
      <w:pPr>
        <w:spacing w:after="0" w:line="34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8"/>
          <w:szCs w:val="18"/>
          <w:color w:val="FFFFFF"/>
        </w:rPr>
        <w:t>The efficiency ratio improved 180bps QoQ, 330bps YoY and 80pbs YTD, driven by uptick in core income. If we exclude expenses related to disruptive initiatives (Yape + Krealo), the efficiency ratio improves 200bps YTD. Finally, it is important to note that due to seasonal factors, expenses tend to be higher in the last quarter of the year.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94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Operating Efficiency</w:t>
            </w:r>
          </w:p>
        </w:tc>
        <w:tc>
          <w:tcPr>
            <w:tcW w:w="1200" w:type="dxa"/>
            <w:vAlign w:val="bottom"/>
            <w:tcBorders>
              <w:top w:val="single" w:sz="8" w:color="auto"/>
            </w:tcBorders>
            <w:shd w:val="clear" w:color="auto" w:fill="2AD2C9"/>
          </w:tcPr>
          <w:p>
            <w:pPr>
              <w:spacing w:after="0"/>
              <w:rPr>
                <w:sz w:val="18"/>
                <w:szCs w:val="18"/>
                <w:color w:val="auto"/>
              </w:rPr>
            </w:pPr>
          </w:p>
        </w:tc>
        <w:tc>
          <w:tcPr>
            <w:tcW w:w="1200" w:type="dxa"/>
            <w:vAlign w:val="bottom"/>
            <w:tcBorders>
              <w:top w:val="single" w:sz="8" w:color="auto"/>
            </w:tcBorders>
            <w:shd w:val="clear" w:color="auto" w:fill="2AD2C9"/>
          </w:tcPr>
          <w:p>
            <w:pPr>
              <w:jc w:val="right"/>
              <w:ind w:right="291"/>
              <w:spacing w:after="0"/>
              <w:rPr>
                <w:sz w:val="20"/>
                <w:szCs w:val="20"/>
                <w:color w:val="auto"/>
              </w:rPr>
            </w:pPr>
            <w:r>
              <w:rPr>
                <w:rFonts w:ascii="Arial" w:cs="Arial" w:eastAsia="Arial" w:hAnsi="Arial"/>
                <w:sz w:val="18"/>
                <w:szCs w:val="18"/>
                <w:b w:val="1"/>
                <w:bCs w:val="1"/>
                <w:color w:val="FFFFFF"/>
              </w:rPr>
              <w:t>Quarter</w:t>
            </w:r>
          </w:p>
        </w:tc>
        <w:tc>
          <w:tcPr>
            <w:tcW w:w="1040" w:type="dxa"/>
            <w:vAlign w:val="bottom"/>
            <w:tcBorders>
              <w:top w:val="single" w:sz="8" w:color="auto"/>
              <w:right w:val="single" w:sz="8" w:color="auto"/>
            </w:tcBorders>
            <w:shd w:val="clear" w:color="auto" w:fill="2AD2C9"/>
          </w:tcPr>
          <w:p>
            <w:pPr>
              <w:spacing w:after="0"/>
              <w:rPr>
                <w:sz w:val="18"/>
                <w:szCs w:val="18"/>
                <w:color w:val="auto"/>
              </w:rPr>
            </w:pPr>
          </w:p>
        </w:tc>
        <w:tc>
          <w:tcPr>
            <w:tcW w:w="1840" w:type="dxa"/>
            <w:vAlign w:val="bottom"/>
            <w:tcBorders>
              <w:top w:val="single" w:sz="8" w:color="auto"/>
              <w:right w:val="single" w:sz="8" w:color="auto"/>
            </w:tcBorders>
            <w:gridSpan w:val="2"/>
            <w:shd w:val="clear" w:color="auto" w:fill="2AD2C9"/>
          </w:tcPr>
          <w:p>
            <w:pPr>
              <w:ind w:left="500"/>
              <w:spacing w:after="0"/>
              <w:rPr>
                <w:sz w:val="20"/>
                <w:szCs w:val="20"/>
                <w:color w:val="auto"/>
              </w:rPr>
            </w:pPr>
            <w:r>
              <w:rPr>
                <w:rFonts w:ascii="Arial" w:cs="Arial" w:eastAsia="Arial" w:hAnsi="Arial"/>
                <w:sz w:val="18"/>
                <w:szCs w:val="18"/>
                <w:b w:val="1"/>
                <w:bCs w:val="1"/>
                <w:color w:val="FFFFFF"/>
              </w:rPr>
              <w:t>% change</w:t>
            </w:r>
          </w:p>
        </w:tc>
        <w:tc>
          <w:tcPr>
            <w:tcW w:w="2500" w:type="dxa"/>
            <w:vAlign w:val="bottom"/>
            <w:tcBorders>
              <w:top w:val="single" w:sz="8" w:color="auto"/>
              <w:right w:val="single" w:sz="8" w:color="auto"/>
            </w:tcBorders>
            <w:gridSpan w:val="2"/>
            <w:shd w:val="clear" w:color="auto" w:fill="2AD2C9"/>
          </w:tcPr>
          <w:p>
            <w:pPr>
              <w:ind w:left="1040"/>
              <w:spacing w:after="0"/>
              <w:rPr>
                <w:sz w:val="20"/>
                <w:szCs w:val="20"/>
                <w:color w:val="auto"/>
              </w:rPr>
            </w:pPr>
            <w:r>
              <w:rPr>
                <w:rFonts w:ascii="Arial" w:cs="Arial" w:eastAsia="Arial" w:hAnsi="Arial"/>
                <w:sz w:val="18"/>
                <w:szCs w:val="18"/>
                <w:b w:val="1"/>
                <w:bCs w:val="1"/>
                <w:color w:val="FFFFFF"/>
              </w:rPr>
              <w:t>Year</w:t>
            </w:r>
          </w:p>
        </w:tc>
        <w:tc>
          <w:tcPr>
            <w:tcW w:w="152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 change</w:t>
            </w:r>
          </w:p>
        </w:tc>
      </w:tr>
      <w:tr>
        <w:trPr>
          <w:trHeight w:val="226"/>
        </w:trPr>
        <w:tc>
          <w:tcPr>
            <w:tcW w:w="194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S/ 000</w:t>
            </w:r>
          </w:p>
        </w:tc>
        <w:tc>
          <w:tcPr>
            <w:tcW w:w="1200" w:type="dxa"/>
            <w:vAlign w:val="bottom"/>
            <w:tcBorders>
              <w:bottom w:val="single" w:sz="8" w:color="auto"/>
            </w:tcBorders>
            <w:shd w:val="clear" w:color="auto" w:fill="2AD2C9"/>
          </w:tcPr>
          <w:p>
            <w:pPr>
              <w:jc w:val="right"/>
              <w:ind w:right="391"/>
              <w:spacing w:after="0"/>
              <w:rPr>
                <w:sz w:val="20"/>
                <w:szCs w:val="20"/>
                <w:color w:val="auto"/>
              </w:rPr>
            </w:pPr>
            <w:r>
              <w:rPr>
                <w:rFonts w:ascii="Arial" w:cs="Arial" w:eastAsia="Arial" w:hAnsi="Arial"/>
                <w:sz w:val="18"/>
                <w:szCs w:val="18"/>
                <w:b w:val="1"/>
                <w:bCs w:val="1"/>
                <w:color w:val="FFFFFF"/>
              </w:rPr>
              <w:t>3Q21</w:t>
            </w:r>
          </w:p>
        </w:tc>
        <w:tc>
          <w:tcPr>
            <w:tcW w:w="1200" w:type="dxa"/>
            <w:vAlign w:val="bottom"/>
            <w:tcBorders>
              <w:bottom w:val="single" w:sz="8" w:color="auto"/>
            </w:tcBorders>
            <w:shd w:val="clear" w:color="auto" w:fill="2AD2C9"/>
          </w:tcPr>
          <w:p>
            <w:pPr>
              <w:jc w:val="right"/>
              <w:ind w:right="471"/>
              <w:spacing w:after="0"/>
              <w:rPr>
                <w:sz w:val="20"/>
                <w:szCs w:val="20"/>
                <w:color w:val="auto"/>
              </w:rPr>
            </w:pPr>
            <w:r>
              <w:rPr>
                <w:rFonts w:ascii="Arial" w:cs="Arial" w:eastAsia="Arial" w:hAnsi="Arial"/>
                <w:sz w:val="18"/>
                <w:szCs w:val="18"/>
                <w:b w:val="1"/>
                <w:bCs w:val="1"/>
                <w:color w:val="FFFFFF"/>
              </w:rPr>
              <w:t>2Q22</w:t>
            </w:r>
          </w:p>
        </w:tc>
        <w:tc>
          <w:tcPr>
            <w:tcW w:w="1040" w:type="dxa"/>
            <w:vAlign w:val="bottom"/>
            <w:tcBorders>
              <w:bottom w:val="single" w:sz="8" w:color="auto"/>
              <w:right w:val="single" w:sz="8" w:color="auto"/>
            </w:tcBorders>
            <w:shd w:val="clear" w:color="auto" w:fill="2AD2C9"/>
          </w:tcPr>
          <w:p>
            <w:pPr>
              <w:jc w:val="right"/>
              <w:ind w:right="311"/>
              <w:spacing w:after="0"/>
              <w:rPr>
                <w:sz w:val="20"/>
                <w:szCs w:val="20"/>
                <w:color w:val="auto"/>
              </w:rPr>
            </w:pPr>
            <w:r>
              <w:rPr>
                <w:rFonts w:ascii="Arial" w:cs="Arial" w:eastAsia="Arial" w:hAnsi="Arial"/>
                <w:sz w:val="18"/>
                <w:szCs w:val="18"/>
                <w:b w:val="1"/>
                <w:bCs w:val="1"/>
                <w:color w:val="FFFFFF"/>
              </w:rPr>
              <w:t>3Q22</w:t>
            </w:r>
          </w:p>
        </w:tc>
        <w:tc>
          <w:tcPr>
            <w:tcW w:w="9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QoQ</w:t>
            </w:r>
          </w:p>
        </w:tc>
        <w:tc>
          <w:tcPr>
            <w:tcW w:w="9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6"/>
              </w:rPr>
              <w:t>YoY</w:t>
            </w:r>
          </w:p>
        </w:tc>
        <w:tc>
          <w:tcPr>
            <w:tcW w:w="124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8"/>
                <w:szCs w:val="18"/>
                <w:b w:val="1"/>
                <w:bCs w:val="1"/>
                <w:color w:val="FFFFFF"/>
              </w:rPr>
              <w:t>Sep 21</w:t>
            </w:r>
          </w:p>
        </w:tc>
        <w:tc>
          <w:tcPr>
            <w:tcW w:w="12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6"/>
              </w:rPr>
              <w:t>Sep 22</w:t>
            </w:r>
          </w:p>
        </w:tc>
        <w:tc>
          <w:tcPr>
            <w:tcW w:w="15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r>
      <w:tr>
        <w:trPr>
          <w:trHeight w:val="182"/>
        </w:trPr>
        <w:tc>
          <w:tcPr>
            <w:tcW w:w="194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w w:val="98"/>
              </w:rPr>
              <w:t>Operating expenses (1)</w:t>
            </w:r>
          </w:p>
        </w:tc>
        <w:tc>
          <w:tcPr>
            <w:tcW w:w="1200" w:type="dxa"/>
            <w:vAlign w:val="bottom"/>
          </w:tcPr>
          <w:p>
            <w:pPr>
              <w:jc w:val="right"/>
              <w:ind w:right="91"/>
              <w:spacing w:after="0" w:line="182" w:lineRule="exact"/>
              <w:rPr>
                <w:sz w:val="20"/>
                <w:szCs w:val="20"/>
                <w:color w:val="auto"/>
              </w:rPr>
            </w:pPr>
            <w:r>
              <w:rPr>
                <w:rFonts w:ascii="Arial" w:cs="Arial" w:eastAsia="Arial" w:hAnsi="Arial"/>
                <w:sz w:val="18"/>
                <w:szCs w:val="18"/>
                <w:color w:val="auto"/>
              </w:rPr>
              <w:t>1,986,913</w:t>
            </w:r>
          </w:p>
        </w:tc>
        <w:tc>
          <w:tcPr>
            <w:tcW w:w="1200" w:type="dxa"/>
            <w:vAlign w:val="bottom"/>
          </w:tcPr>
          <w:p>
            <w:pPr>
              <w:jc w:val="right"/>
              <w:ind w:right="91"/>
              <w:spacing w:after="0" w:line="182" w:lineRule="exact"/>
              <w:rPr>
                <w:sz w:val="20"/>
                <w:szCs w:val="20"/>
                <w:color w:val="auto"/>
              </w:rPr>
            </w:pPr>
            <w:r>
              <w:rPr>
                <w:rFonts w:ascii="Arial" w:cs="Arial" w:eastAsia="Arial" w:hAnsi="Arial"/>
                <w:sz w:val="18"/>
                <w:szCs w:val="18"/>
                <w:color w:val="auto"/>
              </w:rPr>
              <w:t>2,071,401</w:t>
            </w:r>
          </w:p>
        </w:tc>
        <w:tc>
          <w:tcPr>
            <w:tcW w:w="104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rPr>
              <w:t>2,151,352</w:t>
            </w:r>
          </w:p>
        </w:tc>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97"/>
              </w:rPr>
              <w:t>3.9%</w:t>
            </w:r>
          </w:p>
        </w:tc>
        <w:tc>
          <w:tcPr>
            <w:tcW w:w="920" w:type="dxa"/>
            <w:vAlign w:val="bottom"/>
            <w:tcBorders>
              <w:right w:val="single" w:sz="8" w:color="auto"/>
            </w:tcBorders>
          </w:tcPr>
          <w:p>
            <w:pPr>
              <w:jc w:val="right"/>
              <w:ind w:right="171"/>
              <w:spacing w:after="0" w:line="182" w:lineRule="exact"/>
              <w:rPr>
                <w:sz w:val="20"/>
                <w:szCs w:val="20"/>
                <w:color w:val="auto"/>
              </w:rPr>
            </w:pPr>
            <w:r>
              <w:rPr>
                <w:rFonts w:ascii="Arial" w:cs="Arial" w:eastAsia="Arial" w:hAnsi="Arial"/>
                <w:sz w:val="18"/>
                <w:szCs w:val="18"/>
                <w:color w:val="auto"/>
              </w:rPr>
              <w:t>8.3%</w:t>
            </w:r>
          </w:p>
        </w:tc>
        <w:tc>
          <w:tcPr>
            <w:tcW w:w="1240" w:type="dxa"/>
            <w:vAlign w:val="bottom"/>
          </w:tcPr>
          <w:p>
            <w:pPr>
              <w:jc w:val="center"/>
              <w:spacing w:after="0" w:line="182" w:lineRule="exact"/>
              <w:rPr>
                <w:sz w:val="20"/>
                <w:szCs w:val="20"/>
                <w:color w:val="auto"/>
              </w:rPr>
            </w:pPr>
            <w:r>
              <w:rPr>
                <w:rFonts w:ascii="Arial" w:cs="Arial" w:eastAsia="Arial" w:hAnsi="Arial"/>
                <w:sz w:val="18"/>
                <w:szCs w:val="18"/>
                <w:color w:val="auto"/>
                <w:w w:val="99"/>
              </w:rPr>
              <w:t>5,503,327</w:t>
            </w:r>
          </w:p>
        </w:tc>
        <w:tc>
          <w:tcPr>
            <w:tcW w:w="1260" w:type="dxa"/>
            <w:vAlign w:val="bottom"/>
            <w:tcBorders>
              <w:right w:val="single" w:sz="8" w:color="auto"/>
            </w:tcBorders>
          </w:tcPr>
          <w:p>
            <w:pPr>
              <w:jc w:val="right"/>
              <w:ind w:right="131"/>
              <w:spacing w:after="0" w:line="182" w:lineRule="exact"/>
              <w:rPr>
                <w:sz w:val="20"/>
                <w:szCs w:val="20"/>
                <w:color w:val="auto"/>
              </w:rPr>
            </w:pPr>
            <w:r>
              <w:rPr>
                <w:rFonts w:ascii="Arial" w:cs="Arial" w:eastAsia="Arial" w:hAnsi="Arial"/>
                <w:sz w:val="18"/>
                <w:szCs w:val="18"/>
                <w:color w:val="auto"/>
              </w:rPr>
              <w:t>6,168,309</w:t>
            </w:r>
          </w:p>
        </w:tc>
        <w:tc>
          <w:tcPr>
            <w:tcW w:w="15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12.1%</w:t>
            </w:r>
          </w:p>
        </w:tc>
      </w:tr>
      <w:tr>
        <w:trPr>
          <w:trHeight w:val="201"/>
        </w:trPr>
        <w:tc>
          <w:tcPr>
            <w:tcW w:w="19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Operating income (2)</w:t>
            </w:r>
          </w:p>
        </w:tc>
        <w:tc>
          <w:tcPr>
            <w:tcW w:w="1200" w:type="dxa"/>
            <w:vAlign w:val="bottom"/>
          </w:tcPr>
          <w:p>
            <w:pPr>
              <w:jc w:val="right"/>
              <w:ind w:right="91"/>
              <w:spacing w:after="0" w:line="201" w:lineRule="exact"/>
              <w:rPr>
                <w:sz w:val="20"/>
                <w:szCs w:val="20"/>
                <w:color w:val="auto"/>
              </w:rPr>
            </w:pPr>
            <w:r>
              <w:rPr>
                <w:rFonts w:ascii="Arial" w:cs="Arial" w:eastAsia="Arial" w:hAnsi="Arial"/>
                <w:sz w:val="18"/>
                <w:szCs w:val="18"/>
                <w:color w:val="auto"/>
              </w:rPr>
              <w:t>4,307,356</w:t>
            </w:r>
          </w:p>
        </w:tc>
        <w:tc>
          <w:tcPr>
            <w:tcW w:w="1200" w:type="dxa"/>
            <w:vAlign w:val="bottom"/>
          </w:tcPr>
          <w:p>
            <w:pPr>
              <w:jc w:val="right"/>
              <w:ind w:right="91"/>
              <w:spacing w:after="0" w:line="201" w:lineRule="exact"/>
              <w:rPr>
                <w:sz w:val="20"/>
                <w:szCs w:val="20"/>
                <w:color w:val="auto"/>
              </w:rPr>
            </w:pPr>
            <w:r>
              <w:rPr>
                <w:rFonts w:ascii="Arial" w:cs="Arial" w:eastAsia="Arial" w:hAnsi="Arial"/>
                <w:sz w:val="18"/>
                <w:szCs w:val="18"/>
                <w:color w:val="auto"/>
              </w:rPr>
              <w:t>4,649,583</w:t>
            </w:r>
          </w:p>
        </w:tc>
        <w:tc>
          <w:tcPr>
            <w:tcW w:w="104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rPr>
              <w:t>5,024,516</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7"/>
              </w:rPr>
              <w:t>8.1%</w:t>
            </w:r>
          </w:p>
        </w:tc>
        <w:tc>
          <w:tcPr>
            <w:tcW w:w="920" w:type="dxa"/>
            <w:vAlign w:val="bottom"/>
            <w:tcBorders>
              <w:right w:val="single" w:sz="8" w:color="auto"/>
            </w:tcBorders>
          </w:tcPr>
          <w:p>
            <w:pPr>
              <w:jc w:val="right"/>
              <w:ind w:right="131"/>
              <w:spacing w:after="0" w:line="201" w:lineRule="exact"/>
              <w:rPr>
                <w:sz w:val="20"/>
                <w:szCs w:val="20"/>
                <w:color w:val="auto"/>
              </w:rPr>
            </w:pPr>
            <w:r>
              <w:rPr>
                <w:rFonts w:ascii="Arial" w:cs="Arial" w:eastAsia="Arial" w:hAnsi="Arial"/>
                <w:sz w:val="18"/>
                <w:szCs w:val="18"/>
                <w:color w:val="auto"/>
              </w:rPr>
              <w:t>16.6%</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9"/>
              </w:rPr>
              <w:t>12,325,469</w:t>
            </w:r>
          </w:p>
        </w:tc>
        <w:tc>
          <w:tcPr>
            <w:tcW w:w="1260" w:type="dxa"/>
            <w:vAlign w:val="bottom"/>
            <w:tcBorders>
              <w:right w:val="single" w:sz="8" w:color="auto"/>
            </w:tcBorders>
          </w:tcPr>
          <w:p>
            <w:pPr>
              <w:jc w:val="right"/>
              <w:ind w:right="111"/>
              <w:spacing w:after="0" w:line="201" w:lineRule="exact"/>
              <w:rPr>
                <w:sz w:val="20"/>
                <w:szCs w:val="20"/>
                <w:color w:val="auto"/>
              </w:rPr>
            </w:pPr>
            <w:r>
              <w:rPr>
                <w:rFonts w:ascii="Arial" w:cs="Arial" w:eastAsia="Arial" w:hAnsi="Arial"/>
                <w:sz w:val="18"/>
                <w:szCs w:val="18"/>
                <w:color w:val="auto"/>
              </w:rPr>
              <w:t>14,049,813</w:t>
            </w:r>
          </w:p>
        </w:tc>
        <w:tc>
          <w:tcPr>
            <w:tcW w:w="15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14.0%</w:t>
            </w:r>
          </w:p>
        </w:tc>
      </w:tr>
      <w:tr>
        <w:trPr>
          <w:trHeight w:val="226"/>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Efficiency ratio (3)</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46.1%</w:t>
            </w: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44.6%</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-180 bps</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-330 bps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44.7%</w:t>
            </w:r>
          </w:p>
        </w:tc>
        <w:tc>
          <w:tcPr>
            <w:tcW w:w="1260" w:type="dxa"/>
            <w:vAlign w:val="bottom"/>
            <w:tcBorders>
              <w:bottom w:val="single" w:sz="8" w:color="auto"/>
              <w:right w:val="single" w:sz="8" w:color="auto"/>
            </w:tcBorders>
          </w:tcPr>
          <w:p>
            <w:pPr>
              <w:jc w:val="right"/>
              <w:ind w:right="291"/>
              <w:spacing w:after="0"/>
              <w:rPr>
                <w:sz w:val="20"/>
                <w:szCs w:val="20"/>
                <w:color w:val="auto"/>
              </w:rPr>
            </w:pPr>
            <w:r>
              <w:rPr>
                <w:rFonts w:ascii="Arial" w:cs="Arial" w:eastAsia="Arial" w:hAnsi="Arial"/>
                <w:sz w:val="18"/>
                <w:szCs w:val="18"/>
                <w:color w:val="auto"/>
              </w:rPr>
              <w:t>43.9%</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-80 bps</w:t>
            </w:r>
          </w:p>
        </w:tc>
      </w:tr>
    </w:tbl>
    <w:p>
      <w:pPr>
        <w:spacing w:after="0" w:line="233" w:lineRule="exact"/>
        <w:rPr>
          <w:sz w:val="20"/>
          <w:szCs w:val="20"/>
          <w:color w:val="auto"/>
        </w:rPr>
      </w:pPr>
    </w:p>
    <w:p>
      <w:pPr>
        <w:ind w:left="640" w:hanging="512"/>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Operating expenses = Salaries and employee’s benefits + Administrative expenses + Depreciation and amortization + Association in participation + Acquisition cost.</w:t>
      </w:r>
    </w:p>
    <w:p>
      <w:pPr>
        <w:spacing w:after="0" w:line="49" w:lineRule="exact"/>
        <w:rPr>
          <w:rFonts w:ascii="Arial" w:cs="Arial" w:eastAsia="Arial" w:hAnsi="Arial"/>
          <w:sz w:val="12"/>
          <w:szCs w:val="12"/>
          <w:color w:val="auto"/>
        </w:rPr>
      </w:pPr>
    </w:p>
    <w:p>
      <w:pPr>
        <w:ind w:left="640" w:right="240" w:hanging="512"/>
        <w:spacing w:after="0" w:line="241" w:lineRule="auto"/>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Operating income = Net interest, similar income and expenses + Fee income + Net gain on foreign exchange transactions + Net gain from associates + Net gain on derivatives held for trading + Net gain from exchange differences + Net premiums earned</w:t>
      </w:r>
    </w:p>
    <w:p>
      <w:pPr>
        <w:ind w:left="640" w:hanging="512"/>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Operating expenses / Operating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Efficiency ratio reported by subsidiary</w:t>
      </w:r>
    </w:p>
    <w:p>
      <w:pPr>
        <w:spacing w:after="0" w:line="30" w:lineRule="exact"/>
        <w:rPr>
          <w:sz w:val="20"/>
          <w:szCs w:val="20"/>
          <w:color w:val="auto"/>
        </w:rPr>
      </w:pPr>
    </w:p>
    <w:tbl>
      <w:tblPr>
        <w:tblLayout w:type="fixed"/>
        <w:tblInd w:w="1130" w:type="dxa"/>
        <w:tblCellMar>
          <w:top w:w="0" w:type="dxa"/>
          <w:left w:w="0" w:type="dxa"/>
          <w:bottom w:w="0" w:type="dxa"/>
          <w:right w:w="0" w:type="dxa"/>
        </w:tblCellMar>
      </w:tblPr>
      <w:tr>
        <w:trPr>
          <w:trHeight w:val="189"/>
        </w:trPr>
        <w:tc>
          <w:tcPr>
            <w:tcW w:w="1820" w:type="dxa"/>
            <w:vAlign w:val="bottom"/>
            <w:tcBorders>
              <w:right w:val="single" w:sz="8" w:color="auto"/>
            </w:tcBorders>
          </w:tcPr>
          <w:p>
            <w:pPr>
              <w:spacing w:after="0"/>
              <w:rPr>
                <w:sz w:val="16"/>
                <w:szCs w:val="16"/>
                <w:color w:val="auto"/>
              </w:rPr>
            </w:pPr>
          </w:p>
        </w:tc>
        <w:tc>
          <w:tcPr>
            <w:tcW w:w="1040" w:type="dxa"/>
            <w:vAlign w:val="bottom"/>
            <w:tcBorders>
              <w:top w:val="single" w:sz="8" w:color="auto"/>
            </w:tcBorders>
            <w:shd w:val="clear" w:color="auto" w:fill="2AD2C9"/>
          </w:tcPr>
          <w:p>
            <w:pPr>
              <w:jc w:val="center"/>
              <w:spacing w:after="0" w:line="189" w:lineRule="exact"/>
              <w:rPr>
                <w:sz w:val="20"/>
                <w:szCs w:val="20"/>
                <w:color w:val="auto"/>
              </w:rPr>
            </w:pPr>
            <w:r>
              <w:rPr>
                <w:rFonts w:ascii="Arial" w:cs="Arial" w:eastAsia="Arial" w:hAnsi="Arial"/>
                <w:sz w:val="18"/>
                <w:szCs w:val="18"/>
                <w:b w:val="1"/>
                <w:bCs w:val="1"/>
                <w:color w:val="FFFFFF"/>
                <w:w w:val="99"/>
              </w:rPr>
              <w:t>BCP</w:t>
            </w:r>
          </w:p>
        </w:tc>
        <w:tc>
          <w:tcPr>
            <w:tcW w:w="96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BCP</w:t>
            </w:r>
          </w:p>
        </w:tc>
        <w:tc>
          <w:tcPr>
            <w:tcW w:w="100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Mibanco</w:t>
            </w:r>
          </w:p>
        </w:tc>
        <w:tc>
          <w:tcPr>
            <w:tcW w:w="104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Mibanco</w:t>
            </w:r>
          </w:p>
        </w:tc>
        <w:tc>
          <w:tcPr>
            <w:tcW w:w="980" w:type="dxa"/>
            <w:vAlign w:val="bottom"/>
            <w:tcBorders>
              <w:top w:val="single" w:sz="8" w:color="auto"/>
            </w:tcBorders>
            <w:shd w:val="clear" w:color="auto" w:fill="2AD2C9"/>
          </w:tcPr>
          <w:p>
            <w:pPr>
              <w:spacing w:after="0"/>
              <w:rPr>
                <w:sz w:val="16"/>
                <w:szCs w:val="16"/>
                <w:color w:val="auto"/>
              </w:rPr>
            </w:pPr>
          </w:p>
        </w:tc>
        <w:tc>
          <w:tcPr>
            <w:tcW w:w="102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Prima</w:t>
            </w:r>
          </w:p>
        </w:tc>
        <w:tc>
          <w:tcPr>
            <w:tcW w:w="1140" w:type="dxa"/>
            <w:vAlign w:val="bottom"/>
            <w:tcBorders>
              <w:top w:val="single" w:sz="8" w:color="auto"/>
              <w:right w:val="single" w:sz="8" w:color="auto"/>
            </w:tcBorders>
            <w:shd w:val="clear" w:color="auto" w:fill="2AD2C9"/>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820" w:type="dxa"/>
            <w:vAlign w:val="bottom"/>
            <w:tcBorders>
              <w:right w:val="single" w:sz="8" w:color="auto"/>
            </w:tcBorders>
          </w:tcPr>
          <w:p>
            <w:pPr>
              <w:spacing w:after="0"/>
              <w:rPr>
                <w:sz w:val="8"/>
                <w:szCs w:val="8"/>
                <w:color w:val="auto"/>
              </w:rPr>
            </w:pPr>
          </w:p>
        </w:tc>
        <w:tc>
          <w:tcPr>
            <w:tcW w:w="1040" w:type="dxa"/>
            <w:vAlign w:val="bottom"/>
            <w:vMerge w:val="restart"/>
            <w:shd w:val="clear" w:color="auto" w:fill="2AD2C9"/>
          </w:tcPr>
          <w:p>
            <w:pPr>
              <w:jc w:val="center"/>
              <w:spacing w:after="0" w:line="201" w:lineRule="exact"/>
              <w:rPr>
                <w:sz w:val="20"/>
                <w:szCs w:val="20"/>
                <w:color w:val="auto"/>
              </w:rPr>
            </w:pPr>
            <w:r>
              <w:rPr>
                <w:rFonts w:ascii="Arial" w:cs="Arial" w:eastAsia="Arial" w:hAnsi="Arial"/>
                <w:sz w:val="18"/>
                <w:szCs w:val="18"/>
                <w:b w:val="1"/>
                <w:bCs w:val="1"/>
                <w:color w:val="FFFFFF"/>
                <w:w w:val="99"/>
              </w:rPr>
              <w:t>Stand-</w:t>
            </w:r>
          </w:p>
        </w:tc>
        <w:tc>
          <w:tcPr>
            <w:tcW w:w="960" w:type="dxa"/>
            <w:vAlign w:val="bottom"/>
            <w:vMerge w:val="continue"/>
            <w:shd w:val="clear" w:color="auto" w:fill="2AD2C9"/>
          </w:tcPr>
          <w:p>
            <w:pPr>
              <w:spacing w:after="0"/>
              <w:rPr>
                <w:sz w:val="8"/>
                <w:szCs w:val="8"/>
                <w:color w:val="auto"/>
              </w:rPr>
            </w:pPr>
          </w:p>
        </w:tc>
        <w:tc>
          <w:tcPr>
            <w:tcW w:w="1000" w:type="dxa"/>
            <w:vAlign w:val="bottom"/>
            <w:vMerge w:val="continue"/>
            <w:shd w:val="clear" w:color="auto" w:fill="2AD2C9"/>
          </w:tcPr>
          <w:p>
            <w:pPr>
              <w:spacing w:after="0"/>
              <w:rPr>
                <w:sz w:val="8"/>
                <w:szCs w:val="8"/>
                <w:color w:val="auto"/>
              </w:rPr>
            </w:pPr>
          </w:p>
        </w:tc>
        <w:tc>
          <w:tcPr>
            <w:tcW w:w="1040" w:type="dxa"/>
            <w:vAlign w:val="bottom"/>
            <w:vMerge w:val="continue"/>
            <w:shd w:val="clear" w:color="auto" w:fill="2AD2C9"/>
          </w:tcPr>
          <w:p>
            <w:pPr>
              <w:spacing w:after="0"/>
              <w:rPr>
                <w:sz w:val="8"/>
                <w:szCs w:val="8"/>
                <w:color w:val="auto"/>
              </w:rPr>
            </w:pPr>
          </w:p>
        </w:tc>
        <w:tc>
          <w:tcPr>
            <w:tcW w:w="980" w:type="dxa"/>
            <w:vAlign w:val="bottom"/>
            <w:vMerge w:val="restart"/>
            <w:shd w:val="clear" w:color="auto" w:fill="2AD2C9"/>
          </w:tcPr>
          <w:p>
            <w:pPr>
              <w:jc w:val="center"/>
              <w:spacing w:after="0" w:line="201" w:lineRule="exact"/>
              <w:rPr>
                <w:sz w:val="20"/>
                <w:szCs w:val="20"/>
                <w:color w:val="auto"/>
              </w:rPr>
            </w:pPr>
            <w:r>
              <w:rPr>
                <w:rFonts w:ascii="Arial" w:cs="Arial" w:eastAsia="Arial" w:hAnsi="Arial"/>
                <w:sz w:val="18"/>
                <w:szCs w:val="18"/>
                <w:b w:val="1"/>
                <w:bCs w:val="1"/>
                <w:color w:val="FFFFFF"/>
                <w:w w:val="98"/>
              </w:rPr>
              <w:t>Pacifico</w:t>
            </w:r>
          </w:p>
        </w:tc>
        <w:tc>
          <w:tcPr>
            <w:tcW w:w="1020" w:type="dxa"/>
            <w:vAlign w:val="bottom"/>
            <w:tcBorders>
              <w:right w:val="single" w:sz="8" w:color="auto"/>
            </w:tcBorders>
            <w:vMerge w:val="continue"/>
            <w:shd w:val="clear" w:color="auto" w:fill="2AD2C9"/>
          </w:tcPr>
          <w:p>
            <w:pPr>
              <w:spacing w:after="0"/>
              <w:rPr>
                <w:sz w:val="8"/>
                <w:szCs w:val="8"/>
                <w:color w:val="auto"/>
              </w:rPr>
            </w:pPr>
          </w:p>
        </w:tc>
        <w:tc>
          <w:tcPr>
            <w:tcW w:w="1140" w:type="dxa"/>
            <w:vAlign w:val="bottom"/>
            <w:tcBorders>
              <w:right w:val="single" w:sz="8" w:color="auto"/>
            </w:tcBorders>
            <w:vMerge w:val="restart"/>
            <w:shd w:val="clear" w:color="auto" w:fill="2AD2C9"/>
          </w:tcPr>
          <w:p>
            <w:pPr>
              <w:jc w:val="center"/>
              <w:spacing w:after="0" w:line="201" w:lineRule="exact"/>
              <w:rPr>
                <w:sz w:val="20"/>
                <w:szCs w:val="20"/>
                <w:color w:val="auto"/>
              </w:rPr>
            </w:pPr>
            <w:r>
              <w:rPr>
                <w:rFonts w:ascii="Arial" w:cs="Arial" w:eastAsia="Arial" w:hAnsi="Arial"/>
                <w:sz w:val="18"/>
                <w:szCs w:val="18"/>
                <w:b w:val="1"/>
                <w:bCs w:val="1"/>
                <w:color w:val="FFFFFF"/>
                <w:w w:val="98"/>
              </w:rPr>
              <w:t>Credicorp</w:t>
            </w:r>
          </w:p>
        </w:tc>
        <w:tc>
          <w:tcPr>
            <w:tcW w:w="0" w:type="dxa"/>
            <w:vAlign w:val="bottom"/>
          </w:tcPr>
          <w:p>
            <w:pPr>
              <w:spacing w:after="0"/>
              <w:rPr>
                <w:sz w:val="1"/>
                <w:szCs w:val="1"/>
                <w:color w:val="auto"/>
              </w:rPr>
            </w:pPr>
          </w:p>
        </w:tc>
      </w:tr>
      <w:tr>
        <w:trPr>
          <w:trHeight w:val="107"/>
        </w:trPr>
        <w:tc>
          <w:tcPr>
            <w:tcW w:w="1820" w:type="dxa"/>
            <w:vAlign w:val="bottom"/>
            <w:tcBorders>
              <w:right w:val="single" w:sz="8" w:color="auto"/>
            </w:tcBorders>
          </w:tcPr>
          <w:p>
            <w:pPr>
              <w:spacing w:after="0"/>
              <w:rPr>
                <w:sz w:val="9"/>
                <w:szCs w:val="9"/>
                <w:color w:val="auto"/>
              </w:rPr>
            </w:pPr>
          </w:p>
        </w:tc>
        <w:tc>
          <w:tcPr>
            <w:tcW w:w="1040" w:type="dxa"/>
            <w:vAlign w:val="bottom"/>
            <w:vMerge w:val="continue"/>
            <w:shd w:val="clear" w:color="auto" w:fill="2AD2C9"/>
          </w:tcPr>
          <w:p>
            <w:pPr>
              <w:spacing w:after="0"/>
              <w:rPr>
                <w:sz w:val="9"/>
                <w:szCs w:val="9"/>
                <w:color w:val="auto"/>
              </w:rPr>
            </w:pPr>
          </w:p>
        </w:tc>
        <w:tc>
          <w:tcPr>
            <w:tcW w:w="960" w:type="dxa"/>
            <w:vAlign w:val="bottom"/>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Bolivia</w:t>
            </w:r>
          </w:p>
        </w:tc>
        <w:tc>
          <w:tcPr>
            <w:tcW w:w="1000" w:type="dxa"/>
            <w:vAlign w:val="bottom"/>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Peru</w:t>
            </w:r>
          </w:p>
        </w:tc>
        <w:tc>
          <w:tcPr>
            <w:tcW w:w="1040" w:type="dxa"/>
            <w:vAlign w:val="bottom"/>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Colombia</w:t>
            </w:r>
          </w:p>
        </w:tc>
        <w:tc>
          <w:tcPr>
            <w:tcW w:w="980" w:type="dxa"/>
            <w:vAlign w:val="bottom"/>
            <w:vMerge w:val="continue"/>
            <w:shd w:val="clear" w:color="auto" w:fill="2AD2C9"/>
          </w:tcPr>
          <w:p>
            <w:pPr>
              <w:spacing w:after="0"/>
              <w:rPr>
                <w:sz w:val="9"/>
                <w:szCs w:val="9"/>
                <w:color w:val="auto"/>
              </w:rPr>
            </w:pPr>
          </w:p>
        </w:tc>
        <w:tc>
          <w:tcPr>
            <w:tcW w:w="102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AFP</w:t>
            </w:r>
          </w:p>
        </w:tc>
        <w:tc>
          <w:tcPr>
            <w:tcW w:w="1140" w:type="dxa"/>
            <w:vAlign w:val="bottom"/>
            <w:tcBorders>
              <w:right w:val="single" w:sz="8" w:color="auto"/>
            </w:tcBorders>
            <w:vMerge w:val="continue"/>
            <w:shd w:val="clear" w:color="auto" w:fill="2AD2C9"/>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1820" w:type="dxa"/>
            <w:vAlign w:val="bottom"/>
            <w:tcBorders>
              <w:right w:val="single" w:sz="8" w:color="auto"/>
            </w:tcBorders>
          </w:tcPr>
          <w:p>
            <w:pPr>
              <w:spacing w:after="0"/>
              <w:rPr>
                <w:sz w:val="12"/>
                <w:szCs w:val="12"/>
                <w:color w:val="auto"/>
              </w:rPr>
            </w:pPr>
          </w:p>
        </w:tc>
        <w:tc>
          <w:tcPr>
            <w:tcW w:w="1040" w:type="dxa"/>
            <w:vAlign w:val="bottom"/>
            <w:vMerge w:val="restart"/>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alone</w:t>
            </w:r>
          </w:p>
        </w:tc>
        <w:tc>
          <w:tcPr>
            <w:tcW w:w="960" w:type="dxa"/>
            <w:vAlign w:val="bottom"/>
            <w:vMerge w:val="continue"/>
            <w:shd w:val="clear" w:color="auto" w:fill="2AD2C9"/>
          </w:tcPr>
          <w:p>
            <w:pPr>
              <w:spacing w:after="0"/>
              <w:rPr>
                <w:sz w:val="12"/>
                <w:szCs w:val="12"/>
                <w:color w:val="auto"/>
              </w:rPr>
            </w:pPr>
          </w:p>
        </w:tc>
        <w:tc>
          <w:tcPr>
            <w:tcW w:w="1000" w:type="dxa"/>
            <w:vAlign w:val="bottom"/>
            <w:vMerge w:val="continue"/>
            <w:shd w:val="clear" w:color="auto" w:fill="2AD2C9"/>
          </w:tcPr>
          <w:p>
            <w:pPr>
              <w:spacing w:after="0"/>
              <w:rPr>
                <w:sz w:val="12"/>
                <w:szCs w:val="12"/>
                <w:color w:val="auto"/>
              </w:rPr>
            </w:pPr>
          </w:p>
        </w:tc>
        <w:tc>
          <w:tcPr>
            <w:tcW w:w="1040" w:type="dxa"/>
            <w:vAlign w:val="bottom"/>
            <w:vMerge w:val="continue"/>
            <w:shd w:val="clear" w:color="auto" w:fill="2AD2C9"/>
          </w:tcPr>
          <w:p>
            <w:pPr>
              <w:spacing w:after="0"/>
              <w:rPr>
                <w:sz w:val="12"/>
                <w:szCs w:val="12"/>
                <w:color w:val="auto"/>
              </w:rPr>
            </w:pPr>
          </w:p>
        </w:tc>
        <w:tc>
          <w:tcPr>
            <w:tcW w:w="980" w:type="dxa"/>
            <w:vAlign w:val="bottom"/>
            <w:shd w:val="clear" w:color="auto" w:fill="2AD2C9"/>
          </w:tcPr>
          <w:p>
            <w:pPr>
              <w:spacing w:after="0"/>
              <w:rPr>
                <w:sz w:val="12"/>
                <w:szCs w:val="12"/>
                <w:color w:val="auto"/>
              </w:rPr>
            </w:pPr>
          </w:p>
        </w:tc>
        <w:tc>
          <w:tcPr>
            <w:tcW w:w="1020" w:type="dxa"/>
            <w:vAlign w:val="bottom"/>
            <w:tcBorders>
              <w:right w:val="single" w:sz="8" w:color="auto"/>
            </w:tcBorders>
            <w:vMerge w:val="continue"/>
            <w:shd w:val="clear" w:color="auto" w:fill="2AD2C9"/>
          </w:tcPr>
          <w:p>
            <w:pPr>
              <w:spacing w:after="0"/>
              <w:rPr>
                <w:sz w:val="12"/>
                <w:szCs w:val="12"/>
                <w:color w:val="auto"/>
              </w:rPr>
            </w:pPr>
          </w:p>
        </w:tc>
        <w:tc>
          <w:tcPr>
            <w:tcW w:w="1140" w:type="dxa"/>
            <w:vAlign w:val="bottom"/>
            <w:tcBorders>
              <w:right w:val="single" w:sz="8" w:color="auto"/>
            </w:tcBorders>
            <w:shd w:val="clear" w:color="auto" w:fill="2AD2C9"/>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820" w:type="dxa"/>
            <w:vAlign w:val="bottom"/>
            <w:tcBorders>
              <w:bottom w:val="single" w:sz="8" w:color="auto"/>
              <w:right w:val="single" w:sz="8" w:color="auto"/>
            </w:tcBorders>
          </w:tcPr>
          <w:p>
            <w:pPr>
              <w:spacing w:after="0"/>
              <w:rPr>
                <w:sz w:val="7"/>
                <w:szCs w:val="7"/>
                <w:color w:val="auto"/>
              </w:rPr>
            </w:pPr>
          </w:p>
        </w:tc>
        <w:tc>
          <w:tcPr>
            <w:tcW w:w="1040" w:type="dxa"/>
            <w:vAlign w:val="bottom"/>
            <w:tcBorders>
              <w:bottom w:val="single" w:sz="8" w:color="auto"/>
            </w:tcBorders>
            <w:vMerge w:val="continue"/>
            <w:shd w:val="clear" w:color="auto" w:fill="2AD2C9"/>
          </w:tcPr>
          <w:p>
            <w:pPr>
              <w:spacing w:after="0"/>
              <w:rPr>
                <w:sz w:val="7"/>
                <w:szCs w:val="7"/>
                <w:color w:val="auto"/>
              </w:rPr>
            </w:pPr>
          </w:p>
        </w:tc>
        <w:tc>
          <w:tcPr>
            <w:tcW w:w="960" w:type="dxa"/>
            <w:vAlign w:val="bottom"/>
            <w:tcBorders>
              <w:bottom w:val="single" w:sz="8" w:color="auto"/>
            </w:tcBorders>
            <w:shd w:val="clear" w:color="auto" w:fill="2AD2C9"/>
          </w:tcPr>
          <w:p>
            <w:pPr>
              <w:spacing w:after="0"/>
              <w:rPr>
                <w:sz w:val="7"/>
                <w:szCs w:val="7"/>
                <w:color w:val="auto"/>
              </w:rPr>
            </w:pPr>
          </w:p>
        </w:tc>
        <w:tc>
          <w:tcPr>
            <w:tcW w:w="1000" w:type="dxa"/>
            <w:vAlign w:val="bottom"/>
            <w:tcBorders>
              <w:bottom w:val="single" w:sz="8" w:color="auto"/>
            </w:tcBorders>
            <w:shd w:val="clear" w:color="auto" w:fill="2AD2C9"/>
          </w:tcPr>
          <w:p>
            <w:pPr>
              <w:spacing w:after="0"/>
              <w:rPr>
                <w:sz w:val="7"/>
                <w:szCs w:val="7"/>
                <w:color w:val="auto"/>
              </w:rPr>
            </w:pPr>
          </w:p>
        </w:tc>
        <w:tc>
          <w:tcPr>
            <w:tcW w:w="1040" w:type="dxa"/>
            <w:vAlign w:val="bottom"/>
            <w:tcBorders>
              <w:bottom w:val="single" w:sz="8" w:color="auto"/>
            </w:tcBorders>
            <w:shd w:val="clear" w:color="auto" w:fill="2AD2C9"/>
          </w:tcPr>
          <w:p>
            <w:pPr>
              <w:spacing w:after="0"/>
              <w:rPr>
                <w:sz w:val="7"/>
                <w:szCs w:val="7"/>
                <w:color w:val="auto"/>
              </w:rPr>
            </w:pPr>
          </w:p>
        </w:tc>
        <w:tc>
          <w:tcPr>
            <w:tcW w:w="980" w:type="dxa"/>
            <w:vAlign w:val="bottom"/>
            <w:tcBorders>
              <w:bottom w:val="single" w:sz="8" w:color="auto"/>
            </w:tcBorders>
            <w:shd w:val="clear" w:color="auto" w:fill="2AD2C9"/>
          </w:tcPr>
          <w:p>
            <w:pPr>
              <w:spacing w:after="0"/>
              <w:rPr>
                <w:sz w:val="7"/>
                <w:szCs w:val="7"/>
                <w:color w:val="auto"/>
              </w:rPr>
            </w:pPr>
          </w:p>
        </w:tc>
        <w:tc>
          <w:tcPr>
            <w:tcW w:w="1020" w:type="dxa"/>
            <w:vAlign w:val="bottom"/>
            <w:tcBorders>
              <w:bottom w:val="single" w:sz="8" w:color="auto"/>
              <w:right w:val="single" w:sz="8" w:color="auto"/>
            </w:tcBorders>
            <w:shd w:val="clear" w:color="auto" w:fill="2AD2C9"/>
          </w:tcPr>
          <w:p>
            <w:pPr>
              <w:spacing w:after="0"/>
              <w:rPr>
                <w:sz w:val="7"/>
                <w:szCs w:val="7"/>
                <w:color w:val="auto"/>
              </w:rPr>
            </w:pPr>
          </w:p>
        </w:tc>
        <w:tc>
          <w:tcPr>
            <w:tcW w:w="1140" w:type="dxa"/>
            <w:vAlign w:val="bottom"/>
            <w:tcBorders>
              <w:bottom w:val="single" w:sz="8" w:color="auto"/>
              <w:right w:val="single" w:sz="8" w:color="auto"/>
            </w:tcBorders>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5"/>
              </w:rPr>
              <w:t>3Q21</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7"/>
              </w:rPr>
              <w:t>45.3%</w:t>
            </w:r>
          </w:p>
        </w:tc>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97"/>
              </w:rPr>
              <w:t>53.0%</w:t>
            </w:r>
          </w:p>
        </w:tc>
        <w:tc>
          <w:tcPr>
            <w:tcW w:w="1000" w:type="dxa"/>
            <w:vAlign w:val="bottom"/>
          </w:tcPr>
          <w:p>
            <w:pPr>
              <w:jc w:val="center"/>
              <w:spacing w:after="0" w:line="182" w:lineRule="exact"/>
              <w:rPr>
                <w:sz w:val="20"/>
                <w:szCs w:val="20"/>
                <w:color w:val="auto"/>
              </w:rPr>
            </w:pPr>
            <w:r>
              <w:rPr>
                <w:rFonts w:ascii="Arial" w:cs="Arial" w:eastAsia="Arial" w:hAnsi="Arial"/>
                <w:sz w:val="18"/>
                <w:szCs w:val="18"/>
                <w:color w:val="auto"/>
                <w:w w:val="97"/>
              </w:rPr>
              <w:t>49.7%</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7"/>
              </w:rPr>
              <w:t>86.3%</w:t>
            </w: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rPr>
              <w:t>32.3%</w:t>
            </w:r>
          </w:p>
        </w:tc>
        <w:tc>
          <w:tcPr>
            <w:tcW w:w="10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51.1%</w:t>
            </w:r>
          </w:p>
        </w:tc>
        <w:tc>
          <w:tcPr>
            <w:tcW w:w="11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46.1%</w:t>
            </w:r>
          </w:p>
        </w:tc>
        <w:tc>
          <w:tcPr>
            <w:tcW w:w="0" w:type="dxa"/>
            <w:vAlign w:val="bottom"/>
          </w:tcPr>
          <w:p>
            <w:pPr>
              <w:spacing w:after="0"/>
              <w:rPr>
                <w:sz w:val="1"/>
                <w:szCs w:val="1"/>
                <w:color w:val="auto"/>
              </w:rPr>
            </w:pPr>
          </w:p>
        </w:tc>
      </w:tr>
      <w:tr>
        <w:trPr>
          <w:trHeight w:val="201"/>
        </w:trPr>
        <w:tc>
          <w:tcPr>
            <w:tcW w:w="182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5"/>
              </w:rPr>
              <w:t>2Q22</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7"/>
              </w:rPr>
              <w:t>41.5%</w:t>
            </w:r>
          </w:p>
        </w:tc>
        <w:tc>
          <w:tcPr>
            <w:tcW w:w="960" w:type="dxa"/>
            <w:vAlign w:val="bottom"/>
          </w:tcPr>
          <w:p>
            <w:pPr>
              <w:jc w:val="center"/>
              <w:spacing w:after="0" w:line="201" w:lineRule="exact"/>
              <w:rPr>
                <w:sz w:val="20"/>
                <w:szCs w:val="20"/>
                <w:color w:val="auto"/>
              </w:rPr>
            </w:pPr>
            <w:r>
              <w:rPr>
                <w:rFonts w:ascii="Arial" w:cs="Arial" w:eastAsia="Arial" w:hAnsi="Arial"/>
                <w:sz w:val="18"/>
                <w:szCs w:val="18"/>
                <w:color w:val="auto"/>
                <w:w w:val="97"/>
              </w:rPr>
              <w:t>58.0%</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7"/>
              </w:rPr>
              <w:t>50.4%</w:t>
            </w:r>
          </w:p>
        </w:tc>
        <w:tc>
          <w:tcPr>
            <w:tcW w:w="1040" w:type="dxa"/>
            <w:vAlign w:val="bottom"/>
          </w:tcPr>
          <w:p>
            <w:pPr>
              <w:jc w:val="center"/>
              <w:spacing w:after="0" w:line="201" w:lineRule="exact"/>
              <w:rPr>
                <w:sz w:val="20"/>
                <w:szCs w:val="20"/>
                <w:color w:val="auto"/>
              </w:rPr>
            </w:pPr>
            <w:r>
              <w:rPr>
                <w:rFonts w:ascii="Arial" w:cs="Arial" w:eastAsia="Arial" w:hAnsi="Arial"/>
                <w:sz w:val="18"/>
                <w:szCs w:val="18"/>
                <w:color w:val="auto"/>
                <w:w w:val="97"/>
              </w:rPr>
              <w:t>75.4%</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rPr>
              <w:t>34.6%</w:t>
            </w: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52.6%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44.6%</w:t>
            </w:r>
          </w:p>
        </w:tc>
        <w:tc>
          <w:tcPr>
            <w:tcW w:w="0" w:type="dxa"/>
            <w:vAlign w:val="bottom"/>
          </w:tcPr>
          <w:p>
            <w:pPr>
              <w:spacing w:after="0"/>
              <w:rPr>
                <w:sz w:val="1"/>
                <w:szCs w:val="1"/>
                <w:color w:val="auto"/>
              </w:rPr>
            </w:pPr>
          </w:p>
        </w:tc>
      </w:tr>
      <w:tr>
        <w:trPr>
          <w:trHeight w:val="22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3Q22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38.8%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61.3%</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49.6%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80.6%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33.8%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50.2%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42.8%</w:t>
            </w:r>
          </w:p>
        </w:tc>
        <w:tc>
          <w:tcPr>
            <w:tcW w:w="0" w:type="dxa"/>
            <w:vAlign w:val="bottom"/>
          </w:tcPr>
          <w:p>
            <w:pPr>
              <w:spacing w:after="0"/>
              <w:rPr>
                <w:sz w:val="1"/>
                <w:szCs w:val="1"/>
                <w:color w:val="auto"/>
              </w:rPr>
            </w:pPr>
          </w:p>
        </w:tc>
      </w:tr>
      <w:tr>
        <w:trPr>
          <w:trHeight w:val="208"/>
        </w:trPr>
        <w:tc>
          <w:tcPr>
            <w:tcW w:w="1820" w:type="dxa"/>
            <w:vAlign w:val="bottom"/>
            <w:tcBorders>
              <w:left w:val="single" w:sz="8" w:color="auto"/>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4"/>
              </w:rPr>
              <w:t>Var. QoQ</w:t>
            </w:r>
          </w:p>
        </w:tc>
        <w:tc>
          <w:tcPr>
            <w:tcW w:w="10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-270 bps</w:t>
            </w:r>
          </w:p>
        </w:tc>
        <w:tc>
          <w:tcPr>
            <w:tcW w:w="9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330 bps</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-80 bps</w:t>
            </w:r>
          </w:p>
        </w:tc>
        <w:tc>
          <w:tcPr>
            <w:tcW w:w="10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520 bps</w:t>
            </w:r>
          </w:p>
        </w:tc>
        <w:tc>
          <w:tcPr>
            <w:tcW w:w="9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-80 bps</w:t>
            </w:r>
          </w:p>
        </w:tc>
        <w:tc>
          <w:tcPr>
            <w:tcW w:w="102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-240 bps</w:t>
            </w:r>
          </w:p>
        </w:tc>
        <w:tc>
          <w:tcPr>
            <w:tcW w:w="11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-180 bps</w:t>
            </w:r>
          </w:p>
        </w:tc>
        <w:tc>
          <w:tcPr>
            <w:tcW w:w="0" w:type="dxa"/>
            <w:vAlign w:val="bottom"/>
          </w:tcPr>
          <w:p>
            <w:pPr>
              <w:spacing w:after="0"/>
              <w:rPr>
                <w:sz w:val="1"/>
                <w:szCs w:val="1"/>
                <w:color w:val="auto"/>
              </w:rPr>
            </w:pPr>
          </w:p>
        </w:tc>
      </w:tr>
      <w:tr>
        <w:trPr>
          <w:trHeight w:val="208"/>
        </w:trPr>
        <w:tc>
          <w:tcPr>
            <w:tcW w:w="1820" w:type="dxa"/>
            <w:vAlign w:val="bottom"/>
            <w:tcBorders>
              <w:left w:val="single" w:sz="8" w:color="auto"/>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4"/>
              </w:rPr>
              <w:t>Var. YoY</w:t>
            </w:r>
          </w:p>
        </w:tc>
        <w:tc>
          <w:tcPr>
            <w:tcW w:w="10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-650 bps</w:t>
            </w:r>
          </w:p>
        </w:tc>
        <w:tc>
          <w:tcPr>
            <w:tcW w:w="9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830 bps</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-10 bps</w:t>
            </w:r>
          </w:p>
        </w:tc>
        <w:tc>
          <w:tcPr>
            <w:tcW w:w="10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-570 bps</w:t>
            </w:r>
          </w:p>
        </w:tc>
        <w:tc>
          <w:tcPr>
            <w:tcW w:w="9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150 bps</w:t>
            </w:r>
          </w:p>
        </w:tc>
        <w:tc>
          <w:tcPr>
            <w:tcW w:w="102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-90 bps</w:t>
            </w:r>
          </w:p>
        </w:tc>
        <w:tc>
          <w:tcPr>
            <w:tcW w:w="11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-330 bps</w:t>
            </w:r>
          </w:p>
        </w:tc>
        <w:tc>
          <w:tcPr>
            <w:tcW w:w="0" w:type="dxa"/>
            <w:vAlign w:val="bottom"/>
          </w:tcPr>
          <w:p>
            <w:pPr>
              <w:spacing w:after="0"/>
              <w:rPr>
                <w:sz w:val="1"/>
                <w:szCs w:val="1"/>
                <w:color w:val="auto"/>
              </w:rPr>
            </w:pPr>
          </w:p>
        </w:tc>
      </w:tr>
      <w:tr>
        <w:trPr>
          <w:trHeight w:val="194"/>
        </w:trPr>
        <w:tc>
          <w:tcPr>
            <w:tcW w:w="18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9"/>
              </w:rPr>
              <w:t>Sep 21</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7"/>
              </w:rPr>
              <w:t>42.0%</w:t>
            </w:r>
          </w:p>
        </w:tc>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97"/>
              </w:rPr>
              <w:t>56.9%</w:t>
            </w:r>
          </w:p>
        </w:tc>
        <w:tc>
          <w:tcPr>
            <w:tcW w:w="1000" w:type="dxa"/>
            <w:vAlign w:val="bottom"/>
          </w:tcPr>
          <w:p>
            <w:pPr>
              <w:jc w:val="center"/>
              <w:spacing w:after="0" w:line="182" w:lineRule="exact"/>
              <w:rPr>
                <w:sz w:val="20"/>
                <w:szCs w:val="20"/>
                <w:color w:val="auto"/>
              </w:rPr>
            </w:pPr>
            <w:r>
              <w:rPr>
                <w:rFonts w:ascii="Arial" w:cs="Arial" w:eastAsia="Arial" w:hAnsi="Arial"/>
                <w:sz w:val="18"/>
                <w:szCs w:val="18"/>
                <w:color w:val="auto"/>
                <w:w w:val="97"/>
              </w:rPr>
              <w:t>55.4%</w:t>
            </w:r>
          </w:p>
        </w:tc>
        <w:tc>
          <w:tcPr>
            <w:tcW w:w="1040" w:type="dxa"/>
            <w:vAlign w:val="bottom"/>
          </w:tcPr>
          <w:p>
            <w:pPr>
              <w:jc w:val="center"/>
              <w:spacing w:after="0" w:line="182" w:lineRule="exact"/>
              <w:rPr>
                <w:sz w:val="20"/>
                <w:szCs w:val="20"/>
                <w:color w:val="auto"/>
              </w:rPr>
            </w:pPr>
            <w:r>
              <w:rPr>
                <w:rFonts w:ascii="Arial" w:cs="Arial" w:eastAsia="Arial" w:hAnsi="Arial"/>
                <w:sz w:val="18"/>
                <w:szCs w:val="18"/>
                <w:color w:val="auto"/>
                <w:w w:val="97"/>
              </w:rPr>
              <w:t>79.9%</w:t>
            </w: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rPr>
              <w:t>35.4%</w:t>
            </w:r>
          </w:p>
        </w:tc>
        <w:tc>
          <w:tcPr>
            <w:tcW w:w="10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47.5%</w:t>
            </w:r>
          </w:p>
        </w:tc>
        <w:tc>
          <w:tcPr>
            <w:tcW w:w="11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44.6%</w:t>
            </w:r>
          </w:p>
        </w:tc>
        <w:tc>
          <w:tcPr>
            <w:tcW w:w="0" w:type="dxa"/>
            <w:vAlign w:val="bottom"/>
          </w:tcPr>
          <w:p>
            <w:pPr>
              <w:spacing w:after="0"/>
              <w:rPr>
                <w:sz w:val="1"/>
                <w:szCs w:val="1"/>
                <w:color w:val="auto"/>
              </w:rPr>
            </w:pPr>
          </w:p>
        </w:tc>
      </w:tr>
      <w:tr>
        <w:trPr>
          <w:trHeight w:val="22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Sep 22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40.3%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59.7%</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50.9%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78.3%</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34.8%</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52.4%</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43.9%</w:t>
            </w:r>
          </w:p>
        </w:tc>
        <w:tc>
          <w:tcPr>
            <w:tcW w:w="0" w:type="dxa"/>
            <w:vAlign w:val="bottom"/>
          </w:tcPr>
          <w:p>
            <w:pPr>
              <w:spacing w:after="0"/>
              <w:rPr>
                <w:sz w:val="1"/>
                <w:szCs w:val="1"/>
                <w:color w:val="auto"/>
              </w:rPr>
            </w:pPr>
          </w:p>
        </w:tc>
      </w:tr>
      <w:tr>
        <w:trPr>
          <w:trHeight w:val="182"/>
        </w:trPr>
        <w:tc>
          <w:tcPr>
            <w:tcW w:w="1820" w:type="dxa"/>
            <w:vAlign w:val="bottom"/>
            <w:tcBorders>
              <w:left w:val="single" w:sz="8" w:color="auto"/>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7"/>
              </w:rPr>
              <w:t>% change</w:t>
            </w: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-170 bps</w:t>
            </w:r>
          </w:p>
        </w:tc>
        <w:tc>
          <w:tcPr>
            <w:tcW w:w="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280 bps</w:t>
            </w:r>
          </w:p>
        </w:tc>
        <w:tc>
          <w:tcPr>
            <w:tcW w:w="1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-450 bps</w:t>
            </w: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-160 bps</w:t>
            </w: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-60 bps</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490 bps</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-70 bps</w:t>
            </w:r>
          </w:p>
        </w:tc>
        <w:tc>
          <w:tcPr>
            <w:tcW w:w="0" w:type="dxa"/>
            <w:vAlign w:val="bottom"/>
          </w:tcPr>
          <w:p>
            <w:pPr>
              <w:spacing w:after="0"/>
              <w:rPr>
                <w:sz w:val="1"/>
                <w:szCs w:val="1"/>
                <w:color w:val="auto"/>
              </w:rPr>
            </w:pPr>
          </w:p>
        </w:tc>
      </w:tr>
      <w:tr>
        <w:trPr>
          <w:trHeight w:val="13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Sep 22 / Sep 21</w:t>
            </w:r>
          </w:p>
        </w:tc>
        <w:tc>
          <w:tcPr>
            <w:tcW w:w="10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20" w:type="dxa"/>
            <w:vAlign w:val="bottom"/>
            <w:tcBorders>
              <w:bottom w:val="single" w:sz="8" w:color="auto"/>
              <w:right w:val="single" w:sz="8" w:color="auto"/>
            </w:tcBorders>
          </w:tcPr>
          <w:p>
            <w:pPr>
              <w:spacing w:after="0"/>
              <w:rPr>
                <w:sz w:val="7"/>
                <w:szCs w:val="7"/>
                <w:color w:val="auto"/>
              </w:rPr>
            </w:pPr>
          </w:p>
        </w:tc>
        <w:tc>
          <w:tcPr>
            <w:tcW w:w="11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b w:val="1"/>
          <w:bCs w:val="1"/>
          <w:color w:val="auto"/>
        </w:rPr>
        <w:t xml:space="preserve">QoQ, YoY and YTD, </w:t>
      </w:r>
      <w:r>
        <w:rPr>
          <w:rFonts w:ascii="Times New Roman" w:cs="Times New Roman" w:eastAsia="Times New Roman" w:hAnsi="Times New Roman"/>
          <w:sz w:val="18"/>
          <w:szCs w:val="18"/>
          <w:color w:val="auto"/>
        </w:rPr>
        <w:t>the efficiency ratio improved, which was primarily driven by an uptick in core income at</w:t>
      </w:r>
      <w:r>
        <w:rPr>
          <w:rFonts w:ascii="Times New Roman" w:cs="Times New Roman" w:eastAsia="Times New Roman" w:hAnsi="Times New Roman"/>
          <w:sz w:val="18"/>
          <w:szCs w:val="18"/>
          <w:b w:val="1"/>
          <w:bCs w:val="1"/>
          <w:color w:val="auto"/>
        </w:rPr>
        <w:t xml:space="preserve"> BCP Stand-alone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Mibanco</w:t>
      </w:r>
      <w:r>
        <w:rPr>
          <w:rFonts w:ascii="Times New Roman" w:cs="Times New Roman" w:eastAsia="Times New Roman" w:hAnsi="Times New Roman"/>
          <w:sz w:val="18"/>
          <w:szCs w:val="18"/>
          <w:color w:val="auto"/>
        </w:rPr>
        <w:t>. 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core income, growth was led by net interest income, which reflects the increase in market rates and an increase in the loan volume.</w:t>
      </w:r>
    </w:p>
    <w:p>
      <w:pPr>
        <w:spacing w:after="0" w:line="18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8"/>
          <w:szCs w:val="18"/>
          <w:color w:val="auto"/>
        </w:rPr>
        <w:t>If we exclude expenses related to internal disruptive initiatives (Yape) and our Corporate Venture Capital Center (Krealo) in both 2022 and 2021, Credicorp’s efficiency ratio improves 200bps YTD.</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40" w:name="page41"/>
    <w:bookmarkEnd w:id="40"/>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10 </w:t>
      </w:r>
      <w:r>
        <w:rPr>
          <w:rFonts w:ascii="Times New Roman" w:cs="Times New Roman" w:eastAsia="Times New Roman" w:hAnsi="Times New Roman"/>
          <w:sz w:val="32"/>
          <w:szCs w:val="32"/>
          <w:color w:val="E93C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0204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3590" cy="1020445"/>
                    </a:xfrm>
                    <a:prstGeom prst="rect">
                      <a:avLst/>
                    </a:prstGeom>
                    <a:noFill/>
                  </pic:spPr>
                </pic:pic>
              </a:graphicData>
            </a:graphic>
          </wp:anchor>
        </w:drawing>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color w:val="FFFFFF"/>
        </w:rPr>
        <w:t>Credicorp’s Regulatory Capital Ratio was 1.45 times higher than level required by the regulator.</w:t>
      </w:r>
    </w:p>
    <w:p>
      <w:pPr>
        <w:spacing w:after="0" w:line="128" w:lineRule="exact"/>
        <w:rPr>
          <w:sz w:val="20"/>
          <w:szCs w:val="20"/>
          <w:color w:val="auto"/>
        </w:rPr>
      </w:pPr>
    </w:p>
    <w:p>
      <w:pPr>
        <w:ind w:left="120" w:right="120"/>
        <w:spacing w:after="0" w:line="265" w:lineRule="auto"/>
        <w:rPr>
          <w:sz w:val="20"/>
          <w:szCs w:val="20"/>
          <w:color w:val="auto"/>
        </w:rPr>
      </w:pPr>
      <w:r>
        <w:rPr>
          <w:rFonts w:ascii="Arial" w:cs="Arial" w:eastAsia="Arial" w:hAnsi="Arial"/>
          <w:sz w:val="18"/>
          <w:szCs w:val="18"/>
          <w:color w:val="FFFFFF"/>
        </w:rPr>
        <w:t>The CET1 ratio at BCP Stand-alone increased 63bps YoY to stand at 11.8%. Growth in RWAs (+6.4%) was offset by growth in capital and reserves (+9.5%) and an uptick in YTD results (+62.3%)</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color w:val="FFFFFF"/>
        </w:rPr>
        <w:t>Mibanco’s CET1 ratio rose 75bps to stand at 16.0%. Growth in RWAs (+17.6%) was more than offset by the improvement in YTD results.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10.1 Credicorp 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-116840</wp:posOffset>
            </wp:positionV>
            <wp:extent cx="2363470" cy="17341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63470" cy="1734185"/>
                    </a:xfrm>
                    <a:prstGeom prst="rect">
                      <a:avLst/>
                    </a:prstGeom>
                    <a:noFill/>
                  </pic:spPr>
                </pic:pic>
              </a:graphicData>
            </a:graphic>
          </wp:anchor>
        </w:drawing>
      </w:r>
    </w:p>
    <w:p>
      <w:pPr>
        <w:spacing w:after="0" w:line="232" w:lineRule="exact"/>
        <w:rPr>
          <w:sz w:val="20"/>
          <w:szCs w:val="20"/>
          <w:color w:val="auto"/>
        </w:rPr>
      </w:pPr>
    </w:p>
    <w:p>
      <w:pPr>
        <w:jc w:val="both"/>
        <w:ind w:right="5840"/>
        <w:spacing w:after="0" w:line="253" w:lineRule="auto"/>
        <w:rPr>
          <w:sz w:val="20"/>
          <w:szCs w:val="20"/>
          <w:color w:val="auto"/>
        </w:rPr>
      </w:pPr>
      <w:r>
        <w:rPr>
          <w:rFonts w:ascii="Times New Roman" w:cs="Times New Roman" w:eastAsia="Times New Roman" w:hAnsi="Times New Roman"/>
          <w:sz w:val="18"/>
          <w:szCs w:val="18"/>
          <w:color w:val="auto"/>
        </w:rPr>
        <w:t>Credicorp’s regulatory capital ratio was 1.45 times higher than the required capital level at the end of 3Q22. In the QoQ analysis, the ratio fell 11bps due to an 8.5% increase in capital requirements to cover portfolio growth at BCP Stand-alone and Mibanco. This was partially offset by growth in regulatory capital of 0.6% driven by (i) an increase in subordinated debt (associated with an exchange rate effect) and (ii) growth in provisions that can be considered regulatory capital.</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YoY analysis, the Regulatory Capital Ratio fell 8bps.</w:t>
      </w:r>
    </w:p>
    <w:p>
      <w:pPr>
        <w:spacing w:after="0" w:line="184" w:lineRule="exact"/>
        <w:rPr>
          <w:sz w:val="20"/>
          <w:szCs w:val="20"/>
          <w:color w:val="auto"/>
        </w:rPr>
      </w:pPr>
    </w:p>
    <w:p>
      <w:pPr>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10.2 Regulatory Capital at BCP Stand-alone</w:t>
      </w:r>
      <w:r>
        <w:rPr>
          <w:sz w:val="20"/>
          <w:szCs w:val="20"/>
          <w:color w:val="auto"/>
        </w:rPr>
        <w:tab/>
      </w:r>
      <w:r>
        <w:rPr>
          <w:rFonts w:ascii="Times New Roman" w:cs="Times New Roman" w:eastAsia="Times New Roman" w:hAnsi="Times New Roman"/>
          <w:sz w:val="17"/>
          <w:szCs w:val="17"/>
          <w:color w:val="auto"/>
          <w:vertAlign w:val="subscript"/>
        </w:rPr>
        <w:t>Cifras en millones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125095</wp:posOffset>
            </wp:positionV>
            <wp:extent cx="2712085" cy="14541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12085" cy="1454150"/>
                    </a:xfrm>
                    <a:prstGeom prst="rect">
                      <a:avLst/>
                    </a:prstGeom>
                    <a:noFill/>
                  </pic:spPr>
                </pic:pic>
              </a:graphicData>
            </a:graphic>
          </wp:anchor>
        </w:drawing>
      </w:r>
    </w:p>
    <w:p>
      <w:pPr>
        <w:spacing w:after="0" w:line="186" w:lineRule="exact"/>
        <w:rPr>
          <w:sz w:val="20"/>
          <w:szCs w:val="20"/>
          <w:color w:val="auto"/>
        </w:rPr>
      </w:pPr>
    </w:p>
    <w:p>
      <w:pPr>
        <w:jc w:val="both"/>
        <w:ind w:left="5840"/>
        <w:spacing w:after="0" w:line="252" w:lineRule="auto"/>
        <w:rPr>
          <w:sz w:val="20"/>
          <w:szCs w:val="20"/>
          <w:color w:val="auto"/>
        </w:rPr>
      </w:pPr>
      <w:r>
        <w:rPr>
          <w:rFonts w:ascii="Times New Roman" w:cs="Times New Roman" w:eastAsia="Times New Roman" w:hAnsi="Times New Roman"/>
          <w:sz w:val="18"/>
          <w:szCs w:val="18"/>
          <w:color w:val="auto"/>
        </w:rPr>
        <w:t>At the end of 3Q22, the Tier 1 ratio and Regulatory Global Ratio at BCP Stand-alone were situated at 9.9% (-31bps QoQ) and 14.9% (-30bps QoQ) respectively. These reductions were primarily driven by the impact of an increase in loans within risk-weighted assets (RWAs). In the case of the Regulatory Global Ratio, the aforementioned dynamic was partially offset by growth in the Subordinated Debt balance, which was fueled by exchange rate movements. In the YoY analysis, these ratios fell 6bps and 23bps respectively.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Ratio Common Equity Tier 1 IFRS – Stand-alone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19050</wp:posOffset>
            </wp:positionV>
            <wp:extent cx="6019800" cy="13436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19800" cy="1343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Equity Tier 1 (CET 1) ratio at BCP, which is calculated according to IFRS, registered an uptick of 26bps QoQ to close 3Q22 at 11.83%. This evolution was driven by growth in the balance for Accumulated Results (+66.5%), which was partially offset by an increase in RWAs (+3.0%). Finally, in the YoY analysis, the CET1 ratio increased 63bps. This growth was driven by an increase in Capital and Reserves (+9.5%) and Retained Earnings (+62.3%), which outstripped the 6.4% increase in RWAs.</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1"/>
        </w:trPr>
        <w:tc>
          <w:tcPr>
            <w:tcW w:w="2820" w:type="dxa"/>
            <w:vAlign w:val="bottom"/>
            <w:tcBorders>
              <w:right w:val="single" w:sz="8" w:color="auto"/>
            </w:tcBorders>
            <w:shd w:val="clear" w:color="auto" w:fill="000000"/>
          </w:tcPr>
          <w:p>
            <w:pPr>
              <w:spacing w:after="0"/>
              <w:rPr>
                <w:sz w:val="17"/>
                <w:szCs w:val="17"/>
                <w:color w:val="auto"/>
              </w:rPr>
            </w:pPr>
          </w:p>
        </w:tc>
        <w:tc>
          <w:tcPr>
            <w:tcW w:w="2720" w:type="dxa"/>
            <w:vAlign w:val="bottom"/>
            <w:vMerge w:val="restart"/>
            <w:shd w:val="clear" w:color="auto" w:fill="000000"/>
          </w:tcPr>
          <w:p>
            <w:pPr>
              <w:ind w:left="160"/>
              <w:spacing w:after="0"/>
              <w:rPr>
                <w:sz w:val="20"/>
                <w:szCs w:val="20"/>
                <w:color w:val="auto"/>
              </w:rPr>
            </w:pPr>
            <w:r>
              <w:rPr>
                <w:rFonts w:ascii="Arial" w:cs="Arial" w:eastAsia="Arial" w:hAnsi="Arial"/>
                <w:sz w:val="18"/>
                <w:szCs w:val="18"/>
                <w:color w:val="A5A5A5"/>
              </w:rPr>
              <w:t>Earnings Release 3Q / 2022</w:t>
            </w:r>
          </w:p>
        </w:tc>
        <w:tc>
          <w:tcPr>
            <w:tcW w:w="5700" w:type="dxa"/>
            <w:vAlign w:val="bottom"/>
            <w:vMerge w:val="restart"/>
            <w:shd w:val="clear" w:color="auto" w:fill="000000"/>
          </w:tcPr>
          <w:p>
            <w:pPr>
              <w:ind w:left="2060"/>
              <w:spacing w:after="0"/>
              <w:rPr>
                <w:sz w:val="20"/>
                <w:szCs w:val="20"/>
                <w:color w:val="auto"/>
              </w:rPr>
            </w:pPr>
            <w:r>
              <w:rPr>
                <w:rFonts w:ascii="Arial" w:cs="Arial" w:eastAsia="Arial" w:hAnsi="Arial"/>
                <w:sz w:val="20"/>
                <w:szCs w:val="20"/>
                <w:b w:val="1"/>
                <w:bCs w:val="1"/>
                <w:color w:val="E93CAC"/>
                <w:w w:val="97"/>
              </w:rPr>
              <w:t>Analysis of 3Q22 Consolidated Results</w:t>
            </w:r>
          </w:p>
        </w:tc>
        <w:tc>
          <w:tcPr>
            <w:tcW w:w="0" w:type="dxa"/>
            <w:vAlign w:val="bottom"/>
          </w:tcPr>
          <w:p>
            <w:pPr>
              <w:spacing w:after="0"/>
              <w:rPr>
                <w:sz w:val="1"/>
                <w:szCs w:val="1"/>
                <w:color w:val="auto"/>
              </w:rPr>
            </w:pPr>
          </w:p>
        </w:tc>
      </w:tr>
      <w:tr>
        <w:trPr>
          <w:trHeight w:val="380"/>
        </w:trPr>
        <w:tc>
          <w:tcPr>
            <w:tcW w:w="2820" w:type="dxa"/>
            <w:vAlign w:val="bottom"/>
            <w:tcBorders>
              <w:right w:val="single" w:sz="8" w:color="A5A5A5"/>
            </w:tcBorders>
            <w:shd w:val="clear" w:color="auto" w:fill="000000"/>
          </w:tcPr>
          <w:p>
            <w:pPr>
              <w:spacing w:after="0"/>
              <w:rPr>
                <w:sz w:val="24"/>
                <w:szCs w:val="24"/>
                <w:color w:val="auto"/>
              </w:rPr>
            </w:pPr>
          </w:p>
        </w:tc>
        <w:tc>
          <w:tcPr>
            <w:tcW w:w="2720" w:type="dxa"/>
            <w:vAlign w:val="bottom"/>
            <w:vMerge w:val="continue"/>
            <w:shd w:val="clear" w:color="auto" w:fill="000000"/>
          </w:tcPr>
          <w:p>
            <w:pPr>
              <w:spacing w:after="0"/>
              <w:rPr>
                <w:sz w:val="24"/>
                <w:szCs w:val="24"/>
                <w:color w:val="auto"/>
              </w:rPr>
            </w:pPr>
          </w:p>
        </w:tc>
        <w:tc>
          <w:tcPr>
            <w:tcW w:w="5700" w:type="dxa"/>
            <w:vAlign w:val="bottom"/>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20" w:type="dxa"/>
            <w:vAlign w:val="bottom"/>
            <w:tcBorders>
              <w:right w:val="single" w:sz="8" w:color="A5A5A5"/>
            </w:tcBorders>
            <w:shd w:val="clear" w:color="auto" w:fill="000000"/>
          </w:tcPr>
          <w:p>
            <w:pPr>
              <w:spacing w:after="0"/>
              <w:rPr>
                <w:sz w:val="10"/>
                <w:szCs w:val="10"/>
                <w:color w:val="auto"/>
              </w:rPr>
            </w:pPr>
          </w:p>
        </w:tc>
        <w:tc>
          <w:tcPr>
            <w:tcW w:w="2720" w:type="dxa"/>
            <w:vAlign w:val="bottom"/>
            <w:shd w:val="clear" w:color="auto" w:fill="000000"/>
          </w:tcPr>
          <w:p>
            <w:pPr>
              <w:spacing w:after="0"/>
              <w:rPr>
                <w:sz w:val="10"/>
                <w:szCs w:val="10"/>
                <w:color w:val="auto"/>
              </w:rPr>
            </w:pPr>
          </w:p>
        </w:tc>
        <w:tc>
          <w:tcPr>
            <w:tcW w:w="57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820" w:type="dxa"/>
            <w:vAlign w:val="bottom"/>
            <w:tcBorders>
              <w:right w:val="single" w:sz="8" w:color="auto"/>
            </w:tcBorders>
            <w:shd w:val="clear" w:color="auto" w:fill="000000"/>
          </w:tcPr>
          <w:p>
            <w:pPr>
              <w:spacing w:after="0"/>
              <w:rPr>
                <w:sz w:val="17"/>
                <w:szCs w:val="17"/>
                <w:color w:val="auto"/>
              </w:rPr>
            </w:pPr>
          </w:p>
        </w:tc>
        <w:tc>
          <w:tcPr>
            <w:tcW w:w="2720" w:type="dxa"/>
            <w:vAlign w:val="bottom"/>
            <w:shd w:val="clear" w:color="auto" w:fill="000000"/>
          </w:tcPr>
          <w:p>
            <w:pPr>
              <w:spacing w:after="0"/>
              <w:rPr>
                <w:sz w:val="17"/>
                <w:szCs w:val="17"/>
                <w:color w:val="auto"/>
              </w:rPr>
            </w:pPr>
          </w:p>
        </w:tc>
        <w:tc>
          <w:tcPr>
            <w:tcW w:w="570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5540" w:type="dxa"/>
            <w:vAlign w:val="bottom"/>
            <w:gridSpan w:val="2"/>
          </w:tcPr>
          <w:p>
            <w:pPr>
              <w:spacing w:after="0"/>
              <w:rPr>
                <w:sz w:val="13"/>
                <w:szCs w:val="13"/>
                <w:color w:val="auto"/>
              </w:rPr>
            </w:pPr>
          </w:p>
        </w:tc>
        <w:tc>
          <w:tcPr>
            <w:tcW w:w="5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5540" w:type="dxa"/>
            <w:vAlign w:val="bottom"/>
            <w:gridSpan w:val="2"/>
            <w:shd w:val="clear" w:color="auto" w:fill="E93CAC"/>
          </w:tcPr>
          <w:p>
            <w:pPr>
              <w:spacing w:after="0"/>
              <w:rPr>
                <w:sz w:val="20"/>
                <w:szCs w:val="20"/>
                <w:color w:val="auto"/>
              </w:rPr>
            </w:pPr>
            <w:r>
              <w:rPr>
                <w:rFonts w:ascii="Arial" w:cs="Arial" w:eastAsia="Arial" w:hAnsi="Arial"/>
                <w:sz w:val="20"/>
                <w:szCs w:val="20"/>
                <w:b w:val="1"/>
                <w:bCs w:val="1"/>
                <w:color w:val="FFFFFF"/>
              </w:rPr>
              <w:t>10. Regulatory Capital</w:t>
            </w:r>
          </w:p>
        </w:tc>
        <w:tc>
          <w:tcPr>
            <w:tcW w:w="5700" w:type="dxa"/>
            <w:vAlign w:val="bottom"/>
            <w:shd w:val="clear" w:color="auto" w:fill="E93CAC"/>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540" w:type="dxa"/>
            <w:vAlign w:val="bottom"/>
            <w:gridSpan w:val="2"/>
            <w:shd w:val="clear" w:color="auto" w:fill="E93CAC"/>
          </w:tcPr>
          <w:p>
            <w:pPr>
              <w:spacing w:after="0"/>
              <w:rPr>
                <w:sz w:val="7"/>
                <w:szCs w:val="7"/>
                <w:color w:val="auto"/>
              </w:rPr>
            </w:pPr>
          </w:p>
        </w:tc>
        <w:tc>
          <w:tcPr>
            <w:tcW w:w="5700" w:type="dxa"/>
            <w:vAlign w:val="bottom"/>
            <w:shd w:val="clear" w:color="auto" w:fill="E93CAC"/>
          </w:tcPr>
          <w:p>
            <w:pPr>
              <w:spacing w:after="0"/>
              <w:rPr>
                <w:sz w:val="7"/>
                <w:szCs w:val="7"/>
                <w:color w:val="auto"/>
              </w:rPr>
            </w:pPr>
          </w:p>
        </w:tc>
        <w:tc>
          <w:tcPr>
            <w:tcW w:w="0" w:type="dxa"/>
            <w:vAlign w:val="bottom"/>
          </w:tcPr>
          <w:p>
            <w:pPr>
              <w:spacing w:after="0"/>
              <w:rPr>
                <w:sz w:val="1"/>
                <w:szCs w:val="1"/>
                <w:color w:val="auto"/>
              </w:rPr>
            </w:pPr>
          </w:p>
        </w:tc>
      </w:tr>
      <w:tr>
        <w:trPr>
          <w:trHeight w:val="437"/>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10.3 Mibanco’s Regulatory Capital</w:t>
            </w: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 the end of 3Q22, the Tier 1 and Global Capital ratios at Mibanco stood</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at 12.4% (-19bps QoQ) and 14.6% (-22bps QoQ) respectively. These</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variations reflect slight growth of 1.6% in Risk Weighted Assets (RWAs),</w:t>
            </w:r>
          </w:p>
        </w:tc>
        <w:tc>
          <w:tcPr>
            <w:tcW w:w="0" w:type="dxa"/>
            <w:vAlign w:val="bottom"/>
          </w:tcPr>
          <w:p>
            <w:pPr>
              <w:spacing w:after="0"/>
              <w:rPr>
                <w:sz w:val="1"/>
                <w:szCs w:val="1"/>
                <w:color w:val="auto"/>
              </w:rPr>
            </w:pPr>
          </w:p>
        </w:tc>
      </w:tr>
      <w:tr>
        <w:trPr>
          <w:trHeight w:val="233"/>
        </w:trPr>
        <w:tc>
          <w:tcPr>
            <w:tcW w:w="28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which was in turn driven by loan expansion.</w:t>
            </w:r>
          </w:p>
        </w:tc>
        <w:tc>
          <w:tcPr>
            <w:tcW w:w="0" w:type="dxa"/>
            <w:vAlign w:val="bottom"/>
          </w:tcPr>
          <w:p>
            <w:pPr>
              <w:spacing w:after="0"/>
              <w:rPr>
                <w:sz w:val="1"/>
                <w:szCs w:val="1"/>
                <w:color w:val="auto"/>
              </w:rPr>
            </w:pPr>
          </w:p>
        </w:tc>
      </w:tr>
      <w:tr>
        <w:trPr>
          <w:trHeight w:val="436"/>
        </w:trPr>
        <w:tc>
          <w:tcPr>
            <w:tcW w:w="28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YoY evolution shows a drop of 189bps and 213bps in the Tier 1 ratio</w:t>
            </w:r>
          </w:p>
        </w:tc>
        <w:tc>
          <w:tcPr>
            <w:tcW w:w="0" w:type="dxa"/>
            <w:vAlign w:val="bottom"/>
          </w:tcPr>
          <w:p>
            <w:pPr>
              <w:spacing w:after="0"/>
              <w:rPr>
                <w:sz w:val="1"/>
                <w:szCs w:val="1"/>
                <w:color w:val="auto"/>
              </w:rPr>
            </w:pPr>
          </w:p>
        </w:tc>
      </w:tr>
      <w:tr>
        <w:trPr>
          <w:trHeight w:val="214"/>
        </w:trPr>
        <w:tc>
          <w:tcPr>
            <w:tcW w:w="2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Regulatory Global Ratio respectively. Both variations were fueled by</w:t>
            </w:r>
          </w:p>
        </w:tc>
        <w:tc>
          <w:tcPr>
            <w:tcW w:w="0" w:type="dxa"/>
            <w:vAlign w:val="bottom"/>
          </w:tcPr>
          <w:p>
            <w:pPr>
              <w:spacing w:after="0"/>
              <w:rPr>
                <w:sz w:val="1"/>
                <w:szCs w:val="1"/>
                <w:color w:val="auto"/>
              </w:rPr>
            </w:pPr>
          </w:p>
        </w:tc>
      </w:tr>
      <w:tr>
        <w:trPr>
          <w:trHeight w:val="233"/>
        </w:trPr>
        <w:tc>
          <w:tcPr>
            <w:tcW w:w="28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 18.3% increase in RWAs, which was in turn driven by loan growth.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-969010</wp:posOffset>
            </wp:positionV>
            <wp:extent cx="2839720" cy="14795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39720" cy="1479550"/>
                    </a:xfrm>
                    <a:prstGeom prst="rect">
                      <a:avLst/>
                    </a:prstGeom>
                    <a:noFill/>
                  </pic:spPr>
                </pic:pic>
              </a:graphicData>
            </a:graphic>
          </wp:anchor>
        </w:drawing>
        <w:drawing>
          <wp:anchor simplePos="0" relativeHeight="251657728" behindDoc="1" locked="0" layoutInCell="0" allowOverlap="1">
            <wp:simplePos x="0" y="0"/>
            <wp:positionH relativeFrom="column">
              <wp:posOffset>259715</wp:posOffset>
            </wp:positionH>
            <wp:positionV relativeFrom="paragraph">
              <wp:posOffset>-2032000</wp:posOffset>
            </wp:positionV>
            <wp:extent cx="1266825" cy="3143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66825"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Finally, the CET1 Ratio, calculated according to IFRS, reported growth of 75bps QoQ and 90bps YoY. The increase in RWAs (+1.1% QoQ; +17.6 YoY), which was mainly attributable to an uptick in RWAs for credit risk, was more than offset by the growth registered for Common Equity Tier 1 (+6.1%; +24.6% YoY).</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ind w:left="2980"/>
        <w:spacing w:after="0"/>
        <w:tabs>
          <w:tab w:leader="none" w:pos="758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11 </w:t>
      </w:r>
      <w:r>
        <w:rPr>
          <w:rFonts w:ascii="Times New Roman" w:cs="Times New Roman" w:eastAsia="Times New Roman" w:hAnsi="Times New Roman"/>
          <w:sz w:val="32"/>
          <w:szCs w:val="32"/>
          <w:b w:val="1"/>
          <w:bCs w:val="1"/>
          <w:color w:val="E93C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7133590" cy="13690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3590" cy="1369060"/>
                    </a:xfrm>
                    <a:prstGeom prst="rect">
                      <a:avLst/>
                    </a:prstGeom>
                    <a:noFill/>
                  </pic:spPr>
                </pic:pic>
              </a:graphicData>
            </a:graphic>
          </wp:anchor>
        </w:drawing>
      </w:r>
    </w:p>
    <w:p>
      <w:pPr>
        <w:spacing w:after="0" w:line="348" w:lineRule="exact"/>
        <w:rPr>
          <w:sz w:val="20"/>
          <w:szCs w:val="20"/>
          <w:color w:val="auto"/>
        </w:rPr>
      </w:pPr>
    </w:p>
    <w:p>
      <w:pPr>
        <w:jc w:val="both"/>
        <w:ind w:left="120" w:right="120"/>
        <w:spacing w:after="0" w:line="249" w:lineRule="auto"/>
        <w:rPr>
          <w:sz w:val="20"/>
          <w:szCs w:val="20"/>
          <w:color w:val="auto"/>
        </w:rPr>
      </w:pPr>
      <w:r>
        <w:rPr>
          <w:rFonts w:ascii="Arial" w:cs="Arial" w:eastAsia="Arial" w:hAnsi="Arial"/>
          <w:sz w:val="18"/>
          <w:szCs w:val="18"/>
          <w:color w:val="FFFFFF"/>
        </w:rPr>
        <w:t>Estimates indicate that the Peruvian economy grew 1.7% YoY in 3Q22, driven primarily by sectors such commerce, services, and construction. Growth this quarter was offset by 1.2% drop-in primary activities, which was attributable to the deterioration of metal mining production.</w:t>
      </w:r>
    </w:p>
    <w:p>
      <w:pPr>
        <w:spacing w:after="0" w:line="146" w:lineRule="exact"/>
        <w:rPr>
          <w:sz w:val="20"/>
          <w:szCs w:val="20"/>
          <w:color w:val="auto"/>
        </w:rPr>
      </w:pPr>
    </w:p>
    <w:p>
      <w:pPr>
        <w:jc w:val="both"/>
        <w:ind w:left="120" w:right="120"/>
        <w:spacing w:after="0" w:line="265" w:lineRule="auto"/>
        <w:rPr>
          <w:sz w:val="20"/>
          <w:szCs w:val="20"/>
          <w:color w:val="auto"/>
        </w:rPr>
      </w:pPr>
      <w:r>
        <w:rPr>
          <w:rFonts w:ascii="Arial" w:cs="Arial" w:eastAsia="Arial" w:hAnsi="Arial"/>
          <w:sz w:val="18"/>
          <w:szCs w:val="18"/>
          <w:color w:val="FFFFFF"/>
        </w:rPr>
        <w:t>The annual Inflation rate for 3Q22 closed at 8.5% YoY, after having reached a peak of 8.8% in 2Q22. It is important to mention, that BCRP has increased the reference rate to reduce inflation by the end of 2023.</w:t>
      </w:r>
    </w:p>
    <w:p>
      <w:pPr>
        <w:spacing w:after="0" w:line="132" w:lineRule="exact"/>
        <w:rPr>
          <w:sz w:val="20"/>
          <w:szCs w:val="20"/>
          <w:color w:val="auto"/>
        </w:rPr>
      </w:pPr>
    </w:p>
    <w:p>
      <w:pPr>
        <w:jc w:val="both"/>
        <w:ind w:left="120" w:right="100"/>
        <w:spacing w:after="0" w:line="265" w:lineRule="auto"/>
        <w:rPr>
          <w:sz w:val="20"/>
          <w:szCs w:val="20"/>
          <w:color w:val="auto"/>
        </w:rPr>
      </w:pPr>
      <w:r>
        <w:rPr>
          <w:rFonts w:ascii="Arial" w:cs="Arial" w:eastAsia="Arial" w:hAnsi="Arial"/>
          <w:sz w:val="18"/>
          <w:szCs w:val="18"/>
          <w:color w:val="FFFFFF"/>
        </w:rPr>
        <w:t>According to BCRP, the Exchange rate closed at USPEN 3.982 in 3Q22, which represents a depreciation of 4.1% from the 3.826 registered in 2Q22.</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Peru: Economic Forecast</w:t>
            </w:r>
          </w:p>
        </w:tc>
        <w:tc>
          <w:tcPr>
            <w:tcW w:w="1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1"/>
        </w:trPr>
        <w:tc>
          <w:tcPr>
            <w:tcW w:w="4040" w:type="dxa"/>
            <w:vAlign w:val="bottom"/>
            <w:shd w:val="clear" w:color="auto" w:fill="2AD2C9"/>
          </w:tcPr>
          <w:p>
            <w:pPr>
              <w:ind w:left="2080"/>
              <w:spacing w:after="0" w:line="201" w:lineRule="exact"/>
              <w:rPr>
                <w:sz w:val="20"/>
                <w:szCs w:val="20"/>
                <w:color w:val="auto"/>
              </w:rPr>
            </w:pPr>
            <w:r>
              <w:rPr>
                <w:rFonts w:ascii="Arial" w:cs="Arial" w:eastAsia="Arial" w:hAnsi="Arial"/>
                <w:sz w:val="18"/>
                <w:szCs w:val="18"/>
                <w:b w:val="1"/>
                <w:bCs w:val="1"/>
                <w:color w:val="FFFFFF"/>
              </w:rPr>
              <w:t>Peru</w:t>
            </w:r>
          </w:p>
        </w:tc>
        <w:tc>
          <w:tcPr>
            <w:tcW w:w="1840" w:type="dxa"/>
            <w:vAlign w:val="bottom"/>
            <w:shd w:val="clear" w:color="auto" w:fill="2AD2C9"/>
          </w:tcPr>
          <w:p>
            <w:pPr>
              <w:jc w:val="center"/>
              <w:ind w:left="411"/>
              <w:spacing w:after="0" w:line="201" w:lineRule="exact"/>
              <w:rPr>
                <w:sz w:val="20"/>
                <w:szCs w:val="20"/>
                <w:color w:val="auto"/>
              </w:rPr>
            </w:pPr>
            <w:r>
              <w:rPr>
                <w:rFonts w:ascii="Arial" w:cs="Arial" w:eastAsia="Arial" w:hAnsi="Arial"/>
                <w:sz w:val="18"/>
                <w:szCs w:val="18"/>
                <w:b w:val="1"/>
                <w:bCs w:val="1"/>
                <w:color w:val="FFFFFF"/>
                <w:w w:val="94"/>
              </w:rPr>
              <w:t>2018</w:t>
            </w:r>
          </w:p>
        </w:tc>
        <w:tc>
          <w:tcPr>
            <w:tcW w:w="1340" w:type="dxa"/>
            <w:vAlign w:val="bottom"/>
            <w:shd w:val="clear" w:color="auto" w:fill="2AD2C9"/>
          </w:tcPr>
          <w:p>
            <w:pPr>
              <w:jc w:val="center"/>
              <w:spacing w:after="0" w:line="201" w:lineRule="exact"/>
              <w:rPr>
                <w:sz w:val="20"/>
                <w:szCs w:val="20"/>
                <w:color w:val="auto"/>
              </w:rPr>
            </w:pPr>
            <w:r>
              <w:rPr>
                <w:rFonts w:ascii="Arial" w:cs="Arial" w:eastAsia="Arial" w:hAnsi="Arial"/>
                <w:sz w:val="18"/>
                <w:szCs w:val="18"/>
                <w:b w:val="1"/>
                <w:bCs w:val="1"/>
                <w:color w:val="FFFFFF"/>
                <w:w w:val="99"/>
              </w:rPr>
              <w:t>2019</w:t>
            </w:r>
          </w:p>
        </w:tc>
        <w:tc>
          <w:tcPr>
            <w:tcW w:w="1320" w:type="dxa"/>
            <w:vAlign w:val="bottom"/>
            <w:shd w:val="clear" w:color="auto" w:fill="2AD2C9"/>
          </w:tcPr>
          <w:p>
            <w:pPr>
              <w:jc w:val="center"/>
              <w:spacing w:after="0" w:line="201" w:lineRule="exact"/>
              <w:rPr>
                <w:sz w:val="20"/>
                <w:szCs w:val="20"/>
                <w:color w:val="auto"/>
              </w:rPr>
            </w:pPr>
            <w:r>
              <w:rPr>
                <w:rFonts w:ascii="Arial" w:cs="Arial" w:eastAsia="Arial" w:hAnsi="Arial"/>
                <w:sz w:val="18"/>
                <w:szCs w:val="18"/>
                <w:b w:val="1"/>
                <w:bCs w:val="1"/>
                <w:color w:val="FFFFFF"/>
                <w:w w:val="99"/>
              </w:rPr>
              <w:t>2020</w:t>
            </w:r>
          </w:p>
        </w:tc>
        <w:tc>
          <w:tcPr>
            <w:tcW w:w="1340" w:type="dxa"/>
            <w:vAlign w:val="bottom"/>
            <w:shd w:val="clear" w:color="auto" w:fill="2AD2C9"/>
          </w:tcPr>
          <w:p>
            <w:pPr>
              <w:jc w:val="center"/>
              <w:spacing w:after="0" w:line="201" w:lineRule="exact"/>
              <w:rPr>
                <w:sz w:val="20"/>
                <w:szCs w:val="20"/>
                <w:color w:val="auto"/>
              </w:rPr>
            </w:pPr>
            <w:r>
              <w:rPr>
                <w:rFonts w:ascii="Arial" w:cs="Arial" w:eastAsia="Arial" w:hAnsi="Arial"/>
                <w:sz w:val="18"/>
                <w:szCs w:val="18"/>
                <w:b w:val="1"/>
                <w:bCs w:val="1"/>
                <w:color w:val="FFFFFF"/>
                <w:w w:val="99"/>
              </w:rPr>
              <w:t>2021</w:t>
            </w:r>
          </w:p>
        </w:tc>
        <w:tc>
          <w:tcPr>
            <w:tcW w:w="1360" w:type="dxa"/>
            <w:vAlign w:val="bottom"/>
            <w:shd w:val="clear" w:color="auto" w:fill="2AD2C9"/>
          </w:tcPr>
          <w:p>
            <w:pPr>
              <w:jc w:val="center"/>
              <w:spacing w:after="0" w:line="201" w:lineRule="exact"/>
              <w:rPr>
                <w:sz w:val="20"/>
                <w:szCs w:val="20"/>
                <w:color w:val="auto"/>
              </w:rPr>
            </w:pPr>
            <w:r>
              <w:rPr>
                <w:rFonts w:ascii="Arial" w:cs="Arial" w:eastAsia="Arial" w:hAnsi="Arial"/>
                <w:sz w:val="15"/>
                <w:szCs w:val="15"/>
                <w:b w:val="1"/>
                <w:bCs w:val="1"/>
                <w:color w:val="FFFFFF"/>
              </w:rPr>
              <w:t xml:space="preserve">2022 </w:t>
            </w:r>
            <w:r>
              <w:rPr>
                <w:rFonts w:ascii="Arial" w:cs="Arial" w:eastAsia="Arial" w:hAnsi="Arial"/>
                <w:sz w:val="23"/>
                <w:szCs w:val="23"/>
                <w:b w:val="1"/>
                <w:bCs w:val="1"/>
                <w:color w:val="FFFFFF"/>
                <w:vertAlign w:val="superscript"/>
              </w:rPr>
              <w:t>(3)</w:t>
            </w:r>
          </w:p>
        </w:tc>
      </w:tr>
      <w:tr>
        <w:trPr>
          <w:trHeight w:val="182"/>
        </w:trPr>
        <w:tc>
          <w:tcPr>
            <w:tcW w:w="4040" w:type="dxa"/>
            <w:vAlign w:val="bottom"/>
          </w:tcPr>
          <w:p>
            <w:pPr>
              <w:spacing w:after="0" w:line="182" w:lineRule="exact"/>
              <w:rPr>
                <w:sz w:val="20"/>
                <w:szCs w:val="20"/>
                <w:color w:val="auto"/>
              </w:rPr>
            </w:pPr>
            <w:r>
              <w:rPr>
                <w:rFonts w:ascii="Arial" w:cs="Arial" w:eastAsia="Arial" w:hAnsi="Arial"/>
                <w:sz w:val="18"/>
                <w:szCs w:val="18"/>
                <w:color w:val="auto"/>
              </w:rPr>
              <w:t>GDP (US$ Millions)</w:t>
            </w:r>
          </w:p>
        </w:tc>
        <w:tc>
          <w:tcPr>
            <w:tcW w:w="1840" w:type="dxa"/>
            <w:vAlign w:val="bottom"/>
          </w:tcPr>
          <w:p>
            <w:pPr>
              <w:jc w:val="center"/>
              <w:ind w:left="391"/>
              <w:spacing w:after="0" w:line="182" w:lineRule="exact"/>
              <w:rPr>
                <w:sz w:val="20"/>
                <w:szCs w:val="20"/>
                <w:color w:val="auto"/>
              </w:rPr>
            </w:pPr>
            <w:r>
              <w:rPr>
                <w:rFonts w:ascii="Arial" w:cs="Arial" w:eastAsia="Arial" w:hAnsi="Arial"/>
                <w:sz w:val="18"/>
                <w:szCs w:val="18"/>
                <w:color w:val="auto"/>
                <w:w w:val="98"/>
              </w:rPr>
              <w:t>226,856</w:t>
            </w:r>
          </w:p>
        </w:tc>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8"/>
              </w:rPr>
              <w:t>232,447</w:t>
            </w:r>
          </w:p>
        </w:tc>
        <w:tc>
          <w:tcPr>
            <w:tcW w:w="1320" w:type="dxa"/>
            <w:vAlign w:val="bottom"/>
          </w:tcPr>
          <w:p>
            <w:pPr>
              <w:jc w:val="center"/>
              <w:spacing w:after="0" w:line="182" w:lineRule="exact"/>
              <w:rPr>
                <w:sz w:val="20"/>
                <w:szCs w:val="20"/>
                <w:color w:val="auto"/>
              </w:rPr>
            </w:pPr>
            <w:r>
              <w:rPr>
                <w:rFonts w:ascii="Arial" w:cs="Arial" w:eastAsia="Arial" w:hAnsi="Arial"/>
                <w:sz w:val="18"/>
                <w:szCs w:val="18"/>
                <w:color w:val="auto"/>
                <w:w w:val="98"/>
              </w:rPr>
              <w:t>205,553</w:t>
            </w:r>
          </w:p>
        </w:tc>
        <w:tc>
          <w:tcPr>
            <w:tcW w:w="1340" w:type="dxa"/>
            <w:vAlign w:val="bottom"/>
          </w:tcPr>
          <w:p>
            <w:pPr>
              <w:jc w:val="center"/>
              <w:spacing w:after="0" w:line="182" w:lineRule="exact"/>
              <w:rPr>
                <w:sz w:val="20"/>
                <w:szCs w:val="20"/>
                <w:color w:val="auto"/>
              </w:rPr>
            </w:pPr>
            <w:r>
              <w:rPr>
                <w:rFonts w:ascii="Arial" w:cs="Arial" w:eastAsia="Arial" w:hAnsi="Arial"/>
                <w:sz w:val="18"/>
                <w:szCs w:val="18"/>
                <w:color w:val="auto"/>
                <w:w w:val="98"/>
              </w:rPr>
              <w:t>225,661</w:t>
            </w:r>
          </w:p>
        </w:tc>
        <w:tc>
          <w:tcPr>
            <w:tcW w:w="1360" w:type="dxa"/>
            <w:vAlign w:val="bottom"/>
            <w:shd w:val="clear" w:color="auto" w:fill="D9D9D9"/>
          </w:tcPr>
          <w:p>
            <w:pPr>
              <w:jc w:val="center"/>
              <w:spacing w:after="0" w:line="182" w:lineRule="exact"/>
              <w:rPr>
                <w:sz w:val="20"/>
                <w:szCs w:val="20"/>
                <w:color w:val="auto"/>
              </w:rPr>
            </w:pPr>
            <w:r>
              <w:rPr>
                <w:rFonts w:ascii="Arial" w:cs="Arial" w:eastAsia="Arial" w:hAnsi="Arial"/>
                <w:sz w:val="18"/>
                <w:szCs w:val="18"/>
                <w:color w:val="auto"/>
                <w:w w:val="98"/>
              </w:rPr>
              <w:t>252,599</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Real GDP (% change)</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w w:val="95"/>
              </w:rPr>
              <w:t>4.0</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5"/>
              </w:rPr>
              <w:t>2.2</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-11.0</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13.6</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5"/>
              </w:rPr>
              <w:t>2.8</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GDP per capita (US$)</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w w:val="97"/>
              </w:rPr>
              <w:t>7,045</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7"/>
              </w:rPr>
              <w:t>7,152</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6,300</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7"/>
              </w:rPr>
              <w:t>6,831</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7"/>
              </w:rPr>
              <w:t>7,571</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Domestic demand (% change)</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w w:val="95"/>
              </w:rPr>
              <w:t>4.2</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5"/>
              </w:rPr>
              <w:t>2.3</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rPr>
              <w:t>-9.8</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14.7</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5"/>
              </w:rPr>
              <w:t>2.4</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Gross fixed investment (as % GDP)</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rPr>
              <w:t>22.4</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21.8</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rPr>
              <w:t>19.7</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22.0</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6"/>
              </w:rPr>
              <w:t>20.6</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Public Debt (as % GDP)</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rPr>
              <w:t>25.6</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26.6</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rPr>
              <w:t>34.6</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35.9</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6"/>
              </w:rPr>
              <w:t>34.3</w:t>
            </w:r>
          </w:p>
        </w:tc>
      </w:tr>
      <w:tr>
        <w:trPr>
          <w:trHeight w:val="220"/>
        </w:trPr>
        <w:tc>
          <w:tcPr>
            <w:tcW w:w="4040" w:type="dxa"/>
            <w:vAlign w:val="bottom"/>
            <w:tcBorders>
              <w:bottom w:val="single" w:sz="8" w:color="2AD2C9"/>
            </w:tcBorders>
          </w:tcPr>
          <w:p>
            <w:pPr>
              <w:spacing w:after="0"/>
              <w:rPr>
                <w:sz w:val="20"/>
                <w:szCs w:val="20"/>
                <w:color w:val="auto"/>
              </w:rPr>
            </w:pPr>
            <w:r>
              <w:rPr>
                <w:rFonts w:ascii="Arial" w:cs="Arial" w:eastAsia="Arial" w:hAnsi="Arial"/>
                <w:sz w:val="18"/>
                <w:szCs w:val="18"/>
                <w:color w:val="auto"/>
              </w:rPr>
              <w:t>System loan growth (% change)(1)</w:t>
            </w:r>
          </w:p>
        </w:tc>
        <w:tc>
          <w:tcPr>
            <w:tcW w:w="1840" w:type="dxa"/>
            <w:vAlign w:val="bottom"/>
            <w:tcBorders>
              <w:bottom w:val="single" w:sz="8" w:color="2AD2C9"/>
            </w:tcBorders>
          </w:tcPr>
          <w:p>
            <w:pPr>
              <w:jc w:val="center"/>
              <w:ind w:left="391"/>
              <w:spacing w:after="0"/>
              <w:rPr>
                <w:sz w:val="20"/>
                <w:szCs w:val="20"/>
                <w:color w:val="auto"/>
              </w:rPr>
            </w:pPr>
            <w:r>
              <w:rPr>
                <w:rFonts w:ascii="Arial" w:cs="Arial" w:eastAsia="Arial" w:hAnsi="Arial"/>
                <w:sz w:val="18"/>
                <w:szCs w:val="18"/>
                <w:color w:val="auto"/>
              </w:rPr>
              <w:t>10.3</w:t>
            </w:r>
          </w:p>
        </w:tc>
        <w:tc>
          <w:tcPr>
            <w:tcW w:w="134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5"/>
              </w:rPr>
              <w:t>6.4</w:t>
            </w:r>
          </w:p>
        </w:tc>
        <w:tc>
          <w:tcPr>
            <w:tcW w:w="132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-4.3</w:t>
            </w:r>
          </w:p>
        </w:tc>
        <w:tc>
          <w:tcPr>
            <w:tcW w:w="134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12.6</w:t>
            </w:r>
          </w:p>
        </w:tc>
        <w:tc>
          <w:tcPr>
            <w:tcW w:w="1360" w:type="dxa"/>
            <w:vAlign w:val="bottom"/>
            <w:tcBorders>
              <w:bottom w:val="single" w:sz="8" w:color="2AD2C9"/>
            </w:tcBorders>
            <w:shd w:val="clear" w:color="auto" w:fill="D9D9D9"/>
          </w:tcPr>
          <w:p>
            <w:pPr>
              <w:jc w:val="center"/>
              <w:spacing w:after="0"/>
              <w:rPr>
                <w:sz w:val="20"/>
                <w:szCs w:val="20"/>
                <w:color w:val="auto"/>
              </w:rPr>
            </w:pPr>
            <w:r>
              <w:rPr>
                <w:rFonts w:ascii="Arial" w:cs="Arial" w:eastAsia="Arial" w:hAnsi="Arial"/>
                <w:sz w:val="18"/>
                <w:szCs w:val="18"/>
                <w:color w:val="auto"/>
                <w:w w:val="96"/>
              </w:rPr>
              <w:t>11.0</w:t>
            </w:r>
          </w:p>
        </w:tc>
      </w:tr>
      <w:tr>
        <w:trPr>
          <w:trHeight w:val="194"/>
        </w:trPr>
        <w:tc>
          <w:tcPr>
            <w:tcW w:w="4040" w:type="dxa"/>
            <w:vAlign w:val="bottom"/>
            <w:tcBorders>
              <w:bottom w:val="single" w:sz="8" w:color="2AD2C9"/>
            </w:tcBorders>
          </w:tcPr>
          <w:p>
            <w:pPr>
              <w:spacing w:after="0" w:line="195" w:lineRule="exact"/>
              <w:rPr>
                <w:sz w:val="20"/>
                <w:szCs w:val="20"/>
                <w:color w:val="auto"/>
              </w:rPr>
            </w:pPr>
            <w:r>
              <w:rPr>
                <w:rFonts w:ascii="Arial" w:cs="Arial" w:eastAsia="Arial" w:hAnsi="Arial"/>
                <w:sz w:val="18"/>
                <w:szCs w:val="18"/>
                <w:color w:val="auto"/>
              </w:rPr>
              <w:t>Inflation(2)</w:t>
            </w:r>
          </w:p>
        </w:tc>
        <w:tc>
          <w:tcPr>
            <w:tcW w:w="1840" w:type="dxa"/>
            <w:vAlign w:val="bottom"/>
            <w:tcBorders>
              <w:bottom w:val="single" w:sz="8" w:color="2AD2C9"/>
            </w:tcBorders>
          </w:tcPr>
          <w:p>
            <w:pPr>
              <w:jc w:val="center"/>
              <w:ind w:left="391"/>
              <w:spacing w:after="0" w:line="195" w:lineRule="exact"/>
              <w:rPr>
                <w:sz w:val="20"/>
                <w:szCs w:val="20"/>
                <w:color w:val="auto"/>
              </w:rPr>
            </w:pPr>
            <w:r>
              <w:rPr>
                <w:rFonts w:ascii="Arial" w:cs="Arial" w:eastAsia="Arial" w:hAnsi="Arial"/>
                <w:sz w:val="18"/>
                <w:szCs w:val="18"/>
                <w:color w:val="auto"/>
                <w:w w:val="95"/>
              </w:rPr>
              <w:t>2.2</w:t>
            </w:r>
          </w:p>
        </w:tc>
        <w:tc>
          <w:tcPr>
            <w:tcW w:w="1340" w:type="dxa"/>
            <w:vAlign w:val="bottom"/>
            <w:tcBorders>
              <w:bottom w:val="single" w:sz="8" w:color="2AD2C9"/>
            </w:tcBorders>
          </w:tcPr>
          <w:p>
            <w:pPr>
              <w:jc w:val="center"/>
              <w:spacing w:after="0" w:line="195" w:lineRule="exact"/>
              <w:rPr>
                <w:sz w:val="20"/>
                <w:szCs w:val="20"/>
                <w:color w:val="auto"/>
              </w:rPr>
            </w:pPr>
            <w:r>
              <w:rPr>
                <w:rFonts w:ascii="Arial" w:cs="Arial" w:eastAsia="Arial" w:hAnsi="Arial"/>
                <w:sz w:val="18"/>
                <w:szCs w:val="18"/>
                <w:color w:val="auto"/>
                <w:w w:val="95"/>
              </w:rPr>
              <w:t>1.9</w:t>
            </w:r>
          </w:p>
        </w:tc>
        <w:tc>
          <w:tcPr>
            <w:tcW w:w="1320" w:type="dxa"/>
            <w:vAlign w:val="bottom"/>
            <w:tcBorders>
              <w:bottom w:val="single" w:sz="8" w:color="2AD2C9"/>
            </w:tcBorders>
          </w:tcPr>
          <w:p>
            <w:pPr>
              <w:jc w:val="center"/>
              <w:spacing w:after="0" w:line="195" w:lineRule="exact"/>
              <w:rPr>
                <w:sz w:val="20"/>
                <w:szCs w:val="20"/>
                <w:color w:val="auto"/>
              </w:rPr>
            </w:pPr>
            <w:r>
              <w:rPr>
                <w:rFonts w:ascii="Arial" w:cs="Arial" w:eastAsia="Arial" w:hAnsi="Arial"/>
                <w:sz w:val="18"/>
                <w:szCs w:val="18"/>
                <w:color w:val="auto"/>
                <w:w w:val="95"/>
              </w:rPr>
              <w:t>2.0</w:t>
            </w:r>
          </w:p>
        </w:tc>
        <w:tc>
          <w:tcPr>
            <w:tcW w:w="1340" w:type="dxa"/>
            <w:vAlign w:val="bottom"/>
            <w:tcBorders>
              <w:bottom w:val="single" w:sz="8" w:color="2AD2C9"/>
            </w:tcBorders>
          </w:tcPr>
          <w:p>
            <w:pPr>
              <w:jc w:val="center"/>
              <w:spacing w:after="0" w:line="195" w:lineRule="exact"/>
              <w:rPr>
                <w:sz w:val="20"/>
                <w:szCs w:val="20"/>
                <w:color w:val="auto"/>
              </w:rPr>
            </w:pPr>
            <w:r>
              <w:rPr>
                <w:rFonts w:ascii="Arial" w:cs="Arial" w:eastAsia="Arial" w:hAnsi="Arial"/>
                <w:sz w:val="18"/>
                <w:szCs w:val="18"/>
                <w:color w:val="auto"/>
                <w:w w:val="95"/>
              </w:rPr>
              <w:t>6.4</w:t>
            </w:r>
          </w:p>
        </w:tc>
        <w:tc>
          <w:tcPr>
            <w:tcW w:w="1360" w:type="dxa"/>
            <w:vAlign w:val="bottom"/>
            <w:tcBorders>
              <w:bottom w:val="single" w:sz="8" w:color="2AD2C9"/>
            </w:tcBorders>
            <w:shd w:val="clear" w:color="auto" w:fill="D9D9D9"/>
          </w:tcPr>
          <w:p>
            <w:pPr>
              <w:jc w:val="center"/>
              <w:spacing w:after="0" w:line="195" w:lineRule="exact"/>
              <w:rPr>
                <w:sz w:val="20"/>
                <w:szCs w:val="20"/>
                <w:color w:val="auto"/>
              </w:rPr>
            </w:pPr>
            <w:r>
              <w:rPr>
                <w:rFonts w:ascii="Arial" w:cs="Arial" w:eastAsia="Arial" w:hAnsi="Arial"/>
                <w:sz w:val="18"/>
                <w:szCs w:val="18"/>
                <w:color w:val="auto"/>
                <w:w w:val="95"/>
              </w:rPr>
              <w:t>7.9</w:t>
            </w:r>
          </w:p>
        </w:tc>
      </w:tr>
      <w:tr>
        <w:trPr>
          <w:trHeight w:val="194"/>
        </w:trPr>
        <w:tc>
          <w:tcPr>
            <w:tcW w:w="4040" w:type="dxa"/>
            <w:vAlign w:val="bottom"/>
            <w:tcBorders>
              <w:bottom w:val="single" w:sz="8" w:color="2AD2C9"/>
            </w:tcBorders>
          </w:tcPr>
          <w:p>
            <w:pPr>
              <w:spacing w:after="0" w:line="195" w:lineRule="exact"/>
              <w:rPr>
                <w:sz w:val="20"/>
                <w:szCs w:val="20"/>
                <w:color w:val="auto"/>
              </w:rPr>
            </w:pPr>
            <w:r>
              <w:rPr>
                <w:rFonts w:ascii="Arial" w:cs="Arial" w:eastAsia="Arial" w:hAnsi="Arial"/>
                <w:sz w:val="18"/>
                <w:szCs w:val="18"/>
                <w:color w:val="auto"/>
              </w:rPr>
              <w:t>Reference Rate</w:t>
            </w:r>
          </w:p>
        </w:tc>
        <w:tc>
          <w:tcPr>
            <w:tcW w:w="1840" w:type="dxa"/>
            <w:vAlign w:val="bottom"/>
            <w:tcBorders>
              <w:bottom w:val="single" w:sz="8" w:color="2AD2C9"/>
            </w:tcBorders>
          </w:tcPr>
          <w:p>
            <w:pPr>
              <w:jc w:val="center"/>
              <w:ind w:left="391"/>
              <w:spacing w:after="0" w:line="195" w:lineRule="exact"/>
              <w:rPr>
                <w:sz w:val="20"/>
                <w:szCs w:val="20"/>
                <w:color w:val="auto"/>
              </w:rPr>
            </w:pPr>
            <w:r>
              <w:rPr>
                <w:rFonts w:ascii="Arial" w:cs="Arial" w:eastAsia="Arial" w:hAnsi="Arial"/>
                <w:sz w:val="18"/>
                <w:szCs w:val="18"/>
                <w:color w:val="auto"/>
              </w:rPr>
              <w:t>2.75</w:t>
            </w:r>
          </w:p>
        </w:tc>
        <w:tc>
          <w:tcPr>
            <w:tcW w:w="1340" w:type="dxa"/>
            <w:vAlign w:val="bottom"/>
            <w:tcBorders>
              <w:bottom w:val="single" w:sz="8" w:color="2AD2C9"/>
            </w:tcBorders>
          </w:tcPr>
          <w:p>
            <w:pPr>
              <w:jc w:val="center"/>
              <w:spacing w:after="0" w:line="195" w:lineRule="exact"/>
              <w:rPr>
                <w:sz w:val="20"/>
                <w:szCs w:val="20"/>
                <w:color w:val="auto"/>
              </w:rPr>
            </w:pPr>
            <w:r>
              <w:rPr>
                <w:rFonts w:ascii="Arial" w:cs="Arial" w:eastAsia="Arial" w:hAnsi="Arial"/>
                <w:sz w:val="18"/>
                <w:szCs w:val="18"/>
                <w:color w:val="auto"/>
              </w:rPr>
              <w:t>2.25</w:t>
            </w:r>
          </w:p>
        </w:tc>
        <w:tc>
          <w:tcPr>
            <w:tcW w:w="1320" w:type="dxa"/>
            <w:vAlign w:val="bottom"/>
            <w:tcBorders>
              <w:bottom w:val="single" w:sz="8" w:color="2AD2C9"/>
            </w:tcBorders>
          </w:tcPr>
          <w:p>
            <w:pPr>
              <w:jc w:val="center"/>
              <w:spacing w:after="0" w:line="195" w:lineRule="exact"/>
              <w:rPr>
                <w:sz w:val="20"/>
                <w:szCs w:val="20"/>
                <w:color w:val="auto"/>
              </w:rPr>
            </w:pPr>
            <w:r>
              <w:rPr>
                <w:rFonts w:ascii="Arial" w:cs="Arial" w:eastAsia="Arial" w:hAnsi="Arial"/>
                <w:sz w:val="18"/>
                <w:szCs w:val="18"/>
                <w:color w:val="auto"/>
              </w:rPr>
              <w:t>0.25</w:t>
            </w:r>
          </w:p>
        </w:tc>
        <w:tc>
          <w:tcPr>
            <w:tcW w:w="1340" w:type="dxa"/>
            <w:vAlign w:val="bottom"/>
            <w:tcBorders>
              <w:bottom w:val="single" w:sz="8" w:color="2AD2C9"/>
            </w:tcBorders>
          </w:tcPr>
          <w:p>
            <w:pPr>
              <w:jc w:val="center"/>
              <w:spacing w:after="0" w:line="195" w:lineRule="exact"/>
              <w:rPr>
                <w:sz w:val="20"/>
                <w:szCs w:val="20"/>
                <w:color w:val="auto"/>
              </w:rPr>
            </w:pPr>
            <w:r>
              <w:rPr>
                <w:rFonts w:ascii="Arial" w:cs="Arial" w:eastAsia="Arial" w:hAnsi="Arial"/>
                <w:sz w:val="18"/>
                <w:szCs w:val="18"/>
                <w:color w:val="auto"/>
              </w:rPr>
              <w:t>2.50</w:t>
            </w:r>
          </w:p>
        </w:tc>
        <w:tc>
          <w:tcPr>
            <w:tcW w:w="1360" w:type="dxa"/>
            <w:vAlign w:val="bottom"/>
            <w:tcBorders>
              <w:bottom w:val="single" w:sz="8" w:color="2AD2C9"/>
            </w:tcBorders>
            <w:shd w:val="clear" w:color="auto" w:fill="D9D9D9"/>
          </w:tcPr>
          <w:p>
            <w:pPr>
              <w:jc w:val="center"/>
              <w:spacing w:after="0" w:line="195" w:lineRule="exact"/>
              <w:rPr>
                <w:sz w:val="20"/>
                <w:szCs w:val="20"/>
                <w:color w:val="auto"/>
              </w:rPr>
            </w:pPr>
            <w:r>
              <w:rPr>
                <w:rFonts w:ascii="Arial" w:cs="Arial" w:eastAsia="Arial" w:hAnsi="Arial"/>
                <w:sz w:val="18"/>
                <w:szCs w:val="18"/>
                <w:color w:val="auto"/>
                <w:w w:val="96"/>
              </w:rPr>
              <w:t>7.25</w:t>
            </w:r>
          </w:p>
        </w:tc>
      </w:tr>
      <w:tr>
        <w:trPr>
          <w:trHeight w:val="175"/>
        </w:trPr>
        <w:tc>
          <w:tcPr>
            <w:tcW w:w="4040" w:type="dxa"/>
            <w:vAlign w:val="bottom"/>
          </w:tcPr>
          <w:p>
            <w:pPr>
              <w:spacing w:after="0" w:line="176" w:lineRule="exact"/>
              <w:rPr>
                <w:sz w:val="20"/>
                <w:szCs w:val="20"/>
                <w:color w:val="auto"/>
              </w:rPr>
            </w:pPr>
            <w:r>
              <w:rPr>
                <w:rFonts w:ascii="Arial" w:cs="Arial" w:eastAsia="Arial" w:hAnsi="Arial"/>
                <w:sz w:val="18"/>
                <w:szCs w:val="18"/>
                <w:color w:val="auto"/>
              </w:rPr>
              <w:t>Exchange rate, end of period</w:t>
            </w:r>
          </w:p>
        </w:tc>
        <w:tc>
          <w:tcPr>
            <w:tcW w:w="1840" w:type="dxa"/>
            <w:vAlign w:val="bottom"/>
          </w:tcPr>
          <w:p>
            <w:pPr>
              <w:jc w:val="center"/>
              <w:ind w:left="391"/>
              <w:spacing w:after="0" w:line="176" w:lineRule="exact"/>
              <w:rPr>
                <w:sz w:val="20"/>
                <w:szCs w:val="20"/>
                <w:color w:val="auto"/>
              </w:rPr>
            </w:pPr>
            <w:r>
              <w:rPr>
                <w:rFonts w:ascii="Arial" w:cs="Arial" w:eastAsia="Arial" w:hAnsi="Arial"/>
                <w:sz w:val="18"/>
                <w:szCs w:val="18"/>
                <w:color w:val="auto"/>
              </w:rPr>
              <w:t>3.37</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rPr>
              <w:t>3.31</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rPr>
              <w:t>3.62</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rPr>
              <w:t>3.99</w:t>
            </w:r>
          </w:p>
        </w:tc>
        <w:tc>
          <w:tcPr>
            <w:tcW w:w="136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color w:val="auto"/>
                <w:w w:val="96"/>
              </w:rPr>
              <w:t>3.85</w:t>
            </w:r>
          </w:p>
        </w:tc>
      </w:tr>
      <w:tr>
        <w:trPr>
          <w:trHeight w:val="220"/>
        </w:trPr>
        <w:tc>
          <w:tcPr>
            <w:tcW w:w="4040" w:type="dxa"/>
            <w:vAlign w:val="bottom"/>
            <w:tcBorders>
              <w:bottom w:val="single" w:sz="8" w:color="2AD2C9"/>
            </w:tcBorders>
          </w:tcPr>
          <w:p>
            <w:pPr>
              <w:spacing w:after="0"/>
              <w:rPr>
                <w:sz w:val="20"/>
                <w:szCs w:val="20"/>
                <w:color w:val="auto"/>
              </w:rPr>
            </w:pPr>
            <w:r>
              <w:rPr>
                <w:rFonts w:ascii="Arial" w:cs="Arial" w:eastAsia="Arial" w:hAnsi="Arial"/>
                <w:sz w:val="18"/>
                <w:szCs w:val="18"/>
                <w:color w:val="auto"/>
              </w:rPr>
              <w:t>Exchange rate, (% change)</w:t>
            </w:r>
          </w:p>
        </w:tc>
        <w:tc>
          <w:tcPr>
            <w:tcW w:w="1840" w:type="dxa"/>
            <w:vAlign w:val="bottom"/>
            <w:tcBorders>
              <w:bottom w:val="single" w:sz="8" w:color="2AD2C9"/>
            </w:tcBorders>
          </w:tcPr>
          <w:p>
            <w:pPr>
              <w:jc w:val="center"/>
              <w:ind w:left="391"/>
              <w:spacing w:after="0"/>
              <w:rPr>
                <w:sz w:val="20"/>
                <w:szCs w:val="20"/>
                <w:color w:val="auto"/>
              </w:rPr>
            </w:pPr>
            <w:r>
              <w:rPr>
                <w:rFonts w:ascii="Arial" w:cs="Arial" w:eastAsia="Arial" w:hAnsi="Arial"/>
                <w:sz w:val="18"/>
                <w:szCs w:val="18"/>
                <w:color w:val="auto"/>
                <w:w w:val="97"/>
              </w:rPr>
              <w:t>4.0%</w:t>
            </w:r>
          </w:p>
        </w:tc>
        <w:tc>
          <w:tcPr>
            <w:tcW w:w="134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-1.8%</w:t>
            </w:r>
          </w:p>
        </w:tc>
        <w:tc>
          <w:tcPr>
            <w:tcW w:w="132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7"/>
              </w:rPr>
              <w:t>9.3%</w:t>
            </w:r>
          </w:p>
        </w:tc>
        <w:tc>
          <w:tcPr>
            <w:tcW w:w="134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rPr>
              <w:t>10.3%</w:t>
            </w:r>
          </w:p>
        </w:tc>
        <w:tc>
          <w:tcPr>
            <w:tcW w:w="1360" w:type="dxa"/>
            <w:vAlign w:val="bottom"/>
            <w:tcBorders>
              <w:bottom w:val="single" w:sz="8" w:color="2AD2C9"/>
            </w:tcBorders>
            <w:shd w:val="clear" w:color="auto" w:fill="D9D9D9"/>
          </w:tcPr>
          <w:p>
            <w:pPr>
              <w:jc w:val="center"/>
              <w:spacing w:after="0"/>
              <w:rPr>
                <w:sz w:val="20"/>
                <w:szCs w:val="20"/>
                <w:color w:val="auto"/>
              </w:rPr>
            </w:pPr>
            <w:r>
              <w:rPr>
                <w:rFonts w:ascii="Arial" w:cs="Arial" w:eastAsia="Arial" w:hAnsi="Arial"/>
                <w:sz w:val="18"/>
                <w:szCs w:val="18"/>
                <w:color w:val="auto"/>
                <w:w w:val="97"/>
              </w:rPr>
              <w:t>-3.5%</w:t>
            </w:r>
          </w:p>
        </w:tc>
      </w:tr>
      <w:tr>
        <w:trPr>
          <w:trHeight w:val="194"/>
        </w:trPr>
        <w:tc>
          <w:tcPr>
            <w:tcW w:w="4040" w:type="dxa"/>
            <w:vAlign w:val="bottom"/>
            <w:tcBorders>
              <w:bottom w:val="single" w:sz="8" w:color="2AD2C9"/>
            </w:tcBorders>
          </w:tcPr>
          <w:p>
            <w:pPr>
              <w:spacing w:after="0" w:line="195" w:lineRule="exact"/>
              <w:rPr>
                <w:sz w:val="20"/>
                <w:szCs w:val="20"/>
                <w:color w:val="auto"/>
              </w:rPr>
            </w:pPr>
            <w:r>
              <w:rPr>
                <w:rFonts w:ascii="Arial" w:cs="Arial" w:eastAsia="Arial" w:hAnsi="Arial"/>
                <w:sz w:val="18"/>
                <w:szCs w:val="18"/>
                <w:color w:val="auto"/>
              </w:rPr>
              <w:t>Fiscal balance (% GDP)</w:t>
            </w:r>
          </w:p>
        </w:tc>
        <w:tc>
          <w:tcPr>
            <w:tcW w:w="1840" w:type="dxa"/>
            <w:vAlign w:val="bottom"/>
            <w:tcBorders>
              <w:bottom w:val="single" w:sz="8" w:color="2AD2C9"/>
            </w:tcBorders>
          </w:tcPr>
          <w:p>
            <w:pPr>
              <w:jc w:val="center"/>
              <w:ind w:left="391"/>
              <w:spacing w:after="0" w:line="195" w:lineRule="exact"/>
              <w:rPr>
                <w:sz w:val="20"/>
                <w:szCs w:val="20"/>
                <w:color w:val="auto"/>
              </w:rPr>
            </w:pPr>
            <w:r>
              <w:rPr>
                <w:rFonts w:ascii="Arial" w:cs="Arial" w:eastAsia="Arial" w:hAnsi="Arial"/>
                <w:sz w:val="18"/>
                <w:szCs w:val="18"/>
                <w:color w:val="auto"/>
              </w:rPr>
              <w:t>-2.3</w:t>
            </w:r>
          </w:p>
        </w:tc>
        <w:tc>
          <w:tcPr>
            <w:tcW w:w="1340" w:type="dxa"/>
            <w:vAlign w:val="bottom"/>
            <w:tcBorders>
              <w:bottom w:val="single" w:sz="8" w:color="2AD2C9"/>
            </w:tcBorders>
          </w:tcPr>
          <w:p>
            <w:pPr>
              <w:jc w:val="center"/>
              <w:spacing w:after="0" w:line="195" w:lineRule="exact"/>
              <w:rPr>
                <w:sz w:val="20"/>
                <w:szCs w:val="20"/>
                <w:color w:val="auto"/>
              </w:rPr>
            </w:pPr>
            <w:r>
              <w:rPr>
                <w:rFonts w:ascii="Arial" w:cs="Arial" w:eastAsia="Arial" w:hAnsi="Arial"/>
                <w:sz w:val="18"/>
                <w:szCs w:val="18"/>
                <w:color w:val="auto"/>
              </w:rPr>
              <w:t>-1.6</w:t>
            </w:r>
          </w:p>
        </w:tc>
        <w:tc>
          <w:tcPr>
            <w:tcW w:w="1320" w:type="dxa"/>
            <w:vAlign w:val="bottom"/>
            <w:tcBorders>
              <w:bottom w:val="single" w:sz="8" w:color="2AD2C9"/>
            </w:tcBorders>
          </w:tcPr>
          <w:p>
            <w:pPr>
              <w:jc w:val="center"/>
              <w:spacing w:after="0" w:line="195" w:lineRule="exact"/>
              <w:rPr>
                <w:sz w:val="20"/>
                <w:szCs w:val="20"/>
                <w:color w:val="auto"/>
              </w:rPr>
            </w:pPr>
            <w:r>
              <w:rPr>
                <w:rFonts w:ascii="Arial" w:cs="Arial" w:eastAsia="Arial" w:hAnsi="Arial"/>
                <w:sz w:val="18"/>
                <w:szCs w:val="18"/>
                <w:color w:val="auto"/>
              </w:rPr>
              <w:t>-8.9</w:t>
            </w:r>
          </w:p>
        </w:tc>
        <w:tc>
          <w:tcPr>
            <w:tcW w:w="1340" w:type="dxa"/>
            <w:vAlign w:val="bottom"/>
            <w:tcBorders>
              <w:bottom w:val="single" w:sz="8" w:color="2AD2C9"/>
            </w:tcBorders>
          </w:tcPr>
          <w:p>
            <w:pPr>
              <w:jc w:val="center"/>
              <w:spacing w:after="0" w:line="195" w:lineRule="exact"/>
              <w:rPr>
                <w:sz w:val="20"/>
                <w:szCs w:val="20"/>
                <w:color w:val="auto"/>
              </w:rPr>
            </w:pPr>
            <w:r>
              <w:rPr>
                <w:rFonts w:ascii="Arial" w:cs="Arial" w:eastAsia="Arial" w:hAnsi="Arial"/>
                <w:sz w:val="18"/>
                <w:szCs w:val="18"/>
                <w:color w:val="auto"/>
              </w:rPr>
              <w:t>-2.5</w:t>
            </w:r>
          </w:p>
        </w:tc>
        <w:tc>
          <w:tcPr>
            <w:tcW w:w="1360" w:type="dxa"/>
            <w:vAlign w:val="bottom"/>
            <w:tcBorders>
              <w:bottom w:val="single" w:sz="8" w:color="2AD2C9"/>
            </w:tcBorders>
            <w:shd w:val="clear" w:color="auto" w:fill="D9D9D9"/>
          </w:tcPr>
          <w:p>
            <w:pPr>
              <w:jc w:val="center"/>
              <w:spacing w:after="0" w:line="195" w:lineRule="exact"/>
              <w:rPr>
                <w:sz w:val="20"/>
                <w:szCs w:val="20"/>
                <w:color w:val="auto"/>
              </w:rPr>
            </w:pPr>
            <w:r>
              <w:rPr>
                <w:rFonts w:ascii="Arial" w:cs="Arial" w:eastAsia="Arial" w:hAnsi="Arial"/>
                <w:sz w:val="18"/>
                <w:szCs w:val="18"/>
                <w:color w:val="auto"/>
                <w:w w:val="96"/>
              </w:rPr>
              <w:t>-2.0</w:t>
            </w:r>
          </w:p>
        </w:tc>
      </w:tr>
      <w:tr>
        <w:trPr>
          <w:trHeight w:val="175"/>
        </w:trPr>
        <w:tc>
          <w:tcPr>
            <w:tcW w:w="4040" w:type="dxa"/>
            <w:vAlign w:val="bottom"/>
          </w:tcPr>
          <w:p>
            <w:pPr>
              <w:spacing w:after="0" w:line="176" w:lineRule="exact"/>
              <w:rPr>
                <w:sz w:val="20"/>
                <w:szCs w:val="20"/>
                <w:color w:val="auto"/>
              </w:rPr>
            </w:pPr>
            <w:r>
              <w:rPr>
                <w:rFonts w:ascii="Arial" w:cs="Arial" w:eastAsia="Arial" w:hAnsi="Arial"/>
                <w:sz w:val="18"/>
                <w:szCs w:val="18"/>
                <w:color w:val="auto"/>
              </w:rPr>
              <w:t>Trade balance (US$ Millions)</w:t>
            </w:r>
          </w:p>
        </w:tc>
        <w:tc>
          <w:tcPr>
            <w:tcW w:w="1840" w:type="dxa"/>
            <w:vAlign w:val="bottom"/>
          </w:tcPr>
          <w:p>
            <w:pPr>
              <w:jc w:val="center"/>
              <w:ind w:left="391"/>
              <w:spacing w:after="0" w:line="176" w:lineRule="exact"/>
              <w:rPr>
                <w:sz w:val="20"/>
                <w:szCs w:val="20"/>
                <w:color w:val="auto"/>
              </w:rPr>
            </w:pPr>
            <w:r>
              <w:rPr>
                <w:rFonts w:ascii="Arial" w:cs="Arial" w:eastAsia="Arial" w:hAnsi="Arial"/>
                <w:sz w:val="18"/>
                <w:szCs w:val="18"/>
                <w:color w:val="auto"/>
                <w:w w:val="97"/>
              </w:rPr>
              <w:t>7,201</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7"/>
              </w:rPr>
              <w:t>6,879</w:t>
            </w:r>
          </w:p>
        </w:tc>
        <w:tc>
          <w:tcPr>
            <w:tcW w:w="1320" w:type="dxa"/>
            <w:vAlign w:val="bottom"/>
          </w:tcPr>
          <w:p>
            <w:pPr>
              <w:jc w:val="center"/>
              <w:spacing w:after="0" w:line="176" w:lineRule="exact"/>
              <w:rPr>
                <w:sz w:val="20"/>
                <w:szCs w:val="20"/>
                <w:color w:val="auto"/>
              </w:rPr>
            </w:pPr>
            <w:r>
              <w:rPr>
                <w:rFonts w:ascii="Arial" w:cs="Arial" w:eastAsia="Arial" w:hAnsi="Arial"/>
                <w:sz w:val="18"/>
                <w:szCs w:val="18"/>
                <w:color w:val="auto"/>
                <w:w w:val="97"/>
              </w:rPr>
              <w:t>8,196</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rPr>
              <w:t>14,833</w:t>
            </w:r>
          </w:p>
        </w:tc>
        <w:tc>
          <w:tcPr>
            <w:tcW w:w="1360" w:type="dxa"/>
            <w:vAlign w:val="bottom"/>
            <w:shd w:val="clear" w:color="auto" w:fill="D9D9D9"/>
          </w:tcPr>
          <w:p>
            <w:pPr>
              <w:jc w:val="center"/>
              <w:spacing w:after="0" w:line="176" w:lineRule="exact"/>
              <w:rPr>
                <w:sz w:val="20"/>
                <w:szCs w:val="20"/>
                <w:color w:val="auto"/>
              </w:rPr>
            </w:pPr>
            <w:r>
              <w:rPr>
                <w:rFonts w:ascii="Arial" w:cs="Arial" w:eastAsia="Arial" w:hAnsi="Arial"/>
                <w:sz w:val="18"/>
                <w:szCs w:val="18"/>
                <w:color w:val="auto"/>
                <w:w w:val="98"/>
              </w:rPr>
              <w:t>10,500</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(As % GDP)</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w w:val="97"/>
              </w:rPr>
              <w:t>3.2%</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7"/>
              </w:rPr>
              <w:t>3.0%</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4.0%</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7"/>
              </w:rPr>
              <w:t>6.6%</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7"/>
              </w:rPr>
              <w:t>4.2%</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Exports</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rPr>
              <w:t>49,066</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47,980</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rPr>
              <w:t>42,905</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63,151</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8"/>
              </w:rPr>
              <w:t>66,900</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Imports</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rPr>
              <w:t>41,866</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41,101</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rPr>
              <w:t>34,709</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48,317</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8"/>
              </w:rPr>
              <w:t>56,400</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Current account balance (As % GDP)</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rPr>
              <w:t>-1.3%</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-0.7%</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w w:val="97"/>
              </w:rPr>
              <w:t>1.2%</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-2.3%</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7"/>
              </w:rPr>
              <w:t>-4.6%</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Net international reserves (US$ Millions)</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rPr>
              <w:t>60,121</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68,316</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rPr>
              <w:t>74,707</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78,495</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8"/>
              </w:rPr>
              <w:t>74,000</w:t>
            </w:r>
          </w:p>
        </w:tc>
      </w:tr>
      <w:tr>
        <w:trPr>
          <w:trHeight w:val="201"/>
        </w:trPr>
        <w:tc>
          <w:tcPr>
            <w:tcW w:w="4040" w:type="dxa"/>
            <w:vAlign w:val="bottom"/>
          </w:tcPr>
          <w:p>
            <w:pPr>
              <w:spacing w:after="0" w:line="201" w:lineRule="exact"/>
              <w:rPr>
                <w:sz w:val="20"/>
                <w:szCs w:val="20"/>
                <w:color w:val="auto"/>
              </w:rPr>
            </w:pPr>
            <w:r>
              <w:rPr>
                <w:rFonts w:ascii="Arial" w:cs="Arial" w:eastAsia="Arial" w:hAnsi="Arial"/>
                <w:sz w:val="18"/>
                <w:szCs w:val="18"/>
                <w:color w:val="auto"/>
              </w:rPr>
              <w:t>(As % GDP)</w:t>
            </w:r>
          </w:p>
        </w:tc>
        <w:tc>
          <w:tcPr>
            <w:tcW w:w="1840" w:type="dxa"/>
            <w:vAlign w:val="bottom"/>
          </w:tcPr>
          <w:p>
            <w:pPr>
              <w:jc w:val="center"/>
              <w:ind w:left="391"/>
              <w:spacing w:after="0" w:line="201" w:lineRule="exact"/>
              <w:rPr>
                <w:sz w:val="20"/>
                <w:szCs w:val="20"/>
                <w:color w:val="auto"/>
              </w:rPr>
            </w:pPr>
            <w:r>
              <w:rPr>
                <w:rFonts w:ascii="Arial" w:cs="Arial" w:eastAsia="Arial" w:hAnsi="Arial"/>
                <w:sz w:val="18"/>
                <w:szCs w:val="18"/>
                <w:color w:val="auto"/>
              </w:rPr>
              <w:t>26.5%</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29.4%</w:t>
            </w:r>
          </w:p>
        </w:tc>
        <w:tc>
          <w:tcPr>
            <w:tcW w:w="1320" w:type="dxa"/>
            <w:vAlign w:val="bottom"/>
          </w:tcPr>
          <w:p>
            <w:pPr>
              <w:jc w:val="center"/>
              <w:spacing w:after="0" w:line="201" w:lineRule="exact"/>
              <w:rPr>
                <w:sz w:val="20"/>
                <w:szCs w:val="20"/>
                <w:color w:val="auto"/>
              </w:rPr>
            </w:pPr>
            <w:r>
              <w:rPr>
                <w:rFonts w:ascii="Arial" w:cs="Arial" w:eastAsia="Arial" w:hAnsi="Arial"/>
                <w:sz w:val="18"/>
                <w:szCs w:val="18"/>
                <w:color w:val="auto"/>
              </w:rPr>
              <w:t>36.3%</w:t>
            </w: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rPr>
              <w:t>34.8%</w:t>
            </w:r>
          </w:p>
        </w:tc>
        <w:tc>
          <w:tcPr>
            <w:tcW w:w="1360" w:type="dxa"/>
            <w:vAlign w:val="bottom"/>
            <w:shd w:val="clear" w:color="auto" w:fill="D9D9D9"/>
          </w:tcPr>
          <w:p>
            <w:pPr>
              <w:jc w:val="center"/>
              <w:spacing w:after="0" w:line="201" w:lineRule="exact"/>
              <w:rPr>
                <w:sz w:val="20"/>
                <w:szCs w:val="20"/>
                <w:color w:val="auto"/>
              </w:rPr>
            </w:pPr>
            <w:r>
              <w:rPr>
                <w:rFonts w:ascii="Arial" w:cs="Arial" w:eastAsia="Arial" w:hAnsi="Arial"/>
                <w:sz w:val="18"/>
                <w:szCs w:val="18"/>
                <w:color w:val="auto"/>
                <w:w w:val="97"/>
              </w:rPr>
              <w:t>29.3%</w:t>
            </w:r>
          </w:p>
        </w:tc>
      </w:tr>
      <w:tr>
        <w:trPr>
          <w:trHeight w:val="220"/>
        </w:trPr>
        <w:tc>
          <w:tcPr>
            <w:tcW w:w="4040" w:type="dxa"/>
            <w:vAlign w:val="bottom"/>
            <w:tcBorders>
              <w:bottom w:val="single" w:sz="8" w:color="2AD2C9"/>
            </w:tcBorders>
          </w:tcPr>
          <w:p>
            <w:pPr>
              <w:spacing w:after="0"/>
              <w:rPr>
                <w:sz w:val="20"/>
                <w:szCs w:val="20"/>
                <w:color w:val="auto"/>
              </w:rPr>
            </w:pPr>
            <w:r>
              <w:rPr>
                <w:rFonts w:ascii="Arial" w:cs="Arial" w:eastAsia="Arial" w:hAnsi="Arial"/>
                <w:sz w:val="18"/>
                <w:szCs w:val="18"/>
                <w:color w:val="auto"/>
              </w:rPr>
              <w:t>(As months of imports)</w:t>
            </w:r>
          </w:p>
        </w:tc>
        <w:tc>
          <w:tcPr>
            <w:tcW w:w="1840" w:type="dxa"/>
            <w:vAlign w:val="bottom"/>
            <w:tcBorders>
              <w:bottom w:val="single" w:sz="8" w:color="2AD2C9"/>
            </w:tcBorders>
          </w:tcPr>
          <w:p>
            <w:pPr>
              <w:jc w:val="center"/>
              <w:ind w:left="391"/>
              <w:spacing w:after="0"/>
              <w:rPr>
                <w:sz w:val="20"/>
                <w:szCs w:val="20"/>
                <w:color w:val="auto"/>
              </w:rPr>
            </w:pPr>
            <w:r>
              <w:rPr>
                <w:rFonts w:ascii="Arial" w:cs="Arial" w:eastAsia="Arial" w:hAnsi="Arial"/>
                <w:sz w:val="18"/>
                <w:szCs w:val="18"/>
                <w:color w:val="auto"/>
                <w:w w:val="99"/>
              </w:rPr>
              <w:t>17</w:t>
            </w:r>
          </w:p>
        </w:tc>
        <w:tc>
          <w:tcPr>
            <w:tcW w:w="134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9"/>
              </w:rPr>
              <w:t>20</w:t>
            </w:r>
          </w:p>
        </w:tc>
        <w:tc>
          <w:tcPr>
            <w:tcW w:w="132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9"/>
              </w:rPr>
              <w:t>26</w:t>
            </w:r>
          </w:p>
        </w:tc>
        <w:tc>
          <w:tcPr>
            <w:tcW w:w="1340" w:type="dxa"/>
            <w:vAlign w:val="bottom"/>
            <w:tcBorders>
              <w:bottom w:val="single" w:sz="8" w:color="2AD2C9"/>
            </w:tcBorders>
          </w:tcPr>
          <w:p>
            <w:pPr>
              <w:jc w:val="center"/>
              <w:spacing w:after="0"/>
              <w:rPr>
                <w:sz w:val="20"/>
                <w:szCs w:val="20"/>
                <w:color w:val="auto"/>
              </w:rPr>
            </w:pPr>
            <w:r>
              <w:rPr>
                <w:rFonts w:ascii="Arial" w:cs="Arial" w:eastAsia="Arial" w:hAnsi="Arial"/>
                <w:sz w:val="18"/>
                <w:szCs w:val="18"/>
                <w:color w:val="auto"/>
                <w:w w:val="99"/>
              </w:rPr>
              <w:t>19</w:t>
            </w:r>
          </w:p>
        </w:tc>
        <w:tc>
          <w:tcPr>
            <w:tcW w:w="1360" w:type="dxa"/>
            <w:vAlign w:val="bottom"/>
            <w:tcBorders>
              <w:bottom w:val="single" w:sz="8" w:color="2AD2C9"/>
            </w:tcBorders>
            <w:shd w:val="clear" w:color="auto" w:fill="D9D9D9"/>
          </w:tcPr>
          <w:p>
            <w:pPr>
              <w:jc w:val="center"/>
              <w:spacing w:after="0"/>
              <w:rPr>
                <w:sz w:val="20"/>
                <w:szCs w:val="20"/>
                <w:color w:val="auto"/>
              </w:rPr>
            </w:pPr>
            <w:r>
              <w:rPr>
                <w:rFonts w:ascii="Arial" w:cs="Arial" w:eastAsia="Arial" w:hAnsi="Arial"/>
                <w:sz w:val="18"/>
                <w:szCs w:val="18"/>
                <w:color w:val="auto"/>
                <w:w w:val="99"/>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6279515</wp:posOffset>
            </wp:positionH>
            <wp:positionV relativeFrom="paragraph">
              <wp:posOffset>-2728595</wp:posOffset>
            </wp:positionV>
            <wp:extent cx="8255" cy="1276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255" cy="12763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-2728595</wp:posOffset>
            </wp:positionV>
            <wp:extent cx="8255" cy="1276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255" cy="127635"/>
                    </a:xfrm>
                    <a:prstGeom prst="rect">
                      <a:avLst/>
                    </a:prstGeom>
                    <a:noFill/>
                  </pic:spPr>
                </pic:pic>
              </a:graphicData>
            </a:graphic>
          </wp:anchor>
        </w:drawing>
        <w:drawing>
          <wp:anchor simplePos="0" relativeHeight="251657728" behindDoc="1" locked="0" layoutInCell="0" allowOverlap="1">
            <wp:simplePos x="0" y="0"/>
            <wp:positionH relativeFrom="column">
              <wp:posOffset>4578985</wp:posOffset>
            </wp:positionH>
            <wp:positionV relativeFrom="paragraph">
              <wp:posOffset>-2728595</wp:posOffset>
            </wp:positionV>
            <wp:extent cx="8255" cy="1276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255" cy="12763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-2728595</wp:posOffset>
            </wp:positionV>
            <wp:extent cx="8255" cy="1276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55" cy="127635"/>
                    </a:xfrm>
                    <a:prstGeom prst="rect">
                      <a:avLst/>
                    </a:prstGeom>
                    <a:noFill/>
                  </pic:spPr>
                </pic:pic>
              </a:graphicData>
            </a:graphic>
          </wp:anchor>
        </w:drawing>
        <w:drawing>
          <wp:anchor simplePos="0" relativeHeight="251657728" behindDoc="1" locked="0" layoutInCell="0" allowOverlap="1">
            <wp:simplePos x="0" y="0"/>
            <wp:positionH relativeFrom="column">
              <wp:posOffset>2878455</wp:posOffset>
            </wp:positionH>
            <wp:positionV relativeFrom="paragraph">
              <wp:posOffset>-2728595</wp:posOffset>
            </wp:positionV>
            <wp:extent cx="8255" cy="1276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255" cy="12763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Sources: INEI, BCRP, y SBS.</w:t>
      </w:r>
    </w:p>
    <w:p>
      <w:pPr>
        <w:spacing w:after="0" w:line="6" w:lineRule="exact"/>
        <w:rPr>
          <w:sz w:val="20"/>
          <w:szCs w:val="20"/>
          <w:color w:val="auto"/>
        </w:rPr>
      </w:pPr>
    </w:p>
    <w:p>
      <w:pPr>
        <w:ind w:left="180" w:hanging="173"/>
        <w:spacing w:after="0"/>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System, Current Exchange Rate</w:t>
      </w:r>
    </w:p>
    <w:p>
      <w:pPr>
        <w:ind w:left="180" w:hanging="173"/>
        <w:spacing w:after="0" w:line="232" w:lineRule="auto"/>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Inflation target: 1% - 3%</w:t>
      </w:r>
    </w:p>
    <w:p>
      <w:pPr>
        <w:ind w:left="180" w:hanging="173"/>
        <w:spacing w:after="0"/>
        <w:tabs>
          <w:tab w:leader="none" w:pos="18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Estimates by BCP Economic Research as of October 2022</w:t>
      </w:r>
    </w:p>
    <w:p>
      <w:pPr>
        <w:spacing w:after="0" w:line="37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43" w:name="page44"/>
    <w:bookmarkEnd w:id="43"/>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11. 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 Macroeconomic Variables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Gross Domestic Product</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1483995</wp:posOffset>
            </wp:positionH>
            <wp:positionV relativeFrom="paragraph">
              <wp:posOffset>140335</wp:posOffset>
            </wp:positionV>
            <wp:extent cx="4199890" cy="17176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99890" cy="171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color w:val="auto"/>
        </w:rPr>
        <w:t>Sources: BCRP</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2"/>
          <w:szCs w:val="12"/>
          <w:i w:val="1"/>
          <w:iCs w:val="1"/>
          <w:color w:val="auto"/>
        </w:rPr>
        <w:t>*Estimate: BCP</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3Q22, the Peruvian economy is expected to have grown 1.7% YoY (2Q22 3.3% YoY, 1Q22 3.8% YoY). Non-primary sectors are projected to have grown around 2.5% YoY, driven by the evolution of the commerce, services and construction sectors. Primary activities are expected to fall -1.2 YoY due the deterioration in July-August 2022, which was driven by a 5.2% YoY decline in metal mining production. According to INEI, the monthly index of national production grew 1.7% YoY in August which led the economy to grow 1.5% YoY in the July-August 2022.</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Inflation and Central Bank Reference Rate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1441450</wp:posOffset>
            </wp:positionH>
            <wp:positionV relativeFrom="paragraph">
              <wp:posOffset>140335</wp:posOffset>
            </wp:positionV>
            <wp:extent cx="4259580" cy="18281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59580" cy="182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2"/>
          <w:szCs w:val="12"/>
          <w:color w:val="auto"/>
        </w:rPr>
        <w:t>Sources: BCRP and INEI</w:t>
      </w:r>
    </w:p>
    <w:p>
      <w:pPr>
        <w:spacing w:after="0" w:line="13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3Q22 annual inflation rate in Metropolitan Lima closed at 8.5% YoY, after standing at 8.8% in 2Q22 the highest print since July 1997 and well above the upper limit of the BCRP's target range (1%-3%). At the end of 3Q22, core inflation (excluding food and energy) stood at 5.5% YoY (maximum in almost 22 years).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Central Reserve Bank (BCRP) began responding to the increase in inflation and price expectations by raising its reference rate from 0.25% in August 2021 to 6.75% in September 2022. The monetary authority seeks to return inflation expectations to their target range (1% to 3%), and as of September inflation expectations for the end of 2023 and 2024 are 4% and 3% respectively. On October 6th, BCRP raised its rate to a historical high of 7.0%. The next policy meeting is on November 10th.</w:t>
      </w:r>
    </w:p>
    <w:p>
      <w:pPr>
        <w:spacing w:after="0" w:line="36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44" w:name="page45"/>
    <w:bookmarkEnd w:id="44"/>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11. 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p>
      <w:pPr>
        <w:spacing w:after="0" w:line="27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b w:val="1"/>
          <w:bCs w:val="1"/>
          <w:color w:val="auto"/>
        </w:rPr>
        <w:t>Fiscal Balance and Current Account Balance</w:t>
      </w:r>
    </w:p>
    <w:p>
      <w:pPr>
        <w:spacing w:after="0" w:line="4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157480</wp:posOffset>
            </wp:positionV>
            <wp:extent cx="2959100" cy="15900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959100" cy="1590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annualized fiscal deficit for 3Q22 was -1.1% of GDP, compared to -4.7% of GDP in 3Q21. In September, the current income of the general government increased 13.6% YoY. The non-financial expenses of the general government fell 9.2% YoY with current spending falling 17.3%. This decline was attributable to an increase in direct transfers in September 2021 for “Bono Yanapay”. Over the same period, capital spending (gross capital formation and other capital spending) grew 19.4%.</w:t>
      </w:r>
    </w:p>
    <w:p>
      <w:pPr>
        <w:spacing w:after="0" w:line="200" w:lineRule="exact"/>
        <w:rPr>
          <w:sz w:val="20"/>
          <w:szCs w:val="20"/>
          <w:color w:val="auto"/>
        </w:rPr>
      </w:pPr>
    </w:p>
    <w:p>
      <w:pPr>
        <w:sectPr>
          <w:pgSz w:w="11900" w:h="16838" w:orient="portrait"/>
          <w:cols w:equalWidth="0" w:num="2">
            <w:col w:w="5120" w:space="720"/>
            <w:col w:w="5400"/>
          </w:cols>
          <w:pgMar w:left="320" w:top="4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Source: BCRP</w:t>
      </w:r>
      <w:r>
        <w:rPr>
          <w:rFonts w:ascii="Times New Roman" w:cs="Times New Roman" w:eastAsia="Times New Roman" w:hAnsi="Times New Roman"/>
          <w:sz w:val="12"/>
          <w:szCs w:val="12"/>
          <w:i w:val="1"/>
          <w:iCs w:val="1"/>
          <w:color w:val="auto"/>
        </w:rPr>
        <w: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i w:val="1"/>
          <w:iCs w:val="1"/>
          <w:color w:val="auto"/>
        </w:rPr>
        <w:t>Estimate: BCP</w:t>
      </w:r>
    </w:p>
    <w:p>
      <w:pPr>
        <w:spacing w:after="0" w:line="16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On October 20, Fitch Ratings lowered the outlook for Peru's long-term debt in foreign currency to negative from stable, with BBB. S&amp;P rates at BBB with a stable outlook. Moody's rates at Baa1 with a stable outlook.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external accounts, the current account deficit closed 2Q22 at -4.6% of GDP, and in accumulated terms for the last 4 quarters, it stood at -3.6% of GDP.</w:t>
      </w:r>
    </w:p>
    <w:p>
      <w:pPr>
        <w:spacing w:after="0" w:line="2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12-month accumulated trade surplus to August 2022, after hitting a historical high in March 2022 of USD 16.3 billion, stood at USD 13.5 billion, which represents a decrease of USD 2.2 billion compared to the 12-month accumulated to June 2022 of USD 15.7 billion. As of August 2022, in 12-month accumulated terms, exports totaled USD 68.0 billion, marginally below June 2022 USD 68.3 billion, which constituted a historical record. Imports also reached a historical record annualized to August of USD 54.6 billion.</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In August 2022, the terms of trade registered a decrease of 10.0% YoY compared to August of 2021. Import prices rose 12.3% due to higher prices for oil and derivatives as well as food and industrial inputs, while export prices rose less (1.1% YoY). Despite the decline in the latter, the terms of trade index was 8.1% higher than the level in August 2019.</w:t>
      </w:r>
    </w:p>
    <w:p>
      <w:pPr>
        <w:spacing w:after="0" w:line="199" w:lineRule="exact"/>
        <w:rPr>
          <w:sz w:val="20"/>
          <w:szCs w:val="20"/>
          <w:color w:val="auto"/>
        </w:rPr>
      </w:pPr>
    </w:p>
    <w:tbl>
      <w:tblPr>
        <w:tblLayout w:type="fixed"/>
        <w:tblInd w:w="2140" w:type="dxa"/>
        <w:tblCellMar>
          <w:top w:w="0" w:type="dxa"/>
          <w:left w:w="0" w:type="dxa"/>
          <w:bottom w:w="0" w:type="dxa"/>
          <w:right w:w="0" w:type="dxa"/>
        </w:tblCellMar>
      </w:tblPr>
      <w:tr>
        <w:trPr>
          <w:trHeight w:val="218"/>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Rate</w:t>
            </w: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According to the Central Bank. the exchange rate closed at USDPEN</w:t>
            </w: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(PEN per USD)</w:t>
            </w: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3.9820 in 3Q22 (3.826 in 2Q22; 3.676 in 1Q22; and 3.99 in 4Q21),</w:t>
            </w:r>
          </w:p>
        </w:tc>
      </w:tr>
      <w:tr>
        <w:trPr>
          <w:trHeight w:val="214"/>
        </w:trPr>
        <w:tc>
          <w:tcPr>
            <w:tcW w:w="2420" w:type="dxa"/>
            <w:vAlign w:val="bottom"/>
          </w:tcPr>
          <w:p>
            <w:pPr>
              <w:spacing w:after="0"/>
              <w:rPr>
                <w:sz w:val="18"/>
                <w:szCs w:val="18"/>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depreciating 4.1% compared to the end of 2Q22. It is important to note that</w:t>
            </w:r>
          </w:p>
        </w:tc>
      </w:tr>
      <w:tr>
        <w:trPr>
          <w:trHeight w:val="214"/>
        </w:trPr>
        <w:tc>
          <w:tcPr>
            <w:tcW w:w="2420" w:type="dxa"/>
            <w:vAlign w:val="bottom"/>
          </w:tcPr>
          <w:p>
            <w:pPr>
              <w:spacing w:after="0"/>
              <w:rPr>
                <w:sz w:val="18"/>
                <w:szCs w:val="18"/>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the region's currencies depreciated in 3Q22 versus 2Q22: the Colombian</w:t>
            </w:r>
          </w:p>
        </w:tc>
      </w:tr>
      <w:tr>
        <w:trPr>
          <w:trHeight w:val="214"/>
        </w:trPr>
        <w:tc>
          <w:tcPr>
            <w:tcW w:w="2420" w:type="dxa"/>
            <w:vAlign w:val="bottom"/>
          </w:tcPr>
          <w:p>
            <w:pPr>
              <w:spacing w:after="0"/>
              <w:rPr>
                <w:sz w:val="18"/>
                <w:szCs w:val="18"/>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Peso 11.0%, the Chilean Peso 5.5%, the Brazilian Real 3.0%, the Mexican</w:t>
            </w:r>
          </w:p>
        </w:tc>
      </w:tr>
      <w:tr>
        <w:trPr>
          <w:trHeight w:val="214"/>
        </w:trPr>
        <w:tc>
          <w:tcPr>
            <w:tcW w:w="2420" w:type="dxa"/>
            <w:vAlign w:val="bottom"/>
          </w:tcPr>
          <w:p>
            <w:pPr>
              <w:spacing w:after="0"/>
              <w:rPr>
                <w:sz w:val="18"/>
                <w:szCs w:val="18"/>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Peso 0.1%. It should be noted that as of October 21st, 2022, the USDPEN</w:t>
            </w:r>
          </w:p>
        </w:tc>
      </w:tr>
      <w:tr>
        <w:trPr>
          <w:trHeight w:val="233"/>
        </w:trPr>
        <w:tc>
          <w:tcPr>
            <w:tcW w:w="2420" w:type="dxa"/>
            <w:vAlign w:val="bottom"/>
          </w:tcPr>
          <w:p>
            <w:pPr>
              <w:spacing w:after="0"/>
              <w:rPr>
                <w:sz w:val="20"/>
                <w:szCs w:val="20"/>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stood at 3.9880.</w:t>
            </w:r>
          </w:p>
        </w:tc>
      </w:tr>
      <w:tr>
        <w:trPr>
          <w:trHeight w:val="436"/>
        </w:trPr>
        <w:tc>
          <w:tcPr>
            <w:tcW w:w="2420" w:type="dxa"/>
            <w:vAlign w:val="bottom"/>
          </w:tcPr>
          <w:p>
            <w:pPr>
              <w:spacing w:after="0"/>
              <w:rPr>
                <w:sz w:val="24"/>
                <w:szCs w:val="24"/>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Net International Reserves closed 3Q22 at USD 74.2 billion, improving</w:t>
            </w:r>
          </w:p>
        </w:tc>
      </w:tr>
      <w:tr>
        <w:trPr>
          <w:trHeight w:val="214"/>
        </w:trPr>
        <w:tc>
          <w:tcPr>
            <w:tcW w:w="2420" w:type="dxa"/>
            <w:vAlign w:val="bottom"/>
          </w:tcPr>
          <w:p>
            <w:pPr>
              <w:spacing w:after="0"/>
              <w:rPr>
                <w:sz w:val="18"/>
                <w:szCs w:val="18"/>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w w:val="99"/>
              </w:rPr>
              <w:t>from the USD 73.3 billion in 2Q22, but below the figure at the end of 2021</w:t>
            </w:r>
          </w:p>
        </w:tc>
      </w:tr>
      <w:tr>
        <w:trPr>
          <w:trHeight w:val="214"/>
        </w:trPr>
        <w:tc>
          <w:tcPr>
            <w:tcW w:w="2420" w:type="dxa"/>
            <w:vAlign w:val="bottom"/>
          </w:tcPr>
          <w:p>
            <w:pPr>
              <w:spacing w:after="0"/>
              <w:rPr>
                <w:sz w:val="18"/>
                <w:szCs w:val="18"/>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(USD78.5 billion). The Central Bank’s foreign exchange position stood at</w:t>
            </w:r>
          </w:p>
        </w:tc>
      </w:tr>
      <w:tr>
        <w:trPr>
          <w:trHeight w:val="214"/>
        </w:trPr>
        <w:tc>
          <w:tcPr>
            <w:tcW w:w="2420" w:type="dxa"/>
            <w:vAlign w:val="bottom"/>
          </w:tcPr>
          <w:p>
            <w:pPr>
              <w:spacing w:after="0"/>
              <w:rPr>
                <w:sz w:val="18"/>
                <w:szCs w:val="18"/>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USD 52.4 billion, a marginal drop of USD 0.2 billion compared to the end</w:t>
            </w:r>
          </w:p>
        </w:tc>
      </w:tr>
      <w:tr>
        <w:trPr>
          <w:trHeight w:val="233"/>
        </w:trPr>
        <w:tc>
          <w:tcPr>
            <w:tcW w:w="2420" w:type="dxa"/>
            <w:vAlign w:val="bottom"/>
          </w:tcPr>
          <w:p>
            <w:pPr>
              <w:spacing w:after="0"/>
              <w:rPr>
                <w:sz w:val="20"/>
                <w:szCs w:val="20"/>
                <w:color w:val="auto"/>
              </w:rPr>
            </w:pPr>
          </w:p>
        </w:tc>
        <w:tc>
          <w:tcPr>
            <w:tcW w:w="668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of 2Q22.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-1360170</wp:posOffset>
            </wp:positionV>
            <wp:extent cx="2678430" cy="17767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78430" cy="177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2"/>
          <w:szCs w:val="12"/>
          <w:color w:val="auto"/>
        </w:rPr>
        <w:t>Source: BCRP</w:t>
      </w:r>
    </w:p>
    <w:p>
      <w:pPr>
        <w:spacing w:after="0" w:line="33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In 3Q22, the BCRP made net sales in the spot foreign exchange market for USD 214 million, below the USD 641 million reported in 2Q22. Sales were concentrated in July with USD 114 million, and in September with USD 100 million.</w:t>
      </w:r>
    </w:p>
    <w:p>
      <w:pPr>
        <w:spacing w:after="0" w:line="3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type w:val="continuous"/>
        </w:sectPr>
      </w:pPr>
    </w:p>
    <w:bookmarkStart w:id="45" w:name="page46"/>
    <w:bookmarkEnd w:id="45"/>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Safe Harbor for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21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203" w:lineRule="exact"/>
        <w:rPr>
          <w:sz w:val="20"/>
          <w:szCs w:val="20"/>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natural disasters or political or social instability in Peru;</w:t>
      </w:r>
    </w:p>
    <w:p>
      <w:pPr>
        <w:spacing w:after="0" w:line="26" w:lineRule="exact"/>
        <w:rPr>
          <w:rFonts w:ascii="Times New Roman" w:cs="Times New Roman" w:eastAsia="Times New Roman" w:hAnsi="Times New Roman"/>
          <w:sz w:val="18"/>
          <w:szCs w:val="18"/>
          <w:color w:val="auto"/>
        </w:rPr>
      </w:pPr>
    </w:p>
    <w:p>
      <w:pPr>
        <w:ind w:right="20" w:firstLine="7"/>
        <w:spacing w:after="0" w:line="248" w:lineRule="auto"/>
        <w:tabs>
          <w:tab w:leader="none" w:pos="12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dividends that our subsidiaries are able to pay to us, which may affect our ability to pay dividends to shareholders and corporate expenses;</w:t>
      </w: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and volatility in, financial markets, including Latin-American and other markets;</w:t>
      </w:r>
    </w:p>
    <w:p>
      <w:pPr>
        <w:spacing w:after="0" w:line="7"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severity and types of insured loss events;</w:t>
      </w:r>
    </w:p>
    <w:p>
      <w:pPr>
        <w:spacing w:after="0" w:line="7"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 levels;</w:t>
      </w:r>
    </w:p>
    <w:p>
      <w:pPr>
        <w:spacing w:after="0" w:line="7"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rates, including the Sol/US Dollar exchange rate;</w:t>
      </w:r>
    </w:p>
    <w:p>
      <w:pPr>
        <w:spacing w:after="0" w:line="7"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quality of our loan portfolio;</w:t>
      </w:r>
    </w:p>
    <w:p>
      <w:pPr>
        <w:spacing w:after="0" w:line="7"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levels of competition in Peru and other markets in which we operate;</w:t>
      </w:r>
    </w:p>
    <w:p>
      <w:pPr>
        <w:spacing w:after="0" w:line="7"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and changes in laws and regulations affecting the financial sector and adoption of new international guidelines;</w:t>
      </w:r>
    </w:p>
    <w:p>
      <w:pPr>
        <w:spacing w:after="0" w:line="7"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policies of central banks and/or foreign governments;</w:t>
      </w:r>
    </w:p>
    <w:p>
      <w:pPr>
        <w:spacing w:after="0" w:line="7"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risk management policies and of our operational and security systems;</w:t>
      </w:r>
    </w:p>
    <w:p>
      <w:pPr>
        <w:spacing w:after="0" w:line="7" w:lineRule="exact"/>
        <w:rPr>
          <w:rFonts w:ascii="Times New Roman" w:cs="Times New Roman" w:eastAsia="Times New Roman" w:hAnsi="Times New Roman"/>
          <w:sz w:val="18"/>
          <w:szCs w:val="18"/>
          <w:color w:val="auto"/>
        </w:rPr>
      </w:pP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associated with counterparty exposures;</w:t>
      </w:r>
    </w:p>
    <w:p>
      <w:pPr>
        <w:spacing w:after="0" w:line="7" w:lineRule="exact"/>
        <w:rPr>
          <w:rFonts w:ascii="Times New Roman" w:cs="Times New Roman" w:eastAsia="Times New Roman" w:hAnsi="Times New Roman"/>
          <w:sz w:val="18"/>
          <w:szCs w:val="18"/>
          <w:color w:val="auto"/>
        </w:rPr>
      </w:pPr>
    </w:p>
    <w:p>
      <w:pPr>
        <w:ind w:right="20" w:firstLine="7"/>
        <w:spacing w:after="0" w:line="248" w:lineRule="auto"/>
        <w:tabs>
          <w:tab w:leader="none" w:pos="1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the coronavirus (“COVID-19”) outbreak, actions taken to contain the COVID-19 and related economic effects from such actions and our ability to maintain adequate staffing; and</w:t>
      </w:r>
    </w:p>
    <w:p>
      <w:pPr>
        <w:ind w:left="120" w:hanging="113"/>
        <w:spacing w:after="0"/>
        <w:tabs>
          <w:tab w:leader="none" w:pos="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Bermuda laws and regulations applicable to so-called non-resident entities.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See “Item 3. Key Information—3.D Risk Factors” and “Item 5. Operating and Financial Review and Prospects” in our most recent Annual Report on Form 20-F filed with the U.S. Securities and Exchange Commission for additional information and other such factors.</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hereof and are based only on information currently available to us. Therefore, you should not rely on any of these forward-looking statements. 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37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46" w:name="page47"/>
    <w:bookmarkEnd w:id="46"/>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52"/>
          <w:szCs w:val="52"/>
          <w:b w:val="1"/>
          <w:bCs w:val="1"/>
          <w:color w:val="E93CAC"/>
        </w:rPr>
        <w:t xml:space="preserve">12 </w:t>
      </w:r>
      <w:r>
        <w:rPr>
          <w:rFonts w:ascii="Times New Roman" w:cs="Times New Roman" w:eastAsia="Times New Roman" w:hAnsi="Times New Roman"/>
          <w:sz w:val="32"/>
          <w:szCs w:val="32"/>
          <w:b w:val="1"/>
          <w:bCs w:val="1"/>
          <w:color w:val="E93CAC"/>
        </w:rPr>
        <w:t>Appendix</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0" w:type="dxa"/>
            <w:vAlign w:val="bottom"/>
          </w:tcPr>
          <w:p>
            <w:pPr>
              <w:ind w:left="60"/>
              <w:spacing w:after="0"/>
              <w:rPr>
                <w:sz w:val="20"/>
                <w:szCs w:val="20"/>
                <w:color w:val="auto"/>
              </w:rPr>
            </w:pPr>
            <w:r>
              <w:rPr>
                <w:rFonts w:ascii="Arial" w:cs="Arial" w:eastAsia="Arial" w:hAnsi="Arial"/>
                <w:sz w:val="20"/>
                <w:szCs w:val="20"/>
                <w:b w:val="1"/>
                <w:bCs w:val="1"/>
                <w:color w:val="auto"/>
                <w:w w:val="98"/>
              </w:rPr>
              <w:t>12.1.</w:t>
            </w:r>
          </w:p>
        </w:tc>
        <w:tc>
          <w:tcPr>
            <w:tcW w:w="7400" w:type="dxa"/>
            <w:vAlign w:val="bottom"/>
          </w:tcPr>
          <w:p>
            <w:pPr>
              <w:ind w:left="40"/>
              <w:spacing w:after="0"/>
              <w:rPr>
                <w:sz w:val="20"/>
                <w:szCs w:val="20"/>
                <w:color w:val="auto"/>
              </w:rPr>
            </w:pPr>
            <w:r>
              <w:rPr>
                <w:rFonts w:ascii="Arial" w:cs="Arial" w:eastAsia="Arial" w:hAnsi="Arial"/>
                <w:sz w:val="20"/>
                <w:szCs w:val="20"/>
                <w:b w:val="1"/>
                <w:bCs w:val="1"/>
                <w:color w:val="auto"/>
              </w:rPr>
              <w:t>Physical Channels</w:t>
            </w:r>
          </w:p>
        </w:tc>
        <w:tc>
          <w:tcPr>
            <w:tcW w:w="33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21"/>
        </w:trPr>
        <w:tc>
          <w:tcPr>
            <w:tcW w:w="520" w:type="dxa"/>
            <w:vAlign w:val="bottom"/>
          </w:tcPr>
          <w:p>
            <w:pPr>
              <w:ind w:left="60"/>
              <w:spacing w:after="0"/>
              <w:rPr>
                <w:sz w:val="20"/>
                <w:szCs w:val="20"/>
                <w:color w:val="auto"/>
              </w:rPr>
            </w:pPr>
            <w:r>
              <w:rPr>
                <w:rFonts w:ascii="Arial" w:cs="Arial" w:eastAsia="Arial" w:hAnsi="Arial"/>
                <w:sz w:val="20"/>
                <w:szCs w:val="20"/>
                <w:b w:val="1"/>
                <w:bCs w:val="1"/>
                <w:color w:val="auto"/>
                <w:w w:val="98"/>
              </w:rPr>
              <w:t>12.2.</w:t>
            </w:r>
          </w:p>
        </w:tc>
        <w:tc>
          <w:tcPr>
            <w:tcW w:w="7400" w:type="dxa"/>
            <w:vAlign w:val="bottom"/>
          </w:tcPr>
          <w:p>
            <w:pPr>
              <w:ind w:left="40"/>
              <w:spacing w:after="0"/>
              <w:rPr>
                <w:sz w:val="20"/>
                <w:szCs w:val="20"/>
                <w:color w:val="auto"/>
              </w:rPr>
            </w:pPr>
            <w:r>
              <w:rPr>
                <w:rFonts w:ascii="Arial" w:cs="Arial" w:eastAsia="Arial" w:hAnsi="Arial"/>
                <w:sz w:val="20"/>
                <w:szCs w:val="20"/>
                <w:b w:val="1"/>
                <w:bCs w:val="1"/>
                <w:color w:val="auto"/>
              </w:rPr>
              <w:t>Loan Portfolio Quality</w:t>
            </w:r>
          </w:p>
        </w:tc>
        <w:tc>
          <w:tcPr>
            <w:tcW w:w="33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321"/>
        </w:trPr>
        <w:tc>
          <w:tcPr>
            <w:tcW w:w="7920" w:type="dxa"/>
            <w:vAlign w:val="bottom"/>
            <w:gridSpan w:val="2"/>
          </w:tcPr>
          <w:p>
            <w:pPr>
              <w:ind w:left="60"/>
              <w:spacing w:after="0"/>
              <w:rPr>
                <w:sz w:val="20"/>
                <w:szCs w:val="20"/>
                <w:color w:val="auto"/>
              </w:rPr>
            </w:pPr>
            <w:r>
              <w:rPr>
                <w:rFonts w:ascii="Arial" w:cs="Arial" w:eastAsia="Arial" w:hAnsi="Arial"/>
                <w:sz w:val="20"/>
                <w:szCs w:val="20"/>
                <w:b w:val="1"/>
                <w:bCs w:val="1"/>
                <w:color w:val="auto"/>
              </w:rPr>
              <w:t>12.3 Net Interest Income (INI)</w:t>
            </w:r>
          </w:p>
        </w:tc>
        <w:tc>
          <w:tcPr>
            <w:tcW w:w="3320" w:type="dxa"/>
            <w:vAlign w:val="bottom"/>
          </w:tcPr>
          <w:p>
            <w:pPr>
              <w:jc w:val="right"/>
              <w:spacing w:after="0"/>
              <w:rPr>
                <w:sz w:val="20"/>
                <w:szCs w:val="20"/>
                <w:color w:val="auto"/>
              </w:rPr>
            </w:pPr>
            <w:r>
              <w:rPr>
                <w:rFonts w:ascii="Arial" w:cs="Arial" w:eastAsia="Arial" w:hAnsi="Arial"/>
                <w:sz w:val="20"/>
                <w:szCs w:val="20"/>
                <w:color w:val="auto"/>
              </w:rPr>
              <w:t>50</w:t>
            </w:r>
          </w:p>
        </w:tc>
      </w:tr>
      <w:tr>
        <w:trPr>
          <w:trHeight w:val="321"/>
        </w:trPr>
        <w:tc>
          <w:tcPr>
            <w:tcW w:w="520" w:type="dxa"/>
            <w:vAlign w:val="bottom"/>
          </w:tcPr>
          <w:p>
            <w:pPr>
              <w:ind w:left="60"/>
              <w:spacing w:after="0"/>
              <w:rPr>
                <w:sz w:val="20"/>
                <w:szCs w:val="20"/>
                <w:color w:val="auto"/>
              </w:rPr>
            </w:pPr>
            <w:r>
              <w:rPr>
                <w:rFonts w:ascii="Arial" w:cs="Arial" w:eastAsia="Arial" w:hAnsi="Arial"/>
                <w:sz w:val="20"/>
                <w:szCs w:val="20"/>
                <w:b w:val="1"/>
                <w:bCs w:val="1"/>
                <w:color w:val="auto"/>
                <w:w w:val="98"/>
              </w:rPr>
              <w:t>12.4.</w:t>
            </w:r>
          </w:p>
        </w:tc>
        <w:tc>
          <w:tcPr>
            <w:tcW w:w="7400" w:type="dxa"/>
            <w:vAlign w:val="bottom"/>
          </w:tcPr>
          <w:p>
            <w:pPr>
              <w:ind w:left="40"/>
              <w:spacing w:after="0"/>
              <w:rPr>
                <w:sz w:val="20"/>
                <w:szCs w:val="20"/>
                <w:color w:val="auto"/>
              </w:rPr>
            </w:pPr>
            <w:r>
              <w:rPr>
                <w:rFonts w:ascii="Arial" w:cs="Arial" w:eastAsia="Arial" w:hAnsi="Arial"/>
                <w:sz w:val="20"/>
                <w:szCs w:val="20"/>
                <w:b w:val="1"/>
                <w:bCs w:val="1"/>
                <w:color w:val="auto"/>
              </w:rPr>
              <w:t>Regulatory Capital</w:t>
            </w:r>
          </w:p>
        </w:tc>
        <w:tc>
          <w:tcPr>
            <w:tcW w:w="3320" w:type="dxa"/>
            <w:vAlign w:val="bottom"/>
          </w:tcPr>
          <w:p>
            <w:pPr>
              <w:jc w:val="right"/>
              <w:spacing w:after="0"/>
              <w:rPr>
                <w:sz w:val="20"/>
                <w:szCs w:val="20"/>
                <w:color w:val="auto"/>
              </w:rPr>
            </w:pPr>
            <w:r>
              <w:rPr>
                <w:rFonts w:ascii="Arial" w:cs="Arial" w:eastAsia="Arial" w:hAnsi="Arial"/>
                <w:sz w:val="20"/>
                <w:szCs w:val="20"/>
                <w:color w:val="auto"/>
              </w:rPr>
              <w:t>51</w:t>
            </w:r>
          </w:p>
        </w:tc>
      </w:tr>
      <w:tr>
        <w:trPr>
          <w:trHeight w:val="321"/>
        </w:trPr>
        <w:tc>
          <w:tcPr>
            <w:tcW w:w="520" w:type="dxa"/>
            <w:vAlign w:val="bottom"/>
          </w:tcPr>
          <w:p>
            <w:pPr>
              <w:ind w:left="60"/>
              <w:spacing w:after="0"/>
              <w:rPr>
                <w:sz w:val="20"/>
                <w:szCs w:val="20"/>
                <w:color w:val="auto"/>
              </w:rPr>
            </w:pPr>
            <w:r>
              <w:rPr>
                <w:rFonts w:ascii="Arial" w:cs="Arial" w:eastAsia="Arial" w:hAnsi="Arial"/>
                <w:sz w:val="20"/>
                <w:szCs w:val="20"/>
                <w:b w:val="1"/>
                <w:bCs w:val="1"/>
                <w:color w:val="auto"/>
                <w:w w:val="98"/>
              </w:rPr>
              <w:t>12.5.</w:t>
            </w:r>
          </w:p>
        </w:tc>
        <w:tc>
          <w:tcPr>
            <w:tcW w:w="7400" w:type="dxa"/>
            <w:vAlign w:val="bottom"/>
          </w:tcPr>
          <w:p>
            <w:pPr>
              <w:ind w:left="40"/>
              <w:spacing w:after="0"/>
              <w:rPr>
                <w:sz w:val="20"/>
                <w:szCs w:val="20"/>
                <w:color w:val="auto"/>
              </w:rPr>
            </w:pPr>
            <w:r>
              <w:rPr>
                <w:rFonts w:ascii="Arial" w:cs="Arial" w:eastAsia="Arial" w:hAnsi="Arial"/>
                <w:sz w:val="20"/>
                <w:szCs w:val="20"/>
                <w:b w:val="1"/>
                <w:bCs w:val="1"/>
                <w:color w:val="auto"/>
              </w:rPr>
              <w:t>Financial Statements and Ratios by Business</w:t>
            </w:r>
          </w:p>
        </w:tc>
        <w:tc>
          <w:tcPr>
            <w:tcW w:w="33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21"/>
        </w:trPr>
        <w:tc>
          <w:tcPr>
            <w:tcW w:w="7920" w:type="dxa"/>
            <w:vAlign w:val="bottom"/>
            <w:gridSpan w:val="2"/>
          </w:tcPr>
          <w:p>
            <w:pPr>
              <w:ind w:left="220"/>
              <w:spacing w:after="0"/>
              <w:rPr>
                <w:sz w:val="20"/>
                <w:szCs w:val="20"/>
                <w:color w:val="auto"/>
              </w:rPr>
            </w:pPr>
            <w:r>
              <w:rPr>
                <w:rFonts w:ascii="Arial" w:cs="Arial" w:eastAsia="Arial" w:hAnsi="Arial"/>
                <w:sz w:val="20"/>
                <w:szCs w:val="20"/>
                <w:b w:val="1"/>
                <w:bCs w:val="1"/>
                <w:color w:val="auto"/>
              </w:rPr>
              <w:t>12.5.1. Credicorp Consolidated</w:t>
            </w:r>
          </w:p>
        </w:tc>
        <w:tc>
          <w:tcPr>
            <w:tcW w:w="33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321"/>
        </w:trPr>
        <w:tc>
          <w:tcPr>
            <w:tcW w:w="7920" w:type="dxa"/>
            <w:vAlign w:val="bottom"/>
            <w:gridSpan w:val="2"/>
          </w:tcPr>
          <w:p>
            <w:pPr>
              <w:ind w:left="220"/>
              <w:spacing w:after="0"/>
              <w:rPr>
                <w:sz w:val="20"/>
                <w:szCs w:val="20"/>
                <w:color w:val="auto"/>
              </w:rPr>
            </w:pPr>
            <w:r>
              <w:rPr>
                <w:rFonts w:ascii="Arial" w:cs="Arial" w:eastAsia="Arial" w:hAnsi="Arial"/>
                <w:sz w:val="20"/>
                <w:szCs w:val="20"/>
                <w:b w:val="1"/>
                <w:bCs w:val="1"/>
                <w:color w:val="auto"/>
              </w:rPr>
              <w:t>12.5.2. Credicorp Stand-alone</w:t>
            </w:r>
          </w:p>
        </w:tc>
        <w:tc>
          <w:tcPr>
            <w:tcW w:w="3320" w:type="dxa"/>
            <w:vAlign w:val="bottom"/>
          </w:tcPr>
          <w:p>
            <w:pPr>
              <w:jc w:val="right"/>
              <w:spacing w:after="0"/>
              <w:rPr>
                <w:sz w:val="20"/>
                <w:szCs w:val="20"/>
                <w:color w:val="auto"/>
              </w:rPr>
            </w:pPr>
            <w:r>
              <w:rPr>
                <w:rFonts w:ascii="Arial" w:cs="Arial" w:eastAsia="Arial" w:hAnsi="Arial"/>
                <w:sz w:val="20"/>
                <w:szCs w:val="20"/>
                <w:color w:val="auto"/>
              </w:rPr>
              <w:t>56</w:t>
            </w:r>
          </w:p>
        </w:tc>
      </w:tr>
      <w:tr>
        <w:trPr>
          <w:trHeight w:val="321"/>
        </w:trPr>
        <w:tc>
          <w:tcPr>
            <w:tcW w:w="7920" w:type="dxa"/>
            <w:vAlign w:val="bottom"/>
            <w:gridSpan w:val="2"/>
          </w:tcPr>
          <w:p>
            <w:pPr>
              <w:ind w:left="220"/>
              <w:spacing w:after="0"/>
              <w:rPr>
                <w:sz w:val="20"/>
                <w:szCs w:val="20"/>
                <w:color w:val="auto"/>
              </w:rPr>
            </w:pPr>
            <w:r>
              <w:rPr>
                <w:rFonts w:ascii="Arial" w:cs="Arial" w:eastAsia="Arial" w:hAnsi="Arial"/>
                <w:sz w:val="20"/>
                <w:szCs w:val="20"/>
                <w:b w:val="1"/>
                <w:bCs w:val="1"/>
                <w:color w:val="auto"/>
              </w:rPr>
              <w:t>12.5.3. BCP Consolidated</w:t>
            </w:r>
          </w:p>
        </w:tc>
        <w:tc>
          <w:tcPr>
            <w:tcW w:w="33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21"/>
        </w:trPr>
        <w:tc>
          <w:tcPr>
            <w:tcW w:w="7920" w:type="dxa"/>
            <w:vAlign w:val="bottom"/>
            <w:gridSpan w:val="2"/>
          </w:tcPr>
          <w:p>
            <w:pPr>
              <w:ind w:left="220"/>
              <w:spacing w:after="0"/>
              <w:rPr>
                <w:sz w:val="20"/>
                <w:szCs w:val="20"/>
                <w:color w:val="auto"/>
              </w:rPr>
            </w:pPr>
            <w:r>
              <w:rPr>
                <w:rFonts w:ascii="Arial" w:cs="Arial" w:eastAsia="Arial" w:hAnsi="Arial"/>
                <w:sz w:val="20"/>
                <w:szCs w:val="20"/>
                <w:b w:val="1"/>
                <w:bCs w:val="1"/>
                <w:color w:val="auto"/>
              </w:rPr>
              <w:t>12.5.4. BCP Stand-alone</w:t>
            </w:r>
          </w:p>
        </w:tc>
        <w:tc>
          <w:tcPr>
            <w:tcW w:w="33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321"/>
        </w:trPr>
        <w:tc>
          <w:tcPr>
            <w:tcW w:w="7920" w:type="dxa"/>
            <w:vAlign w:val="bottom"/>
            <w:gridSpan w:val="2"/>
          </w:tcPr>
          <w:p>
            <w:pPr>
              <w:ind w:left="220"/>
              <w:spacing w:after="0"/>
              <w:rPr>
                <w:sz w:val="20"/>
                <w:szCs w:val="20"/>
                <w:color w:val="auto"/>
              </w:rPr>
            </w:pPr>
            <w:r>
              <w:rPr>
                <w:rFonts w:ascii="Arial" w:cs="Arial" w:eastAsia="Arial" w:hAnsi="Arial"/>
                <w:sz w:val="20"/>
                <w:szCs w:val="20"/>
                <w:b w:val="1"/>
                <w:bCs w:val="1"/>
                <w:color w:val="auto"/>
              </w:rPr>
              <w:t>12.5.5. BCP Bolivia</w:t>
            </w:r>
          </w:p>
        </w:tc>
        <w:tc>
          <w:tcPr>
            <w:tcW w:w="33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321"/>
        </w:trPr>
        <w:tc>
          <w:tcPr>
            <w:tcW w:w="7920" w:type="dxa"/>
            <w:vAlign w:val="bottom"/>
            <w:gridSpan w:val="2"/>
          </w:tcPr>
          <w:p>
            <w:pPr>
              <w:ind w:left="220"/>
              <w:spacing w:after="0"/>
              <w:rPr>
                <w:sz w:val="20"/>
                <w:szCs w:val="20"/>
                <w:color w:val="auto"/>
              </w:rPr>
            </w:pPr>
            <w:r>
              <w:rPr>
                <w:rFonts w:ascii="Arial" w:cs="Arial" w:eastAsia="Arial" w:hAnsi="Arial"/>
                <w:sz w:val="20"/>
                <w:szCs w:val="20"/>
                <w:b w:val="1"/>
                <w:bCs w:val="1"/>
                <w:color w:val="auto"/>
              </w:rPr>
              <w:t>12.5.6. Mibanco</w:t>
            </w:r>
          </w:p>
        </w:tc>
        <w:tc>
          <w:tcPr>
            <w:tcW w:w="33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321"/>
        </w:trPr>
        <w:tc>
          <w:tcPr>
            <w:tcW w:w="7920" w:type="dxa"/>
            <w:vAlign w:val="bottom"/>
            <w:gridSpan w:val="2"/>
          </w:tcPr>
          <w:p>
            <w:pPr>
              <w:ind w:left="220"/>
              <w:spacing w:after="0"/>
              <w:rPr>
                <w:sz w:val="20"/>
                <w:szCs w:val="20"/>
                <w:color w:val="auto"/>
              </w:rPr>
            </w:pPr>
            <w:r>
              <w:rPr>
                <w:rFonts w:ascii="Arial" w:cs="Arial" w:eastAsia="Arial" w:hAnsi="Arial"/>
                <w:sz w:val="20"/>
                <w:szCs w:val="20"/>
                <w:b w:val="1"/>
                <w:bCs w:val="1"/>
                <w:color w:val="auto"/>
              </w:rPr>
              <w:t>12.5.7. Prima AFP</w:t>
            </w:r>
          </w:p>
        </w:tc>
        <w:tc>
          <w:tcPr>
            <w:tcW w:w="33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21"/>
        </w:trPr>
        <w:tc>
          <w:tcPr>
            <w:tcW w:w="7920" w:type="dxa"/>
            <w:vAlign w:val="bottom"/>
            <w:gridSpan w:val="2"/>
          </w:tcPr>
          <w:p>
            <w:pPr>
              <w:ind w:left="220"/>
              <w:spacing w:after="0"/>
              <w:rPr>
                <w:sz w:val="20"/>
                <w:szCs w:val="20"/>
                <w:color w:val="auto"/>
              </w:rPr>
            </w:pPr>
            <w:r>
              <w:rPr>
                <w:rFonts w:ascii="Arial" w:cs="Arial" w:eastAsia="Arial" w:hAnsi="Arial"/>
                <w:sz w:val="20"/>
                <w:szCs w:val="20"/>
                <w:b w:val="1"/>
                <w:bCs w:val="1"/>
                <w:color w:val="auto"/>
              </w:rPr>
              <w:t>12.5.8. Grupo Pacifico</w:t>
            </w:r>
          </w:p>
        </w:tc>
        <w:tc>
          <w:tcPr>
            <w:tcW w:w="332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321"/>
        </w:trPr>
        <w:tc>
          <w:tcPr>
            <w:tcW w:w="7920" w:type="dxa"/>
            <w:vAlign w:val="bottom"/>
            <w:gridSpan w:val="2"/>
          </w:tcPr>
          <w:p>
            <w:pPr>
              <w:ind w:left="220"/>
              <w:spacing w:after="0"/>
              <w:rPr>
                <w:sz w:val="20"/>
                <w:szCs w:val="20"/>
                <w:color w:val="auto"/>
              </w:rPr>
            </w:pPr>
            <w:r>
              <w:rPr>
                <w:rFonts w:ascii="Arial" w:cs="Arial" w:eastAsia="Arial" w:hAnsi="Arial"/>
                <w:sz w:val="20"/>
                <w:szCs w:val="20"/>
                <w:b w:val="1"/>
                <w:bCs w:val="1"/>
                <w:color w:val="auto"/>
              </w:rPr>
              <w:t>12.5.9. Investment Banking &amp; Wealth Management</w:t>
            </w:r>
          </w:p>
        </w:tc>
        <w:tc>
          <w:tcPr>
            <w:tcW w:w="33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21"/>
        </w:trPr>
        <w:tc>
          <w:tcPr>
            <w:tcW w:w="520" w:type="dxa"/>
            <w:vAlign w:val="bottom"/>
          </w:tcPr>
          <w:p>
            <w:pPr>
              <w:ind w:left="60"/>
              <w:spacing w:after="0"/>
              <w:rPr>
                <w:sz w:val="20"/>
                <w:szCs w:val="20"/>
                <w:color w:val="auto"/>
              </w:rPr>
            </w:pPr>
            <w:r>
              <w:rPr>
                <w:rFonts w:ascii="Arial" w:cs="Arial" w:eastAsia="Arial" w:hAnsi="Arial"/>
                <w:sz w:val="20"/>
                <w:szCs w:val="20"/>
                <w:b w:val="1"/>
                <w:bCs w:val="1"/>
                <w:color w:val="auto"/>
                <w:w w:val="98"/>
              </w:rPr>
              <w:t>12.6.</w:t>
            </w:r>
          </w:p>
        </w:tc>
        <w:tc>
          <w:tcPr>
            <w:tcW w:w="7400" w:type="dxa"/>
            <w:vAlign w:val="bottom"/>
          </w:tcPr>
          <w:p>
            <w:pPr>
              <w:ind w:left="40"/>
              <w:spacing w:after="0"/>
              <w:rPr>
                <w:sz w:val="20"/>
                <w:szCs w:val="20"/>
                <w:color w:val="auto"/>
              </w:rPr>
            </w:pPr>
            <w:r>
              <w:rPr>
                <w:rFonts w:ascii="Arial" w:cs="Arial" w:eastAsia="Arial" w:hAnsi="Arial"/>
                <w:sz w:val="20"/>
                <w:szCs w:val="20"/>
                <w:b w:val="1"/>
                <w:bCs w:val="1"/>
                <w:color w:val="auto"/>
              </w:rPr>
              <w:t>Table of calculations</w:t>
            </w:r>
          </w:p>
        </w:tc>
        <w:tc>
          <w:tcPr>
            <w:tcW w:w="3320" w:type="dxa"/>
            <w:vAlign w:val="bottom"/>
          </w:tcPr>
          <w:p>
            <w:pPr>
              <w:jc w:val="right"/>
              <w:spacing w:after="0"/>
              <w:rPr>
                <w:sz w:val="20"/>
                <w:szCs w:val="20"/>
                <w:color w:val="auto"/>
              </w:rPr>
            </w:pPr>
            <w:r>
              <w:rPr>
                <w:rFonts w:ascii="Arial" w:cs="Arial" w:eastAsia="Arial" w:hAnsi="Arial"/>
                <w:sz w:val="20"/>
                <w:szCs w:val="20"/>
                <w:color w:val="auto"/>
              </w:rPr>
              <w:t>68</w:t>
            </w:r>
          </w:p>
        </w:tc>
      </w:tr>
      <w:tr>
        <w:trPr>
          <w:trHeight w:val="321"/>
        </w:trPr>
        <w:tc>
          <w:tcPr>
            <w:tcW w:w="520" w:type="dxa"/>
            <w:vAlign w:val="bottom"/>
          </w:tcPr>
          <w:p>
            <w:pPr>
              <w:ind w:left="60"/>
              <w:spacing w:after="0"/>
              <w:rPr>
                <w:sz w:val="20"/>
                <w:szCs w:val="20"/>
                <w:color w:val="auto"/>
              </w:rPr>
            </w:pPr>
            <w:r>
              <w:rPr>
                <w:rFonts w:ascii="Arial" w:cs="Arial" w:eastAsia="Arial" w:hAnsi="Arial"/>
                <w:sz w:val="20"/>
                <w:szCs w:val="20"/>
                <w:b w:val="1"/>
                <w:bCs w:val="1"/>
                <w:color w:val="auto"/>
                <w:w w:val="98"/>
              </w:rPr>
              <w:t>12.7.</w:t>
            </w:r>
          </w:p>
        </w:tc>
        <w:tc>
          <w:tcPr>
            <w:tcW w:w="7400" w:type="dxa"/>
            <w:vAlign w:val="bottom"/>
          </w:tcPr>
          <w:p>
            <w:pPr>
              <w:ind w:left="40"/>
              <w:spacing w:after="0"/>
              <w:rPr>
                <w:sz w:val="20"/>
                <w:szCs w:val="20"/>
                <w:color w:val="auto"/>
              </w:rPr>
            </w:pPr>
            <w:r>
              <w:rPr>
                <w:rFonts w:ascii="Arial" w:cs="Arial" w:eastAsia="Arial" w:hAnsi="Arial"/>
                <w:sz w:val="20"/>
                <w:szCs w:val="20"/>
                <w:b w:val="1"/>
                <w:bCs w:val="1"/>
                <w:color w:val="auto"/>
              </w:rPr>
              <w:t>Glossary of terms</w:t>
            </w:r>
          </w:p>
        </w:tc>
        <w:tc>
          <w:tcPr>
            <w:tcW w:w="3320" w:type="dxa"/>
            <w:vAlign w:val="bottom"/>
          </w:tcPr>
          <w:p>
            <w:pPr>
              <w:jc w:val="right"/>
              <w:spacing w:after="0"/>
              <w:rPr>
                <w:sz w:val="20"/>
                <w:szCs w:val="20"/>
                <w:color w:val="auto"/>
              </w:rPr>
            </w:pPr>
            <w:r>
              <w:rPr>
                <w:rFonts w:ascii="Arial" w:cs="Arial" w:eastAsia="Arial" w:hAnsi="Arial"/>
                <w:sz w:val="20"/>
                <w:szCs w:val="20"/>
                <w:color w:val="auto"/>
              </w:rPr>
              <w:t>69</w:t>
            </w:r>
          </w:p>
        </w:tc>
      </w:tr>
      <w:tr>
        <w:trPr>
          <w:trHeight w:val="586"/>
        </w:trPr>
        <w:tc>
          <w:tcPr>
            <w:tcW w:w="5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45"/>
        </w:trPr>
        <w:tc>
          <w:tcPr>
            <w:tcW w:w="520" w:type="dxa"/>
            <w:vAlign w:val="bottom"/>
            <w:tcBorders>
              <w:bottom w:val="single" w:sz="8" w:color="auto"/>
            </w:tcBorders>
          </w:tcPr>
          <w:p>
            <w:pPr>
              <w:spacing w:after="0"/>
              <w:rPr>
                <w:sz w:val="3"/>
                <w:szCs w:val="3"/>
                <w:color w:val="auto"/>
              </w:rPr>
            </w:pPr>
          </w:p>
        </w:tc>
        <w:tc>
          <w:tcPr>
            <w:tcW w:w="740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451" w:right="339" w:bottom="1440" w:gutter="0" w:footer="0" w:header="0"/>
        </w:sectPr>
      </w:pPr>
    </w:p>
    <w:bookmarkStart w:id="47" w:name="page48"/>
    <w:bookmarkEnd w:id="47"/>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 Physical Point of contact</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080" w:type="dxa"/>
            <w:vAlign w:val="bottom"/>
            <w:tcBorders>
              <w:top w:val="single" w:sz="8" w:color="auto"/>
              <w:left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Physical Point of Contact</w:t>
            </w:r>
          </w:p>
        </w:tc>
        <w:tc>
          <w:tcPr>
            <w:tcW w:w="1240" w:type="dxa"/>
            <w:vAlign w:val="bottom"/>
            <w:tcBorders>
              <w:top w:val="single" w:sz="8" w:color="auto"/>
            </w:tcBorders>
            <w:shd w:val="clear" w:color="auto" w:fill="2AD2C9"/>
          </w:tcPr>
          <w:p>
            <w:pPr>
              <w:spacing w:after="0"/>
              <w:rPr>
                <w:sz w:val="18"/>
                <w:szCs w:val="18"/>
                <w:color w:val="auto"/>
              </w:rPr>
            </w:pPr>
          </w:p>
        </w:tc>
        <w:tc>
          <w:tcPr>
            <w:tcW w:w="124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rPr>
              <w:t>As of</w:t>
            </w:r>
          </w:p>
        </w:tc>
        <w:tc>
          <w:tcPr>
            <w:tcW w:w="1280" w:type="dxa"/>
            <w:vAlign w:val="bottom"/>
            <w:tcBorders>
              <w:top w:val="single" w:sz="8" w:color="auto"/>
              <w:right w:val="single" w:sz="8" w:color="auto"/>
            </w:tcBorders>
            <w:shd w:val="clear" w:color="auto" w:fill="2AD2C9"/>
          </w:tcPr>
          <w:p>
            <w:pPr>
              <w:spacing w:after="0"/>
              <w:rPr>
                <w:sz w:val="18"/>
                <w:szCs w:val="18"/>
                <w:color w:val="auto"/>
              </w:rPr>
            </w:pPr>
          </w:p>
        </w:tc>
        <w:tc>
          <w:tcPr>
            <w:tcW w:w="2400" w:type="dxa"/>
            <w:vAlign w:val="bottom"/>
            <w:tcBorders>
              <w:top w:val="single" w:sz="8" w:color="auto"/>
              <w:right w:val="single" w:sz="8" w:color="auto"/>
            </w:tcBorders>
            <w:gridSpan w:val="2"/>
            <w:shd w:val="clear" w:color="auto" w:fill="2AD2C9"/>
          </w:tcPr>
          <w:p>
            <w:pPr>
              <w:ind w:left="580"/>
              <w:spacing w:after="0"/>
              <w:rPr>
                <w:sz w:val="20"/>
                <w:szCs w:val="20"/>
                <w:color w:val="auto"/>
              </w:rPr>
            </w:pPr>
            <w:r>
              <w:rPr>
                <w:rFonts w:ascii="Arial" w:cs="Arial" w:eastAsia="Arial" w:hAnsi="Arial"/>
                <w:sz w:val="18"/>
                <w:szCs w:val="18"/>
                <w:b w:val="1"/>
                <w:bCs w:val="1"/>
                <w:color w:val="FFFFFF"/>
              </w:rPr>
              <w:t>change (units)</w:t>
            </w:r>
          </w:p>
        </w:tc>
      </w:tr>
      <w:tr>
        <w:trPr>
          <w:trHeight w:val="226"/>
        </w:trPr>
        <w:tc>
          <w:tcPr>
            <w:tcW w:w="508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18"/>
                <w:szCs w:val="18"/>
                <w:b w:val="1"/>
                <w:bCs w:val="1"/>
                <w:color w:val="FFFFFF"/>
              </w:rPr>
              <w:t>(Units)</w:t>
            </w:r>
          </w:p>
        </w:tc>
        <w:tc>
          <w:tcPr>
            <w:tcW w:w="124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18"/>
                <w:szCs w:val="18"/>
                <w:b w:val="1"/>
                <w:bCs w:val="1"/>
                <w:color w:val="FFFFFF"/>
              </w:rPr>
              <w:t>Sep 21</w:t>
            </w:r>
          </w:p>
        </w:tc>
        <w:tc>
          <w:tcPr>
            <w:tcW w:w="12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Jun 22</w:t>
            </w:r>
          </w:p>
        </w:tc>
        <w:tc>
          <w:tcPr>
            <w:tcW w:w="128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8"/>
                <w:szCs w:val="18"/>
                <w:b w:val="1"/>
                <w:bCs w:val="1"/>
                <w:color w:val="FFFFFF"/>
              </w:rPr>
              <w:t>Sep 22</w:t>
            </w:r>
          </w:p>
        </w:tc>
        <w:tc>
          <w:tcPr>
            <w:tcW w:w="1200" w:type="dxa"/>
            <w:vAlign w:val="bottom"/>
            <w:tcBorders>
              <w:bottom w:val="single" w:sz="8" w:color="auto"/>
            </w:tcBorders>
            <w:shd w:val="clear" w:color="auto" w:fill="2AD2C9"/>
          </w:tcPr>
          <w:p>
            <w:pPr>
              <w:ind w:left="420"/>
              <w:spacing w:after="0"/>
              <w:rPr>
                <w:sz w:val="20"/>
                <w:szCs w:val="20"/>
                <w:color w:val="auto"/>
              </w:rPr>
            </w:pPr>
            <w:r>
              <w:rPr>
                <w:rFonts w:ascii="Arial" w:cs="Arial" w:eastAsia="Arial" w:hAnsi="Arial"/>
                <w:sz w:val="18"/>
                <w:szCs w:val="18"/>
                <w:b w:val="1"/>
                <w:bCs w:val="1"/>
                <w:color w:val="FFFFFF"/>
              </w:rPr>
              <w:t>QoQ</w:t>
            </w:r>
          </w:p>
        </w:tc>
        <w:tc>
          <w:tcPr>
            <w:tcW w:w="1200" w:type="dxa"/>
            <w:vAlign w:val="bottom"/>
            <w:tcBorders>
              <w:bottom w:val="single" w:sz="8" w:color="auto"/>
              <w:right w:val="single" w:sz="8" w:color="auto"/>
            </w:tcBorders>
            <w:shd w:val="clear" w:color="auto" w:fill="2AD2C9"/>
          </w:tcPr>
          <w:p>
            <w:pPr>
              <w:ind w:left="440"/>
              <w:spacing w:after="0"/>
              <w:rPr>
                <w:sz w:val="20"/>
                <w:szCs w:val="20"/>
                <w:color w:val="auto"/>
              </w:rPr>
            </w:pPr>
            <w:r>
              <w:rPr>
                <w:rFonts w:ascii="Arial" w:cs="Arial" w:eastAsia="Arial" w:hAnsi="Arial"/>
                <w:sz w:val="18"/>
                <w:szCs w:val="18"/>
                <w:b w:val="1"/>
                <w:bCs w:val="1"/>
                <w:color w:val="FFFFFF"/>
              </w:rPr>
              <w:t>YoY</w:t>
            </w:r>
          </w:p>
        </w:tc>
      </w:tr>
      <w:tr>
        <w:trPr>
          <w:trHeight w:val="182"/>
        </w:trPr>
        <w:tc>
          <w:tcPr>
            <w:tcW w:w="5080" w:type="dxa"/>
            <w:vAlign w:val="bottom"/>
            <w:tcBorders>
              <w:left w:val="single" w:sz="8" w:color="auto"/>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Branches</w:t>
            </w:r>
          </w:p>
        </w:tc>
        <w:tc>
          <w:tcPr>
            <w:tcW w:w="1240" w:type="dxa"/>
            <w:vAlign w:val="bottom"/>
          </w:tcPr>
          <w:p>
            <w:pPr>
              <w:jc w:val="center"/>
              <w:spacing w:after="0" w:line="182" w:lineRule="exact"/>
              <w:rPr>
                <w:sz w:val="20"/>
                <w:szCs w:val="20"/>
                <w:color w:val="auto"/>
              </w:rPr>
            </w:pPr>
            <w:r>
              <w:rPr>
                <w:rFonts w:ascii="Arial" w:cs="Arial" w:eastAsia="Arial" w:hAnsi="Arial"/>
                <w:sz w:val="18"/>
                <w:szCs w:val="18"/>
                <w:color w:val="auto"/>
                <w:w w:val="99"/>
              </w:rPr>
              <w:t>721</w:t>
            </w:r>
          </w:p>
        </w:tc>
        <w:tc>
          <w:tcPr>
            <w:tcW w:w="1240" w:type="dxa"/>
            <w:vAlign w:val="bottom"/>
          </w:tcPr>
          <w:p>
            <w:pPr>
              <w:jc w:val="center"/>
              <w:spacing w:after="0" w:line="182" w:lineRule="exact"/>
              <w:rPr>
                <w:sz w:val="20"/>
                <w:szCs w:val="20"/>
                <w:color w:val="auto"/>
              </w:rPr>
            </w:pPr>
            <w:r>
              <w:rPr>
                <w:rFonts w:ascii="Arial" w:cs="Arial" w:eastAsia="Arial" w:hAnsi="Arial"/>
                <w:sz w:val="18"/>
                <w:szCs w:val="18"/>
                <w:color w:val="auto"/>
                <w:w w:val="99"/>
              </w:rPr>
              <w:t>691</w:t>
            </w:r>
          </w:p>
        </w:tc>
        <w:tc>
          <w:tcPr>
            <w:tcW w:w="128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681</w:t>
            </w:r>
          </w:p>
        </w:tc>
        <w:tc>
          <w:tcPr>
            <w:tcW w:w="1200" w:type="dxa"/>
            <w:vAlign w:val="bottom"/>
          </w:tcPr>
          <w:p>
            <w:pPr>
              <w:jc w:val="center"/>
              <w:spacing w:after="0" w:line="182" w:lineRule="exact"/>
              <w:rPr>
                <w:sz w:val="20"/>
                <w:szCs w:val="20"/>
                <w:color w:val="auto"/>
              </w:rPr>
            </w:pPr>
            <w:r>
              <w:rPr>
                <w:rFonts w:ascii="Arial" w:cs="Arial" w:eastAsia="Arial" w:hAnsi="Arial"/>
                <w:sz w:val="18"/>
                <w:szCs w:val="18"/>
                <w:color w:val="auto"/>
                <w:w w:val="99"/>
              </w:rPr>
              <w:t>-10</w:t>
            </w:r>
          </w:p>
        </w:tc>
        <w:tc>
          <w:tcPr>
            <w:tcW w:w="12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-40</w:t>
            </w:r>
          </w:p>
        </w:tc>
      </w:tr>
      <w:tr>
        <w:trPr>
          <w:trHeight w:val="201"/>
        </w:trPr>
        <w:tc>
          <w:tcPr>
            <w:tcW w:w="508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ATMs</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7"/>
              </w:rPr>
              <w:t>2,554</w:t>
            </w: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7"/>
              </w:rPr>
              <w:t>2,540</w:t>
            </w:r>
          </w:p>
        </w:tc>
        <w:tc>
          <w:tcPr>
            <w:tcW w:w="12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2,598</w:t>
            </w:r>
          </w:p>
        </w:tc>
        <w:tc>
          <w:tcPr>
            <w:tcW w:w="1200" w:type="dxa"/>
            <w:vAlign w:val="bottom"/>
          </w:tcPr>
          <w:p>
            <w:pPr>
              <w:jc w:val="center"/>
              <w:spacing w:after="0" w:line="201" w:lineRule="exact"/>
              <w:rPr>
                <w:sz w:val="20"/>
                <w:szCs w:val="20"/>
                <w:color w:val="auto"/>
              </w:rPr>
            </w:pPr>
            <w:r>
              <w:rPr>
                <w:rFonts w:ascii="Arial" w:cs="Arial" w:eastAsia="Arial" w:hAnsi="Arial"/>
                <w:sz w:val="18"/>
                <w:szCs w:val="18"/>
                <w:color w:val="auto"/>
                <w:w w:val="99"/>
              </w:rPr>
              <w:t>58</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44</w:t>
            </w:r>
          </w:p>
        </w:tc>
      </w:tr>
      <w:tr>
        <w:trPr>
          <w:trHeight w:val="226"/>
        </w:trPr>
        <w:tc>
          <w:tcPr>
            <w:tcW w:w="50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Agentes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7,896</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9,863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10,525</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662</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2,629</w:t>
            </w:r>
          </w:p>
        </w:tc>
      </w:tr>
      <w:tr>
        <w:trPr>
          <w:trHeight w:val="208"/>
        </w:trPr>
        <w:tc>
          <w:tcPr>
            <w:tcW w:w="5080" w:type="dxa"/>
            <w:vAlign w:val="bottom"/>
            <w:tcBorders>
              <w:left w:val="single" w:sz="8" w:color="auto"/>
              <w:bottom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b w:val="1"/>
                <w:bCs w:val="1"/>
                <w:color w:val="auto"/>
              </w:rPr>
              <w:t>Total</w:t>
            </w:r>
          </w:p>
        </w:tc>
        <w:tc>
          <w:tcPr>
            <w:tcW w:w="12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11,171</w:t>
            </w:r>
          </w:p>
        </w:tc>
        <w:tc>
          <w:tcPr>
            <w:tcW w:w="12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13,094</w:t>
            </w:r>
          </w:p>
        </w:tc>
        <w:tc>
          <w:tcPr>
            <w:tcW w:w="128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13,804</w:t>
            </w:r>
          </w:p>
        </w:tc>
        <w:tc>
          <w:tcPr>
            <w:tcW w:w="12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710</w:t>
            </w:r>
          </w:p>
        </w:tc>
        <w:tc>
          <w:tcPr>
            <w:tcW w:w="120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2,633</w:t>
            </w: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12.2. Loan Portfolio Quality</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Loan Portfolio Quality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1211580</wp:posOffset>
            </wp:positionH>
            <wp:positionV relativeFrom="paragraph">
              <wp:posOffset>104775</wp:posOffset>
            </wp:positionV>
            <wp:extent cx="4727575" cy="2541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727575" cy="254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Government Program (GP) Loan Portfolio Quality (in Quarter-end Balances)</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960" w:type="dxa"/>
            <w:vAlign w:val="bottom"/>
            <w:tcBorders>
              <w:top w:val="single" w:sz="8" w:color="auto"/>
              <w:left w:val="single" w:sz="8" w:color="auto"/>
              <w:right w:val="single" w:sz="8" w:color="auto"/>
            </w:tcBorders>
            <w:shd w:val="clear" w:color="auto" w:fill="2AD2C9"/>
          </w:tcPr>
          <w:p>
            <w:pPr>
              <w:ind w:left="40"/>
              <w:spacing w:after="0" w:line="217" w:lineRule="exact"/>
              <w:rPr>
                <w:sz w:val="20"/>
                <w:szCs w:val="20"/>
                <w:color w:val="auto"/>
              </w:rPr>
            </w:pPr>
            <w:r>
              <w:rPr>
                <w:rFonts w:ascii="Arial" w:cs="Arial" w:eastAsia="Arial" w:hAnsi="Arial"/>
                <w:sz w:val="16"/>
                <w:szCs w:val="16"/>
                <w:b w:val="1"/>
                <w:bCs w:val="1"/>
                <w:color w:val="FFFFFF"/>
              </w:rPr>
              <w:t xml:space="preserve">GP Portfolio quality and Delinquency ratios </w:t>
            </w:r>
            <w:r>
              <w:rPr>
                <w:rFonts w:ascii="Arial" w:cs="Arial" w:eastAsia="Arial" w:hAnsi="Arial"/>
                <w:sz w:val="25"/>
                <w:szCs w:val="25"/>
                <w:b w:val="1"/>
                <w:bCs w:val="1"/>
                <w:color w:val="FFFFFF"/>
                <w:vertAlign w:val="superscript"/>
              </w:rPr>
              <w:t>(1)</w:t>
            </w:r>
          </w:p>
        </w:tc>
        <w:tc>
          <w:tcPr>
            <w:tcW w:w="1240" w:type="dxa"/>
            <w:vAlign w:val="bottom"/>
            <w:tcBorders>
              <w:top w:val="single" w:sz="8" w:color="auto"/>
            </w:tcBorders>
            <w:shd w:val="clear" w:color="auto" w:fill="2AD2C9"/>
          </w:tcPr>
          <w:p>
            <w:pPr>
              <w:spacing w:after="0"/>
              <w:rPr>
                <w:sz w:val="18"/>
                <w:szCs w:val="18"/>
                <w:color w:val="auto"/>
              </w:rPr>
            </w:pPr>
          </w:p>
        </w:tc>
        <w:tc>
          <w:tcPr>
            <w:tcW w:w="126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5"/>
              </w:rPr>
              <w:t>As of</w:t>
            </w:r>
          </w:p>
        </w:tc>
        <w:tc>
          <w:tcPr>
            <w:tcW w:w="1280" w:type="dxa"/>
            <w:vAlign w:val="bottom"/>
            <w:tcBorders>
              <w:top w:val="single" w:sz="8" w:color="auto"/>
              <w:right w:val="single" w:sz="8" w:color="auto"/>
            </w:tcBorders>
            <w:shd w:val="clear" w:color="auto" w:fill="2AD2C9"/>
          </w:tcPr>
          <w:p>
            <w:pPr>
              <w:spacing w:after="0"/>
              <w:rPr>
                <w:sz w:val="18"/>
                <w:szCs w:val="18"/>
                <w:color w:val="auto"/>
              </w:rPr>
            </w:pPr>
          </w:p>
        </w:tc>
        <w:tc>
          <w:tcPr>
            <w:tcW w:w="2500" w:type="dxa"/>
            <w:vAlign w:val="bottom"/>
            <w:tcBorders>
              <w:top w:val="single" w:sz="8" w:color="auto"/>
              <w:right w:val="single" w:sz="8" w:color="auto"/>
            </w:tcBorders>
            <w:gridSpan w:val="2"/>
            <w:vMerge w:val="restart"/>
            <w:shd w:val="clear" w:color="auto" w:fill="2AD2C9"/>
          </w:tcPr>
          <w:p>
            <w:pPr>
              <w:ind w:left="780"/>
              <w:spacing w:after="0"/>
              <w:rPr>
                <w:sz w:val="20"/>
                <w:szCs w:val="20"/>
                <w:color w:val="auto"/>
              </w:rPr>
            </w:pPr>
            <w:r>
              <w:rPr>
                <w:rFonts w:ascii="Arial" w:cs="Arial" w:eastAsia="Arial" w:hAnsi="Arial"/>
                <w:sz w:val="20"/>
                <w:szCs w:val="20"/>
                <w:b w:val="1"/>
                <w:bCs w:val="1"/>
                <w:color w:val="FFFFFF"/>
              </w:rPr>
              <w:t>% change</w:t>
            </w:r>
          </w:p>
        </w:tc>
        <w:tc>
          <w:tcPr>
            <w:tcW w:w="0" w:type="dxa"/>
            <w:vAlign w:val="bottom"/>
          </w:tcPr>
          <w:p>
            <w:pPr>
              <w:spacing w:after="0"/>
              <w:rPr>
                <w:sz w:val="1"/>
                <w:szCs w:val="1"/>
                <w:color w:val="auto"/>
              </w:rPr>
            </w:pPr>
          </w:p>
        </w:tc>
      </w:tr>
      <w:tr>
        <w:trPr>
          <w:trHeight w:val="163"/>
        </w:trPr>
        <w:tc>
          <w:tcPr>
            <w:tcW w:w="4960" w:type="dxa"/>
            <w:vAlign w:val="bottom"/>
            <w:tcBorders>
              <w:left w:val="single" w:sz="8" w:color="auto"/>
              <w:right w:val="single" w:sz="8" w:color="auto"/>
            </w:tcBorders>
            <w:vMerge w:val="restart"/>
            <w:shd w:val="clear" w:color="auto" w:fill="2AD2C9"/>
          </w:tcPr>
          <w:p>
            <w:pPr>
              <w:ind w:left="40"/>
              <w:spacing w:after="0"/>
              <w:rPr>
                <w:sz w:val="20"/>
                <w:szCs w:val="20"/>
                <w:color w:val="auto"/>
              </w:rPr>
            </w:pPr>
            <w:r>
              <w:rPr>
                <w:rFonts w:ascii="Arial" w:cs="Arial" w:eastAsia="Arial" w:hAnsi="Arial"/>
                <w:sz w:val="20"/>
                <w:szCs w:val="20"/>
                <w:b w:val="1"/>
                <w:bCs w:val="1"/>
                <w:color w:val="FFFFFF"/>
              </w:rPr>
              <w:t>S/000</w:t>
            </w:r>
          </w:p>
        </w:tc>
        <w:tc>
          <w:tcPr>
            <w:tcW w:w="1240" w:type="dxa"/>
            <w:vAlign w:val="bottom"/>
            <w:shd w:val="clear" w:color="auto" w:fill="2AD2C9"/>
          </w:tcPr>
          <w:p>
            <w:pPr>
              <w:spacing w:after="0"/>
              <w:rPr>
                <w:sz w:val="14"/>
                <w:szCs w:val="14"/>
                <w:color w:val="auto"/>
              </w:rPr>
            </w:pPr>
          </w:p>
        </w:tc>
        <w:tc>
          <w:tcPr>
            <w:tcW w:w="1260" w:type="dxa"/>
            <w:vAlign w:val="bottom"/>
            <w:vMerge w:val="continue"/>
            <w:shd w:val="clear" w:color="auto" w:fill="2AD2C9"/>
          </w:tcPr>
          <w:p>
            <w:pPr>
              <w:spacing w:after="0"/>
              <w:rPr>
                <w:sz w:val="14"/>
                <w:szCs w:val="14"/>
                <w:color w:val="auto"/>
              </w:rPr>
            </w:pPr>
          </w:p>
        </w:tc>
        <w:tc>
          <w:tcPr>
            <w:tcW w:w="1280" w:type="dxa"/>
            <w:vAlign w:val="bottom"/>
            <w:tcBorders>
              <w:right w:val="single" w:sz="8" w:color="auto"/>
            </w:tcBorders>
            <w:shd w:val="clear" w:color="auto" w:fill="2AD2C9"/>
          </w:tcPr>
          <w:p>
            <w:pPr>
              <w:spacing w:after="0"/>
              <w:rPr>
                <w:sz w:val="14"/>
                <w:szCs w:val="14"/>
                <w:color w:val="auto"/>
              </w:rPr>
            </w:pPr>
          </w:p>
        </w:tc>
        <w:tc>
          <w:tcPr>
            <w:tcW w:w="2500" w:type="dxa"/>
            <w:vAlign w:val="bottom"/>
            <w:tcBorders>
              <w:right w:val="single" w:sz="8" w:color="auto"/>
            </w:tcBorders>
            <w:gridSpan w:val="2"/>
            <w:vMerge w:val="continue"/>
            <w:shd w:val="clear" w:color="auto" w:fill="2AD2C9"/>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4960" w:type="dxa"/>
            <w:vAlign w:val="bottom"/>
            <w:tcBorders>
              <w:left w:val="single" w:sz="8" w:color="auto"/>
              <w:right w:val="single" w:sz="8" w:color="auto"/>
            </w:tcBorders>
            <w:vMerge w:val="continue"/>
            <w:shd w:val="clear" w:color="auto" w:fill="2AD2C9"/>
          </w:tcPr>
          <w:p>
            <w:pPr>
              <w:spacing w:after="0"/>
              <w:rPr>
                <w:sz w:val="9"/>
                <w:szCs w:val="9"/>
                <w:color w:val="auto"/>
              </w:rPr>
            </w:pPr>
          </w:p>
        </w:tc>
        <w:tc>
          <w:tcPr>
            <w:tcW w:w="1240" w:type="dxa"/>
            <w:vAlign w:val="bottom"/>
            <w:vMerge w:val="restart"/>
            <w:shd w:val="clear" w:color="auto" w:fill="2AD2C9"/>
          </w:tcPr>
          <w:p>
            <w:pPr>
              <w:ind w:left="300"/>
              <w:spacing w:after="0"/>
              <w:rPr>
                <w:sz w:val="20"/>
                <w:szCs w:val="20"/>
                <w:color w:val="auto"/>
              </w:rPr>
            </w:pPr>
            <w:r>
              <w:rPr>
                <w:rFonts w:ascii="Arial" w:cs="Arial" w:eastAsia="Arial" w:hAnsi="Arial"/>
                <w:sz w:val="20"/>
                <w:szCs w:val="20"/>
                <w:b w:val="1"/>
                <w:bCs w:val="1"/>
                <w:color w:val="FFFFFF"/>
              </w:rPr>
              <w:t>Sep 21</w:t>
            </w:r>
          </w:p>
        </w:tc>
        <w:tc>
          <w:tcPr>
            <w:tcW w:w="1260" w:type="dxa"/>
            <w:vAlign w:val="bottom"/>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7"/>
              </w:rPr>
              <w:t>Jun 22</w:t>
            </w:r>
          </w:p>
        </w:tc>
        <w:tc>
          <w:tcPr>
            <w:tcW w:w="1280" w:type="dxa"/>
            <w:vAlign w:val="bottom"/>
            <w:tcBorders>
              <w:right w:val="single" w:sz="8" w:color="auto"/>
            </w:tcBorders>
            <w:vMerge w:val="restart"/>
            <w:shd w:val="clear" w:color="auto" w:fill="2AD2C9"/>
          </w:tcPr>
          <w:p>
            <w:pPr>
              <w:ind w:left="320"/>
              <w:spacing w:after="0"/>
              <w:rPr>
                <w:sz w:val="20"/>
                <w:szCs w:val="20"/>
                <w:color w:val="auto"/>
              </w:rPr>
            </w:pPr>
            <w:r>
              <w:rPr>
                <w:rFonts w:ascii="Arial" w:cs="Arial" w:eastAsia="Arial" w:hAnsi="Arial"/>
                <w:sz w:val="20"/>
                <w:szCs w:val="20"/>
                <w:b w:val="1"/>
                <w:bCs w:val="1"/>
                <w:color w:val="FFFFFF"/>
              </w:rPr>
              <w:t>Sep 22</w:t>
            </w:r>
          </w:p>
        </w:tc>
        <w:tc>
          <w:tcPr>
            <w:tcW w:w="1240" w:type="dxa"/>
            <w:vAlign w:val="bottom"/>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rPr>
              <w:t>QoQ</w:t>
            </w:r>
          </w:p>
        </w:tc>
        <w:tc>
          <w:tcPr>
            <w:tcW w:w="126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2"/>
              </w:rPr>
              <w:t>YoY</w:t>
            </w:r>
          </w:p>
        </w:tc>
        <w:tc>
          <w:tcPr>
            <w:tcW w:w="0" w:type="dxa"/>
            <w:vAlign w:val="bottom"/>
          </w:tcPr>
          <w:p>
            <w:pPr>
              <w:spacing w:after="0"/>
              <w:rPr>
                <w:sz w:val="1"/>
                <w:szCs w:val="1"/>
                <w:color w:val="auto"/>
              </w:rPr>
            </w:pPr>
          </w:p>
        </w:tc>
      </w:tr>
      <w:tr>
        <w:trPr>
          <w:trHeight w:val="189"/>
        </w:trPr>
        <w:tc>
          <w:tcPr>
            <w:tcW w:w="4960" w:type="dxa"/>
            <w:vAlign w:val="bottom"/>
            <w:tcBorders>
              <w:left w:val="single" w:sz="8" w:color="auto"/>
              <w:bottom w:val="single" w:sz="8" w:color="auto"/>
              <w:right w:val="single" w:sz="8" w:color="auto"/>
            </w:tcBorders>
            <w:shd w:val="clear" w:color="auto" w:fill="2AD2C9"/>
          </w:tcPr>
          <w:p>
            <w:pPr>
              <w:spacing w:after="0"/>
              <w:rPr>
                <w:sz w:val="16"/>
                <w:szCs w:val="16"/>
                <w:color w:val="auto"/>
              </w:rPr>
            </w:pPr>
          </w:p>
        </w:tc>
        <w:tc>
          <w:tcPr>
            <w:tcW w:w="1240" w:type="dxa"/>
            <w:vAlign w:val="bottom"/>
            <w:tcBorders>
              <w:bottom w:val="single" w:sz="8" w:color="auto"/>
            </w:tcBorders>
            <w:vMerge w:val="continue"/>
            <w:shd w:val="clear" w:color="auto" w:fill="2AD2C9"/>
          </w:tcPr>
          <w:p>
            <w:pPr>
              <w:spacing w:after="0"/>
              <w:rPr>
                <w:sz w:val="16"/>
                <w:szCs w:val="16"/>
                <w:color w:val="auto"/>
              </w:rPr>
            </w:pPr>
          </w:p>
        </w:tc>
        <w:tc>
          <w:tcPr>
            <w:tcW w:w="1260" w:type="dxa"/>
            <w:vAlign w:val="bottom"/>
            <w:tcBorders>
              <w:bottom w:val="single" w:sz="8" w:color="auto"/>
            </w:tcBorders>
            <w:vMerge w:val="continue"/>
            <w:shd w:val="clear" w:color="auto" w:fill="2AD2C9"/>
          </w:tcPr>
          <w:p>
            <w:pPr>
              <w:spacing w:after="0"/>
              <w:rPr>
                <w:sz w:val="16"/>
                <w:szCs w:val="16"/>
                <w:color w:val="auto"/>
              </w:rPr>
            </w:pPr>
          </w:p>
        </w:tc>
        <w:tc>
          <w:tcPr>
            <w:tcW w:w="128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1240" w:type="dxa"/>
            <w:vAlign w:val="bottom"/>
            <w:tcBorders>
              <w:bottom w:val="single" w:sz="8" w:color="auto"/>
            </w:tcBorders>
            <w:vMerge w:val="continue"/>
            <w:shd w:val="clear" w:color="auto" w:fill="2AD2C9"/>
          </w:tcPr>
          <w:p>
            <w:pPr>
              <w:spacing w:after="0"/>
              <w:rPr>
                <w:sz w:val="16"/>
                <w:szCs w:val="16"/>
                <w:color w:val="auto"/>
              </w:rPr>
            </w:pPr>
          </w:p>
        </w:tc>
        <w:tc>
          <w:tcPr>
            <w:tcW w:w="1260" w:type="dxa"/>
            <w:vAlign w:val="bottom"/>
            <w:tcBorders>
              <w:bottom w:val="single" w:sz="8" w:color="auto"/>
              <w:right w:val="single" w:sz="8" w:color="auto"/>
            </w:tcBorders>
            <w:vMerge w:val="continue"/>
            <w:shd w:val="clear" w:color="auto" w:fill="2AD2C9"/>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96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GP Total loans (Quarter-end balance)</w:t>
            </w:r>
          </w:p>
        </w:tc>
        <w:tc>
          <w:tcPr>
            <w:tcW w:w="12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21,022,603</w:t>
            </w:r>
          </w:p>
        </w:tc>
        <w:tc>
          <w:tcPr>
            <w:tcW w:w="126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14,647,803</w:t>
            </w:r>
          </w:p>
        </w:tc>
        <w:tc>
          <w:tcPr>
            <w:tcW w:w="128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12,300,175</w:t>
            </w:r>
          </w:p>
        </w:tc>
        <w:tc>
          <w:tcPr>
            <w:tcW w:w="12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rPr>
              <w:t>-16.0%</w:t>
            </w:r>
          </w:p>
        </w:tc>
        <w:tc>
          <w:tcPr>
            <w:tcW w:w="12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-41.5%</w:t>
            </w:r>
          </w:p>
        </w:tc>
        <w:tc>
          <w:tcPr>
            <w:tcW w:w="0" w:type="dxa"/>
            <w:vAlign w:val="bottom"/>
          </w:tcPr>
          <w:p>
            <w:pPr>
              <w:spacing w:after="0"/>
              <w:rPr>
                <w:sz w:val="1"/>
                <w:szCs w:val="1"/>
                <w:color w:val="auto"/>
              </w:rPr>
            </w:pPr>
          </w:p>
        </w:tc>
      </w:tr>
      <w:tr>
        <w:trPr>
          <w:trHeight w:val="221"/>
        </w:trPr>
        <w:tc>
          <w:tcPr>
            <w:tcW w:w="496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GP Allowance for loan losses</w:t>
            </w:r>
          </w:p>
        </w:tc>
        <w:tc>
          <w:tcPr>
            <w:tcW w:w="12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142,519</w:t>
            </w:r>
          </w:p>
        </w:tc>
        <w:tc>
          <w:tcPr>
            <w:tcW w:w="126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194,144</w:t>
            </w:r>
          </w:p>
        </w:tc>
        <w:tc>
          <w:tcPr>
            <w:tcW w:w="128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274,672</w:t>
            </w:r>
          </w:p>
        </w:tc>
        <w:tc>
          <w:tcPr>
            <w:tcW w:w="12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41.5%</w:t>
            </w:r>
          </w:p>
        </w:tc>
        <w:tc>
          <w:tcPr>
            <w:tcW w:w="12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92.7%</w:t>
            </w:r>
          </w:p>
        </w:tc>
        <w:tc>
          <w:tcPr>
            <w:tcW w:w="0" w:type="dxa"/>
            <w:vAlign w:val="bottom"/>
          </w:tcPr>
          <w:p>
            <w:pPr>
              <w:spacing w:after="0"/>
              <w:rPr>
                <w:sz w:val="1"/>
                <w:szCs w:val="1"/>
                <w:color w:val="auto"/>
              </w:rPr>
            </w:pPr>
          </w:p>
        </w:tc>
      </w:tr>
      <w:tr>
        <w:trPr>
          <w:trHeight w:val="221"/>
        </w:trPr>
        <w:tc>
          <w:tcPr>
            <w:tcW w:w="496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GP IOLs</w:t>
            </w:r>
          </w:p>
        </w:tc>
        <w:tc>
          <w:tcPr>
            <w:tcW w:w="12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726,132</w:t>
            </w:r>
          </w:p>
        </w:tc>
        <w:tc>
          <w:tcPr>
            <w:tcW w:w="126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941,731</w:t>
            </w:r>
          </w:p>
        </w:tc>
        <w:tc>
          <w:tcPr>
            <w:tcW w:w="128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1,212,968</w:t>
            </w:r>
          </w:p>
        </w:tc>
        <w:tc>
          <w:tcPr>
            <w:tcW w:w="12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28.8%</w:t>
            </w:r>
          </w:p>
        </w:tc>
        <w:tc>
          <w:tcPr>
            <w:tcW w:w="12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0.67</w:t>
            </w:r>
          </w:p>
        </w:tc>
        <w:tc>
          <w:tcPr>
            <w:tcW w:w="0" w:type="dxa"/>
            <w:vAlign w:val="bottom"/>
          </w:tcPr>
          <w:p>
            <w:pPr>
              <w:spacing w:after="0"/>
              <w:rPr>
                <w:sz w:val="1"/>
                <w:szCs w:val="1"/>
                <w:color w:val="auto"/>
              </w:rPr>
            </w:pPr>
          </w:p>
        </w:tc>
      </w:tr>
      <w:tr>
        <w:trPr>
          <w:trHeight w:val="191"/>
        </w:trPr>
        <w:tc>
          <w:tcPr>
            <w:tcW w:w="4960" w:type="dxa"/>
            <w:vAlign w:val="bottom"/>
            <w:tcBorders>
              <w:left w:val="single" w:sz="8" w:color="auto"/>
              <w:right w:val="single" w:sz="8" w:color="auto"/>
            </w:tcBorders>
          </w:tcPr>
          <w:p>
            <w:pPr>
              <w:ind w:left="40"/>
              <w:spacing w:after="0" w:line="190" w:lineRule="exact"/>
              <w:rPr>
                <w:sz w:val="20"/>
                <w:szCs w:val="20"/>
                <w:color w:val="auto"/>
              </w:rPr>
            </w:pPr>
            <w:r>
              <w:rPr>
                <w:rFonts w:ascii="Arial" w:cs="Arial" w:eastAsia="Arial" w:hAnsi="Arial"/>
                <w:sz w:val="20"/>
                <w:szCs w:val="20"/>
                <w:b w:val="1"/>
                <w:bCs w:val="1"/>
                <w:color w:val="auto"/>
              </w:rPr>
              <w:t>GP IOL ratio</w:t>
            </w:r>
          </w:p>
        </w:tc>
        <w:tc>
          <w:tcPr>
            <w:tcW w:w="124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8"/>
              </w:rPr>
              <w:t>3.45%</w:t>
            </w:r>
          </w:p>
        </w:tc>
        <w:tc>
          <w:tcPr>
            <w:tcW w:w="1260" w:type="dxa"/>
            <w:vAlign w:val="bottom"/>
          </w:tcPr>
          <w:p>
            <w:pPr>
              <w:jc w:val="center"/>
              <w:spacing w:after="0" w:line="190" w:lineRule="exact"/>
              <w:rPr>
                <w:sz w:val="20"/>
                <w:szCs w:val="20"/>
                <w:color w:val="auto"/>
              </w:rPr>
            </w:pPr>
            <w:r>
              <w:rPr>
                <w:rFonts w:ascii="Arial" w:cs="Arial" w:eastAsia="Arial" w:hAnsi="Arial"/>
                <w:sz w:val="20"/>
                <w:szCs w:val="20"/>
                <w:b w:val="1"/>
                <w:bCs w:val="1"/>
                <w:color w:val="auto"/>
                <w:w w:val="98"/>
              </w:rPr>
              <w:t>6.43%</w:t>
            </w:r>
          </w:p>
        </w:tc>
        <w:tc>
          <w:tcPr>
            <w:tcW w:w="128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b w:val="1"/>
                <w:bCs w:val="1"/>
                <w:color w:val="auto"/>
                <w:w w:val="98"/>
              </w:rPr>
              <w:t>9.86%</w:t>
            </w:r>
          </w:p>
        </w:tc>
        <w:tc>
          <w:tcPr>
            <w:tcW w:w="1240" w:type="dxa"/>
            <w:vAlign w:val="bottom"/>
          </w:tcPr>
          <w:p>
            <w:pPr>
              <w:jc w:val="center"/>
              <w:spacing w:after="0" w:line="190" w:lineRule="exact"/>
              <w:rPr>
                <w:sz w:val="20"/>
                <w:szCs w:val="20"/>
                <w:color w:val="auto"/>
              </w:rPr>
            </w:pPr>
            <w:r>
              <w:rPr>
                <w:rFonts w:ascii="Arial" w:cs="Arial" w:eastAsia="Arial" w:hAnsi="Arial"/>
                <w:sz w:val="20"/>
                <w:szCs w:val="20"/>
                <w:color w:val="auto"/>
                <w:w w:val="95"/>
              </w:rPr>
              <w:t>343 bps</w:t>
            </w:r>
          </w:p>
        </w:tc>
        <w:tc>
          <w:tcPr>
            <w:tcW w:w="126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20"/>
                <w:szCs w:val="20"/>
                <w:color w:val="auto"/>
                <w:w w:val="98"/>
              </w:rPr>
              <w:t>641 bps</w:t>
            </w:r>
          </w:p>
        </w:tc>
        <w:tc>
          <w:tcPr>
            <w:tcW w:w="0" w:type="dxa"/>
            <w:vAlign w:val="bottom"/>
          </w:tcPr>
          <w:p>
            <w:pPr>
              <w:spacing w:after="0"/>
              <w:rPr>
                <w:sz w:val="1"/>
                <w:szCs w:val="1"/>
                <w:color w:val="auto"/>
              </w:rPr>
            </w:pPr>
          </w:p>
        </w:tc>
      </w:tr>
      <w:tr>
        <w:trPr>
          <w:trHeight w:val="216"/>
        </w:trPr>
        <w:tc>
          <w:tcPr>
            <w:tcW w:w="4960" w:type="dxa"/>
            <w:vAlign w:val="bottom"/>
            <w:tcBorders>
              <w:left w:val="single" w:sz="8" w:color="auto"/>
              <w:right w:val="single" w:sz="8" w:color="auto"/>
            </w:tcBorders>
          </w:tcPr>
          <w:p>
            <w:pPr>
              <w:ind w:left="40"/>
              <w:spacing w:after="0" w:line="216" w:lineRule="exact"/>
              <w:rPr>
                <w:sz w:val="20"/>
                <w:szCs w:val="20"/>
                <w:color w:val="auto"/>
              </w:rPr>
            </w:pPr>
            <w:r>
              <w:rPr>
                <w:rFonts w:ascii="Arial" w:cs="Arial" w:eastAsia="Arial" w:hAnsi="Arial"/>
                <w:sz w:val="20"/>
                <w:szCs w:val="20"/>
                <w:b w:val="1"/>
                <w:bCs w:val="1"/>
                <w:color w:val="auto"/>
              </w:rPr>
              <w:t>GP Allowance for loan losses over GP Total loans</w:t>
            </w:r>
          </w:p>
        </w:tc>
        <w:tc>
          <w:tcPr>
            <w:tcW w:w="12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6"/>
              </w:rPr>
              <w:t>0.7%</w:t>
            </w:r>
          </w:p>
        </w:tc>
        <w:tc>
          <w:tcPr>
            <w:tcW w:w="126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6"/>
              </w:rPr>
              <w:t>1.3%</w:t>
            </w:r>
          </w:p>
        </w:tc>
        <w:tc>
          <w:tcPr>
            <w:tcW w:w="128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rPr>
              <w:t>2.2%</w:t>
            </w:r>
          </w:p>
        </w:tc>
        <w:tc>
          <w:tcPr>
            <w:tcW w:w="1240" w:type="dxa"/>
            <w:vAlign w:val="bottom"/>
          </w:tcPr>
          <w:p>
            <w:pPr>
              <w:jc w:val="center"/>
              <w:spacing w:after="0" w:line="216" w:lineRule="exact"/>
              <w:rPr>
                <w:sz w:val="20"/>
                <w:szCs w:val="20"/>
                <w:color w:val="auto"/>
              </w:rPr>
            </w:pPr>
            <w:r>
              <w:rPr>
                <w:rFonts w:ascii="Arial" w:cs="Arial" w:eastAsia="Arial" w:hAnsi="Arial"/>
                <w:sz w:val="20"/>
                <w:szCs w:val="20"/>
                <w:color w:val="auto"/>
                <w:w w:val="99"/>
              </w:rPr>
              <w:t>90 bps</w:t>
            </w:r>
          </w:p>
        </w:tc>
        <w:tc>
          <w:tcPr>
            <w:tcW w:w="12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color w:val="auto"/>
                <w:w w:val="98"/>
              </w:rPr>
              <w:t>155 bps</w:t>
            </w:r>
          </w:p>
        </w:tc>
        <w:tc>
          <w:tcPr>
            <w:tcW w:w="0" w:type="dxa"/>
            <w:vAlign w:val="bottom"/>
          </w:tcPr>
          <w:p>
            <w:pPr>
              <w:spacing w:after="0"/>
              <w:rPr>
                <w:sz w:val="1"/>
                <w:szCs w:val="1"/>
                <w:color w:val="auto"/>
              </w:rPr>
            </w:pPr>
          </w:p>
        </w:tc>
      </w:tr>
      <w:tr>
        <w:trPr>
          <w:trHeight w:val="243"/>
        </w:trPr>
        <w:tc>
          <w:tcPr>
            <w:tcW w:w="49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GP Coverage ratio of IOLs</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19.6%</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20.6%</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22.6%</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202 bps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301 bps</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Government Programs (GP) include Reactiva Peru and FAE-Mype.</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48" w:name="page49"/>
    <w:bookmarkEnd w:id="48"/>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-151765</wp:posOffset>
            </wp:positionV>
            <wp:extent cx="7133590" cy="1873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u w:val="single" w:color="auto"/>
          <w:color w:val="auto"/>
        </w:rPr>
        <w:t>Portfolio Quality Ratios by Segment</w:t>
      </w:r>
    </w:p>
    <w:p>
      <w:pPr>
        <w:spacing w:after="0" w:line="1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557530</wp:posOffset>
            </wp:positionH>
            <wp:positionV relativeFrom="paragraph">
              <wp:posOffset>172720</wp:posOffset>
            </wp:positionV>
            <wp:extent cx="5985510" cy="2049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8551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172720</wp:posOffset>
            </wp:positionV>
            <wp:extent cx="6130290" cy="23463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30290" cy="2346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713359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60" w:top="451" w:right="339" w:bottom="1440" w:gutter="0" w:footer="0" w:header="0"/>
        </w:sectPr>
      </w:pPr>
    </w:p>
    <w:bookmarkStart w:id="49" w:name="page50"/>
    <w:bookmarkEnd w:id="49"/>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-151765</wp:posOffset>
            </wp:positionV>
            <wp:extent cx="7133590" cy="1873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172720</wp:posOffset>
            </wp:positionV>
            <wp:extent cx="6274435" cy="29330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74435" cy="293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172720</wp:posOffset>
            </wp:positionV>
            <wp:extent cx="6419215" cy="28994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9215" cy="2899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713359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60" w:top="451" w:right="339" w:bottom="1440" w:gutter="0" w:footer="0" w:header="0"/>
        </w:sectPr>
      </w:pPr>
    </w:p>
    <w:bookmarkStart w:id="50" w:name="page51"/>
    <w:bookmarkEnd w:id="50"/>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-151765</wp:posOffset>
            </wp:positionV>
            <wp:extent cx="7133590" cy="1873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172720</wp:posOffset>
            </wp:positionV>
            <wp:extent cx="6512560" cy="30099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12560" cy="300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172720</wp:posOffset>
            </wp:positionV>
            <wp:extent cx="6461760" cy="26784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61760" cy="2678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713359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60" w:top="451" w:right="339" w:bottom="1440" w:gutter="0" w:footer="0" w:header="0"/>
        </w:sectPr>
      </w:pPr>
    </w:p>
    <w:bookmarkStart w:id="51" w:name="page52"/>
    <w:bookmarkEnd w:id="51"/>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-151765</wp:posOffset>
            </wp:positionV>
            <wp:extent cx="7133590" cy="1873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172720</wp:posOffset>
            </wp:positionV>
            <wp:extent cx="6496050" cy="28397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96050" cy="283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370205</wp:posOffset>
            </wp:positionH>
            <wp:positionV relativeFrom="paragraph">
              <wp:posOffset>172720</wp:posOffset>
            </wp:positionV>
            <wp:extent cx="6359525" cy="26695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59525" cy="2669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40005</wp:posOffset>
            </wp:positionV>
            <wp:extent cx="713359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00"/>
          </w:cols>
          <w:pgMar w:left="360" w:top="451" w:right="339" w:bottom="1440" w:gutter="0" w:footer="0" w:header="0"/>
        </w:sectPr>
      </w:pPr>
    </w:p>
    <w:bookmarkStart w:id="52" w:name="page53"/>
    <w:bookmarkEnd w:id="52"/>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12.3 Net Interest Income (NII)</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NII Summary</w:t>
      </w:r>
    </w:p>
    <w:p>
      <w:pPr>
        <w:spacing w:after="0" w:line="252"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640" w:type="dxa"/>
            <w:vAlign w:val="bottom"/>
            <w:tcBorders>
              <w:top w:val="single" w:sz="8" w:color="auto"/>
              <w:left w:val="single" w:sz="8" w:color="auto"/>
              <w:right w:val="single" w:sz="8" w:color="auto"/>
            </w:tcBorders>
            <w:gridSpan w:val="2"/>
            <w:shd w:val="clear" w:color="auto" w:fill="2AD2C9"/>
          </w:tcPr>
          <w:p>
            <w:pPr>
              <w:ind w:left="40"/>
              <w:spacing w:after="0"/>
              <w:rPr>
                <w:sz w:val="20"/>
                <w:szCs w:val="20"/>
                <w:color w:val="auto"/>
              </w:rPr>
            </w:pPr>
            <w:r>
              <w:rPr>
                <w:rFonts w:ascii="Arial" w:cs="Arial" w:eastAsia="Arial" w:hAnsi="Arial"/>
                <w:sz w:val="14"/>
                <w:szCs w:val="14"/>
                <w:b w:val="1"/>
                <w:bCs w:val="1"/>
                <w:color w:val="FFFFFF"/>
              </w:rPr>
              <w:t>Net interest income</w:t>
            </w:r>
          </w:p>
        </w:tc>
        <w:tc>
          <w:tcPr>
            <w:tcW w:w="720" w:type="dxa"/>
            <w:vAlign w:val="bottom"/>
            <w:tcBorders>
              <w:top w:val="single" w:sz="8" w:color="auto"/>
              <w:right w:val="single" w:sz="8" w:color="2AD2C9"/>
            </w:tcBorders>
            <w:shd w:val="clear" w:color="auto" w:fill="2AD2C9"/>
          </w:tcPr>
          <w:p>
            <w:pPr>
              <w:spacing w:after="0"/>
              <w:rPr>
                <w:sz w:val="18"/>
                <w:szCs w:val="18"/>
                <w:color w:val="auto"/>
              </w:rPr>
            </w:pPr>
          </w:p>
        </w:tc>
        <w:tc>
          <w:tcPr>
            <w:tcW w:w="260" w:type="dxa"/>
            <w:vAlign w:val="bottom"/>
            <w:tcBorders>
              <w:top w:val="single" w:sz="8" w:color="auto"/>
            </w:tcBorders>
            <w:shd w:val="clear" w:color="auto" w:fill="2AD2C9"/>
          </w:tcPr>
          <w:p>
            <w:pPr>
              <w:spacing w:after="0"/>
              <w:rPr>
                <w:sz w:val="18"/>
                <w:szCs w:val="18"/>
                <w:color w:val="auto"/>
              </w:rPr>
            </w:pPr>
          </w:p>
        </w:tc>
        <w:tc>
          <w:tcPr>
            <w:tcW w:w="1040" w:type="dxa"/>
            <w:vAlign w:val="bottom"/>
            <w:tcBorders>
              <w:top w:val="single" w:sz="8" w:color="auto"/>
            </w:tcBorders>
            <w:shd w:val="clear" w:color="auto" w:fill="2AD2C9"/>
          </w:tcPr>
          <w:p>
            <w:pPr>
              <w:ind w:left="240"/>
              <w:spacing w:after="0"/>
              <w:rPr>
                <w:sz w:val="20"/>
                <w:szCs w:val="20"/>
                <w:color w:val="auto"/>
              </w:rPr>
            </w:pPr>
            <w:r>
              <w:rPr>
                <w:rFonts w:ascii="Arial" w:cs="Arial" w:eastAsia="Arial" w:hAnsi="Arial"/>
                <w:sz w:val="14"/>
                <w:szCs w:val="14"/>
                <w:b w:val="1"/>
                <w:bCs w:val="1"/>
                <w:color w:val="FFFFFF"/>
              </w:rPr>
              <w:t>Quarter</w:t>
            </w:r>
          </w:p>
        </w:tc>
        <w:tc>
          <w:tcPr>
            <w:tcW w:w="940" w:type="dxa"/>
            <w:vAlign w:val="bottom"/>
            <w:tcBorders>
              <w:top w:val="single" w:sz="8" w:color="auto"/>
              <w:right w:val="single" w:sz="8" w:color="auto"/>
            </w:tcBorders>
            <w:shd w:val="clear" w:color="auto" w:fill="2AD2C9"/>
          </w:tcPr>
          <w:p>
            <w:pPr>
              <w:spacing w:after="0"/>
              <w:rPr>
                <w:sz w:val="18"/>
                <w:szCs w:val="18"/>
                <w:color w:val="auto"/>
              </w:rPr>
            </w:pPr>
          </w:p>
        </w:tc>
        <w:tc>
          <w:tcPr>
            <w:tcW w:w="1380" w:type="dxa"/>
            <w:vAlign w:val="bottom"/>
            <w:tcBorders>
              <w:top w:val="single" w:sz="8" w:color="auto"/>
              <w:right w:val="single" w:sz="8" w:color="auto"/>
            </w:tcBorders>
            <w:gridSpan w:val="3"/>
            <w:shd w:val="clear" w:color="auto" w:fill="2AD2C9"/>
          </w:tcPr>
          <w:p>
            <w:pPr>
              <w:ind w:left="360"/>
              <w:spacing w:after="0"/>
              <w:rPr>
                <w:sz w:val="20"/>
                <w:szCs w:val="20"/>
                <w:color w:val="auto"/>
              </w:rPr>
            </w:pPr>
            <w:r>
              <w:rPr>
                <w:rFonts w:ascii="Arial" w:cs="Arial" w:eastAsia="Arial" w:hAnsi="Arial"/>
                <w:sz w:val="14"/>
                <w:szCs w:val="14"/>
                <w:b w:val="1"/>
                <w:bCs w:val="1"/>
                <w:color w:val="FFFFFF"/>
              </w:rPr>
              <w:t>% change</w:t>
            </w:r>
          </w:p>
        </w:tc>
        <w:tc>
          <w:tcPr>
            <w:tcW w:w="640" w:type="dxa"/>
            <w:vAlign w:val="bottom"/>
            <w:tcBorders>
              <w:top w:val="single" w:sz="8" w:color="auto"/>
            </w:tcBorders>
            <w:shd w:val="clear" w:color="auto" w:fill="2AD2C9"/>
          </w:tcPr>
          <w:p>
            <w:pPr>
              <w:spacing w:after="0"/>
              <w:rPr>
                <w:sz w:val="18"/>
                <w:szCs w:val="18"/>
                <w:color w:val="auto"/>
              </w:rPr>
            </w:pPr>
          </w:p>
        </w:tc>
        <w:tc>
          <w:tcPr>
            <w:tcW w:w="1360" w:type="dxa"/>
            <w:vAlign w:val="bottom"/>
            <w:tcBorders>
              <w:top w:val="single" w:sz="8" w:color="auto"/>
              <w:right w:val="single" w:sz="8" w:color="auto"/>
            </w:tcBorders>
            <w:gridSpan w:val="2"/>
            <w:shd w:val="clear" w:color="auto" w:fill="2AD2C9"/>
          </w:tcPr>
          <w:p>
            <w:pPr>
              <w:ind w:left="180"/>
              <w:spacing w:after="0"/>
              <w:rPr>
                <w:sz w:val="20"/>
                <w:szCs w:val="20"/>
                <w:color w:val="auto"/>
              </w:rPr>
            </w:pPr>
            <w:r>
              <w:rPr>
                <w:rFonts w:ascii="Arial" w:cs="Arial" w:eastAsia="Arial" w:hAnsi="Arial"/>
                <w:sz w:val="14"/>
                <w:szCs w:val="14"/>
                <w:b w:val="1"/>
                <w:bCs w:val="1"/>
                <w:color w:val="FFFFFF"/>
              </w:rPr>
              <w:t>As of</w:t>
            </w:r>
          </w:p>
        </w:tc>
        <w:tc>
          <w:tcPr>
            <w:tcW w:w="126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94"/>
        </w:trPr>
        <w:tc>
          <w:tcPr>
            <w:tcW w:w="3640" w:type="dxa"/>
            <w:vAlign w:val="bottom"/>
            <w:tcBorders>
              <w:left w:val="single" w:sz="8" w:color="auto"/>
              <w:bottom w:val="single" w:sz="8" w:color="auto"/>
              <w:right w:val="single" w:sz="8" w:color="auto"/>
            </w:tcBorders>
            <w:gridSpan w:val="2"/>
            <w:shd w:val="clear" w:color="auto" w:fill="2AD2C9"/>
          </w:tcPr>
          <w:p>
            <w:pPr>
              <w:ind w:left="40"/>
              <w:spacing w:after="0"/>
              <w:rPr>
                <w:sz w:val="20"/>
                <w:szCs w:val="20"/>
                <w:color w:val="auto"/>
              </w:rPr>
            </w:pPr>
            <w:r>
              <w:rPr>
                <w:rFonts w:ascii="Arial" w:cs="Arial" w:eastAsia="Arial" w:hAnsi="Arial"/>
                <w:sz w:val="14"/>
                <w:szCs w:val="14"/>
                <w:b w:val="1"/>
                <w:bCs w:val="1"/>
                <w:color w:val="FFFFFF"/>
              </w:rPr>
              <w:t>S/ 000</w:t>
            </w:r>
          </w:p>
        </w:tc>
        <w:tc>
          <w:tcPr>
            <w:tcW w:w="980" w:type="dxa"/>
            <w:vAlign w:val="bottom"/>
            <w:tcBorders>
              <w:bottom w:val="single" w:sz="8" w:color="auto"/>
            </w:tcBorders>
            <w:gridSpan w:val="2"/>
            <w:shd w:val="clear" w:color="auto" w:fill="2AD2C9"/>
          </w:tcPr>
          <w:p>
            <w:pPr>
              <w:jc w:val="center"/>
              <w:spacing w:after="0"/>
              <w:rPr>
                <w:sz w:val="20"/>
                <w:szCs w:val="20"/>
                <w:color w:val="auto"/>
              </w:rPr>
            </w:pPr>
            <w:r>
              <w:rPr>
                <w:rFonts w:ascii="Arial" w:cs="Arial" w:eastAsia="Arial" w:hAnsi="Arial"/>
                <w:sz w:val="14"/>
                <w:szCs w:val="14"/>
                <w:b w:val="1"/>
                <w:bCs w:val="1"/>
                <w:color w:val="FFFFFF"/>
              </w:rPr>
              <w:t>3Q21</w:t>
            </w:r>
          </w:p>
        </w:tc>
        <w:tc>
          <w:tcPr>
            <w:tcW w:w="10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2Q22</w:t>
            </w:r>
          </w:p>
        </w:tc>
        <w:tc>
          <w:tcPr>
            <w:tcW w:w="940" w:type="dxa"/>
            <w:vAlign w:val="bottom"/>
            <w:tcBorders>
              <w:bottom w:val="single" w:sz="8" w:color="auto"/>
              <w:right w:val="single" w:sz="8" w:color="auto"/>
            </w:tcBorders>
            <w:shd w:val="clear" w:color="auto" w:fill="2AD2C9"/>
          </w:tcPr>
          <w:p>
            <w:pPr>
              <w:jc w:val="center"/>
              <w:ind w:right="9"/>
              <w:spacing w:after="0"/>
              <w:rPr>
                <w:sz w:val="20"/>
                <w:szCs w:val="20"/>
                <w:color w:val="auto"/>
              </w:rPr>
            </w:pPr>
            <w:r>
              <w:rPr>
                <w:rFonts w:ascii="Arial" w:cs="Arial" w:eastAsia="Arial" w:hAnsi="Arial"/>
                <w:sz w:val="14"/>
                <w:szCs w:val="14"/>
                <w:b w:val="1"/>
                <w:bCs w:val="1"/>
                <w:color w:val="FFFFFF"/>
                <w:w w:val="99"/>
              </w:rPr>
              <w:t>3Q22</w:t>
            </w:r>
          </w:p>
        </w:tc>
        <w:tc>
          <w:tcPr>
            <w:tcW w:w="60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4"/>
                <w:szCs w:val="14"/>
                <w:b w:val="1"/>
                <w:bCs w:val="1"/>
                <w:color w:val="FFFFFF"/>
              </w:rPr>
              <w:t>QoQ</w:t>
            </w:r>
          </w:p>
        </w:tc>
        <w:tc>
          <w:tcPr>
            <w:tcW w:w="780" w:type="dxa"/>
            <w:vAlign w:val="bottom"/>
            <w:tcBorders>
              <w:bottom w:val="single" w:sz="8" w:color="auto"/>
              <w:right w:val="single" w:sz="8" w:color="auto"/>
            </w:tcBorders>
            <w:gridSpan w:val="2"/>
            <w:shd w:val="clear" w:color="auto" w:fill="2AD2C9"/>
          </w:tcPr>
          <w:p>
            <w:pPr>
              <w:ind w:left="280"/>
              <w:spacing w:after="0"/>
              <w:rPr>
                <w:sz w:val="20"/>
                <w:szCs w:val="20"/>
                <w:color w:val="auto"/>
              </w:rPr>
            </w:pPr>
            <w:r>
              <w:rPr>
                <w:rFonts w:ascii="Arial" w:cs="Arial" w:eastAsia="Arial" w:hAnsi="Arial"/>
                <w:sz w:val="14"/>
                <w:szCs w:val="14"/>
                <w:b w:val="1"/>
                <w:bCs w:val="1"/>
                <w:color w:val="FFFFFF"/>
              </w:rPr>
              <w:t>YoY</w:t>
            </w:r>
          </w:p>
        </w:tc>
        <w:tc>
          <w:tcPr>
            <w:tcW w:w="1020" w:type="dxa"/>
            <w:vAlign w:val="bottom"/>
            <w:tcBorders>
              <w:bottom w:val="single" w:sz="8" w:color="auto"/>
              <w:right w:val="single" w:sz="8" w:color="2AD2C9"/>
            </w:tcBorders>
            <w:gridSpan w:val="2"/>
            <w:shd w:val="clear" w:color="auto" w:fill="2AD2C9"/>
          </w:tcPr>
          <w:p>
            <w:pPr>
              <w:ind w:left="260"/>
              <w:spacing w:after="0"/>
              <w:rPr>
                <w:sz w:val="20"/>
                <w:szCs w:val="20"/>
                <w:color w:val="auto"/>
              </w:rPr>
            </w:pPr>
            <w:r>
              <w:rPr>
                <w:rFonts w:ascii="Arial" w:cs="Arial" w:eastAsia="Arial" w:hAnsi="Arial"/>
                <w:sz w:val="14"/>
                <w:szCs w:val="14"/>
                <w:b w:val="1"/>
                <w:bCs w:val="1"/>
                <w:color w:val="FFFFFF"/>
              </w:rPr>
              <w:t>Sep 21</w:t>
            </w:r>
          </w:p>
        </w:tc>
        <w:tc>
          <w:tcPr>
            <w:tcW w:w="980" w:type="dxa"/>
            <w:vAlign w:val="bottom"/>
            <w:tcBorders>
              <w:bottom w:val="single" w:sz="8" w:color="auto"/>
              <w:right w:val="single" w:sz="8" w:color="auto"/>
            </w:tcBorders>
            <w:shd w:val="clear" w:color="auto" w:fill="2AD2C9"/>
          </w:tcPr>
          <w:p>
            <w:pPr>
              <w:ind w:left="240"/>
              <w:spacing w:after="0"/>
              <w:rPr>
                <w:sz w:val="20"/>
                <w:szCs w:val="20"/>
                <w:color w:val="auto"/>
              </w:rPr>
            </w:pPr>
            <w:r>
              <w:rPr>
                <w:rFonts w:ascii="Arial" w:cs="Arial" w:eastAsia="Arial" w:hAnsi="Arial"/>
                <w:sz w:val="14"/>
                <w:szCs w:val="14"/>
                <w:b w:val="1"/>
                <w:bCs w:val="1"/>
                <w:color w:val="FFFFFF"/>
              </w:rPr>
              <w:t>Sep 22</w:t>
            </w:r>
          </w:p>
        </w:tc>
        <w:tc>
          <w:tcPr>
            <w:tcW w:w="12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Sep 22 / Sep 21</w:t>
            </w:r>
          </w:p>
        </w:tc>
        <w:tc>
          <w:tcPr>
            <w:tcW w:w="0" w:type="dxa"/>
            <w:vAlign w:val="bottom"/>
          </w:tcPr>
          <w:p>
            <w:pPr>
              <w:spacing w:after="0"/>
              <w:rPr>
                <w:sz w:val="1"/>
                <w:szCs w:val="1"/>
                <w:color w:val="auto"/>
              </w:rPr>
            </w:pPr>
          </w:p>
        </w:tc>
      </w:tr>
      <w:tr>
        <w:trPr>
          <w:trHeight w:val="192"/>
        </w:trPr>
        <w:tc>
          <w:tcPr>
            <w:tcW w:w="36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Interest income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3,051,000</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9"/>
              </w:rPr>
              <w:t>3,488,113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3,988,681</w:t>
            </w:r>
          </w:p>
        </w:tc>
        <w:tc>
          <w:tcPr>
            <w:tcW w:w="600" w:type="dxa"/>
            <w:vAlign w:val="bottom"/>
          </w:tcPr>
          <w:p>
            <w:pPr>
              <w:jc w:val="center"/>
              <w:ind w:left="9"/>
              <w:spacing w:after="0"/>
              <w:rPr>
                <w:sz w:val="20"/>
                <w:szCs w:val="20"/>
                <w:color w:val="auto"/>
              </w:rPr>
            </w:pPr>
            <w:r>
              <w:rPr>
                <w:rFonts w:ascii="Arial" w:cs="Arial" w:eastAsia="Arial" w:hAnsi="Arial"/>
                <w:sz w:val="14"/>
                <w:szCs w:val="14"/>
                <w:b w:val="1"/>
                <w:bCs w:val="1"/>
                <w:color w:val="auto"/>
              </w:rPr>
              <w:t>14.4%</w:t>
            </w:r>
          </w:p>
        </w:tc>
        <w:tc>
          <w:tcPr>
            <w:tcW w:w="720" w:type="dxa"/>
            <w:vAlign w:val="bottom"/>
          </w:tcPr>
          <w:p>
            <w:pPr>
              <w:jc w:val="center"/>
              <w:ind w:left="49"/>
              <w:spacing w:after="0"/>
              <w:rPr>
                <w:sz w:val="20"/>
                <w:szCs w:val="20"/>
                <w:color w:val="auto"/>
              </w:rPr>
            </w:pPr>
            <w:r>
              <w:rPr>
                <w:rFonts w:ascii="Arial" w:cs="Arial" w:eastAsia="Arial" w:hAnsi="Arial"/>
                <w:sz w:val="14"/>
                <w:szCs w:val="14"/>
                <w:b w:val="1"/>
                <w:bCs w:val="1"/>
                <w:color w:val="auto"/>
              </w:rPr>
              <w:t>30.7%</w:t>
            </w:r>
          </w:p>
        </w:tc>
        <w:tc>
          <w:tcPr>
            <w:tcW w:w="60" w:type="dxa"/>
            <w:vAlign w:val="bottom"/>
            <w:tcBorders>
              <w:right w:val="single" w:sz="8" w:color="auto"/>
            </w:tcBorders>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8,758,652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10,649,140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21.6%</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Interest on loans</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rPr>
              <w:t>2,607,349</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2,929,782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3,288,864</w:t>
            </w:r>
          </w:p>
        </w:tc>
        <w:tc>
          <w:tcPr>
            <w:tcW w:w="600" w:type="dxa"/>
            <w:vAlign w:val="bottom"/>
          </w:tcPr>
          <w:p>
            <w:pPr>
              <w:jc w:val="center"/>
              <w:ind w:left="9"/>
              <w:spacing w:after="0"/>
              <w:rPr>
                <w:sz w:val="20"/>
                <w:szCs w:val="20"/>
                <w:color w:val="auto"/>
              </w:rPr>
            </w:pPr>
            <w:r>
              <w:rPr>
                <w:rFonts w:ascii="Arial" w:cs="Arial" w:eastAsia="Arial" w:hAnsi="Arial"/>
                <w:sz w:val="14"/>
                <w:szCs w:val="14"/>
                <w:color w:val="auto"/>
              </w:rPr>
              <w:t>12.3%</w:t>
            </w:r>
          </w:p>
        </w:tc>
        <w:tc>
          <w:tcPr>
            <w:tcW w:w="720" w:type="dxa"/>
            <w:vAlign w:val="bottom"/>
          </w:tcPr>
          <w:p>
            <w:pPr>
              <w:jc w:val="center"/>
              <w:ind w:left="49"/>
              <w:spacing w:after="0"/>
              <w:rPr>
                <w:sz w:val="20"/>
                <w:szCs w:val="20"/>
                <w:color w:val="auto"/>
              </w:rPr>
            </w:pPr>
            <w:r>
              <w:rPr>
                <w:rFonts w:ascii="Arial" w:cs="Arial" w:eastAsia="Arial" w:hAnsi="Arial"/>
                <w:sz w:val="14"/>
                <w:szCs w:val="14"/>
                <w:color w:val="auto"/>
              </w:rPr>
              <w:t>26.1%</w:t>
            </w:r>
          </w:p>
        </w:tc>
        <w:tc>
          <w:tcPr>
            <w:tcW w:w="60" w:type="dxa"/>
            <w:vAlign w:val="bottom"/>
            <w:tcBorders>
              <w:right w:val="single" w:sz="8" w:color="auto"/>
            </w:tcBorders>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7,516,297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8,904,198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Dividends on investments</w:t>
            </w:r>
          </w:p>
        </w:tc>
        <w:tc>
          <w:tcPr>
            <w:tcW w:w="720" w:type="dxa"/>
            <w:vAlign w:val="bottom"/>
          </w:tcPr>
          <w:p>
            <w:pPr>
              <w:jc w:val="center"/>
              <w:ind w:left="169"/>
              <w:spacing w:after="0"/>
              <w:rPr>
                <w:sz w:val="20"/>
                <w:szCs w:val="20"/>
                <w:color w:val="auto"/>
              </w:rPr>
            </w:pPr>
            <w:r>
              <w:rPr>
                <w:rFonts w:ascii="Arial" w:cs="Arial" w:eastAsia="Arial" w:hAnsi="Arial"/>
                <w:sz w:val="14"/>
                <w:szCs w:val="14"/>
                <w:color w:val="auto"/>
              </w:rPr>
              <w:t>19,668</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13,682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7,498</w:t>
            </w:r>
          </w:p>
        </w:tc>
        <w:tc>
          <w:tcPr>
            <w:tcW w:w="600" w:type="dxa"/>
            <w:vAlign w:val="bottom"/>
          </w:tcPr>
          <w:p>
            <w:pPr>
              <w:jc w:val="center"/>
              <w:ind w:left="9"/>
              <w:spacing w:after="0"/>
              <w:rPr>
                <w:sz w:val="20"/>
                <w:szCs w:val="20"/>
                <w:color w:val="auto"/>
              </w:rPr>
            </w:pPr>
            <w:r>
              <w:rPr>
                <w:rFonts w:ascii="Arial" w:cs="Arial" w:eastAsia="Arial" w:hAnsi="Arial"/>
                <w:sz w:val="14"/>
                <w:szCs w:val="14"/>
                <w:color w:val="auto"/>
                <w:w w:val="99"/>
              </w:rPr>
              <w:t>-45.2%</w:t>
            </w:r>
          </w:p>
        </w:tc>
        <w:tc>
          <w:tcPr>
            <w:tcW w:w="720" w:type="dxa"/>
            <w:vAlign w:val="bottom"/>
          </w:tcPr>
          <w:p>
            <w:pPr>
              <w:jc w:val="center"/>
              <w:ind w:left="49"/>
              <w:spacing w:after="0"/>
              <w:rPr>
                <w:sz w:val="20"/>
                <w:szCs w:val="20"/>
                <w:color w:val="auto"/>
              </w:rPr>
            </w:pPr>
            <w:r>
              <w:rPr>
                <w:rFonts w:ascii="Arial" w:cs="Arial" w:eastAsia="Arial" w:hAnsi="Arial"/>
                <w:sz w:val="14"/>
                <w:szCs w:val="14"/>
                <w:color w:val="auto"/>
                <w:w w:val="99"/>
              </w:rPr>
              <w:t>-61.9%</w:t>
            </w:r>
          </w:p>
        </w:tc>
        <w:tc>
          <w:tcPr>
            <w:tcW w:w="60" w:type="dxa"/>
            <w:vAlign w:val="bottom"/>
            <w:tcBorders>
              <w:right w:val="single" w:sz="8" w:color="auto"/>
            </w:tcBorders>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34,425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25,500</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-25.9%</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Interest on deposits with banks</w:t>
            </w:r>
          </w:p>
        </w:tc>
        <w:tc>
          <w:tcPr>
            <w:tcW w:w="720" w:type="dxa"/>
            <w:vAlign w:val="bottom"/>
          </w:tcPr>
          <w:p>
            <w:pPr>
              <w:jc w:val="center"/>
              <w:ind w:left="169"/>
              <w:spacing w:after="0"/>
              <w:rPr>
                <w:sz w:val="20"/>
                <w:szCs w:val="20"/>
                <w:color w:val="auto"/>
              </w:rPr>
            </w:pPr>
            <w:r>
              <w:rPr>
                <w:rFonts w:ascii="Arial" w:cs="Arial" w:eastAsia="Arial" w:hAnsi="Arial"/>
                <w:sz w:val="14"/>
                <w:szCs w:val="14"/>
                <w:color w:val="auto"/>
              </w:rPr>
              <w:t>12,185</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47,784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139,077</w:t>
            </w:r>
          </w:p>
        </w:tc>
        <w:tc>
          <w:tcPr>
            <w:tcW w:w="600" w:type="dxa"/>
            <w:vAlign w:val="bottom"/>
          </w:tcPr>
          <w:p>
            <w:pPr>
              <w:jc w:val="center"/>
              <w:ind w:left="9"/>
              <w:spacing w:after="0"/>
              <w:rPr>
                <w:sz w:val="20"/>
                <w:szCs w:val="20"/>
                <w:color w:val="auto"/>
              </w:rPr>
            </w:pPr>
            <w:r>
              <w:rPr>
                <w:rFonts w:ascii="Arial" w:cs="Arial" w:eastAsia="Arial" w:hAnsi="Arial"/>
                <w:sz w:val="14"/>
                <w:szCs w:val="14"/>
                <w:color w:val="auto"/>
              </w:rPr>
              <w:t>191.1%</w:t>
            </w:r>
          </w:p>
        </w:tc>
        <w:tc>
          <w:tcPr>
            <w:tcW w:w="780" w:type="dxa"/>
            <w:vAlign w:val="bottom"/>
            <w:tcBorders>
              <w:right w:val="single" w:sz="8" w:color="auto"/>
            </w:tcBorders>
            <w:gridSpan w:val="2"/>
          </w:tcPr>
          <w:p>
            <w:pPr>
              <w:ind w:left="300"/>
              <w:spacing w:after="0"/>
              <w:rPr>
                <w:sz w:val="20"/>
                <w:szCs w:val="20"/>
                <w:color w:val="auto"/>
              </w:rPr>
            </w:pPr>
            <w:r>
              <w:rPr>
                <w:rFonts w:ascii="Arial" w:cs="Arial" w:eastAsia="Arial" w:hAnsi="Arial"/>
                <w:sz w:val="14"/>
                <w:szCs w:val="14"/>
                <w:color w:val="auto"/>
              </w:rPr>
              <w:t>N/A</w:t>
            </w: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26,157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222,212</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Interest on securities</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rPr>
              <w:t>385,874</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482,872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543,325</w:t>
            </w:r>
          </w:p>
        </w:tc>
        <w:tc>
          <w:tcPr>
            <w:tcW w:w="600" w:type="dxa"/>
            <w:vAlign w:val="bottom"/>
          </w:tcPr>
          <w:p>
            <w:pPr>
              <w:jc w:val="center"/>
              <w:ind w:left="9"/>
              <w:spacing w:after="0"/>
              <w:rPr>
                <w:sz w:val="20"/>
                <w:szCs w:val="20"/>
                <w:color w:val="auto"/>
              </w:rPr>
            </w:pPr>
            <w:r>
              <w:rPr>
                <w:rFonts w:ascii="Arial" w:cs="Arial" w:eastAsia="Arial" w:hAnsi="Arial"/>
                <w:sz w:val="14"/>
                <w:szCs w:val="14"/>
                <w:color w:val="auto"/>
              </w:rPr>
              <w:t>12.5%</w:t>
            </w:r>
          </w:p>
        </w:tc>
        <w:tc>
          <w:tcPr>
            <w:tcW w:w="720" w:type="dxa"/>
            <w:vAlign w:val="bottom"/>
          </w:tcPr>
          <w:p>
            <w:pPr>
              <w:jc w:val="center"/>
              <w:ind w:left="49"/>
              <w:spacing w:after="0"/>
              <w:rPr>
                <w:sz w:val="20"/>
                <w:szCs w:val="20"/>
                <w:color w:val="auto"/>
              </w:rPr>
            </w:pPr>
            <w:r>
              <w:rPr>
                <w:rFonts w:ascii="Arial" w:cs="Arial" w:eastAsia="Arial" w:hAnsi="Arial"/>
                <w:sz w:val="14"/>
                <w:szCs w:val="14"/>
                <w:color w:val="auto"/>
              </w:rPr>
              <w:t>40.8%</w:t>
            </w:r>
          </w:p>
        </w:tc>
        <w:tc>
          <w:tcPr>
            <w:tcW w:w="60" w:type="dxa"/>
            <w:vAlign w:val="bottom"/>
            <w:tcBorders>
              <w:right w:val="single" w:sz="8" w:color="auto"/>
            </w:tcBorders>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1,130,978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1,454,653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Other interest income</w:t>
            </w:r>
          </w:p>
        </w:tc>
        <w:tc>
          <w:tcPr>
            <w:tcW w:w="720" w:type="dxa"/>
            <w:vAlign w:val="bottom"/>
          </w:tcPr>
          <w:p>
            <w:pPr>
              <w:jc w:val="center"/>
              <w:ind w:left="169"/>
              <w:spacing w:after="0"/>
              <w:rPr>
                <w:sz w:val="20"/>
                <w:szCs w:val="20"/>
                <w:color w:val="auto"/>
              </w:rPr>
            </w:pPr>
            <w:r>
              <w:rPr>
                <w:rFonts w:ascii="Arial" w:cs="Arial" w:eastAsia="Arial" w:hAnsi="Arial"/>
                <w:sz w:val="14"/>
                <w:szCs w:val="14"/>
                <w:color w:val="auto"/>
              </w:rPr>
              <w:t>25,924</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7"/>
              </w:rPr>
              <w:t>13,993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9,917</w:t>
            </w:r>
          </w:p>
        </w:tc>
        <w:tc>
          <w:tcPr>
            <w:tcW w:w="600" w:type="dxa"/>
            <w:vAlign w:val="bottom"/>
          </w:tcPr>
          <w:p>
            <w:pPr>
              <w:jc w:val="center"/>
              <w:ind w:left="9"/>
              <w:spacing w:after="0"/>
              <w:rPr>
                <w:sz w:val="20"/>
                <w:szCs w:val="20"/>
                <w:color w:val="auto"/>
              </w:rPr>
            </w:pPr>
            <w:r>
              <w:rPr>
                <w:rFonts w:ascii="Arial" w:cs="Arial" w:eastAsia="Arial" w:hAnsi="Arial"/>
                <w:sz w:val="14"/>
                <w:szCs w:val="14"/>
                <w:color w:val="auto"/>
                <w:w w:val="99"/>
              </w:rPr>
              <w:t>-29.1%</w:t>
            </w:r>
          </w:p>
        </w:tc>
        <w:tc>
          <w:tcPr>
            <w:tcW w:w="720" w:type="dxa"/>
            <w:vAlign w:val="bottom"/>
          </w:tcPr>
          <w:p>
            <w:pPr>
              <w:jc w:val="center"/>
              <w:ind w:left="49"/>
              <w:spacing w:after="0"/>
              <w:rPr>
                <w:sz w:val="20"/>
                <w:szCs w:val="20"/>
                <w:color w:val="auto"/>
              </w:rPr>
            </w:pPr>
            <w:r>
              <w:rPr>
                <w:rFonts w:ascii="Arial" w:cs="Arial" w:eastAsia="Arial" w:hAnsi="Arial"/>
                <w:sz w:val="14"/>
                <w:szCs w:val="14"/>
                <w:color w:val="auto"/>
                <w:w w:val="99"/>
              </w:rPr>
              <w:t>-61.7%</w:t>
            </w:r>
          </w:p>
        </w:tc>
        <w:tc>
          <w:tcPr>
            <w:tcW w:w="60" w:type="dxa"/>
            <w:vAlign w:val="bottom"/>
            <w:tcBorders>
              <w:right w:val="single" w:sz="8" w:color="auto"/>
            </w:tcBorders>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50,795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42,577</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-16.2%</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Interest expense</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599,901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748,085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987,255</w:t>
            </w:r>
          </w:p>
        </w:tc>
        <w:tc>
          <w:tcPr>
            <w:tcW w:w="600" w:type="dxa"/>
            <w:vAlign w:val="bottom"/>
          </w:tcPr>
          <w:p>
            <w:pPr>
              <w:jc w:val="center"/>
              <w:ind w:left="9"/>
              <w:spacing w:after="0"/>
              <w:rPr>
                <w:sz w:val="20"/>
                <w:szCs w:val="20"/>
                <w:color w:val="auto"/>
              </w:rPr>
            </w:pPr>
            <w:r>
              <w:rPr>
                <w:rFonts w:ascii="Arial" w:cs="Arial" w:eastAsia="Arial" w:hAnsi="Arial"/>
                <w:sz w:val="14"/>
                <w:szCs w:val="14"/>
                <w:b w:val="1"/>
                <w:bCs w:val="1"/>
                <w:color w:val="auto"/>
              </w:rPr>
              <w:t>32.0%</w:t>
            </w:r>
          </w:p>
        </w:tc>
        <w:tc>
          <w:tcPr>
            <w:tcW w:w="720" w:type="dxa"/>
            <w:vAlign w:val="bottom"/>
          </w:tcPr>
          <w:p>
            <w:pPr>
              <w:jc w:val="center"/>
              <w:ind w:left="49"/>
              <w:spacing w:after="0"/>
              <w:rPr>
                <w:sz w:val="20"/>
                <w:szCs w:val="20"/>
                <w:color w:val="auto"/>
              </w:rPr>
            </w:pPr>
            <w:r>
              <w:rPr>
                <w:rFonts w:ascii="Arial" w:cs="Arial" w:eastAsia="Arial" w:hAnsi="Arial"/>
                <w:sz w:val="14"/>
                <w:szCs w:val="14"/>
                <w:b w:val="1"/>
                <w:bCs w:val="1"/>
                <w:color w:val="auto"/>
              </w:rPr>
              <w:t>64.6%</w:t>
            </w:r>
          </w:p>
        </w:tc>
        <w:tc>
          <w:tcPr>
            <w:tcW w:w="60" w:type="dxa"/>
            <w:vAlign w:val="bottom"/>
            <w:tcBorders>
              <w:right w:val="single" w:sz="8" w:color="auto"/>
            </w:tcBorders>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1,876,282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2,374,221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26.5%</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Interest on deposits</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rPr>
              <w:t>209,564</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336,953</w:t>
            </w:r>
          </w:p>
        </w:tc>
        <w:tc>
          <w:tcPr>
            <w:tcW w:w="940" w:type="dxa"/>
            <w:vAlign w:val="bottom"/>
            <w:tcBorders>
              <w:right w:val="single" w:sz="8" w:color="auto"/>
            </w:tcBorders>
          </w:tcPr>
          <w:p>
            <w:pPr>
              <w:jc w:val="center"/>
              <w:ind w:right="9"/>
              <w:spacing w:after="0"/>
              <w:rPr>
                <w:sz w:val="20"/>
                <w:szCs w:val="20"/>
                <w:color w:val="auto"/>
              </w:rPr>
            </w:pPr>
            <w:r>
              <w:rPr>
                <w:rFonts w:ascii="Arial" w:cs="Arial" w:eastAsia="Arial" w:hAnsi="Arial"/>
                <w:sz w:val="14"/>
                <w:szCs w:val="14"/>
                <w:color w:val="auto"/>
                <w:w w:val="98"/>
              </w:rPr>
              <w:t>510,116</w:t>
            </w:r>
          </w:p>
        </w:tc>
        <w:tc>
          <w:tcPr>
            <w:tcW w:w="600" w:type="dxa"/>
            <w:vAlign w:val="bottom"/>
          </w:tcPr>
          <w:p>
            <w:pPr>
              <w:jc w:val="center"/>
              <w:ind w:left="9"/>
              <w:spacing w:after="0"/>
              <w:rPr>
                <w:sz w:val="20"/>
                <w:szCs w:val="20"/>
                <w:color w:val="auto"/>
              </w:rPr>
            </w:pPr>
            <w:r>
              <w:rPr>
                <w:rFonts w:ascii="Arial" w:cs="Arial" w:eastAsia="Arial" w:hAnsi="Arial"/>
                <w:sz w:val="14"/>
                <w:szCs w:val="14"/>
                <w:color w:val="auto"/>
              </w:rPr>
              <w:t>51.4%</w:t>
            </w:r>
          </w:p>
        </w:tc>
        <w:tc>
          <w:tcPr>
            <w:tcW w:w="720" w:type="dxa"/>
            <w:vAlign w:val="bottom"/>
          </w:tcPr>
          <w:p>
            <w:pPr>
              <w:jc w:val="center"/>
              <w:ind w:left="49"/>
              <w:spacing w:after="0"/>
              <w:rPr>
                <w:sz w:val="20"/>
                <w:szCs w:val="20"/>
                <w:color w:val="auto"/>
              </w:rPr>
            </w:pPr>
            <w:r>
              <w:rPr>
                <w:rFonts w:ascii="Arial" w:cs="Arial" w:eastAsia="Arial" w:hAnsi="Arial"/>
                <w:sz w:val="14"/>
                <w:szCs w:val="14"/>
                <w:color w:val="auto"/>
              </w:rPr>
              <w:t>143.4%</w:t>
            </w:r>
          </w:p>
        </w:tc>
        <w:tc>
          <w:tcPr>
            <w:tcW w:w="60" w:type="dxa"/>
            <w:vAlign w:val="bottom"/>
            <w:tcBorders>
              <w:right w:val="single" w:sz="8" w:color="auto"/>
            </w:tcBorders>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642,482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1,106,008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Interest on borrowed funds</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w w:val="98"/>
              </w:rPr>
              <w:t>110,308</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141,531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185,891</w:t>
            </w:r>
          </w:p>
        </w:tc>
        <w:tc>
          <w:tcPr>
            <w:tcW w:w="600" w:type="dxa"/>
            <w:vAlign w:val="bottom"/>
          </w:tcPr>
          <w:p>
            <w:pPr>
              <w:jc w:val="center"/>
              <w:ind w:left="9"/>
              <w:spacing w:after="0"/>
              <w:rPr>
                <w:sz w:val="20"/>
                <w:szCs w:val="20"/>
                <w:color w:val="auto"/>
              </w:rPr>
            </w:pPr>
            <w:r>
              <w:rPr>
                <w:rFonts w:ascii="Arial" w:cs="Arial" w:eastAsia="Arial" w:hAnsi="Arial"/>
                <w:sz w:val="14"/>
                <w:szCs w:val="14"/>
                <w:color w:val="auto"/>
              </w:rPr>
              <w:t>31.3%</w:t>
            </w:r>
          </w:p>
        </w:tc>
        <w:tc>
          <w:tcPr>
            <w:tcW w:w="720" w:type="dxa"/>
            <w:vAlign w:val="bottom"/>
          </w:tcPr>
          <w:p>
            <w:pPr>
              <w:jc w:val="center"/>
              <w:ind w:left="49"/>
              <w:spacing w:after="0"/>
              <w:rPr>
                <w:sz w:val="20"/>
                <w:szCs w:val="20"/>
                <w:color w:val="auto"/>
              </w:rPr>
            </w:pPr>
            <w:r>
              <w:rPr>
                <w:rFonts w:ascii="Arial" w:cs="Arial" w:eastAsia="Arial" w:hAnsi="Arial"/>
                <w:sz w:val="14"/>
                <w:szCs w:val="14"/>
                <w:color w:val="auto"/>
              </w:rPr>
              <w:t>68.5%</w:t>
            </w:r>
          </w:p>
        </w:tc>
        <w:tc>
          <w:tcPr>
            <w:tcW w:w="60" w:type="dxa"/>
            <w:vAlign w:val="bottom"/>
            <w:tcBorders>
              <w:right w:val="single" w:sz="8" w:color="auto"/>
            </w:tcBorders>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323,801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443,653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7"/>
        </w:trPr>
        <w:tc>
          <w:tcPr>
            <w:tcW w:w="3640" w:type="dxa"/>
            <w:vAlign w:val="bottom"/>
            <w:tcBorders>
              <w:left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Interest on bonds and subordinated notes</w:t>
            </w:r>
          </w:p>
        </w:tc>
        <w:tc>
          <w:tcPr>
            <w:tcW w:w="980" w:type="dxa"/>
            <w:vAlign w:val="bottom"/>
            <w:gridSpan w:val="2"/>
          </w:tcPr>
          <w:p>
            <w:pPr>
              <w:jc w:val="center"/>
              <w:spacing w:after="0"/>
              <w:rPr>
                <w:sz w:val="20"/>
                <w:szCs w:val="20"/>
                <w:color w:val="auto"/>
              </w:rPr>
            </w:pPr>
            <w:r>
              <w:rPr>
                <w:rFonts w:ascii="Arial" w:cs="Arial" w:eastAsia="Arial" w:hAnsi="Arial"/>
                <w:sz w:val="14"/>
                <w:szCs w:val="14"/>
                <w:color w:val="auto"/>
              </w:rPr>
              <w:t>189,055</w:t>
            </w:r>
          </w:p>
        </w:tc>
        <w:tc>
          <w:tcPr>
            <w:tcW w:w="1040" w:type="dxa"/>
            <w:vAlign w:val="bottom"/>
          </w:tcPr>
          <w:p>
            <w:pPr>
              <w:jc w:val="center"/>
              <w:spacing w:after="0"/>
              <w:rPr>
                <w:sz w:val="20"/>
                <w:szCs w:val="20"/>
                <w:color w:val="auto"/>
              </w:rPr>
            </w:pPr>
            <w:r>
              <w:rPr>
                <w:rFonts w:ascii="Arial" w:cs="Arial" w:eastAsia="Arial" w:hAnsi="Arial"/>
                <w:sz w:val="14"/>
                <w:szCs w:val="14"/>
                <w:color w:val="auto"/>
                <w:w w:val="98"/>
              </w:rPr>
              <w:t>176,941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188,502</w:t>
            </w:r>
          </w:p>
        </w:tc>
        <w:tc>
          <w:tcPr>
            <w:tcW w:w="600" w:type="dxa"/>
            <w:vAlign w:val="bottom"/>
          </w:tcPr>
          <w:p>
            <w:pPr>
              <w:jc w:val="center"/>
              <w:ind w:left="9"/>
              <w:spacing w:after="0"/>
              <w:rPr>
                <w:sz w:val="20"/>
                <w:szCs w:val="20"/>
                <w:color w:val="auto"/>
              </w:rPr>
            </w:pPr>
            <w:r>
              <w:rPr>
                <w:rFonts w:ascii="Arial" w:cs="Arial" w:eastAsia="Arial" w:hAnsi="Arial"/>
                <w:sz w:val="14"/>
                <w:szCs w:val="14"/>
                <w:color w:val="auto"/>
              </w:rPr>
              <w:t>6.5%</w:t>
            </w:r>
          </w:p>
        </w:tc>
        <w:tc>
          <w:tcPr>
            <w:tcW w:w="720" w:type="dxa"/>
            <w:vAlign w:val="bottom"/>
          </w:tcPr>
          <w:p>
            <w:pPr>
              <w:jc w:val="center"/>
              <w:ind w:left="49"/>
              <w:spacing w:after="0"/>
              <w:rPr>
                <w:sz w:val="20"/>
                <w:szCs w:val="20"/>
                <w:color w:val="auto"/>
              </w:rPr>
            </w:pPr>
            <w:r>
              <w:rPr>
                <w:rFonts w:ascii="Arial" w:cs="Arial" w:eastAsia="Arial" w:hAnsi="Arial"/>
                <w:sz w:val="14"/>
                <w:szCs w:val="14"/>
                <w:color w:val="auto"/>
                <w:w w:val="98"/>
              </w:rPr>
              <w:t>-0.3%</w:t>
            </w:r>
          </w:p>
        </w:tc>
        <w:tc>
          <w:tcPr>
            <w:tcW w:w="60" w:type="dxa"/>
            <w:vAlign w:val="bottom"/>
            <w:tcBorders>
              <w:right w:val="single" w:sz="8" w:color="auto"/>
            </w:tcBorders>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color w:val="auto"/>
              </w:rPr>
              <w:t>652,181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539,235</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-17.3%</w:t>
            </w:r>
          </w:p>
        </w:tc>
        <w:tc>
          <w:tcPr>
            <w:tcW w:w="0" w:type="dxa"/>
            <w:vAlign w:val="bottom"/>
          </w:tcPr>
          <w:p>
            <w:pPr>
              <w:spacing w:after="0"/>
              <w:rPr>
                <w:sz w:val="1"/>
                <w:szCs w:val="1"/>
                <w:color w:val="auto"/>
              </w:rPr>
            </w:pPr>
          </w:p>
        </w:tc>
      </w:tr>
      <w:tr>
        <w:trPr>
          <w:trHeight w:val="190"/>
        </w:trPr>
        <w:tc>
          <w:tcPr>
            <w:tcW w:w="3640" w:type="dxa"/>
            <w:vAlign w:val="bottom"/>
            <w:tcBorders>
              <w:left w:val="single" w:sz="8" w:color="auto"/>
              <w:bottom w:val="single" w:sz="8" w:color="auto"/>
              <w:right w:val="single" w:sz="8" w:color="auto"/>
            </w:tcBorders>
            <w:gridSpan w:val="2"/>
          </w:tcPr>
          <w:p>
            <w:pPr>
              <w:ind w:left="200"/>
              <w:spacing w:after="0"/>
              <w:rPr>
                <w:sz w:val="20"/>
                <w:szCs w:val="20"/>
                <w:color w:val="auto"/>
              </w:rPr>
            </w:pPr>
            <w:r>
              <w:rPr>
                <w:rFonts w:ascii="Arial" w:cs="Arial" w:eastAsia="Arial" w:hAnsi="Arial"/>
                <w:sz w:val="14"/>
                <w:szCs w:val="14"/>
                <w:color w:val="auto"/>
              </w:rPr>
              <w:t>Other interest expense</w:t>
            </w:r>
          </w:p>
        </w:tc>
        <w:tc>
          <w:tcPr>
            <w:tcW w:w="72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color w:val="auto"/>
              </w:rPr>
              <w:t>90,974</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92,660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102,746</w:t>
            </w:r>
          </w:p>
        </w:tc>
        <w:tc>
          <w:tcPr>
            <w:tcW w:w="6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10.9%</w:t>
            </w:r>
          </w:p>
        </w:tc>
        <w:tc>
          <w:tcPr>
            <w:tcW w:w="72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rPr>
              <w:t>12.9%</w:t>
            </w:r>
          </w:p>
        </w:tc>
        <w:tc>
          <w:tcPr>
            <w:tcW w:w="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257,818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285,325</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4"/>
        </w:trPr>
        <w:tc>
          <w:tcPr>
            <w:tcW w:w="3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Net interest income</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2,451,099</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2,740,028</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3,001,426</w:t>
            </w:r>
          </w:p>
        </w:tc>
        <w:tc>
          <w:tcPr>
            <w:tcW w:w="6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9.5%</w:t>
            </w:r>
          </w:p>
        </w:tc>
        <w:tc>
          <w:tcPr>
            <w:tcW w:w="72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rPr>
              <w:t>22.5%</w:t>
            </w:r>
          </w:p>
        </w:tc>
        <w:tc>
          <w:tcPr>
            <w:tcW w:w="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6,882,370</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8,274,919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20.2%</w:t>
            </w:r>
          </w:p>
        </w:tc>
        <w:tc>
          <w:tcPr>
            <w:tcW w:w="0" w:type="dxa"/>
            <w:vAlign w:val="bottom"/>
          </w:tcPr>
          <w:p>
            <w:pPr>
              <w:spacing w:after="0"/>
              <w:rPr>
                <w:sz w:val="1"/>
                <w:szCs w:val="1"/>
                <w:color w:val="auto"/>
              </w:rPr>
            </w:pPr>
          </w:p>
        </w:tc>
      </w:tr>
      <w:tr>
        <w:trPr>
          <w:trHeight w:val="194"/>
        </w:trPr>
        <w:tc>
          <w:tcPr>
            <w:tcW w:w="3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Risk-adjusted Net interest income</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2,286,685</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2,376,737</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2,541,450</w:t>
            </w:r>
          </w:p>
        </w:tc>
        <w:tc>
          <w:tcPr>
            <w:tcW w:w="6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6.9%</w:t>
            </w:r>
          </w:p>
        </w:tc>
        <w:tc>
          <w:tcPr>
            <w:tcW w:w="72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rPr>
              <w:t>11.1%</w:t>
            </w:r>
          </w:p>
        </w:tc>
        <w:tc>
          <w:tcPr>
            <w:tcW w:w="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5,796,929</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7,194,062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194"/>
        </w:trPr>
        <w:tc>
          <w:tcPr>
            <w:tcW w:w="3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color w:val="auto"/>
              </w:rPr>
              <w:t>Average interest earning assets</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231,912,064</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223,529,737</w:t>
            </w:r>
          </w:p>
        </w:tc>
        <w:tc>
          <w:tcPr>
            <w:tcW w:w="940" w:type="dxa"/>
            <w:vAlign w:val="bottom"/>
            <w:tcBorders>
              <w:bottom w:val="single" w:sz="8" w:color="auto"/>
              <w:right w:val="single" w:sz="8" w:color="auto"/>
            </w:tcBorders>
          </w:tcPr>
          <w:p>
            <w:pPr>
              <w:jc w:val="center"/>
              <w:ind w:right="9"/>
              <w:spacing w:after="0"/>
              <w:rPr>
                <w:sz w:val="20"/>
                <w:szCs w:val="20"/>
                <w:color w:val="auto"/>
              </w:rPr>
            </w:pPr>
            <w:r>
              <w:rPr>
                <w:rFonts w:ascii="Arial" w:cs="Arial" w:eastAsia="Arial" w:hAnsi="Arial"/>
                <w:sz w:val="14"/>
                <w:szCs w:val="14"/>
                <w:color w:val="auto"/>
              </w:rPr>
              <w:t>226,137,887</w:t>
            </w:r>
          </w:p>
        </w:tc>
        <w:tc>
          <w:tcPr>
            <w:tcW w:w="6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color w:val="auto"/>
              </w:rPr>
              <w:t>1.2%</w:t>
            </w:r>
          </w:p>
        </w:tc>
        <w:tc>
          <w:tcPr>
            <w:tcW w:w="72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color w:val="auto"/>
                <w:w w:val="98"/>
              </w:rPr>
              <w:t>-2.5%</w:t>
            </w:r>
          </w:p>
        </w:tc>
        <w:tc>
          <w:tcPr>
            <w:tcW w:w="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rPr>
              <w:t>229,486,667</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230,803,439</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75"/>
        </w:trPr>
        <w:tc>
          <w:tcPr>
            <w:tcW w:w="3640" w:type="dxa"/>
            <w:vAlign w:val="bottom"/>
            <w:tcBorders>
              <w:left w:val="single" w:sz="8" w:color="auto"/>
              <w:right w:val="single" w:sz="8" w:color="auto"/>
            </w:tcBorders>
            <w:gridSpan w:val="2"/>
          </w:tcPr>
          <w:p>
            <w:pPr>
              <w:ind w:left="40"/>
              <w:spacing w:after="0" w:line="175" w:lineRule="exact"/>
              <w:rPr>
                <w:sz w:val="20"/>
                <w:szCs w:val="20"/>
                <w:color w:val="auto"/>
              </w:rPr>
            </w:pPr>
            <w:r>
              <w:rPr>
                <w:rFonts w:ascii="Arial" w:cs="Arial" w:eastAsia="Arial" w:hAnsi="Arial"/>
                <w:sz w:val="13"/>
                <w:szCs w:val="13"/>
                <w:b w:val="1"/>
                <w:bCs w:val="1"/>
                <w:color w:val="auto"/>
              </w:rPr>
              <w:t xml:space="preserve">Net interest margin </w:t>
            </w:r>
            <w:r>
              <w:rPr>
                <w:rFonts w:ascii="Arial" w:cs="Arial" w:eastAsia="Arial" w:hAnsi="Arial"/>
                <w:sz w:val="20"/>
                <w:szCs w:val="20"/>
                <w:color w:val="auto"/>
                <w:vertAlign w:val="superscript"/>
              </w:rPr>
              <w:t>(1)</w:t>
            </w:r>
          </w:p>
        </w:tc>
        <w:tc>
          <w:tcPr>
            <w:tcW w:w="720" w:type="dxa"/>
            <w:vAlign w:val="bottom"/>
          </w:tcPr>
          <w:p>
            <w:pPr>
              <w:jc w:val="center"/>
              <w:ind w:left="169"/>
              <w:spacing w:after="0"/>
              <w:rPr>
                <w:sz w:val="20"/>
                <w:szCs w:val="20"/>
                <w:color w:val="auto"/>
              </w:rPr>
            </w:pPr>
            <w:r>
              <w:rPr>
                <w:rFonts w:ascii="Arial" w:cs="Arial" w:eastAsia="Arial" w:hAnsi="Arial"/>
                <w:sz w:val="14"/>
                <w:szCs w:val="14"/>
                <w:b w:val="1"/>
                <w:bCs w:val="1"/>
                <w:color w:val="auto"/>
              </w:rPr>
              <w:t>4.23%</w:t>
            </w:r>
          </w:p>
        </w:tc>
        <w:tc>
          <w:tcPr>
            <w:tcW w:w="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4.90%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5.31%</w:t>
            </w:r>
          </w:p>
        </w:tc>
        <w:tc>
          <w:tcPr>
            <w:tcW w:w="600" w:type="dxa"/>
            <w:vAlign w:val="bottom"/>
          </w:tcPr>
          <w:p>
            <w:pPr>
              <w:jc w:val="center"/>
              <w:ind w:left="9"/>
              <w:spacing w:after="0"/>
              <w:rPr>
                <w:sz w:val="20"/>
                <w:szCs w:val="20"/>
                <w:color w:val="auto"/>
              </w:rPr>
            </w:pPr>
            <w:r>
              <w:rPr>
                <w:rFonts w:ascii="Arial" w:cs="Arial" w:eastAsia="Arial" w:hAnsi="Arial"/>
                <w:sz w:val="14"/>
                <w:szCs w:val="14"/>
                <w:b w:val="1"/>
                <w:bCs w:val="1"/>
                <w:color w:val="auto"/>
                <w:w w:val="98"/>
              </w:rPr>
              <w:t>41bps</w:t>
            </w:r>
          </w:p>
        </w:tc>
        <w:tc>
          <w:tcPr>
            <w:tcW w:w="7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9"/>
              </w:rPr>
              <w:t>108bps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4.00%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4.78%</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78bps</w:t>
            </w:r>
          </w:p>
        </w:tc>
        <w:tc>
          <w:tcPr>
            <w:tcW w:w="0" w:type="dxa"/>
            <w:vAlign w:val="bottom"/>
          </w:tcPr>
          <w:p>
            <w:pPr>
              <w:spacing w:after="0"/>
              <w:rPr>
                <w:sz w:val="1"/>
                <w:szCs w:val="1"/>
                <w:color w:val="auto"/>
              </w:rPr>
            </w:pPr>
          </w:p>
        </w:tc>
      </w:tr>
      <w:tr>
        <w:trPr>
          <w:trHeight w:val="204"/>
        </w:trPr>
        <w:tc>
          <w:tcPr>
            <w:tcW w:w="3640" w:type="dxa"/>
            <w:vAlign w:val="bottom"/>
            <w:tcBorders>
              <w:left w:val="single" w:sz="8" w:color="auto"/>
              <w:right w:val="single" w:sz="8" w:color="auto"/>
            </w:tcBorders>
            <w:gridSpan w:val="2"/>
          </w:tcPr>
          <w:p>
            <w:pPr>
              <w:ind w:left="40"/>
              <w:spacing w:after="0" w:line="204" w:lineRule="exact"/>
              <w:rPr>
                <w:sz w:val="20"/>
                <w:szCs w:val="20"/>
                <w:color w:val="auto"/>
              </w:rPr>
            </w:pPr>
            <w:r>
              <w:rPr>
                <w:rFonts w:ascii="Arial" w:cs="Arial" w:eastAsia="Arial" w:hAnsi="Arial"/>
                <w:sz w:val="14"/>
                <w:szCs w:val="14"/>
                <w:b w:val="1"/>
                <w:bCs w:val="1"/>
                <w:color w:val="auto"/>
              </w:rPr>
              <w:t xml:space="preserve">Risk-adjusted Net interest margin </w:t>
            </w:r>
            <w:r>
              <w:rPr>
                <w:rFonts w:ascii="Arial" w:cs="Arial" w:eastAsia="Arial" w:hAnsi="Arial"/>
                <w:sz w:val="23"/>
                <w:szCs w:val="23"/>
                <w:color w:val="auto"/>
                <w:vertAlign w:val="superscript"/>
              </w:rPr>
              <w:t>(1)</w:t>
            </w:r>
          </w:p>
        </w:tc>
        <w:tc>
          <w:tcPr>
            <w:tcW w:w="720" w:type="dxa"/>
            <w:vAlign w:val="bottom"/>
          </w:tcPr>
          <w:p>
            <w:pPr>
              <w:jc w:val="center"/>
              <w:ind w:left="169"/>
              <w:spacing w:after="0"/>
              <w:rPr>
                <w:sz w:val="20"/>
                <w:szCs w:val="20"/>
                <w:color w:val="auto"/>
              </w:rPr>
            </w:pPr>
            <w:r>
              <w:rPr>
                <w:rFonts w:ascii="Arial" w:cs="Arial" w:eastAsia="Arial" w:hAnsi="Arial"/>
                <w:sz w:val="14"/>
                <w:szCs w:val="14"/>
                <w:b w:val="1"/>
                <w:bCs w:val="1"/>
                <w:color w:val="auto"/>
              </w:rPr>
              <w:t>3.94%</w:t>
            </w:r>
          </w:p>
        </w:tc>
        <w:tc>
          <w:tcPr>
            <w:tcW w:w="26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4.25%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4.50%</w:t>
            </w:r>
          </w:p>
        </w:tc>
        <w:tc>
          <w:tcPr>
            <w:tcW w:w="600" w:type="dxa"/>
            <w:vAlign w:val="bottom"/>
          </w:tcPr>
          <w:p>
            <w:pPr>
              <w:jc w:val="center"/>
              <w:ind w:left="9"/>
              <w:spacing w:after="0"/>
              <w:rPr>
                <w:sz w:val="20"/>
                <w:szCs w:val="20"/>
                <w:color w:val="auto"/>
              </w:rPr>
            </w:pPr>
            <w:r>
              <w:rPr>
                <w:rFonts w:ascii="Arial" w:cs="Arial" w:eastAsia="Arial" w:hAnsi="Arial"/>
                <w:sz w:val="14"/>
                <w:szCs w:val="14"/>
                <w:b w:val="1"/>
                <w:bCs w:val="1"/>
                <w:color w:val="auto"/>
                <w:w w:val="98"/>
              </w:rPr>
              <w:t>25bps</w:t>
            </w:r>
          </w:p>
        </w:tc>
        <w:tc>
          <w:tcPr>
            <w:tcW w:w="78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56bps</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3.37%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4.16%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79bps</w:t>
            </w:r>
          </w:p>
        </w:tc>
        <w:tc>
          <w:tcPr>
            <w:tcW w:w="0" w:type="dxa"/>
            <w:vAlign w:val="bottom"/>
          </w:tcPr>
          <w:p>
            <w:pPr>
              <w:spacing w:after="0"/>
              <w:rPr>
                <w:sz w:val="1"/>
                <w:szCs w:val="1"/>
                <w:color w:val="auto"/>
              </w:rPr>
            </w:pPr>
          </w:p>
        </w:tc>
      </w:tr>
      <w:tr>
        <w:trPr>
          <w:trHeight w:val="190"/>
        </w:trPr>
        <w:tc>
          <w:tcPr>
            <w:tcW w:w="3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Net provisions for loan losses / Net interest income</w:t>
            </w:r>
          </w:p>
        </w:tc>
        <w:tc>
          <w:tcPr>
            <w:tcW w:w="72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rPr>
              <w:t>6.71%</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13.26%</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15.33%</w:t>
            </w:r>
          </w:p>
        </w:tc>
        <w:tc>
          <w:tcPr>
            <w:tcW w:w="60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rPr>
              <w:t>2.1%</w:t>
            </w:r>
          </w:p>
        </w:tc>
        <w:tc>
          <w:tcPr>
            <w:tcW w:w="720" w:type="dxa"/>
            <w:vAlign w:val="bottom"/>
            <w:tcBorders>
              <w:bottom w:val="single" w:sz="8" w:color="auto"/>
            </w:tcBorders>
          </w:tcPr>
          <w:p>
            <w:pPr>
              <w:jc w:val="center"/>
              <w:ind w:left="49"/>
              <w:spacing w:after="0"/>
              <w:rPr>
                <w:sz w:val="20"/>
                <w:szCs w:val="20"/>
                <w:color w:val="auto"/>
              </w:rPr>
            </w:pPr>
            <w:r>
              <w:rPr>
                <w:rFonts w:ascii="Arial" w:cs="Arial" w:eastAsia="Arial" w:hAnsi="Arial"/>
                <w:sz w:val="14"/>
                <w:szCs w:val="14"/>
                <w:b w:val="1"/>
                <w:bCs w:val="1"/>
                <w:color w:val="auto"/>
              </w:rPr>
              <w:t>8.6%</w:t>
            </w:r>
          </w:p>
        </w:tc>
        <w:tc>
          <w:tcPr>
            <w:tcW w:w="6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15.77%</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13.06%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-2.71%</w:t>
            </w:r>
          </w:p>
        </w:tc>
        <w:tc>
          <w:tcPr>
            <w:tcW w:w="0" w:type="dxa"/>
            <w:vAlign w:val="bottom"/>
          </w:tcPr>
          <w:p>
            <w:pPr>
              <w:spacing w:after="0"/>
              <w:rPr>
                <w:sz w:val="1"/>
                <w:szCs w:val="1"/>
                <w:color w:val="auto"/>
              </w:rPr>
            </w:pPr>
          </w:p>
        </w:tc>
      </w:tr>
      <w:tr>
        <w:trPr>
          <w:trHeight w:val="386"/>
        </w:trPr>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(1) Annualized.</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620" w:type="dxa"/>
            <w:vAlign w:val="bottom"/>
          </w:tcPr>
          <w:p>
            <w:pPr>
              <w:spacing w:after="0"/>
              <w:rPr>
                <w:sz w:val="24"/>
                <w:szCs w:val="24"/>
                <w:color w:val="auto"/>
              </w:rPr>
            </w:pPr>
          </w:p>
        </w:tc>
        <w:tc>
          <w:tcPr>
            <w:tcW w:w="6380" w:type="dxa"/>
            <w:vAlign w:val="bottom"/>
            <w:gridSpan w:val="10"/>
          </w:tcPr>
          <w:p>
            <w:pPr>
              <w:spacing w:after="0"/>
              <w:rPr>
                <w:sz w:val="20"/>
                <w:szCs w:val="20"/>
                <w:color w:val="auto"/>
              </w:rPr>
            </w:pPr>
            <w:r>
              <w:rPr>
                <w:rFonts w:ascii="Times New Roman" w:cs="Times New Roman" w:eastAsia="Times New Roman" w:hAnsi="Times New Roman"/>
                <w:sz w:val="21"/>
                <w:szCs w:val="21"/>
                <w:b w:val="1"/>
                <w:bCs w:val="1"/>
                <w:color w:val="auto"/>
              </w:rPr>
              <w:t>Net Interest Margin (NIM) and Risk Adjusted NIM by subsidiary</w:t>
            </w: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620" w:type="dxa"/>
            <w:vAlign w:val="bottom"/>
            <w:tcBorders>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40" w:type="dxa"/>
            <w:vAlign w:val="bottom"/>
            <w:tcBorders>
              <w:left w:val="single" w:sz="8" w:color="auto"/>
              <w:right w:val="single" w:sz="8" w:color="2AD2C9"/>
            </w:tcBorders>
            <w:gridSpan w:val="2"/>
            <w:vMerge w:val="restart"/>
            <w:shd w:val="clear" w:color="auto" w:fill="2AD2C9"/>
          </w:tcPr>
          <w:p>
            <w:pPr>
              <w:ind w:left="1640"/>
              <w:spacing w:after="0"/>
              <w:rPr>
                <w:sz w:val="20"/>
                <w:szCs w:val="20"/>
                <w:color w:val="auto"/>
              </w:rPr>
            </w:pPr>
            <w:r>
              <w:rPr>
                <w:rFonts w:ascii="Arial" w:cs="Arial" w:eastAsia="Arial" w:hAnsi="Arial"/>
                <w:sz w:val="14"/>
                <w:szCs w:val="14"/>
                <w:b w:val="1"/>
                <w:bCs w:val="1"/>
                <w:color w:val="FFFFFF"/>
              </w:rPr>
              <w:t>NIM Breakdown</w:t>
            </w:r>
          </w:p>
        </w:tc>
        <w:tc>
          <w:tcPr>
            <w:tcW w:w="720" w:type="dxa"/>
            <w:vAlign w:val="bottom"/>
            <w:tcBorders>
              <w:right w:val="single" w:sz="8" w:color="auto"/>
            </w:tcBorders>
            <w:shd w:val="clear" w:color="auto" w:fill="2AD2C9"/>
          </w:tcPr>
          <w:p>
            <w:pPr>
              <w:spacing w:after="0"/>
              <w:rPr>
                <w:sz w:val="15"/>
                <w:szCs w:val="15"/>
                <w:color w:val="auto"/>
              </w:rPr>
            </w:pPr>
          </w:p>
        </w:tc>
        <w:tc>
          <w:tcPr>
            <w:tcW w:w="1300" w:type="dxa"/>
            <w:vAlign w:val="bottom"/>
            <w:gridSpan w:val="2"/>
            <w:vMerge w:val="restart"/>
            <w:shd w:val="clear" w:color="auto" w:fill="2AD2C9"/>
          </w:tcPr>
          <w:p>
            <w:pPr>
              <w:ind w:left="120"/>
              <w:spacing w:after="0"/>
              <w:rPr>
                <w:sz w:val="20"/>
                <w:szCs w:val="20"/>
                <w:color w:val="auto"/>
              </w:rPr>
            </w:pPr>
            <w:r>
              <w:rPr>
                <w:rFonts w:ascii="Arial" w:cs="Arial" w:eastAsia="Arial" w:hAnsi="Arial"/>
                <w:sz w:val="14"/>
                <w:szCs w:val="14"/>
                <w:b w:val="1"/>
                <w:bCs w:val="1"/>
                <w:color w:val="FFFFFF"/>
              </w:rPr>
              <w:t>BCP Stand-alone</w:t>
            </w:r>
          </w:p>
        </w:tc>
        <w:tc>
          <w:tcPr>
            <w:tcW w:w="940" w:type="dxa"/>
            <w:vAlign w:val="bottom"/>
            <w:tcBorders>
              <w:right w:val="single" w:sz="8" w:color="2AD2C9"/>
            </w:tcBorders>
            <w:vMerge w:val="restart"/>
            <w:shd w:val="clear" w:color="auto" w:fill="2AD2C9"/>
          </w:tcPr>
          <w:p>
            <w:pPr>
              <w:jc w:val="center"/>
              <w:ind w:left="269"/>
              <w:spacing w:after="0"/>
              <w:rPr>
                <w:sz w:val="20"/>
                <w:szCs w:val="20"/>
                <w:color w:val="auto"/>
              </w:rPr>
            </w:pPr>
            <w:r>
              <w:rPr>
                <w:rFonts w:ascii="Arial" w:cs="Arial" w:eastAsia="Arial" w:hAnsi="Arial"/>
                <w:sz w:val="14"/>
                <w:szCs w:val="14"/>
                <w:b w:val="1"/>
                <w:bCs w:val="1"/>
                <w:color w:val="FFFFFF"/>
                <w:w w:val="98"/>
              </w:rPr>
              <w:t>Mibanco</w:t>
            </w:r>
          </w:p>
        </w:tc>
        <w:tc>
          <w:tcPr>
            <w:tcW w:w="600" w:type="dxa"/>
            <w:vAlign w:val="bottom"/>
            <w:shd w:val="clear" w:color="auto" w:fill="2AD2C9"/>
          </w:tcPr>
          <w:p>
            <w:pPr>
              <w:spacing w:after="0"/>
              <w:rPr>
                <w:sz w:val="15"/>
                <w:szCs w:val="15"/>
                <w:color w:val="auto"/>
              </w:rPr>
            </w:pPr>
          </w:p>
        </w:tc>
        <w:tc>
          <w:tcPr>
            <w:tcW w:w="720" w:type="dxa"/>
            <w:vAlign w:val="bottom"/>
            <w:tcBorders>
              <w:right w:val="single" w:sz="8" w:color="auto"/>
            </w:tcBorders>
            <w:shd w:val="clear" w:color="auto" w:fill="2AD2C9"/>
          </w:tcPr>
          <w:p>
            <w:pPr>
              <w:jc w:val="center"/>
              <w:ind w:right="309"/>
              <w:spacing w:after="0"/>
              <w:rPr>
                <w:sz w:val="20"/>
                <w:szCs w:val="20"/>
                <w:color w:val="auto"/>
              </w:rPr>
            </w:pPr>
            <w:r>
              <w:rPr>
                <w:rFonts w:ascii="Arial" w:cs="Arial" w:eastAsia="Arial" w:hAnsi="Arial"/>
                <w:sz w:val="14"/>
                <w:szCs w:val="14"/>
                <w:b w:val="1"/>
                <w:bCs w:val="1"/>
                <w:color w:val="FFFFFF"/>
              </w:rPr>
              <w:t>BCP</w:t>
            </w:r>
          </w:p>
        </w:tc>
        <w:tc>
          <w:tcPr>
            <w:tcW w:w="60" w:type="dxa"/>
            <w:vAlign w:val="bottom"/>
            <w:tcBorders>
              <w:right w:val="single" w:sz="8" w:color="2AD2C9"/>
            </w:tcBorders>
            <w:shd w:val="clear" w:color="auto" w:fill="2AD2C9"/>
          </w:tcPr>
          <w:p>
            <w:pPr>
              <w:spacing w:after="0"/>
              <w:rPr>
                <w:sz w:val="15"/>
                <w:szCs w:val="15"/>
                <w:color w:val="auto"/>
              </w:rPr>
            </w:pPr>
          </w:p>
        </w:tc>
        <w:tc>
          <w:tcPr>
            <w:tcW w:w="1020" w:type="dxa"/>
            <w:vAlign w:val="bottom"/>
            <w:tcBorders>
              <w:right w:val="single" w:sz="8" w:color="auto"/>
            </w:tcBorders>
            <w:gridSpan w:val="2"/>
            <w:vMerge w:val="restart"/>
            <w:shd w:val="clear" w:color="auto" w:fill="2AD2C9"/>
          </w:tcPr>
          <w:p>
            <w:pPr>
              <w:ind w:left="120"/>
              <w:spacing w:after="0"/>
              <w:rPr>
                <w:sz w:val="20"/>
                <w:szCs w:val="20"/>
                <w:color w:val="auto"/>
              </w:rPr>
            </w:pPr>
            <w:r>
              <w:rPr>
                <w:rFonts w:ascii="Arial" w:cs="Arial" w:eastAsia="Arial" w:hAnsi="Arial"/>
                <w:sz w:val="14"/>
                <w:szCs w:val="14"/>
                <w:b w:val="1"/>
                <w:bCs w:val="1"/>
                <w:color w:val="FFFFFF"/>
              </w:rPr>
              <w:t>Credicorp</w:t>
            </w:r>
          </w:p>
        </w:tc>
        <w:tc>
          <w:tcPr>
            <w:tcW w:w="9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640" w:type="dxa"/>
            <w:vAlign w:val="bottom"/>
            <w:tcBorders>
              <w:left w:val="single" w:sz="8" w:color="auto"/>
              <w:right w:val="single" w:sz="8" w:color="2AD2C9"/>
            </w:tcBorders>
            <w:gridSpan w:val="2"/>
            <w:vMerge w:val="continue"/>
            <w:shd w:val="clear" w:color="auto" w:fill="2AD2C9"/>
          </w:tcPr>
          <w:p>
            <w:pPr>
              <w:spacing w:after="0"/>
              <w:rPr>
                <w:sz w:val="9"/>
                <w:szCs w:val="9"/>
                <w:color w:val="auto"/>
              </w:rPr>
            </w:pPr>
          </w:p>
        </w:tc>
        <w:tc>
          <w:tcPr>
            <w:tcW w:w="720" w:type="dxa"/>
            <w:vAlign w:val="bottom"/>
            <w:tcBorders>
              <w:right w:val="single" w:sz="8" w:color="auto"/>
            </w:tcBorders>
            <w:shd w:val="clear" w:color="auto" w:fill="2AD2C9"/>
          </w:tcPr>
          <w:p>
            <w:pPr>
              <w:spacing w:after="0"/>
              <w:rPr>
                <w:sz w:val="9"/>
                <w:szCs w:val="9"/>
                <w:color w:val="auto"/>
              </w:rPr>
            </w:pPr>
          </w:p>
        </w:tc>
        <w:tc>
          <w:tcPr>
            <w:tcW w:w="1300" w:type="dxa"/>
            <w:vAlign w:val="bottom"/>
            <w:gridSpan w:val="2"/>
            <w:vMerge w:val="continue"/>
            <w:shd w:val="clear" w:color="auto" w:fill="2AD2C9"/>
          </w:tcPr>
          <w:p>
            <w:pPr>
              <w:spacing w:after="0"/>
              <w:rPr>
                <w:sz w:val="9"/>
                <w:szCs w:val="9"/>
                <w:color w:val="auto"/>
              </w:rPr>
            </w:pPr>
          </w:p>
        </w:tc>
        <w:tc>
          <w:tcPr>
            <w:tcW w:w="940" w:type="dxa"/>
            <w:vAlign w:val="bottom"/>
            <w:tcBorders>
              <w:right w:val="single" w:sz="8" w:color="2AD2C9"/>
            </w:tcBorders>
            <w:vMerge w:val="continue"/>
            <w:shd w:val="clear" w:color="auto" w:fill="2AD2C9"/>
          </w:tcPr>
          <w:p>
            <w:pPr>
              <w:spacing w:after="0"/>
              <w:rPr>
                <w:sz w:val="9"/>
                <w:szCs w:val="9"/>
                <w:color w:val="auto"/>
              </w:rPr>
            </w:pPr>
          </w:p>
        </w:tc>
        <w:tc>
          <w:tcPr>
            <w:tcW w:w="1320" w:type="dxa"/>
            <w:vAlign w:val="bottom"/>
            <w:tcBorders>
              <w:right w:val="single" w:sz="8" w:color="auto"/>
            </w:tcBorders>
            <w:gridSpan w:val="2"/>
            <w:vMerge w:val="restart"/>
            <w:shd w:val="clear" w:color="auto" w:fill="2AD2C9"/>
          </w:tcPr>
          <w:p>
            <w:pPr>
              <w:jc w:val="center"/>
              <w:ind w:left="149"/>
              <w:spacing w:after="0"/>
              <w:rPr>
                <w:sz w:val="20"/>
                <w:szCs w:val="20"/>
                <w:color w:val="auto"/>
              </w:rPr>
            </w:pPr>
            <w:r>
              <w:rPr>
                <w:rFonts w:ascii="Arial" w:cs="Arial" w:eastAsia="Arial" w:hAnsi="Arial"/>
                <w:sz w:val="14"/>
                <w:szCs w:val="14"/>
                <w:b w:val="1"/>
                <w:bCs w:val="1"/>
                <w:color w:val="FFFFFF"/>
              </w:rPr>
              <w:t>Bolivia</w:t>
            </w:r>
          </w:p>
        </w:tc>
        <w:tc>
          <w:tcPr>
            <w:tcW w:w="60" w:type="dxa"/>
            <w:vAlign w:val="bottom"/>
            <w:tcBorders>
              <w:right w:val="single" w:sz="8" w:color="2AD2C9"/>
            </w:tcBorders>
            <w:shd w:val="clear" w:color="auto" w:fill="2AD2C9"/>
          </w:tcPr>
          <w:p>
            <w:pPr>
              <w:spacing w:after="0"/>
              <w:rPr>
                <w:sz w:val="9"/>
                <w:szCs w:val="9"/>
                <w:color w:val="auto"/>
              </w:rPr>
            </w:pPr>
          </w:p>
        </w:tc>
        <w:tc>
          <w:tcPr>
            <w:tcW w:w="1020" w:type="dxa"/>
            <w:vAlign w:val="bottom"/>
            <w:tcBorders>
              <w:right w:val="single" w:sz="8" w:color="auto"/>
            </w:tcBorders>
            <w:gridSpan w:val="2"/>
            <w:vMerge w:val="continue"/>
            <w:shd w:val="clear" w:color="auto" w:fill="2AD2C9"/>
          </w:tcPr>
          <w:p>
            <w:pPr>
              <w:spacing w:after="0"/>
              <w:rPr>
                <w:sz w:val="9"/>
                <w:szCs w:val="9"/>
                <w:color w:val="auto"/>
              </w:rPr>
            </w:pPr>
          </w:p>
        </w:tc>
        <w:tc>
          <w:tcPr>
            <w:tcW w:w="9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620" w:type="dxa"/>
            <w:vAlign w:val="bottom"/>
            <w:tcBorders>
              <w:left w:val="single" w:sz="8" w:color="auto"/>
              <w:bottom w:val="single" w:sz="8" w:color="auto"/>
            </w:tcBorders>
            <w:shd w:val="clear" w:color="auto" w:fill="2AD2C9"/>
          </w:tcPr>
          <w:p>
            <w:pPr>
              <w:spacing w:after="0"/>
              <w:rPr>
                <w:sz w:val="7"/>
                <w:szCs w:val="7"/>
                <w:color w:val="auto"/>
              </w:rPr>
            </w:pPr>
          </w:p>
        </w:tc>
        <w:tc>
          <w:tcPr>
            <w:tcW w:w="1020" w:type="dxa"/>
            <w:vAlign w:val="bottom"/>
            <w:tcBorders>
              <w:bottom w:val="single" w:sz="8" w:color="auto"/>
              <w:right w:val="single" w:sz="8" w:color="2AD2C9"/>
            </w:tcBorders>
            <w:shd w:val="clear" w:color="auto" w:fill="2AD2C9"/>
          </w:tcPr>
          <w:p>
            <w:pPr>
              <w:spacing w:after="0"/>
              <w:rPr>
                <w:sz w:val="7"/>
                <w:szCs w:val="7"/>
                <w:color w:val="auto"/>
              </w:rPr>
            </w:pPr>
          </w:p>
        </w:tc>
        <w:tc>
          <w:tcPr>
            <w:tcW w:w="720" w:type="dxa"/>
            <w:vAlign w:val="bottom"/>
            <w:tcBorders>
              <w:bottom w:val="single" w:sz="8" w:color="auto"/>
              <w:right w:val="single" w:sz="8" w:color="auto"/>
            </w:tcBorders>
            <w:shd w:val="clear" w:color="auto" w:fill="2AD2C9"/>
          </w:tcPr>
          <w:p>
            <w:pPr>
              <w:spacing w:after="0"/>
              <w:rPr>
                <w:sz w:val="7"/>
                <w:szCs w:val="7"/>
                <w:color w:val="auto"/>
              </w:rPr>
            </w:pPr>
          </w:p>
        </w:tc>
        <w:tc>
          <w:tcPr>
            <w:tcW w:w="260" w:type="dxa"/>
            <w:vAlign w:val="bottom"/>
            <w:tcBorders>
              <w:bottom w:val="single" w:sz="8" w:color="auto"/>
            </w:tcBorders>
            <w:shd w:val="clear" w:color="auto" w:fill="2AD2C9"/>
          </w:tcPr>
          <w:p>
            <w:pPr>
              <w:spacing w:after="0"/>
              <w:rPr>
                <w:sz w:val="7"/>
                <w:szCs w:val="7"/>
                <w:color w:val="auto"/>
              </w:rPr>
            </w:pPr>
          </w:p>
        </w:tc>
        <w:tc>
          <w:tcPr>
            <w:tcW w:w="1040" w:type="dxa"/>
            <w:vAlign w:val="bottom"/>
            <w:tcBorders>
              <w:bottom w:val="single" w:sz="8" w:color="auto"/>
            </w:tcBorders>
            <w:shd w:val="clear" w:color="auto" w:fill="2AD2C9"/>
          </w:tcPr>
          <w:p>
            <w:pPr>
              <w:spacing w:after="0"/>
              <w:rPr>
                <w:sz w:val="7"/>
                <w:szCs w:val="7"/>
                <w:color w:val="auto"/>
              </w:rPr>
            </w:pPr>
          </w:p>
        </w:tc>
        <w:tc>
          <w:tcPr>
            <w:tcW w:w="940" w:type="dxa"/>
            <w:vAlign w:val="bottom"/>
            <w:tcBorders>
              <w:bottom w:val="single" w:sz="8" w:color="auto"/>
              <w:right w:val="single" w:sz="8" w:color="2AD2C9"/>
            </w:tcBorders>
            <w:shd w:val="clear" w:color="auto" w:fill="2AD2C9"/>
          </w:tcPr>
          <w:p>
            <w:pPr>
              <w:spacing w:after="0"/>
              <w:rPr>
                <w:sz w:val="7"/>
                <w:szCs w:val="7"/>
                <w:color w:val="auto"/>
              </w:rPr>
            </w:pPr>
          </w:p>
        </w:tc>
        <w:tc>
          <w:tcPr>
            <w:tcW w:w="1320" w:type="dxa"/>
            <w:vAlign w:val="bottom"/>
            <w:tcBorders>
              <w:bottom w:val="single" w:sz="8" w:color="auto"/>
              <w:right w:val="single" w:sz="8" w:color="auto"/>
            </w:tcBorders>
            <w:gridSpan w:val="2"/>
            <w:vMerge w:val="continue"/>
            <w:shd w:val="clear" w:color="auto" w:fill="2AD2C9"/>
          </w:tcPr>
          <w:p>
            <w:pPr>
              <w:spacing w:after="0"/>
              <w:rPr>
                <w:sz w:val="7"/>
                <w:szCs w:val="7"/>
                <w:color w:val="auto"/>
              </w:rPr>
            </w:pPr>
          </w:p>
        </w:tc>
        <w:tc>
          <w:tcPr>
            <w:tcW w:w="60" w:type="dxa"/>
            <w:vAlign w:val="bottom"/>
            <w:tcBorders>
              <w:bottom w:val="single" w:sz="8" w:color="auto"/>
              <w:right w:val="single" w:sz="8" w:color="2AD2C9"/>
            </w:tcBorders>
            <w:shd w:val="clear" w:color="auto" w:fill="2AD2C9"/>
          </w:tcPr>
          <w:p>
            <w:pPr>
              <w:spacing w:after="0"/>
              <w:rPr>
                <w:sz w:val="7"/>
                <w:szCs w:val="7"/>
                <w:color w:val="auto"/>
              </w:rPr>
            </w:pPr>
          </w:p>
        </w:tc>
        <w:tc>
          <w:tcPr>
            <w:tcW w:w="640" w:type="dxa"/>
            <w:vAlign w:val="bottom"/>
            <w:tcBorders>
              <w:bottom w:val="single" w:sz="8" w:color="auto"/>
            </w:tcBorders>
            <w:shd w:val="clear" w:color="auto" w:fill="2AD2C9"/>
          </w:tcPr>
          <w:p>
            <w:pPr>
              <w:spacing w:after="0"/>
              <w:rPr>
                <w:sz w:val="7"/>
                <w:szCs w:val="7"/>
                <w:color w:val="auto"/>
              </w:rPr>
            </w:pPr>
          </w:p>
        </w:tc>
        <w:tc>
          <w:tcPr>
            <w:tcW w:w="380" w:type="dxa"/>
            <w:vAlign w:val="bottom"/>
            <w:tcBorders>
              <w:bottom w:val="single" w:sz="8" w:color="auto"/>
              <w:right w:val="single" w:sz="8" w:color="auto"/>
            </w:tcBorders>
            <w:shd w:val="clear" w:color="auto" w:fill="2AD2C9"/>
          </w:tcPr>
          <w:p>
            <w:pPr>
              <w:spacing w:after="0"/>
              <w:rPr>
                <w:sz w:val="7"/>
                <w:szCs w:val="7"/>
                <w:color w:val="auto"/>
              </w:rPr>
            </w:pPr>
          </w:p>
        </w:tc>
        <w:tc>
          <w:tcPr>
            <w:tcW w:w="9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640" w:type="dxa"/>
            <w:vAlign w:val="bottom"/>
            <w:tcBorders>
              <w:left w:val="single" w:sz="8" w:color="auto"/>
            </w:tcBorders>
            <w:gridSpan w:val="2"/>
          </w:tcPr>
          <w:p>
            <w:pPr>
              <w:ind w:left="2000"/>
              <w:spacing w:after="0"/>
              <w:rPr>
                <w:sz w:val="20"/>
                <w:szCs w:val="20"/>
                <w:color w:val="auto"/>
              </w:rPr>
            </w:pPr>
            <w:r>
              <w:rPr>
                <w:rFonts w:ascii="Arial" w:cs="Arial" w:eastAsia="Arial" w:hAnsi="Arial"/>
                <w:sz w:val="14"/>
                <w:szCs w:val="14"/>
                <w:b w:val="1"/>
                <w:bCs w:val="1"/>
                <w:color w:val="auto"/>
              </w:rPr>
              <w:t>3Q21</w:t>
            </w:r>
          </w:p>
        </w:tc>
        <w:tc>
          <w:tcPr>
            <w:tcW w:w="7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4"/>
                <w:szCs w:val="14"/>
                <w:color w:val="auto"/>
              </w:rPr>
              <w:t>3.57%</w:t>
            </w:r>
          </w:p>
        </w:tc>
        <w:tc>
          <w:tcPr>
            <w:tcW w:w="940" w:type="dxa"/>
            <w:vAlign w:val="bottom"/>
          </w:tcPr>
          <w:p>
            <w:pPr>
              <w:jc w:val="center"/>
              <w:ind w:left="269"/>
              <w:spacing w:after="0"/>
              <w:rPr>
                <w:sz w:val="20"/>
                <w:szCs w:val="20"/>
                <w:color w:val="auto"/>
              </w:rPr>
            </w:pPr>
            <w:r>
              <w:rPr>
                <w:rFonts w:ascii="Arial" w:cs="Arial" w:eastAsia="Arial" w:hAnsi="Arial"/>
                <w:sz w:val="14"/>
                <w:szCs w:val="14"/>
                <w:color w:val="auto"/>
              </w:rPr>
              <w:t>12.59%</w:t>
            </w:r>
          </w:p>
        </w:tc>
        <w:tc>
          <w:tcPr>
            <w:tcW w:w="1320" w:type="dxa"/>
            <w:vAlign w:val="bottom"/>
            <w:tcBorders>
              <w:right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3.23%</w:t>
            </w:r>
          </w:p>
        </w:tc>
        <w:tc>
          <w:tcPr>
            <w:tcW w:w="60" w:type="dxa"/>
            <w:vAlign w:val="bottom"/>
          </w:tcPr>
          <w:p>
            <w:pPr>
              <w:spacing w:after="0"/>
              <w:rPr>
                <w:sz w:val="18"/>
                <w:szCs w:val="18"/>
                <w:color w:val="auto"/>
              </w:rPr>
            </w:pPr>
          </w:p>
        </w:tc>
        <w:tc>
          <w:tcPr>
            <w:tcW w:w="1020" w:type="dxa"/>
            <w:vAlign w:val="bottom"/>
            <w:tcBorders>
              <w:right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4.23%</w:t>
            </w: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40" w:type="dxa"/>
            <w:vAlign w:val="bottom"/>
            <w:tcBorders>
              <w:left w:val="single" w:sz="8" w:color="auto"/>
            </w:tcBorders>
            <w:gridSpan w:val="2"/>
          </w:tcPr>
          <w:p>
            <w:pPr>
              <w:ind w:left="2000"/>
              <w:spacing w:after="0"/>
              <w:rPr>
                <w:sz w:val="20"/>
                <w:szCs w:val="20"/>
                <w:color w:val="auto"/>
              </w:rPr>
            </w:pPr>
            <w:r>
              <w:rPr>
                <w:rFonts w:ascii="Arial" w:cs="Arial" w:eastAsia="Arial" w:hAnsi="Arial"/>
                <w:sz w:val="14"/>
                <w:szCs w:val="14"/>
                <w:b w:val="1"/>
                <w:bCs w:val="1"/>
                <w:color w:val="auto"/>
              </w:rPr>
              <w:t>2Q22</w:t>
            </w:r>
          </w:p>
        </w:tc>
        <w:tc>
          <w:tcPr>
            <w:tcW w:w="7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ind w:left="240"/>
              <w:spacing w:after="0"/>
              <w:rPr>
                <w:sz w:val="20"/>
                <w:szCs w:val="20"/>
                <w:color w:val="auto"/>
              </w:rPr>
            </w:pPr>
            <w:r>
              <w:rPr>
                <w:rFonts w:ascii="Arial" w:cs="Arial" w:eastAsia="Arial" w:hAnsi="Arial"/>
                <w:sz w:val="14"/>
                <w:szCs w:val="14"/>
                <w:color w:val="auto"/>
              </w:rPr>
              <w:t>4.29%</w:t>
            </w:r>
          </w:p>
        </w:tc>
        <w:tc>
          <w:tcPr>
            <w:tcW w:w="940" w:type="dxa"/>
            <w:vAlign w:val="bottom"/>
          </w:tcPr>
          <w:p>
            <w:pPr>
              <w:jc w:val="center"/>
              <w:ind w:left="269"/>
              <w:spacing w:after="0"/>
              <w:rPr>
                <w:sz w:val="20"/>
                <w:szCs w:val="20"/>
                <w:color w:val="auto"/>
              </w:rPr>
            </w:pPr>
            <w:r>
              <w:rPr>
                <w:rFonts w:ascii="Arial" w:cs="Arial" w:eastAsia="Arial" w:hAnsi="Arial"/>
                <w:sz w:val="14"/>
                <w:szCs w:val="14"/>
                <w:color w:val="auto"/>
              </w:rPr>
              <w:t>12.95%</w:t>
            </w:r>
          </w:p>
        </w:tc>
        <w:tc>
          <w:tcPr>
            <w:tcW w:w="1320" w:type="dxa"/>
            <w:vAlign w:val="bottom"/>
            <w:tcBorders>
              <w:right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2.88%</w:t>
            </w:r>
          </w:p>
        </w:tc>
        <w:tc>
          <w:tcPr>
            <w:tcW w:w="60" w:type="dxa"/>
            <w:vAlign w:val="bottom"/>
          </w:tcPr>
          <w:p>
            <w:pPr>
              <w:spacing w:after="0"/>
              <w:rPr>
                <w:sz w:val="18"/>
                <w:szCs w:val="18"/>
                <w:color w:val="auto"/>
              </w:rPr>
            </w:pPr>
          </w:p>
        </w:tc>
        <w:tc>
          <w:tcPr>
            <w:tcW w:w="1020" w:type="dxa"/>
            <w:vAlign w:val="bottom"/>
            <w:tcBorders>
              <w:right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4.90%</w:t>
            </w: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tcBorders>
              <w:left w:val="single" w:sz="8" w:color="auto"/>
              <w:bottom w:val="single" w:sz="8" w:color="auto"/>
            </w:tcBorders>
            <w:gridSpan w:val="2"/>
          </w:tcPr>
          <w:p>
            <w:pPr>
              <w:ind w:left="2000"/>
              <w:spacing w:after="0"/>
              <w:rPr>
                <w:sz w:val="20"/>
                <w:szCs w:val="20"/>
                <w:color w:val="auto"/>
              </w:rPr>
            </w:pPr>
            <w:r>
              <w:rPr>
                <w:rFonts w:ascii="Arial" w:cs="Arial" w:eastAsia="Arial" w:hAnsi="Arial"/>
                <w:sz w:val="14"/>
                <w:szCs w:val="14"/>
                <w:b w:val="1"/>
                <w:bCs w:val="1"/>
                <w:color w:val="auto"/>
              </w:rPr>
              <w:t>3Q22</w:t>
            </w:r>
          </w:p>
        </w:tc>
        <w:tc>
          <w:tcPr>
            <w:tcW w:w="72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4.83%</w:t>
            </w:r>
          </w:p>
        </w:tc>
        <w:tc>
          <w:tcPr>
            <w:tcW w:w="94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rPr>
              <w:t>12.99%</w:t>
            </w:r>
          </w:p>
        </w:tc>
        <w:tc>
          <w:tcPr>
            <w:tcW w:w="1320" w:type="dxa"/>
            <w:vAlign w:val="bottom"/>
            <w:tcBorders>
              <w:bottom w:val="single" w:sz="8" w:color="auto"/>
              <w:right w:val="single" w:sz="8" w:color="auto"/>
            </w:tcBorders>
            <w:gridSpan w:val="2"/>
          </w:tcPr>
          <w:p>
            <w:pPr>
              <w:jc w:val="center"/>
              <w:ind w:left="129"/>
              <w:spacing w:after="0"/>
              <w:rPr>
                <w:sz w:val="20"/>
                <w:szCs w:val="20"/>
                <w:color w:val="auto"/>
              </w:rPr>
            </w:pPr>
            <w:r>
              <w:rPr>
                <w:rFonts w:ascii="Arial" w:cs="Arial" w:eastAsia="Arial" w:hAnsi="Arial"/>
                <w:sz w:val="14"/>
                <w:szCs w:val="14"/>
                <w:color w:val="auto"/>
              </w:rPr>
              <w:t>2.81%</w:t>
            </w:r>
          </w:p>
        </w:tc>
        <w:tc>
          <w:tcPr>
            <w:tcW w:w="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5.31%</w:t>
            </w:r>
          </w:p>
        </w:tc>
        <w:tc>
          <w:tcPr>
            <w:tcW w:w="9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NIM: Annualized Net interest income / Average period end and period beginning interest earning assets.</w:t>
      </w:r>
    </w:p>
    <w:p>
      <w:pPr>
        <w:spacing w:after="0" w:line="133"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4740" w:type="dxa"/>
            <w:vAlign w:val="bottom"/>
            <w:tcBorders>
              <w:top w:val="single" w:sz="8" w:color="auto"/>
              <w:left w:val="single" w:sz="8" w:color="auto"/>
              <w:bottom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4"/>
                <w:szCs w:val="14"/>
                <w:b w:val="1"/>
                <w:bCs w:val="1"/>
                <w:color w:val="FFFFFF"/>
              </w:rPr>
              <w:t>Risk Adjusted NIM Breakdown</w:t>
            </w:r>
          </w:p>
        </w:tc>
        <w:tc>
          <w:tcPr>
            <w:tcW w:w="1460" w:type="dxa"/>
            <w:vAlign w:val="bottom"/>
            <w:tcBorders>
              <w:top w:val="single" w:sz="8" w:color="auto"/>
              <w:bottom w:val="single" w:sz="8" w:color="auto"/>
            </w:tcBorders>
            <w:shd w:val="clear" w:color="auto" w:fill="2AD2C9"/>
          </w:tcPr>
          <w:p>
            <w:pPr>
              <w:jc w:val="center"/>
              <w:ind w:right="69"/>
              <w:spacing w:after="0"/>
              <w:rPr>
                <w:sz w:val="20"/>
                <w:szCs w:val="20"/>
                <w:color w:val="auto"/>
              </w:rPr>
            </w:pPr>
            <w:r>
              <w:rPr>
                <w:rFonts w:ascii="Arial" w:cs="Arial" w:eastAsia="Arial" w:hAnsi="Arial"/>
                <w:sz w:val="14"/>
                <w:szCs w:val="14"/>
                <w:b w:val="1"/>
                <w:bCs w:val="1"/>
                <w:color w:val="FFFFFF"/>
              </w:rPr>
              <w:t>BCP Stand-alone</w:t>
            </w:r>
          </w:p>
        </w:tc>
        <w:tc>
          <w:tcPr>
            <w:tcW w:w="1140" w:type="dxa"/>
            <w:vAlign w:val="bottom"/>
            <w:tcBorders>
              <w:top w:val="single" w:sz="8" w:color="auto"/>
              <w:bottom w:val="single" w:sz="8" w:color="auto"/>
            </w:tcBorders>
            <w:shd w:val="clear" w:color="auto" w:fill="2AD2C9"/>
          </w:tcPr>
          <w:p>
            <w:pPr>
              <w:ind w:left="240"/>
              <w:spacing w:after="0"/>
              <w:rPr>
                <w:sz w:val="20"/>
                <w:szCs w:val="20"/>
                <w:color w:val="auto"/>
              </w:rPr>
            </w:pPr>
            <w:r>
              <w:rPr>
                <w:rFonts w:ascii="Arial" w:cs="Arial" w:eastAsia="Arial" w:hAnsi="Arial"/>
                <w:sz w:val="14"/>
                <w:szCs w:val="14"/>
                <w:b w:val="1"/>
                <w:bCs w:val="1"/>
                <w:color w:val="FFFFFF"/>
              </w:rPr>
              <w:t>Mibanco</w:t>
            </w:r>
          </w:p>
        </w:tc>
        <w:tc>
          <w:tcPr>
            <w:tcW w:w="142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BCP Bolivia</w:t>
            </w:r>
          </w:p>
        </w:tc>
        <w:tc>
          <w:tcPr>
            <w:tcW w:w="1360" w:type="dxa"/>
            <w:vAlign w:val="bottom"/>
            <w:tcBorders>
              <w:top w:val="single" w:sz="8" w:color="auto"/>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Credicorp</w:t>
            </w:r>
          </w:p>
        </w:tc>
      </w:tr>
      <w:tr>
        <w:trPr>
          <w:trHeight w:val="226"/>
        </w:trPr>
        <w:tc>
          <w:tcPr>
            <w:tcW w:w="4740" w:type="dxa"/>
            <w:vAlign w:val="bottom"/>
            <w:tcBorders>
              <w:left w:val="single" w:sz="8" w:color="auto"/>
              <w:right w:val="single" w:sz="8" w:color="auto"/>
            </w:tcBorders>
          </w:tcPr>
          <w:p>
            <w:pPr>
              <w:ind w:left="2200"/>
              <w:spacing w:after="0"/>
              <w:rPr>
                <w:sz w:val="20"/>
                <w:szCs w:val="20"/>
                <w:color w:val="auto"/>
              </w:rPr>
            </w:pPr>
            <w:r>
              <w:rPr>
                <w:rFonts w:ascii="Arial" w:cs="Arial" w:eastAsia="Arial" w:hAnsi="Arial"/>
                <w:sz w:val="14"/>
                <w:szCs w:val="14"/>
                <w:b w:val="1"/>
                <w:bCs w:val="1"/>
                <w:color w:val="auto"/>
              </w:rPr>
              <w:t>3Q21</w:t>
            </w:r>
          </w:p>
        </w:tc>
        <w:tc>
          <w:tcPr>
            <w:tcW w:w="1460" w:type="dxa"/>
            <w:vAlign w:val="bottom"/>
          </w:tcPr>
          <w:p>
            <w:pPr>
              <w:jc w:val="center"/>
              <w:ind w:right="69"/>
              <w:spacing w:after="0"/>
              <w:rPr>
                <w:sz w:val="20"/>
                <w:szCs w:val="20"/>
                <w:color w:val="auto"/>
              </w:rPr>
            </w:pPr>
            <w:r>
              <w:rPr>
                <w:rFonts w:ascii="Arial" w:cs="Arial" w:eastAsia="Arial" w:hAnsi="Arial"/>
                <w:sz w:val="14"/>
                <w:szCs w:val="14"/>
                <w:color w:val="auto"/>
              </w:rPr>
              <w:t>3.49%</w:t>
            </w:r>
          </w:p>
        </w:tc>
        <w:tc>
          <w:tcPr>
            <w:tcW w:w="1140" w:type="dxa"/>
            <w:vAlign w:val="bottom"/>
          </w:tcPr>
          <w:p>
            <w:pPr>
              <w:jc w:val="center"/>
              <w:ind w:right="9"/>
              <w:spacing w:after="0"/>
              <w:rPr>
                <w:sz w:val="20"/>
                <w:szCs w:val="20"/>
                <w:color w:val="auto"/>
              </w:rPr>
            </w:pPr>
            <w:r>
              <w:rPr>
                <w:rFonts w:ascii="Arial" w:cs="Arial" w:eastAsia="Arial" w:hAnsi="Arial"/>
                <w:sz w:val="14"/>
                <w:szCs w:val="14"/>
                <w:color w:val="auto"/>
              </w:rPr>
              <w:t>9.46%</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3.94%</w:t>
            </w:r>
          </w:p>
        </w:tc>
      </w:tr>
      <w:tr>
        <w:trPr>
          <w:trHeight w:val="241"/>
        </w:trPr>
        <w:tc>
          <w:tcPr>
            <w:tcW w:w="4740" w:type="dxa"/>
            <w:vAlign w:val="bottom"/>
            <w:tcBorders>
              <w:left w:val="single" w:sz="8" w:color="auto"/>
              <w:right w:val="single" w:sz="8" w:color="auto"/>
            </w:tcBorders>
          </w:tcPr>
          <w:p>
            <w:pPr>
              <w:ind w:left="2200"/>
              <w:spacing w:after="0"/>
              <w:rPr>
                <w:sz w:val="20"/>
                <w:szCs w:val="20"/>
                <w:color w:val="auto"/>
              </w:rPr>
            </w:pPr>
            <w:r>
              <w:rPr>
                <w:rFonts w:ascii="Arial" w:cs="Arial" w:eastAsia="Arial" w:hAnsi="Arial"/>
                <w:sz w:val="14"/>
                <w:szCs w:val="14"/>
                <w:b w:val="1"/>
                <w:bCs w:val="1"/>
                <w:color w:val="auto"/>
              </w:rPr>
              <w:t>2Q22</w:t>
            </w:r>
          </w:p>
        </w:tc>
        <w:tc>
          <w:tcPr>
            <w:tcW w:w="1460" w:type="dxa"/>
            <w:vAlign w:val="bottom"/>
          </w:tcPr>
          <w:p>
            <w:pPr>
              <w:jc w:val="center"/>
              <w:ind w:right="69"/>
              <w:spacing w:after="0"/>
              <w:rPr>
                <w:sz w:val="20"/>
                <w:szCs w:val="20"/>
                <w:color w:val="auto"/>
              </w:rPr>
            </w:pPr>
            <w:r>
              <w:rPr>
                <w:rFonts w:ascii="Arial" w:cs="Arial" w:eastAsia="Arial" w:hAnsi="Arial"/>
                <w:sz w:val="14"/>
                <w:szCs w:val="14"/>
                <w:color w:val="auto"/>
              </w:rPr>
              <w:t>3.79%</w:t>
            </w:r>
          </w:p>
        </w:tc>
        <w:tc>
          <w:tcPr>
            <w:tcW w:w="1140" w:type="dxa"/>
            <w:vAlign w:val="bottom"/>
          </w:tcPr>
          <w:p>
            <w:pPr>
              <w:jc w:val="center"/>
              <w:ind w:right="9"/>
              <w:spacing w:after="0"/>
              <w:rPr>
                <w:sz w:val="20"/>
                <w:szCs w:val="20"/>
                <w:color w:val="auto"/>
              </w:rPr>
            </w:pPr>
            <w:r>
              <w:rPr>
                <w:rFonts w:ascii="Arial" w:cs="Arial" w:eastAsia="Arial" w:hAnsi="Arial"/>
                <w:sz w:val="14"/>
                <w:szCs w:val="14"/>
                <w:color w:val="auto"/>
              </w:rPr>
              <w:t>10.41%</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4.25%</w:t>
            </w:r>
          </w:p>
        </w:tc>
      </w:tr>
      <w:tr>
        <w:trPr>
          <w:trHeight w:val="263"/>
        </w:trPr>
        <w:tc>
          <w:tcPr>
            <w:tcW w:w="4740" w:type="dxa"/>
            <w:vAlign w:val="bottom"/>
            <w:tcBorders>
              <w:left w:val="single" w:sz="8" w:color="auto"/>
              <w:bottom w:val="single" w:sz="8" w:color="auto"/>
              <w:right w:val="single" w:sz="8" w:color="auto"/>
            </w:tcBorders>
          </w:tcPr>
          <w:p>
            <w:pPr>
              <w:ind w:left="2200"/>
              <w:spacing w:after="0"/>
              <w:rPr>
                <w:sz w:val="20"/>
                <w:szCs w:val="20"/>
                <w:color w:val="auto"/>
              </w:rPr>
            </w:pPr>
            <w:r>
              <w:rPr>
                <w:rFonts w:ascii="Arial" w:cs="Arial" w:eastAsia="Arial" w:hAnsi="Arial"/>
                <w:sz w:val="14"/>
                <w:szCs w:val="14"/>
                <w:b w:val="1"/>
                <w:bCs w:val="1"/>
                <w:color w:val="auto"/>
              </w:rPr>
              <w:t>3Q22</w:t>
            </w:r>
          </w:p>
        </w:tc>
        <w:tc>
          <w:tcPr>
            <w:tcW w:w="14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color w:val="auto"/>
              </w:rPr>
              <w:t>4.00%</w:t>
            </w:r>
          </w:p>
        </w:tc>
        <w:tc>
          <w:tcPr>
            <w:tcW w:w="114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color w:val="auto"/>
              </w:rPr>
              <w:t>10.99%</w:t>
            </w:r>
          </w:p>
        </w:tc>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2.50%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4.50%</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Risk-Adjusted NIM: (Annualized Net interest income - annualized provisions) / Average period end and period beginning interest earning assets.</w:t>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53" w:name="page54"/>
    <w:bookmarkEnd w:id="53"/>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12.4. Regulatory Capital</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Regulatory Capital and Capital Adequary Ratios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 thousands, IFRS)</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6200" w:type="dxa"/>
            <w:vAlign w:val="bottom"/>
            <w:tcBorders>
              <w:right w:val="single" w:sz="8" w:color="auto"/>
            </w:tcBorders>
          </w:tcPr>
          <w:p>
            <w:pPr>
              <w:spacing w:after="0"/>
              <w:rPr>
                <w:sz w:val="18"/>
                <w:szCs w:val="18"/>
                <w:color w:val="auto"/>
              </w:rPr>
            </w:pPr>
          </w:p>
        </w:tc>
        <w:tc>
          <w:tcPr>
            <w:tcW w:w="1000" w:type="dxa"/>
            <w:vAlign w:val="bottom"/>
            <w:tcBorders>
              <w:top w:val="single" w:sz="8" w:color="auto"/>
            </w:tcBorders>
            <w:shd w:val="clear" w:color="auto" w:fill="2AD2C9"/>
          </w:tcPr>
          <w:p>
            <w:pPr>
              <w:spacing w:after="0"/>
              <w:rPr>
                <w:sz w:val="18"/>
                <w:szCs w:val="18"/>
                <w:color w:val="auto"/>
              </w:rPr>
            </w:pPr>
          </w:p>
        </w:tc>
        <w:tc>
          <w:tcPr>
            <w:tcW w:w="100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As of</w:t>
            </w:r>
          </w:p>
        </w:tc>
        <w:tc>
          <w:tcPr>
            <w:tcW w:w="1040" w:type="dxa"/>
            <w:vAlign w:val="bottom"/>
            <w:tcBorders>
              <w:top w:val="single" w:sz="8" w:color="auto"/>
              <w:right w:val="single" w:sz="8" w:color="auto"/>
            </w:tcBorders>
            <w:shd w:val="clear" w:color="auto" w:fill="2AD2C9"/>
          </w:tcPr>
          <w:p>
            <w:pPr>
              <w:spacing w:after="0"/>
              <w:rPr>
                <w:sz w:val="18"/>
                <w:szCs w:val="18"/>
                <w:color w:val="auto"/>
              </w:rPr>
            </w:pPr>
          </w:p>
        </w:tc>
        <w:tc>
          <w:tcPr>
            <w:tcW w:w="200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26"/>
        </w:trPr>
        <w:tc>
          <w:tcPr>
            <w:tcW w:w="6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8"/>
                <w:szCs w:val="18"/>
                <w:b w:val="1"/>
                <w:bCs w:val="1"/>
                <w:color w:val="FFFFFF"/>
              </w:rPr>
              <w:t>Sep 21</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Jun 22</w:t>
            </w:r>
          </w:p>
        </w:tc>
        <w:tc>
          <w:tcPr>
            <w:tcW w:w="1040" w:type="dxa"/>
            <w:vAlign w:val="bottom"/>
            <w:tcBorders>
              <w:bottom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18"/>
                <w:szCs w:val="18"/>
                <w:b w:val="1"/>
                <w:bCs w:val="1"/>
                <w:color w:val="FFFFFF"/>
              </w:rPr>
              <w:t>Sep 22</w:t>
            </w:r>
          </w:p>
        </w:tc>
        <w:tc>
          <w:tcPr>
            <w:tcW w:w="98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8"/>
                <w:szCs w:val="18"/>
                <w:b w:val="1"/>
                <w:bCs w:val="1"/>
                <w:color w:val="FFFFFF"/>
              </w:rPr>
              <w:t>QoQ</w:t>
            </w:r>
          </w:p>
        </w:tc>
        <w:tc>
          <w:tcPr>
            <w:tcW w:w="102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8"/>
                <w:szCs w:val="18"/>
                <w:b w:val="1"/>
                <w:bCs w:val="1"/>
                <w:color w:val="FFFFFF"/>
              </w:rPr>
              <w:t>YoY</w:t>
            </w:r>
          </w:p>
        </w:tc>
        <w:tc>
          <w:tcPr>
            <w:tcW w:w="0" w:type="dxa"/>
            <w:vAlign w:val="bottom"/>
          </w:tcPr>
          <w:p>
            <w:pPr>
              <w:spacing w:after="0"/>
              <w:rPr>
                <w:sz w:val="1"/>
                <w:szCs w:val="1"/>
                <w:color w:val="auto"/>
              </w:rPr>
            </w:pPr>
          </w:p>
        </w:tc>
      </w:tr>
      <w:tr>
        <w:trPr>
          <w:trHeight w:val="182"/>
        </w:trPr>
        <w:tc>
          <w:tcPr>
            <w:tcW w:w="620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Capital Stock</w:t>
            </w:r>
          </w:p>
        </w:tc>
        <w:tc>
          <w:tcPr>
            <w:tcW w:w="1000" w:type="dxa"/>
            <w:vAlign w:val="bottom"/>
          </w:tcPr>
          <w:p>
            <w:pPr>
              <w:jc w:val="center"/>
              <w:spacing w:after="0" w:line="182" w:lineRule="exact"/>
              <w:rPr>
                <w:sz w:val="20"/>
                <w:szCs w:val="20"/>
                <w:color w:val="auto"/>
              </w:rPr>
            </w:pPr>
            <w:r>
              <w:rPr>
                <w:rFonts w:ascii="Arial" w:cs="Arial" w:eastAsia="Arial" w:hAnsi="Arial"/>
                <w:sz w:val="18"/>
                <w:szCs w:val="18"/>
                <w:color w:val="auto"/>
                <w:w w:val="99"/>
              </w:rPr>
              <w:t>1,318,993</w:t>
            </w:r>
          </w:p>
        </w:tc>
        <w:tc>
          <w:tcPr>
            <w:tcW w:w="1000" w:type="dxa"/>
            <w:vAlign w:val="bottom"/>
          </w:tcPr>
          <w:p>
            <w:pPr>
              <w:jc w:val="center"/>
              <w:spacing w:after="0" w:line="182" w:lineRule="exact"/>
              <w:rPr>
                <w:sz w:val="20"/>
                <w:szCs w:val="20"/>
                <w:color w:val="auto"/>
              </w:rPr>
            </w:pPr>
            <w:r>
              <w:rPr>
                <w:rFonts w:ascii="Arial" w:cs="Arial" w:eastAsia="Arial" w:hAnsi="Arial"/>
                <w:sz w:val="18"/>
                <w:szCs w:val="18"/>
                <w:color w:val="auto"/>
                <w:w w:val="99"/>
              </w:rPr>
              <w:t>1,318,993</w:t>
            </w:r>
          </w:p>
        </w:tc>
        <w:tc>
          <w:tcPr>
            <w:tcW w:w="10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1,318,993</w:t>
            </w: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rPr>
              <w:t>0.0%</w:t>
            </w:r>
          </w:p>
        </w:tc>
        <w:tc>
          <w:tcPr>
            <w:tcW w:w="10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01"/>
        </w:trPr>
        <w:tc>
          <w:tcPr>
            <w:tcW w:w="6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Treasury Stocks</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8"/>
              </w:rPr>
              <w:t>(207,745)</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8"/>
              </w:rPr>
              <w:t>(207,518)</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(207,518)</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rPr>
              <w:t>0.0%</w:t>
            </w: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92"/>
        </w:trPr>
        <w:tc>
          <w:tcPr>
            <w:tcW w:w="6200" w:type="dxa"/>
            <w:vAlign w:val="bottom"/>
            <w:tcBorders>
              <w:left w:val="single" w:sz="8" w:color="auto"/>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Capital Surplus</w:t>
            </w:r>
          </w:p>
        </w:tc>
        <w:tc>
          <w:tcPr>
            <w:tcW w:w="1000" w:type="dxa"/>
            <w:vAlign w:val="bottom"/>
          </w:tcPr>
          <w:p>
            <w:pPr>
              <w:jc w:val="center"/>
              <w:spacing w:after="0" w:line="192" w:lineRule="exact"/>
              <w:rPr>
                <w:sz w:val="20"/>
                <w:szCs w:val="20"/>
                <w:color w:val="auto"/>
              </w:rPr>
            </w:pPr>
            <w:r>
              <w:rPr>
                <w:rFonts w:ascii="Arial" w:cs="Arial" w:eastAsia="Arial" w:hAnsi="Arial"/>
                <w:sz w:val="18"/>
                <w:szCs w:val="18"/>
                <w:color w:val="auto"/>
                <w:w w:val="98"/>
              </w:rPr>
              <w:t>215,071</w:t>
            </w:r>
          </w:p>
        </w:tc>
        <w:tc>
          <w:tcPr>
            <w:tcW w:w="1000" w:type="dxa"/>
            <w:vAlign w:val="bottom"/>
          </w:tcPr>
          <w:p>
            <w:pPr>
              <w:jc w:val="center"/>
              <w:spacing w:after="0" w:line="192" w:lineRule="exact"/>
              <w:rPr>
                <w:sz w:val="20"/>
                <w:szCs w:val="20"/>
                <w:color w:val="auto"/>
              </w:rPr>
            </w:pPr>
            <w:r>
              <w:rPr>
                <w:rFonts w:ascii="Arial" w:cs="Arial" w:eastAsia="Arial" w:hAnsi="Arial"/>
                <w:sz w:val="18"/>
                <w:szCs w:val="18"/>
                <w:color w:val="auto"/>
                <w:w w:val="98"/>
              </w:rPr>
              <w:t>231,179</w:t>
            </w:r>
          </w:p>
        </w:tc>
        <w:tc>
          <w:tcPr>
            <w:tcW w:w="10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rPr>
              <w:t>225,832</w:t>
            </w:r>
          </w:p>
        </w:tc>
        <w:tc>
          <w:tcPr>
            <w:tcW w:w="980" w:type="dxa"/>
            <w:vAlign w:val="bottom"/>
          </w:tcPr>
          <w:p>
            <w:pPr>
              <w:jc w:val="center"/>
              <w:spacing w:after="0" w:line="192" w:lineRule="exact"/>
              <w:rPr>
                <w:sz w:val="20"/>
                <w:szCs w:val="20"/>
                <w:color w:val="auto"/>
              </w:rPr>
            </w:pPr>
            <w:r>
              <w:rPr>
                <w:rFonts w:ascii="Arial" w:cs="Arial" w:eastAsia="Arial" w:hAnsi="Arial"/>
                <w:sz w:val="18"/>
                <w:szCs w:val="18"/>
                <w:color w:val="auto"/>
                <w:w w:val="97"/>
              </w:rPr>
              <w:t>-2.3%</w:t>
            </w:r>
          </w:p>
        </w:tc>
        <w:tc>
          <w:tcPr>
            <w:tcW w:w="10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7"/>
              </w:rPr>
              <w:t>5.0%</w:t>
            </w:r>
          </w:p>
        </w:tc>
        <w:tc>
          <w:tcPr>
            <w:tcW w:w="0" w:type="dxa"/>
            <w:vAlign w:val="bottom"/>
          </w:tcPr>
          <w:p>
            <w:pPr>
              <w:spacing w:after="0"/>
              <w:rPr>
                <w:sz w:val="1"/>
                <w:szCs w:val="1"/>
                <w:color w:val="auto"/>
              </w:rPr>
            </w:pPr>
          </w:p>
        </w:tc>
      </w:tr>
      <w:tr>
        <w:trPr>
          <w:trHeight w:val="201"/>
        </w:trPr>
        <w:tc>
          <w:tcPr>
            <w:tcW w:w="6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color w:val="auto"/>
              </w:rPr>
              <w:t xml:space="preserve">Legal and Other capital reserves </w:t>
            </w:r>
            <w:r>
              <w:rPr>
                <w:rFonts w:ascii="Arial" w:cs="Arial" w:eastAsia="Arial" w:hAnsi="Arial"/>
                <w:sz w:val="23"/>
                <w:szCs w:val="23"/>
                <w:color w:val="auto"/>
                <w:vertAlign w:val="superscript"/>
              </w:rPr>
              <w:t>(1)</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9"/>
              </w:rPr>
              <w:t>21,350,150</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9"/>
              </w:rPr>
              <w:t>23,666,823</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23,687,946</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rPr>
              <w:t>0.1%</w:t>
            </w: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1"/>
        </w:trPr>
        <w:tc>
          <w:tcPr>
            <w:tcW w:w="6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color w:val="auto"/>
              </w:rPr>
              <w:t xml:space="preserve">Minority interest </w:t>
            </w:r>
            <w:r>
              <w:rPr>
                <w:rFonts w:ascii="Arial" w:cs="Arial" w:eastAsia="Arial" w:hAnsi="Arial"/>
                <w:sz w:val="23"/>
                <w:szCs w:val="23"/>
                <w:color w:val="auto"/>
                <w:vertAlign w:val="superscript"/>
              </w:rPr>
              <w:t>(2)</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8"/>
              </w:rPr>
              <w:t>423,897</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8"/>
              </w:rPr>
              <w:t>490,576</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488,486</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7"/>
              </w:rPr>
              <w:t>-0.4%</w:t>
            </w: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0"/>
        </w:trPr>
        <w:tc>
          <w:tcPr>
            <w:tcW w:w="6200" w:type="dxa"/>
            <w:vAlign w:val="bottom"/>
            <w:tcBorders>
              <w:left w:val="single" w:sz="8" w:color="auto"/>
              <w:right w:val="single" w:sz="8" w:color="auto"/>
            </w:tcBorders>
          </w:tcPr>
          <w:p>
            <w:pPr>
              <w:ind w:left="20"/>
              <w:spacing w:after="0" w:line="210" w:lineRule="exact"/>
              <w:rPr>
                <w:sz w:val="20"/>
                <w:szCs w:val="20"/>
                <w:color w:val="auto"/>
              </w:rPr>
            </w:pPr>
            <w:r>
              <w:rPr>
                <w:rFonts w:ascii="Arial" w:cs="Arial" w:eastAsia="Arial" w:hAnsi="Arial"/>
                <w:sz w:val="15"/>
                <w:szCs w:val="15"/>
                <w:color w:val="auto"/>
              </w:rPr>
              <w:t xml:space="preserve">Loan loss reserves </w:t>
            </w:r>
            <w:r>
              <w:rPr>
                <w:rFonts w:ascii="Arial" w:cs="Arial" w:eastAsia="Arial" w:hAnsi="Arial"/>
                <w:sz w:val="24"/>
                <w:szCs w:val="24"/>
                <w:color w:val="auto"/>
                <w:vertAlign w:val="superscript"/>
              </w:rPr>
              <w:t>(3)</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1,993,306</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2,074,630</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2,139,971</w:t>
            </w:r>
          </w:p>
        </w:tc>
        <w:tc>
          <w:tcPr>
            <w:tcW w:w="980" w:type="dxa"/>
            <w:vAlign w:val="bottom"/>
          </w:tcPr>
          <w:p>
            <w:pPr>
              <w:jc w:val="center"/>
              <w:spacing w:after="0"/>
              <w:rPr>
                <w:sz w:val="20"/>
                <w:szCs w:val="20"/>
                <w:color w:val="auto"/>
              </w:rPr>
            </w:pPr>
            <w:r>
              <w:rPr>
                <w:rFonts w:ascii="Arial" w:cs="Arial" w:eastAsia="Arial" w:hAnsi="Arial"/>
                <w:sz w:val="18"/>
                <w:szCs w:val="18"/>
                <w:color w:val="auto"/>
              </w:rPr>
              <w:t>3.1%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7.4%</w:t>
            </w:r>
          </w:p>
        </w:tc>
        <w:tc>
          <w:tcPr>
            <w:tcW w:w="0" w:type="dxa"/>
            <w:vAlign w:val="bottom"/>
          </w:tcPr>
          <w:p>
            <w:pPr>
              <w:spacing w:after="0"/>
              <w:rPr>
                <w:sz w:val="1"/>
                <w:szCs w:val="1"/>
                <w:color w:val="auto"/>
              </w:rPr>
            </w:pPr>
          </w:p>
        </w:tc>
      </w:tr>
      <w:tr>
        <w:trPr>
          <w:trHeight w:val="201"/>
        </w:trPr>
        <w:tc>
          <w:tcPr>
            <w:tcW w:w="6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Perpetual subordinated debt</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1"/>
        </w:trPr>
        <w:tc>
          <w:tcPr>
            <w:tcW w:w="6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Subordinated Debt</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9"/>
              </w:rPr>
              <w:t>6,393,706</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9"/>
              </w:rPr>
              <w:t>5,863,208</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6,015,765</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rPr>
              <w:t>2.6%</w:t>
            </w: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1"/>
        </w:trPr>
        <w:tc>
          <w:tcPr>
            <w:tcW w:w="6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Investments in equity and subordinated debt of financial and insurance</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8"/>
              </w:rPr>
              <w:t>(727,585)</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98"/>
              </w:rPr>
              <w:t>(829,315)</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(868,747)</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rPr>
              <w:t>4.8%</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28"/>
        </w:trPr>
        <w:tc>
          <w:tcPr>
            <w:tcW w:w="6200" w:type="dxa"/>
            <w:vAlign w:val="bottom"/>
            <w:tcBorders>
              <w:left w:val="single" w:sz="8" w:color="auto"/>
              <w:right w:val="single" w:sz="8" w:color="auto"/>
            </w:tcBorders>
            <w:vMerge w:val="restart"/>
          </w:tcPr>
          <w:p>
            <w:pPr>
              <w:ind w:left="180"/>
              <w:spacing w:after="0" w:line="201" w:lineRule="exact"/>
              <w:rPr>
                <w:sz w:val="20"/>
                <w:szCs w:val="20"/>
                <w:color w:val="auto"/>
              </w:rPr>
            </w:pPr>
            <w:r>
              <w:rPr>
                <w:rFonts w:ascii="Arial" w:cs="Arial" w:eastAsia="Arial" w:hAnsi="Arial"/>
                <w:sz w:val="18"/>
                <w:szCs w:val="18"/>
                <w:color w:val="auto"/>
              </w:rPr>
              <w:t>companies</w:t>
            </w:r>
          </w:p>
        </w:tc>
        <w:tc>
          <w:tcPr>
            <w:tcW w:w="100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40" w:type="dxa"/>
            <w:vAlign w:val="bottom"/>
            <w:tcBorders>
              <w:right w:val="single" w:sz="8" w:color="auto"/>
            </w:tcBorders>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0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6200" w:type="dxa"/>
            <w:vAlign w:val="bottom"/>
            <w:tcBorders>
              <w:left w:val="single" w:sz="8" w:color="auto"/>
              <w:right w:val="single" w:sz="8" w:color="auto"/>
            </w:tcBorders>
            <w:vMerge w:val="continue"/>
          </w:tcPr>
          <w:p>
            <w:pPr>
              <w:spacing w:after="0"/>
              <w:rPr>
                <w:sz w:val="6"/>
                <w:szCs w:val="6"/>
                <w:color w:val="auto"/>
              </w:rPr>
            </w:pPr>
          </w:p>
        </w:tc>
        <w:tc>
          <w:tcPr>
            <w:tcW w:w="10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40" w:type="dxa"/>
            <w:vAlign w:val="bottom"/>
            <w:tcBorders>
              <w:right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6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Goodwill</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8"/>
              </w:rPr>
              <w:t>(826,196)</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8"/>
              </w:rPr>
              <w:t>(802,622)</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(788,179)</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7"/>
              </w:rPr>
              <w:t>-1.8%</w:t>
            </w: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2"/>
        </w:trPr>
        <w:tc>
          <w:tcPr>
            <w:tcW w:w="6200" w:type="dxa"/>
            <w:vAlign w:val="bottom"/>
            <w:tcBorders>
              <w:left w:val="single" w:sz="8" w:color="auto"/>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Current year Net Loss</w:t>
            </w:r>
          </w:p>
        </w:tc>
        <w:tc>
          <w:tcPr>
            <w:tcW w:w="1000" w:type="dxa"/>
            <w:vAlign w:val="bottom"/>
          </w:tcPr>
          <w:p>
            <w:pPr>
              <w:jc w:val="center"/>
              <w:spacing w:after="0" w:line="192" w:lineRule="exact"/>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line="192" w:lineRule="exact"/>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line="192" w:lineRule="exact"/>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1"/>
        </w:trPr>
        <w:tc>
          <w:tcPr>
            <w:tcW w:w="6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color w:val="auto"/>
              </w:rPr>
              <w:t xml:space="preserve">Deduction for subordinated debt limit (50% of Tier I excluding deductions) </w:t>
            </w:r>
            <w:r>
              <w:rPr>
                <w:rFonts w:ascii="Arial" w:cs="Arial" w:eastAsia="Arial" w:hAnsi="Arial"/>
                <w:sz w:val="23"/>
                <w:szCs w:val="23"/>
                <w:color w:val="auto"/>
                <w:vertAlign w:val="superscript"/>
              </w:rPr>
              <w:t>(4)</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6200" w:type="dxa"/>
            <w:vAlign w:val="bottom"/>
            <w:tcBorders>
              <w:left w:val="single" w:sz="8" w:color="auto"/>
              <w:bottom w:val="single" w:sz="8" w:color="auto"/>
              <w:right w:val="single" w:sz="8" w:color="auto"/>
            </w:tcBorders>
          </w:tcPr>
          <w:p>
            <w:pPr>
              <w:ind w:left="20"/>
              <w:spacing w:after="0" w:line="228" w:lineRule="exact"/>
              <w:rPr>
                <w:sz w:val="20"/>
                <w:szCs w:val="20"/>
                <w:color w:val="auto"/>
              </w:rPr>
            </w:pPr>
            <w:r>
              <w:rPr>
                <w:rFonts w:ascii="Arial" w:cs="Arial" w:eastAsia="Arial" w:hAnsi="Arial"/>
                <w:sz w:val="16"/>
                <w:szCs w:val="16"/>
                <w:color w:val="auto"/>
              </w:rPr>
              <w:t xml:space="preserve">Deduction for Tier I Limit (50% of Regulatory capital) </w:t>
            </w:r>
            <w:r>
              <w:rPr>
                <w:rFonts w:ascii="Arial" w:cs="Arial" w:eastAsia="Arial" w:hAnsi="Arial"/>
                <w:sz w:val="26"/>
                <w:szCs w:val="26"/>
                <w:color w:val="auto"/>
                <w:vertAlign w:val="superscript"/>
              </w:rPr>
              <w:t>(4)</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6200" w:type="dxa"/>
            <w:vAlign w:val="bottom"/>
            <w:tcBorders>
              <w:left w:val="single" w:sz="8" w:color="auto"/>
              <w:bottom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Regulatory Capital (A)</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29,933,596</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31,805,954</w:t>
            </w:r>
          </w:p>
        </w:tc>
        <w:tc>
          <w:tcPr>
            <w:tcW w:w="10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32,012,549</w:t>
            </w:r>
          </w:p>
        </w:tc>
        <w:tc>
          <w:tcPr>
            <w:tcW w:w="9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0.6%</w:t>
            </w:r>
          </w:p>
        </w:tc>
        <w:tc>
          <w:tcPr>
            <w:tcW w:w="102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6.9%</w:t>
            </w:r>
          </w:p>
        </w:tc>
        <w:tc>
          <w:tcPr>
            <w:tcW w:w="0" w:type="dxa"/>
            <w:vAlign w:val="bottom"/>
          </w:tcPr>
          <w:p>
            <w:pPr>
              <w:spacing w:after="0"/>
              <w:rPr>
                <w:sz w:val="1"/>
                <w:szCs w:val="1"/>
                <w:color w:val="auto"/>
              </w:rPr>
            </w:pPr>
          </w:p>
        </w:tc>
      </w:tr>
      <w:tr>
        <w:trPr>
          <w:trHeight w:val="194"/>
        </w:trPr>
        <w:tc>
          <w:tcPr>
            <w:tcW w:w="6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Tier 1 </w:t>
            </w:r>
            <w:r>
              <w:rPr>
                <w:rFonts w:ascii="Arial" w:cs="Arial" w:eastAsia="Arial" w:hAnsi="Arial"/>
                <w:sz w:val="20"/>
                <w:szCs w:val="20"/>
                <w:color w:val="auto"/>
                <w:vertAlign w:val="superscript"/>
              </w:rPr>
              <w:t>(5)</w:t>
            </w:r>
          </w:p>
        </w:tc>
        <w:tc>
          <w:tcPr>
            <w:tcW w:w="1000" w:type="dxa"/>
            <w:vAlign w:val="bottom"/>
          </w:tcPr>
          <w:p>
            <w:pPr>
              <w:jc w:val="center"/>
              <w:spacing w:after="0" w:line="173" w:lineRule="exact"/>
              <w:rPr>
                <w:sz w:val="20"/>
                <w:szCs w:val="20"/>
                <w:color w:val="auto"/>
              </w:rPr>
            </w:pPr>
            <w:r>
              <w:rPr>
                <w:rFonts w:ascii="Arial" w:cs="Arial" w:eastAsia="Arial" w:hAnsi="Arial"/>
                <w:sz w:val="18"/>
                <w:szCs w:val="18"/>
                <w:color w:val="auto"/>
                <w:w w:val="99"/>
              </w:rPr>
              <w:t>15,305,134</w:t>
            </w:r>
          </w:p>
        </w:tc>
        <w:tc>
          <w:tcPr>
            <w:tcW w:w="1000" w:type="dxa"/>
            <w:vAlign w:val="bottom"/>
          </w:tcPr>
          <w:p>
            <w:pPr>
              <w:jc w:val="center"/>
              <w:spacing w:after="0" w:line="173" w:lineRule="exact"/>
              <w:rPr>
                <w:sz w:val="20"/>
                <w:szCs w:val="20"/>
                <w:color w:val="auto"/>
              </w:rPr>
            </w:pPr>
            <w:r>
              <w:rPr>
                <w:rFonts w:ascii="Arial" w:cs="Arial" w:eastAsia="Arial" w:hAnsi="Arial"/>
                <w:sz w:val="18"/>
                <w:szCs w:val="18"/>
                <w:color w:val="auto"/>
                <w:w w:val="99"/>
              </w:rPr>
              <w:t>16,973,919</w:t>
            </w:r>
          </w:p>
        </w:tc>
        <w:tc>
          <w:tcPr>
            <w:tcW w:w="10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16,961,210</w:t>
            </w:r>
          </w:p>
        </w:tc>
        <w:tc>
          <w:tcPr>
            <w:tcW w:w="980" w:type="dxa"/>
            <w:vAlign w:val="bottom"/>
          </w:tcPr>
          <w:p>
            <w:pPr>
              <w:jc w:val="center"/>
              <w:spacing w:after="0" w:line="173" w:lineRule="exact"/>
              <w:rPr>
                <w:sz w:val="20"/>
                <w:szCs w:val="20"/>
                <w:color w:val="auto"/>
              </w:rPr>
            </w:pPr>
            <w:r>
              <w:rPr>
                <w:rFonts w:ascii="Arial" w:cs="Arial" w:eastAsia="Arial" w:hAnsi="Arial"/>
                <w:sz w:val="18"/>
                <w:szCs w:val="18"/>
                <w:color w:val="auto"/>
                <w:w w:val="97"/>
              </w:rPr>
              <w:t>-0.1%</w:t>
            </w:r>
          </w:p>
        </w:tc>
        <w:tc>
          <w:tcPr>
            <w:tcW w:w="102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6"/>
        </w:trPr>
        <w:tc>
          <w:tcPr>
            <w:tcW w:w="6200" w:type="dxa"/>
            <w:vAlign w:val="bottom"/>
            <w:tcBorders>
              <w:left w:val="single" w:sz="8" w:color="auto"/>
              <w:bottom w:val="single" w:sz="8" w:color="auto"/>
              <w:right w:val="single" w:sz="8" w:color="auto"/>
            </w:tcBorders>
          </w:tcPr>
          <w:p>
            <w:pPr>
              <w:ind w:left="20"/>
              <w:spacing w:after="0" w:line="228" w:lineRule="exact"/>
              <w:rPr>
                <w:sz w:val="20"/>
                <w:szCs w:val="20"/>
                <w:color w:val="auto"/>
              </w:rPr>
            </w:pPr>
            <w:r>
              <w:rPr>
                <w:rFonts w:ascii="Arial" w:cs="Arial" w:eastAsia="Arial" w:hAnsi="Arial"/>
                <w:sz w:val="16"/>
                <w:szCs w:val="16"/>
                <w:color w:val="auto"/>
              </w:rPr>
              <w:t xml:space="preserve">Tier 2 </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 Tier 3 </w:t>
            </w:r>
            <w:r>
              <w:rPr>
                <w:rFonts w:ascii="Arial" w:cs="Arial" w:eastAsia="Arial" w:hAnsi="Arial"/>
                <w:sz w:val="26"/>
                <w:szCs w:val="26"/>
                <w:color w:val="auto"/>
                <w:vertAlign w:val="superscript"/>
              </w:rPr>
              <w:t>(7)</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14,628,462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14,832,035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15,051,339</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2.9%</w:t>
            </w:r>
          </w:p>
        </w:tc>
        <w:tc>
          <w:tcPr>
            <w:tcW w:w="0" w:type="dxa"/>
            <w:vAlign w:val="bottom"/>
          </w:tcPr>
          <w:p>
            <w:pPr>
              <w:spacing w:after="0"/>
              <w:rPr>
                <w:sz w:val="1"/>
                <w:szCs w:val="1"/>
                <w:color w:val="auto"/>
              </w:rPr>
            </w:pPr>
          </w:p>
        </w:tc>
      </w:tr>
      <w:tr>
        <w:trPr>
          <w:trHeight w:val="194"/>
        </w:trPr>
        <w:tc>
          <w:tcPr>
            <w:tcW w:w="6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620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Financial Consolidated Group (FCG) Regulatory Capital Requirements </w:t>
            </w:r>
            <w:r>
              <w:rPr>
                <w:rFonts w:ascii="Arial" w:cs="Arial" w:eastAsia="Arial" w:hAnsi="Arial"/>
                <w:sz w:val="20"/>
                <w:szCs w:val="20"/>
                <w:color w:val="auto"/>
                <w:vertAlign w:val="superscript"/>
              </w:rPr>
              <w:t>(8)</w:t>
            </w:r>
          </w:p>
        </w:tc>
        <w:tc>
          <w:tcPr>
            <w:tcW w:w="1000" w:type="dxa"/>
            <w:vAlign w:val="bottom"/>
          </w:tcPr>
          <w:p>
            <w:pPr>
              <w:jc w:val="center"/>
              <w:spacing w:after="0" w:line="173" w:lineRule="exact"/>
              <w:rPr>
                <w:sz w:val="20"/>
                <w:szCs w:val="20"/>
                <w:color w:val="auto"/>
              </w:rPr>
            </w:pPr>
            <w:r>
              <w:rPr>
                <w:rFonts w:ascii="Arial" w:cs="Arial" w:eastAsia="Arial" w:hAnsi="Arial"/>
                <w:sz w:val="18"/>
                <w:szCs w:val="18"/>
                <w:color w:val="auto"/>
                <w:w w:val="99"/>
              </w:rPr>
              <w:t>18,710,799</w:t>
            </w:r>
          </w:p>
        </w:tc>
        <w:tc>
          <w:tcPr>
            <w:tcW w:w="1000" w:type="dxa"/>
            <w:vAlign w:val="bottom"/>
          </w:tcPr>
          <w:p>
            <w:pPr>
              <w:jc w:val="center"/>
              <w:spacing w:after="0" w:line="173" w:lineRule="exact"/>
              <w:rPr>
                <w:sz w:val="20"/>
                <w:szCs w:val="20"/>
                <w:color w:val="auto"/>
              </w:rPr>
            </w:pPr>
            <w:r>
              <w:rPr>
                <w:rFonts w:ascii="Arial" w:cs="Arial" w:eastAsia="Arial" w:hAnsi="Arial"/>
                <w:sz w:val="18"/>
                <w:szCs w:val="18"/>
                <w:color w:val="auto"/>
                <w:w w:val="99"/>
              </w:rPr>
              <w:t>19,270,916</w:t>
            </w:r>
          </w:p>
        </w:tc>
        <w:tc>
          <w:tcPr>
            <w:tcW w:w="10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20,973,716</w:t>
            </w:r>
          </w:p>
        </w:tc>
        <w:tc>
          <w:tcPr>
            <w:tcW w:w="980" w:type="dxa"/>
            <w:vAlign w:val="bottom"/>
          </w:tcPr>
          <w:p>
            <w:pPr>
              <w:jc w:val="center"/>
              <w:spacing w:after="0" w:line="173" w:lineRule="exact"/>
              <w:rPr>
                <w:sz w:val="20"/>
                <w:szCs w:val="20"/>
                <w:color w:val="auto"/>
              </w:rPr>
            </w:pPr>
            <w:r>
              <w:rPr>
                <w:rFonts w:ascii="Arial" w:cs="Arial" w:eastAsia="Arial" w:hAnsi="Arial"/>
                <w:sz w:val="18"/>
                <w:szCs w:val="18"/>
                <w:color w:val="auto"/>
              </w:rPr>
              <w:t>8.8%</w:t>
            </w:r>
          </w:p>
        </w:tc>
        <w:tc>
          <w:tcPr>
            <w:tcW w:w="102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6200" w:type="dxa"/>
            <w:vAlign w:val="bottom"/>
            <w:tcBorders>
              <w:left w:val="single" w:sz="8" w:color="auto"/>
              <w:right w:val="single" w:sz="8" w:color="auto"/>
            </w:tcBorders>
          </w:tcPr>
          <w:p>
            <w:pPr>
              <w:ind w:left="20"/>
              <w:spacing w:after="0" w:line="210" w:lineRule="exact"/>
              <w:rPr>
                <w:sz w:val="20"/>
                <w:szCs w:val="20"/>
                <w:color w:val="auto"/>
              </w:rPr>
            </w:pPr>
            <w:r>
              <w:rPr>
                <w:rFonts w:ascii="Arial" w:cs="Arial" w:eastAsia="Arial" w:hAnsi="Arial"/>
                <w:sz w:val="15"/>
                <w:szCs w:val="15"/>
                <w:color w:val="auto"/>
              </w:rPr>
              <w:t xml:space="preserve">Insurance Consolidated Group (ICG) Capital Requirements </w:t>
            </w:r>
            <w:r>
              <w:rPr>
                <w:rFonts w:ascii="Arial" w:cs="Arial" w:eastAsia="Arial" w:hAnsi="Arial"/>
                <w:sz w:val="24"/>
                <w:szCs w:val="24"/>
                <w:color w:val="auto"/>
                <w:vertAlign w:val="superscript"/>
              </w:rPr>
              <w:t>(9)</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1,418,922</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1,512,297</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1,558,334</w:t>
            </w:r>
          </w:p>
        </w:tc>
        <w:tc>
          <w:tcPr>
            <w:tcW w:w="980" w:type="dxa"/>
            <w:vAlign w:val="bottom"/>
          </w:tcPr>
          <w:p>
            <w:pPr>
              <w:jc w:val="center"/>
              <w:spacing w:after="0"/>
              <w:rPr>
                <w:sz w:val="20"/>
                <w:szCs w:val="20"/>
                <w:color w:val="auto"/>
              </w:rPr>
            </w:pPr>
            <w:r>
              <w:rPr>
                <w:rFonts w:ascii="Arial" w:cs="Arial" w:eastAsia="Arial" w:hAnsi="Arial"/>
                <w:sz w:val="18"/>
                <w:szCs w:val="18"/>
                <w:color w:val="auto"/>
              </w:rPr>
              <w:t>3.0%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9.8%</w:t>
            </w:r>
          </w:p>
        </w:tc>
        <w:tc>
          <w:tcPr>
            <w:tcW w:w="0" w:type="dxa"/>
            <w:vAlign w:val="bottom"/>
          </w:tcPr>
          <w:p>
            <w:pPr>
              <w:spacing w:after="0"/>
              <w:rPr>
                <w:sz w:val="1"/>
                <w:szCs w:val="1"/>
                <w:color w:val="auto"/>
              </w:rPr>
            </w:pPr>
          </w:p>
        </w:tc>
      </w:tr>
      <w:tr>
        <w:trPr>
          <w:trHeight w:val="201"/>
        </w:trPr>
        <w:tc>
          <w:tcPr>
            <w:tcW w:w="6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FCG Capital Requirements related to operations with ICG</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8"/>
              </w:rPr>
              <w:t>(503,809)</w:t>
            </w:r>
          </w:p>
        </w:tc>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95"/>
              </w:rPr>
              <w:t>(449,113)</w:t>
            </w:r>
          </w:p>
        </w:tc>
        <w:tc>
          <w:tcPr>
            <w:tcW w:w="10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(465,143)</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rPr>
              <w:t>3.6%</w:t>
            </w:r>
          </w:p>
        </w:tc>
        <w:tc>
          <w:tcPr>
            <w:tcW w:w="10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6"/>
        </w:trPr>
        <w:tc>
          <w:tcPr>
            <w:tcW w:w="6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ICG Capital Requirements related to operations with FCG</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8"/>
        </w:trPr>
        <w:tc>
          <w:tcPr>
            <w:tcW w:w="6200" w:type="dxa"/>
            <w:vAlign w:val="bottom"/>
            <w:tcBorders>
              <w:left w:val="single" w:sz="8" w:color="auto"/>
              <w:bottom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Regulatory Capital Requirements (B)</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19,625,912</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20,334,099</w:t>
            </w:r>
          </w:p>
        </w:tc>
        <w:tc>
          <w:tcPr>
            <w:tcW w:w="10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22,066,907</w:t>
            </w:r>
          </w:p>
        </w:tc>
        <w:tc>
          <w:tcPr>
            <w:tcW w:w="9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8.5%</w:t>
            </w:r>
          </w:p>
        </w:tc>
        <w:tc>
          <w:tcPr>
            <w:tcW w:w="102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08"/>
        </w:trPr>
        <w:tc>
          <w:tcPr>
            <w:tcW w:w="6200" w:type="dxa"/>
            <w:vAlign w:val="bottom"/>
            <w:tcBorders>
              <w:left w:val="single" w:sz="8" w:color="auto"/>
              <w:bottom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Regulatory Capital Ratio (A) / (B)</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6"/>
              </w:rPr>
              <w:t>1.53</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6"/>
              </w:rPr>
              <w:t>1.56</w:t>
            </w:r>
          </w:p>
        </w:tc>
        <w:tc>
          <w:tcPr>
            <w:tcW w:w="10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6"/>
              </w:rPr>
              <w:t>1.45</w:t>
            </w: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00" w:type="dxa"/>
            <w:vAlign w:val="bottom"/>
            <w:tcBorders>
              <w:left w:val="single" w:sz="8" w:color="auto"/>
              <w:bottom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b w:val="1"/>
                <w:bCs w:val="1"/>
                <w:color w:val="auto"/>
              </w:rPr>
              <w:t xml:space="preserve">Required Regulatory Capital Ratio </w:t>
            </w:r>
            <w:r>
              <w:rPr>
                <w:rFonts w:ascii="Arial" w:cs="Arial" w:eastAsia="Arial" w:hAnsi="Arial"/>
                <w:sz w:val="23"/>
                <w:szCs w:val="23"/>
                <w:color w:val="auto"/>
                <w:vertAlign w:val="superscript"/>
              </w:rPr>
              <w:t>(10)</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6"/>
              </w:rPr>
              <w:t>1.00</w:t>
            </w:r>
          </w:p>
        </w:tc>
        <w:tc>
          <w:tcPr>
            <w:tcW w:w="10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6"/>
              </w:rPr>
              <w:t>1.00</w:t>
            </w:r>
          </w:p>
        </w:tc>
        <w:tc>
          <w:tcPr>
            <w:tcW w:w="10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6"/>
              </w:rPr>
              <w:t>1.00</w:t>
            </w: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80" w:hanging="173"/>
        <w:spacing w:after="0"/>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other capital reserves include restricted capital reserves (PEN 14,745 million) and optional capital reserves (PEN 6,661 million).</w:t>
      </w:r>
    </w:p>
    <w:p>
      <w:pPr>
        <w:spacing w:after="0" w:line="7"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Minority interest includes Tier I (PEN 421 million)</w:t>
      </w:r>
    </w:p>
    <w:p>
      <w:pPr>
        <w:ind w:left="180" w:hanging="173"/>
        <w:spacing w:after="0" w:line="232" w:lineRule="auto"/>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1.25% of total risk-weighted assets of Banco de Credito del Peru, Solucion Empresa Administradora Hipotecaria, Mibanco and ASB Bank Corp.</w:t>
      </w:r>
    </w:p>
    <w:p>
      <w:pPr>
        <w:ind w:left="180" w:hanging="173"/>
        <w:spacing w:after="0" w:line="232" w:lineRule="auto"/>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Tier II + Tier III can not be more than 50% of total regulatory capital.</w:t>
      </w:r>
    </w:p>
    <w:p>
      <w:pPr>
        <w:ind w:left="180" w:hanging="173"/>
        <w:spacing w:after="0" w:line="232" w:lineRule="auto"/>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Tier I = capital + restricted capital reserves + Tier I minority interest - goodwill - (0.5 x investment in equity and subordinated debt of financial and insurance companies)+ perpetual subordinated debt.</w:t>
      </w:r>
    </w:p>
    <w:p>
      <w:pPr>
        <w:ind w:left="180" w:hanging="173"/>
        <w:spacing w:after="0" w:line="232" w:lineRule="auto"/>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Tier II = subordinated debt + TierII minority interest tier + loan loss reserves - (0.5 x investment in equity and subordinated debt of financial and insurance companies).</w:t>
      </w:r>
    </w:p>
    <w:p>
      <w:pPr>
        <w:ind w:left="180" w:hanging="173"/>
        <w:spacing w:after="0" w:line="232" w:lineRule="auto"/>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Tier III = Subordinated debt covering market risk only.</w:t>
      </w:r>
    </w:p>
    <w:p>
      <w:pPr>
        <w:ind w:left="180" w:hanging="173"/>
        <w:spacing w:after="0" w:line="232" w:lineRule="auto"/>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regulatory capital requirements of the financial consolidated group.</w:t>
      </w:r>
    </w:p>
    <w:p>
      <w:pPr>
        <w:ind w:left="180" w:hanging="173"/>
        <w:spacing w:after="0" w:line="232" w:lineRule="auto"/>
        <w:tabs>
          <w:tab w:leader="none" w:pos="18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regulatory capital requirements of the insurance consolidated group.</w:t>
      </w:r>
    </w:p>
    <w:p>
      <w:pPr>
        <w:ind w:left="220" w:hanging="213"/>
        <w:spacing w:after="0"/>
        <w:tabs>
          <w:tab w:leader="none" w:pos="22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Capital / Total Regulatory Capital Requirements (legal minimum = 1.00).</w:t>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54" w:name="page55"/>
    <w:bookmarkEnd w:id="54"/>
    <w:p>
      <w:pPr>
        <w:ind w:left="2980"/>
        <w:spacing w:after="0"/>
        <w:tabs>
          <w:tab w:leader="none" w:pos="758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Regulatory and Capital Adecuacy Ratios at BCP Stand-alone</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(In S/ thousands)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60" w:type="dxa"/>
            <w:vAlign w:val="bottom"/>
            <w:tcBorders>
              <w:top w:val="single" w:sz="8" w:color="auto"/>
              <w:left w:val="single" w:sz="8" w:color="auto"/>
              <w:right w:val="single" w:sz="8" w:color="auto"/>
            </w:tcBorders>
            <w:shd w:val="clear" w:color="auto" w:fill="2AD2C9"/>
          </w:tcPr>
          <w:p>
            <w:pPr>
              <w:ind w:left="40"/>
              <w:spacing w:after="0" w:line="217" w:lineRule="exact"/>
              <w:rPr>
                <w:sz w:val="20"/>
                <w:szCs w:val="20"/>
                <w:color w:val="auto"/>
              </w:rPr>
            </w:pPr>
            <w:r>
              <w:rPr>
                <w:rFonts w:ascii="Arial" w:cs="Arial" w:eastAsia="Arial" w:hAnsi="Arial"/>
                <w:sz w:val="20"/>
                <w:szCs w:val="20"/>
                <w:b w:val="1"/>
                <w:bCs w:val="1"/>
                <w:color w:val="FFFFFF"/>
              </w:rPr>
              <w:t>Regulatory Capital and Capital Adequacy Ratios - SBS</w:t>
            </w:r>
          </w:p>
        </w:tc>
        <w:tc>
          <w:tcPr>
            <w:tcW w:w="1100" w:type="dxa"/>
            <w:vAlign w:val="bottom"/>
            <w:tcBorders>
              <w:top w:val="single" w:sz="8" w:color="auto"/>
            </w:tcBorders>
            <w:shd w:val="clear" w:color="auto" w:fill="2AD2C9"/>
          </w:tcPr>
          <w:p>
            <w:pPr>
              <w:spacing w:after="0"/>
              <w:rPr>
                <w:sz w:val="18"/>
                <w:szCs w:val="18"/>
                <w:color w:val="auto"/>
              </w:rPr>
            </w:pPr>
          </w:p>
        </w:tc>
        <w:tc>
          <w:tcPr>
            <w:tcW w:w="1120" w:type="dxa"/>
            <w:vAlign w:val="bottom"/>
            <w:tcBorders>
              <w:top w:val="single" w:sz="8" w:color="auto"/>
            </w:tcBorders>
            <w:shd w:val="clear" w:color="auto" w:fill="2AD2C9"/>
          </w:tcPr>
          <w:p>
            <w:pPr>
              <w:jc w:val="center"/>
              <w:spacing w:after="0" w:line="217" w:lineRule="exact"/>
              <w:rPr>
                <w:sz w:val="20"/>
                <w:szCs w:val="20"/>
                <w:color w:val="auto"/>
              </w:rPr>
            </w:pPr>
            <w:r>
              <w:rPr>
                <w:rFonts w:ascii="Arial" w:cs="Arial" w:eastAsia="Arial" w:hAnsi="Arial"/>
                <w:sz w:val="20"/>
                <w:szCs w:val="20"/>
                <w:b w:val="1"/>
                <w:bCs w:val="1"/>
                <w:color w:val="FFFFFF"/>
                <w:w w:val="95"/>
              </w:rPr>
              <w:t>As of</w:t>
            </w:r>
          </w:p>
        </w:tc>
        <w:tc>
          <w:tcPr>
            <w:tcW w:w="1160" w:type="dxa"/>
            <w:vAlign w:val="bottom"/>
            <w:tcBorders>
              <w:top w:val="single" w:sz="8" w:color="auto"/>
              <w:right w:val="single" w:sz="8" w:color="auto"/>
            </w:tcBorders>
            <w:shd w:val="clear" w:color="auto" w:fill="2AD2C9"/>
          </w:tcPr>
          <w:p>
            <w:pPr>
              <w:spacing w:after="0"/>
              <w:rPr>
                <w:sz w:val="18"/>
                <w:szCs w:val="18"/>
                <w:color w:val="auto"/>
              </w:rPr>
            </w:pPr>
          </w:p>
        </w:tc>
        <w:tc>
          <w:tcPr>
            <w:tcW w:w="2200" w:type="dxa"/>
            <w:vAlign w:val="bottom"/>
            <w:tcBorders>
              <w:top w:val="single" w:sz="8" w:color="auto"/>
              <w:right w:val="single" w:sz="8" w:color="auto"/>
            </w:tcBorders>
            <w:gridSpan w:val="2"/>
            <w:shd w:val="clear" w:color="auto" w:fill="2AD2C9"/>
          </w:tcPr>
          <w:p>
            <w:pPr>
              <w:ind w:left="620"/>
              <w:spacing w:after="0" w:line="217" w:lineRule="exact"/>
              <w:rPr>
                <w:sz w:val="20"/>
                <w:szCs w:val="20"/>
                <w:color w:val="auto"/>
              </w:rPr>
            </w:pPr>
            <w:r>
              <w:rPr>
                <w:rFonts w:ascii="Arial" w:cs="Arial" w:eastAsia="Arial" w:hAnsi="Arial"/>
                <w:sz w:val="20"/>
                <w:szCs w:val="20"/>
                <w:b w:val="1"/>
                <w:bCs w:val="1"/>
                <w:color w:val="FFFFFF"/>
              </w:rPr>
              <w:t>% change</w:t>
            </w:r>
          </w:p>
        </w:tc>
        <w:tc>
          <w:tcPr>
            <w:tcW w:w="0" w:type="dxa"/>
            <w:vAlign w:val="bottom"/>
          </w:tcPr>
          <w:p>
            <w:pPr>
              <w:spacing w:after="0"/>
              <w:rPr>
                <w:sz w:val="1"/>
                <w:szCs w:val="1"/>
                <w:color w:val="auto"/>
              </w:rPr>
            </w:pPr>
          </w:p>
        </w:tc>
      </w:tr>
      <w:tr>
        <w:trPr>
          <w:trHeight w:val="245"/>
        </w:trPr>
        <w:tc>
          <w:tcPr>
            <w:tcW w:w="566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20"/>
                <w:szCs w:val="20"/>
                <w:b w:val="1"/>
                <w:bCs w:val="1"/>
                <w:color w:val="FFFFFF"/>
              </w:rPr>
              <w:t>S/ 000</w:t>
            </w:r>
          </w:p>
        </w:tc>
        <w:tc>
          <w:tcPr>
            <w:tcW w:w="1100" w:type="dxa"/>
            <w:vAlign w:val="bottom"/>
            <w:tcBorders>
              <w:bottom w:val="single" w:sz="8" w:color="auto"/>
            </w:tcBorders>
            <w:shd w:val="clear" w:color="auto" w:fill="2AD2C9"/>
          </w:tcPr>
          <w:p>
            <w:pPr>
              <w:ind w:left="220"/>
              <w:spacing w:after="0"/>
              <w:rPr>
                <w:sz w:val="20"/>
                <w:szCs w:val="20"/>
                <w:color w:val="auto"/>
              </w:rPr>
            </w:pPr>
            <w:r>
              <w:rPr>
                <w:rFonts w:ascii="Arial" w:cs="Arial" w:eastAsia="Arial" w:hAnsi="Arial"/>
                <w:sz w:val="20"/>
                <w:szCs w:val="20"/>
                <w:b w:val="1"/>
                <w:bCs w:val="1"/>
                <w:color w:val="FFFFFF"/>
              </w:rPr>
              <w:t>Sep 21</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7"/>
              </w:rPr>
              <w:t>Jun 22</w:t>
            </w:r>
          </w:p>
        </w:tc>
        <w:tc>
          <w:tcPr>
            <w:tcW w:w="1160" w:type="dxa"/>
            <w:vAlign w:val="bottom"/>
            <w:tcBorders>
              <w:bottom w:val="single" w:sz="8" w:color="auto"/>
              <w:right w:val="single" w:sz="8" w:color="auto"/>
            </w:tcBorders>
            <w:shd w:val="clear" w:color="auto" w:fill="2AD2C9"/>
          </w:tcPr>
          <w:p>
            <w:pPr>
              <w:ind w:left="240"/>
              <w:spacing w:after="0"/>
              <w:rPr>
                <w:sz w:val="20"/>
                <w:szCs w:val="20"/>
                <w:color w:val="auto"/>
              </w:rPr>
            </w:pPr>
            <w:r>
              <w:rPr>
                <w:rFonts w:ascii="Arial" w:cs="Arial" w:eastAsia="Arial" w:hAnsi="Arial"/>
                <w:sz w:val="20"/>
                <w:szCs w:val="20"/>
                <w:b w:val="1"/>
                <w:bCs w:val="1"/>
                <w:color w:val="FFFFFF"/>
              </w:rPr>
              <w:t>Sep 22</w:t>
            </w:r>
          </w:p>
        </w:tc>
        <w:tc>
          <w:tcPr>
            <w:tcW w:w="10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6"/>
              </w:rPr>
              <w:t>QoQ</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2"/>
              </w:rPr>
              <w:t>YoY</w:t>
            </w:r>
          </w:p>
        </w:tc>
        <w:tc>
          <w:tcPr>
            <w:tcW w:w="0" w:type="dxa"/>
            <w:vAlign w:val="bottom"/>
          </w:tcPr>
          <w:p>
            <w:pPr>
              <w:spacing w:after="0"/>
              <w:rPr>
                <w:sz w:val="1"/>
                <w:szCs w:val="1"/>
                <w:color w:val="auto"/>
              </w:rPr>
            </w:pPr>
          </w:p>
        </w:tc>
      </w:tr>
      <w:tr>
        <w:trPr>
          <w:trHeight w:val="193"/>
        </w:trPr>
        <w:tc>
          <w:tcPr>
            <w:tcW w:w="566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rPr>
              <w:t>Capital Stock</w:t>
            </w:r>
          </w:p>
        </w:tc>
        <w:tc>
          <w:tcPr>
            <w:tcW w:w="1100" w:type="dxa"/>
            <w:vAlign w:val="bottom"/>
          </w:tcPr>
          <w:p>
            <w:pPr>
              <w:jc w:val="center"/>
              <w:spacing w:after="0" w:line="193" w:lineRule="exact"/>
              <w:rPr>
                <w:sz w:val="20"/>
                <w:szCs w:val="20"/>
                <w:color w:val="auto"/>
              </w:rPr>
            </w:pPr>
            <w:r>
              <w:rPr>
                <w:rFonts w:ascii="Arial" w:cs="Arial" w:eastAsia="Arial" w:hAnsi="Arial"/>
                <w:sz w:val="20"/>
                <w:szCs w:val="20"/>
                <w:color w:val="auto"/>
                <w:w w:val="95"/>
              </w:rPr>
              <w:t>11,317,387</w:t>
            </w:r>
          </w:p>
        </w:tc>
        <w:tc>
          <w:tcPr>
            <w:tcW w:w="1120" w:type="dxa"/>
            <w:vAlign w:val="bottom"/>
          </w:tcPr>
          <w:p>
            <w:pPr>
              <w:jc w:val="center"/>
              <w:spacing w:after="0" w:line="193" w:lineRule="exact"/>
              <w:rPr>
                <w:sz w:val="20"/>
                <w:szCs w:val="20"/>
                <w:color w:val="auto"/>
              </w:rPr>
            </w:pPr>
            <w:r>
              <w:rPr>
                <w:rFonts w:ascii="Arial" w:cs="Arial" w:eastAsia="Arial" w:hAnsi="Arial"/>
                <w:sz w:val="20"/>
                <w:szCs w:val="20"/>
                <w:color w:val="auto"/>
                <w:w w:val="97"/>
              </w:rPr>
              <w:t>12,176,365</w:t>
            </w:r>
          </w:p>
        </w:tc>
        <w:tc>
          <w:tcPr>
            <w:tcW w:w="11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7"/>
              </w:rPr>
              <w:t>12,176,365</w:t>
            </w:r>
          </w:p>
        </w:tc>
        <w:tc>
          <w:tcPr>
            <w:tcW w:w="1080" w:type="dxa"/>
            <w:vAlign w:val="bottom"/>
          </w:tcPr>
          <w:p>
            <w:pPr>
              <w:jc w:val="center"/>
              <w:spacing w:after="0" w:line="193" w:lineRule="exact"/>
              <w:rPr>
                <w:sz w:val="20"/>
                <w:szCs w:val="20"/>
                <w:color w:val="auto"/>
              </w:rPr>
            </w:pPr>
            <w:r>
              <w:rPr>
                <w:rFonts w:ascii="Arial" w:cs="Arial" w:eastAsia="Arial" w:hAnsi="Arial"/>
                <w:sz w:val="20"/>
                <w:szCs w:val="20"/>
                <w:color w:val="auto"/>
              </w:rPr>
              <w:t>0.0%</w:t>
            </w:r>
          </w:p>
        </w:tc>
        <w:tc>
          <w:tcPr>
            <w:tcW w:w="11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7.6%</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Legal and Other capital reserves</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8"/>
              </w:rPr>
              <w:t>6,707,831</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8"/>
              </w:rPr>
              <w:t>7,516,897</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7,516,897</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0.0%</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12.1%</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Accumulated earnings with capitalization agreement</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rPr>
              <w:t>-</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89"/>
              </w:rPr>
              <w:t>-</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n.a.</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Loan loss reserves (1)</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8"/>
              </w:rPr>
              <w:t>1,720,951</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8"/>
              </w:rPr>
              <w:t>1,797,358</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1,845,016</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2.7%</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7.2%</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Perpetual subordinated debt</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rPr>
              <w:t>-</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89"/>
              </w:rPr>
              <w:t>-</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n.a.</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Subordinated Debt</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8"/>
              </w:rPr>
              <w:t>5,595,900</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8"/>
              </w:rPr>
              <w:t>5,163,750</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5,374,350</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4.1%</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-4.0%</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Investment in subsidiaries and others, net of unrealized profit</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w w:val="97"/>
              </w:rPr>
              <w:t>(2,263,805)</w:t>
            </w:r>
          </w:p>
        </w:tc>
        <w:tc>
          <w:tcPr>
            <w:tcW w:w="1120" w:type="dxa"/>
            <w:vAlign w:val="bottom"/>
            <w:vMerge w:val="restart"/>
          </w:tcPr>
          <w:p>
            <w:pPr>
              <w:jc w:val="center"/>
              <w:spacing w:after="0"/>
              <w:rPr>
                <w:sz w:val="20"/>
                <w:szCs w:val="20"/>
                <w:color w:val="auto"/>
              </w:rPr>
            </w:pPr>
            <w:r>
              <w:rPr>
                <w:rFonts w:ascii="Arial" w:cs="Arial" w:eastAsia="Arial" w:hAnsi="Arial"/>
                <w:sz w:val="20"/>
                <w:szCs w:val="20"/>
                <w:color w:val="auto"/>
                <w:w w:val="97"/>
              </w:rPr>
              <w:t>(2,436,525)</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(2,436,525)</w:t>
            </w:r>
          </w:p>
        </w:tc>
        <w:tc>
          <w:tcPr>
            <w:tcW w:w="1080" w:type="dxa"/>
            <w:vAlign w:val="bottom"/>
            <w:vMerge w:val="restart"/>
          </w:tcPr>
          <w:p>
            <w:pPr>
              <w:jc w:val="center"/>
              <w:spacing w:after="0"/>
              <w:rPr>
                <w:sz w:val="20"/>
                <w:szCs w:val="20"/>
                <w:color w:val="auto"/>
              </w:rPr>
            </w:pPr>
            <w:r>
              <w:rPr>
                <w:rFonts w:ascii="Arial" w:cs="Arial" w:eastAsia="Arial" w:hAnsi="Arial"/>
                <w:sz w:val="20"/>
                <w:szCs w:val="20"/>
                <w:color w:val="auto"/>
              </w:rPr>
              <w:t>0.0%</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6"/>
              </w:rPr>
              <w:t>7.6%</w:t>
            </w:r>
          </w:p>
        </w:tc>
        <w:tc>
          <w:tcPr>
            <w:tcW w:w="0" w:type="dxa"/>
            <w:vAlign w:val="bottom"/>
          </w:tcPr>
          <w:p>
            <w:pPr>
              <w:spacing w:after="0"/>
              <w:rPr>
                <w:sz w:val="1"/>
                <w:szCs w:val="1"/>
                <w:color w:val="auto"/>
              </w:rPr>
            </w:pPr>
          </w:p>
        </w:tc>
      </w:tr>
      <w:tr>
        <w:trPr>
          <w:trHeight w:val="151"/>
        </w:trPr>
        <w:tc>
          <w:tcPr>
            <w:tcW w:w="5660" w:type="dxa"/>
            <w:vAlign w:val="bottom"/>
            <w:tcBorders>
              <w:left w:val="single" w:sz="8" w:color="auto"/>
              <w:right w:val="single" w:sz="8" w:color="auto"/>
            </w:tcBorders>
            <w:vMerge w:val="restart"/>
          </w:tcPr>
          <w:p>
            <w:pPr>
              <w:ind w:left="200"/>
              <w:spacing w:after="0" w:line="214" w:lineRule="exact"/>
              <w:rPr>
                <w:sz w:val="20"/>
                <w:szCs w:val="20"/>
                <w:color w:val="auto"/>
              </w:rPr>
            </w:pPr>
            <w:r>
              <w:rPr>
                <w:rFonts w:ascii="Arial" w:cs="Arial" w:eastAsia="Arial" w:hAnsi="Arial"/>
                <w:sz w:val="20"/>
                <w:szCs w:val="20"/>
                <w:color w:val="auto"/>
              </w:rPr>
              <w:t>and net income</w:t>
            </w:r>
          </w:p>
        </w:tc>
        <w:tc>
          <w:tcPr>
            <w:tcW w:w="11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566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360"/>
              <w:spacing w:after="0" w:line="214" w:lineRule="exact"/>
              <w:rPr>
                <w:sz w:val="20"/>
                <w:szCs w:val="20"/>
                <w:color w:val="auto"/>
              </w:rPr>
            </w:pPr>
            <w:r>
              <w:rPr>
                <w:rFonts w:ascii="Arial" w:cs="Arial" w:eastAsia="Arial" w:hAnsi="Arial"/>
                <w:sz w:val="20"/>
                <w:szCs w:val="20"/>
                <w:color w:val="auto"/>
              </w:rPr>
              <w:t>Investment in subsidiaries and others</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7"/>
              </w:rPr>
              <w:t>(2,377,058)</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7"/>
              </w:rPr>
              <w:t>(2,674,646)</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(2,774,129)</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3.7%</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16.7%</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360"/>
              <w:spacing w:after="0" w:line="214" w:lineRule="exact"/>
              <w:rPr>
                <w:sz w:val="20"/>
                <w:szCs w:val="20"/>
                <w:color w:val="auto"/>
              </w:rPr>
            </w:pPr>
            <w:r>
              <w:rPr>
                <w:rFonts w:ascii="Arial" w:cs="Arial" w:eastAsia="Arial" w:hAnsi="Arial"/>
                <w:sz w:val="20"/>
                <w:szCs w:val="20"/>
                <w:color w:val="auto"/>
              </w:rPr>
              <w:t>Unrealized profit and net income in subsidiaries</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4"/>
              </w:rPr>
              <w:t>113,253</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9"/>
              </w:rPr>
              <w:t>238,121</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337,605</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w w:val="98"/>
              </w:rPr>
              <w:t>41.8%</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198.1%</w:t>
            </w:r>
          </w:p>
        </w:tc>
        <w:tc>
          <w:tcPr>
            <w:tcW w:w="0" w:type="dxa"/>
            <w:vAlign w:val="bottom"/>
          </w:tcPr>
          <w:p>
            <w:pPr>
              <w:spacing w:after="0"/>
              <w:rPr>
                <w:sz w:val="1"/>
                <w:szCs w:val="1"/>
                <w:color w:val="auto"/>
              </w:rPr>
            </w:pPr>
          </w:p>
        </w:tc>
      </w:tr>
      <w:tr>
        <w:trPr>
          <w:trHeight w:val="212"/>
        </w:trPr>
        <w:tc>
          <w:tcPr>
            <w:tcW w:w="5660" w:type="dxa"/>
            <w:vAlign w:val="bottom"/>
            <w:tcBorders>
              <w:left w:val="single" w:sz="8" w:color="auto"/>
              <w:right w:val="single" w:sz="8" w:color="auto"/>
            </w:tcBorders>
          </w:tcPr>
          <w:p>
            <w:pPr>
              <w:ind w:left="40"/>
              <w:spacing w:after="0" w:line="212" w:lineRule="exact"/>
              <w:rPr>
                <w:sz w:val="20"/>
                <w:szCs w:val="20"/>
                <w:color w:val="auto"/>
              </w:rPr>
            </w:pPr>
            <w:r>
              <w:rPr>
                <w:rFonts w:ascii="Arial" w:cs="Arial" w:eastAsia="Arial" w:hAnsi="Arial"/>
                <w:sz w:val="20"/>
                <w:szCs w:val="20"/>
                <w:color w:val="auto"/>
              </w:rPr>
              <w:t>Goodwill</w:t>
            </w:r>
          </w:p>
        </w:tc>
        <w:tc>
          <w:tcPr>
            <w:tcW w:w="1100" w:type="dxa"/>
            <w:vAlign w:val="bottom"/>
          </w:tcPr>
          <w:p>
            <w:pPr>
              <w:jc w:val="center"/>
              <w:spacing w:after="0" w:line="212" w:lineRule="exact"/>
              <w:rPr>
                <w:sz w:val="20"/>
                <w:szCs w:val="20"/>
                <w:color w:val="auto"/>
              </w:rPr>
            </w:pPr>
            <w:r>
              <w:rPr>
                <w:rFonts w:ascii="Arial" w:cs="Arial" w:eastAsia="Arial" w:hAnsi="Arial"/>
                <w:sz w:val="20"/>
                <w:szCs w:val="20"/>
                <w:color w:val="auto"/>
                <w:w w:val="98"/>
              </w:rPr>
              <w:t>(122,083)</w:t>
            </w:r>
          </w:p>
        </w:tc>
        <w:tc>
          <w:tcPr>
            <w:tcW w:w="1120" w:type="dxa"/>
            <w:vAlign w:val="bottom"/>
          </w:tcPr>
          <w:p>
            <w:pPr>
              <w:jc w:val="center"/>
              <w:spacing w:after="0" w:line="212" w:lineRule="exact"/>
              <w:rPr>
                <w:sz w:val="20"/>
                <w:szCs w:val="20"/>
                <w:color w:val="auto"/>
              </w:rPr>
            </w:pPr>
            <w:r>
              <w:rPr>
                <w:rFonts w:ascii="Arial" w:cs="Arial" w:eastAsia="Arial" w:hAnsi="Arial"/>
                <w:sz w:val="20"/>
                <w:szCs w:val="20"/>
                <w:color w:val="auto"/>
                <w:w w:val="98"/>
              </w:rPr>
              <w:t>(122,083)</w:t>
            </w:r>
          </w:p>
        </w:tc>
        <w:tc>
          <w:tcPr>
            <w:tcW w:w="116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8"/>
              </w:rPr>
              <w:t>(122,083)</w:t>
            </w:r>
          </w:p>
        </w:tc>
        <w:tc>
          <w:tcPr>
            <w:tcW w:w="1080" w:type="dxa"/>
            <w:vAlign w:val="bottom"/>
          </w:tcPr>
          <w:p>
            <w:pPr>
              <w:jc w:val="center"/>
              <w:spacing w:after="0" w:line="212" w:lineRule="exact"/>
              <w:rPr>
                <w:sz w:val="20"/>
                <w:szCs w:val="20"/>
                <w:color w:val="auto"/>
              </w:rPr>
            </w:pPr>
            <w:r>
              <w:rPr>
                <w:rFonts w:ascii="Arial" w:cs="Arial" w:eastAsia="Arial" w:hAnsi="Arial"/>
                <w:sz w:val="20"/>
                <w:szCs w:val="20"/>
                <w:color w:val="auto"/>
              </w:rPr>
              <w:t>0.0%</w:t>
            </w:r>
          </w:p>
        </w:tc>
        <w:tc>
          <w:tcPr>
            <w:tcW w:w="112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6"/>
              </w:rPr>
              <w:t>0.0%</w:t>
            </w:r>
          </w:p>
        </w:tc>
        <w:tc>
          <w:tcPr>
            <w:tcW w:w="0" w:type="dxa"/>
            <w:vAlign w:val="bottom"/>
          </w:tcPr>
          <w:p>
            <w:pPr>
              <w:spacing w:after="0"/>
              <w:rPr>
                <w:sz w:val="1"/>
                <w:szCs w:val="1"/>
                <w:color w:val="auto"/>
              </w:rPr>
            </w:pPr>
          </w:p>
        </w:tc>
      </w:tr>
      <w:tr>
        <w:trPr>
          <w:trHeight w:val="245"/>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b w:val="1"/>
                <w:bCs w:val="1"/>
                <w:color w:val="auto"/>
              </w:rPr>
              <w:t>Total Regulatory Capital - SBS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22,956,180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24,095,761</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24,354,019</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rPr>
              <w:t>1.1%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6.1%</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Off-balance sheet</w:t>
            </w:r>
          </w:p>
        </w:tc>
        <w:tc>
          <w:tcPr>
            <w:tcW w:w="2220" w:type="dxa"/>
            <w:vAlign w:val="bottom"/>
            <w:tcBorders>
              <w:bottom w:val="single" w:sz="8" w:color="auto"/>
            </w:tcBorders>
            <w:gridSpan w:val="2"/>
          </w:tcPr>
          <w:p>
            <w:pPr>
              <w:jc w:val="right"/>
              <w:spacing w:after="0" w:line="214" w:lineRule="exact"/>
              <w:rPr>
                <w:sz w:val="20"/>
                <w:szCs w:val="20"/>
                <w:color w:val="auto"/>
              </w:rPr>
            </w:pPr>
            <w:r>
              <w:rPr>
                <w:rFonts w:ascii="Arial" w:cs="Arial" w:eastAsia="Arial" w:hAnsi="Arial"/>
                <w:sz w:val="20"/>
                <w:szCs w:val="20"/>
                <w:color w:val="auto"/>
                <w:w w:val="97"/>
              </w:rPr>
              <w:t>100,119,715 91,019,217</w:t>
            </w:r>
          </w:p>
        </w:tc>
        <w:tc>
          <w:tcPr>
            <w:tcW w:w="11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94,156,153</w:t>
            </w:r>
          </w:p>
        </w:tc>
        <w:tc>
          <w:tcPr>
            <w:tcW w:w="10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color w:val="auto"/>
              </w:rPr>
              <w:t>3.4%</w:t>
            </w:r>
          </w:p>
        </w:tc>
        <w:tc>
          <w:tcPr>
            <w:tcW w:w="11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-6.0%</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566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rPr>
              <w:t>Regulatory Tier 1 Capital (2)</w:t>
            </w:r>
          </w:p>
        </w:tc>
        <w:tc>
          <w:tcPr>
            <w:tcW w:w="1100" w:type="dxa"/>
            <w:vAlign w:val="bottom"/>
          </w:tcPr>
          <w:p>
            <w:pPr>
              <w:jc w:val="center"/>
              <w:spacing w:after="0" w:line="193" w:lineRule="exact"/>
              <w:rPr>
                <w:sz w:val="20"/>
                <w:szCs w:val="20"/>
                <w:color w:val="auto"/>
              </w:rPr>
            </w:pPr>
            <w:r>
              <w:rPr>
                <w:rFonts w:ascii="Arial" w:cs="Arial" w:eastAsia="Arial" w:hAnsi="Arial"/>
                <w:sz w:val="20"/>
                <w:szCs w:val="20"/>
                <w:color w:val="auto"/>
                <w:w w:val="99"/>
              </w:rPr>
              <w:t>15,142,988</w:t>
            </w:r>
          </w:p>
        </w:tc>
        <w:tc>
          <w:tcPr>
            <w:tcW w:w="1120" w:type="dxa"/>
            <w:vAlign w:val="bottom"/>
          </w:tcPr>
          <w:p>
            <w:pPr>
              <w:jc w:val="center"/>
              <w:spacing w:after="0" w:line="193" w:lineRule="exact"/>
              <w:rPr>
                <w:sz w:val="20"/>
                <w:szCs w:val="20"/>
                <w:color w:val="auto"/>
              </w:rPr>
            </w:pPr>
            <w:r>
              <w:rPr>
                <w:rFonts w:ascii="Arial" w:cs="Arial" w:eastAsia="Arial" w:hAnsi="Arial"/>
                <w:sz w:val="20"/>
                <w:szCs w:val="20"/>
                <w:color w:val="auto"/>
                <w:w w:val="97"/>
              </w:rPr>
              <w:t>16,219,133</w:t>
            </w:r>
          </w:p>
        </w:tc>
        <w:tc>
          <w:tcPr>
            <w:tcW w:w="11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7"/>
              </w:rPr>
              <w:t>16,219,133</w:t>
            </w:r>
          </w:p>
        </w:tc>
        <w:tc>
          <w:tcPr>
            <w:tcW w:w="1080" w:type="dxa"/>
            <w:vAlign w:val="bottom"/>
          </w:tcPr>
          <w:p>
            <w:pPr>
              <w:jc w:val="center"/>
              <w:spacing w:after="0" w:line="193" w:lineRule="exact"/>
              <w:rPr>
                <w:sz w:val="20"/>
                <w:szCs w:val="20"/>
                <w:color w:val="auto"/>
              </w:rPr>
            </w:pPr>
            <w:r>
              <w:rPr>
                <w:rFonts w:ascii="Arial" w:cs="Arial" w:eastAsia="Arial" w:hAnsi="Arial"/>
                <w:sz w:val="20"/>
                <w:szCs w:val="20"/>
                <w:color w:val="auto"/>
              </w:rPr>
              <w:t>0.0%</w:t>
            </w:r>
          </w:p>
        </w:tc>
        <w:tc>
          <w:tcPr>
            <w:tcW w:w="11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7.1%</w:t>
            </w: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Regulatory Tier 2 Capital (3)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7,813,192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7,876,628</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8,134,886</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3.3%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4.1%</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Total risk-weighted assets - SBS (4)</w:t>
            </w:r>
          </w:p>
        </w:tc>
        <w:tc>
          <w:tcPr>
            <w:tcW w:w="3380" w:type="dxa"/>
            <w:vAlign w:val="bottom"/>
            <w:tcBorders>
              <w:bottom w:val="single" w:sz="8" w:color="auto"/>
              <w:right w:val="single" w:sz="8" w:color="auto"/>
            </w:tcBorders>
            <w:gridSpan w:val="3"/>
          </w:tcPr>
          <w:p>
            <w:pPr>
              <w:jc w:val="center"/>
              <w:spacing w:after="0" w:line="214" w:lineRule="exact"/>
              <w:rPr>
                <w:sz w:val="20"/>
                <w:szCs w:val="20"/>
                <w:color w:val="auto"/>
              </w:rPr>
            </w:pPr>
            <w:r>
              <w:rPr>
                <w:rFonts w:ascii="Arial" w:cs="Arial" w:eastAsia="Arial" w:hAnsi="Arial"/>
                <w:sz w:val="20"/>
                <w:szCs w:val="20"/>
                <w:b w:val="1"/>
                <w:bCs w:val="1"/>
                <w:color w:val="auto"/>
                <w:w w:val="99"/>
              </w:rPr>
              <w:t>151,415,294158,176,424163,140,250</w:t>
            </w:r>
          </w:p>
        </w:tc>
        <w:tc>
          <w:tcPr>
            <w:tcW w:w="10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rPr>
              <w:t>3.1%</w:t>
            </w:r>
          </w:p>
        </w:tc>
        <w:tc>
          <w:tcPr>
            <w:tcW w:w="11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7.7%</w:t>
            </w:r>
          </w:p>
        </w:tc>
        <w:tc>
          <w:tcPr>
            <w:tcW w:w="0" w:type="dxa"/>
            <w:vAlign w:val="bottom"/>
          </w:tcPr>
          <w:p>
            <w:pPr>
              <w:spacing w:after="0"/>
              <w:rPr>
                <w:sz w:val="1"/>
                <w:szCs w:val="1"/>
                <w:color w:val="auto"/>
              </w:rPr>
            </w:pPr>
          </w:p>
        </w:tc>
      </w:tr>
      <w:tr>
        <w:trPr>
          <w:trHeight w:val="193"/>
        </w:trPr>
        <w:tc>
          <w:tcPr>
            <w:tcW w:w="566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rPr>
              <w:t>Credit risk-weighted assets</w:t>
            </w:r>
          </w:p>
        </w:tc>
        <w:tc>
          <w:tcPr>
            <w:tcW w:w="3380" w:type="dxa"/>
            <w:vAlign w:val="bottom"/>
            <w:tcBorders>
              <w:right w:val="single" w:sz="8" w:color="auto"/>
            </w:tcBorders>
            <w:gridSpan w:val="3"/>
          </w:tcPr>
          <w:p>
            <w:pPr>
              <w:jc w:val="center"/>
              <w:spacing w:after="0" w:line="193" w:lineRule="exact"/>
              <w:rPr>
                <w:sz w:val="20"/>
                <w:szCs w:val="20"/>
                <w:color w:val="auto"/>
              </w:rPr>
            </w:pPr>
            <w:r>
              <w:rPr>
                <w:rFonts w:ascii="Arial" w:cs="Arial" w:eastAsia="Arial" w:hAnsi="Arial"/>
                <w:sz w:val="20"/>
                <w:szCs w:val="20"/>
                <w:color w:val="auto"/>
                <w:w w:val="96"/>
              </w:rPr>
              <w:t>135,576,214 142,632,376 146,511,610</w:t>
            </w:r>
          </w:p>
        </w:tc>
        <w:tc>
          <w:tcPr>
            <w:tcW w:w="1080" w:type="dxa"/>
            <w:vAlign w:val="bottom"/>
          </w:tcPr>
          <w:p>
            <w:pPr>
              <w:jc w:val="center"/>
              <w:spacing w:after="0" w:line="193" w:lineRule="exact"/>
              <w:rPr>
                <w:sz w:val="20"/>
                <w:szCs w:val="20"/>
                <w:color w:val="auto"/>
              </w:rPr>
            </w:pPr>
            <w:r>
              <w:rPr>
                <w:rFonts w:ascii="Arial" w:cs="Arial" w:eastAsia="Arial" w:hAnsi="Arial"/>
                <w:sz w:val="20"/>
                <w:szCs w:val="20"/>
                <w:color w:val="auto"/>
              </w:rPr>
              <w:t>2.7%</w:t>
            </w:r>
          </w:p>
        </w:tc>
        <w:tc>
          <w:tcPr>
            <w:tcW w:w="11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8.1%</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Market risk-weighted assets (5)</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4"/>
              </w:rPr>
              <w:t>3,792,119</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8"/>
              </w:rPr>
              <w:t>1,868,921</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2,618,693</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w w:val="98"/>
              </w:rPr>
              <w:t>40.1%</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-30.9%</w:t>
            </w: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Operational risk-weighted assets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12,046,961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13,675,127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14,009,947</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2.4%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16.3%</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Total capital requirement - SBS</w:t>
            </w:r>
          </w:p>
        </w:tc>
        <w:tc>
          <w:tcPr>
            <w:tcW w:w="11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5"/>
              </w:rPr>
              <w:t>14,356,117</w:t>
            </w:r>
          </w:p>
        </w:tc>
        <w:tc>
          <w:tcPr>
            <w:tcW w:w="112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15,023,680</w:t>
            </w:r>
          </w:p>
        </w:tc>
        <w:tc>
          <w:tcPr>
            <w:tcW w:w="11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16,360,962</w:t>
            </w:r>
          </w:p>
        </w:tc>
        <w:tc>
          <w:tcPr>
            <w:tcW w:w="10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rPr>
              <w:t>8.9%</w:t>
            </w:r>
          </w:p>
        </w:tc>
        <w:tc>
          <w:tcPr>
            <w:tcW w:w="11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14.0%</w:t>
            </w:r>
          </w:p>
        </w:tc>
        <w:tc>
          <w:tcPr>
            <w:tcW w:w="0" w:type="dxa"/>
            <w:vAlign w:val="bottom"/>
          </w:tcPr>
          <w:p>
            <w:pPr>
              <w:spacing w:after="0"/>
              <w:rPr>
                <w:sz w:val="1"/>
                <w:szCs w:val="1"/>
                <w:color w:val="auto"/>
              </w:rPr>
            </w:pPr>
          </w:p>
        </w:tc>
      </w:tr>
      <w:tr>
        <w:trPr>
          <w:trHeight w:val="193"/>
        </w:trPr>
        <w:tc>
          <w:tcPr>
            <w:tcW w:w="566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rPr>
              <w:t>Credit risk capital requirement</w:t>
            </w:r>
          </w:p>
        </w:tc>
        <w:tc>
          <w:tcPr>
            <w:tcW w:w="1100" w:type="dxa"/>
            <w:vAlign w:val="bottom"/>
          </w:tcPr>
          <w:p>
            <w:pPr>
              <w:jc w:val="center"/>
              <w:spacing w:after="0" w:line="193" w:lineRule="exact"/>
              <w:rPr>
                <w:sz w:val="20"/>
                <w:szCs w:val="20"/>
                <w:color w:val="auto"/>
              </w:rPr>
            </w:pPr>
            <w:r>
              <w:rPr>
                <w:rFonts w:ascii="Arial" w:cs="Arial" w:eastAsia="Arial" w:hAnsi="Arial"/>
                <w:sz w:val="20"/>
                <w:szCs w:val="20"/>
                <w:color w:val="auto"/>
                <w:w w:val="99"/>
              </w:rPr>
              <w:t>10,846,097</w:t>
            </w:r>
          </w:p>
        </w:tc>
        <w:tc>
          <w:tcPr>
            <w:tcW w:w="1120" w:type="dxa"/>
            <w:vAlign w:val="bottom"/>
          </w:tcPr>
          <w:p>
            <w:pPr>
              <w:jc w:val="center"/>
              <w:spacing w:after="0" w:line="193" w:lineRule="exact"/>
              <w:rPr>
                <w:sz w:val="20"/>
                <w:szCs w:val="20"/>
                <w:color w:val="auto"/>
              </w:rPr>
            </w:pPr>
            <w:r>
              <w:rPr>
                <w:rFonts w:ascii="Arial" w:cs="Arial" w:eastAsia="Arial" w:hAnsi="Arial"/>
                <w:sz w:val="20"/>
                <w:szCs w:val="20"/>
                <w:color w:val="auto"/>
                <w:w w:val="95"/>
              </w:rPr>
              <w:t>11,410,590</w:t>
            </w:r>
          </w:p>
        </w:tc>
        <w:tc>
          <w:tcPr>
            <w:tcW w:w="11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7"/>
              </w:rPr>
              <w:t>12,453,487</w:t>
            </w:r>
          </w:p>
        </w:tc>
        <w:tc>
          <w:tcPr>
            <w:tcW w:w="1080" w:type="dxa"/>
            <w:vAlign w:val="bottom"/>
          </w:tcPr>
          <w:p>
            <w:pPr>
              <w:jc w:val="center"/>
              <w:spacing w:after="0" w:line="193" w:lineRule="exact"/>
              <w:rPr>
                <w:sz w:val="20"/>
                <w:szCs w:val="20"/>
                <w:color w:val="auto"/>
              </w:rPr>
            </w:pPr>
            <w:r>
              <w:rPr>
                <w:rFonts w:ascii="Arial" w:cs="Arial" w:eastAsia="Arial" w:hAnsi="Arial"/>
                <w:sz w:val="20"/>
                <w:szCs w:val="20"/>
                <w:color w:val="auto"/>
              </w:rPr>
              <w:t>9.1%</w:t>
            </w:r>
          </w:p>
        </w:tc>
        <w:tc>
          <w:tcPr>
            <w:tcW w:w="11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8"/>
              </w:rPr>
              <w:t>14.8%</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Market risk capital requirement</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9"/>
              </w:rPr>
              <w:t>379,212</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9"/>
              </w:rPr>
              <w:t>186,892</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261,869</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w w:val="98"/>
              </w:rPr>
              <w:t>40.1%</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-30.9%</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Operational risk capital requirement</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8"/>
              </w:rPr>
              <w:t>1,204,696</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8"/>
              </w:rPr>
              <w:t>1,367,513</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1,400,995</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2.4%</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16.3%</w:t>
            </w: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Additional capital requirements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4"/>
              </w:rPr>
              <w:t>1,926,112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2,058,686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2,244,611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9.0%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16.5%</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Common Equity Tier 1 - Basel IFRS (6)</w:t>
            </w:r>
          </w:p>
        </w:tc>
        <w:tc>
          <w:tcPr>
            <w:tcW w:w="110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9"/>
              </w:rPr>
              <w:t>16,090,388</w:t>
            </w:r>
          </w:p>
        </w:tc>
        <w:tc>
          <w:tcPr>
            <w:tcW w:w="112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17,160,382</w:t>
            </w:r>
          </w:p>
        </w:tc>
        <w:tc>
          <w:tcPr>
            <w:tcW w:w="11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5"/>
              </w:rPr>
              <w:t>18,084,114</w:t>
            </w:r>
          </w:p>
        </w:tc>
        <w:tc>
          <w:tcPr>
            <w:tcW w:w="10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rPr>
              <w:t>5.4%</w:t>
            </w:r>
          </w:p>
        </w:tc>
        <w:tc>
          <w:tcPr>
            <w:tcW w:w="11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12.4%</w:t>
            </w:r>
          </w:p>
        </w:tc>
        <w:tc>
          <w:tcPr>
            <w:tcW w:w="0" w:type="dxa"/>
            <w:vAlign w:val="bottom"/>
          </w:tcPr>
          <w:p>
            <w:pPr>
              <w:spacing w:after="0"/>
              <w:rPr>
                <w:sz w:val="1"/>
                <w:szCs w:val="1"/>
                <w:color w:val="auto"/>
              </w:rPr>
            </w:pPr>
          </w:p>
        </w:tc>
      </w:tr>
      <w:tr>
        <w:trPr>
          <w:trHeight w:val="193"/>
        </w:trPr>
        <w:tc>
          <w:tcPr>
            <w:tcW w:w="566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rPr>
              <w:t>Capital and reserves</w:t>
            </w:r>
          </w:p>
        </w:tc>
        <w:tc>
          <w:tcPr>
            <w:tcW w:w="1100" w:type="dxa"/>
            <w:vAlign w:val="bottom"/>
          </w:tcPr>
          <w:p>
            <w:pPr>
              <w:jc w:val="center"/>
              <w:spacing w:after="0" w:line="193" w:lineRule="exact"/>
              <w:rPr>
                <w:sz w:val="20"/>
                <w:szCs w:val="20"/>
                <w:color w:val="auto"/>
              </w:rPr>
            </w:pPr>
            <w:r>
              <w:rPr>
                <w:rFonts w:ascii="Arial" w:cs="Arial" w:eastAsia="Arial" w:hAnsi="Arial"/>
                <w:sz w:val="20"/>
                <w:szCs w:val="20"/>
                <w:color w:val="auto"/>
                <w:w w:val="99"/>
              </w:rPr>
              <w:t>17,512,975</w:t>
            </w:r>
          </w:p>
        </w:tc>
        <w:tc>
          <w:tcPr>
            <w:tcW w:w="1120" w:type="dxa"/>
            <w:vAlign w:val="bottom"/>
          </w:tcPr>
          <w:p>
            <w:pPr>
              <w:jc w:val="center"/>
              <w:spacing w:after="0" w:line="193" w:lineRule="exact"/>
              <w:rPr>
                <w:sz w:val="20"/>
                <w:szCs w:val="20"/>
                <w:color w:val="auto"/>
              </w:rPr>
            </w:pPr>
            <w:r>
              <w:rPr>
                <w:rFonts w:ascii="Arial" w:cs="Arial" w:eastAsia="Arial" w:hAnsi="Arial"/>
                <w:sz w:val="20"/>
                <w:szCs w:val="20"/>
                <w:color w:val="auto"/>
                <w:w w:val="97"/>
              </w:rPr>
              <w:t>19,181,019</w:t>
            </w:r>
          </w:p>
        </w:tc>
        <w:tc>
          <w:tcPr>
            <w:tcW w:w="11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7"/>
              </w:rPr>
              <w:t>19,181,019</w:t>
            </w:r>
          </w:p>
        </w:tc>
        <w:tc>
          <w:tcPr>
            <w:tcW w:w="1080" w:type="dxa"/>
            <w:vAlign w:val="bottom"/>
          </w:tcPr>
          <w:p>
            <w:pPr>
              <w:jc w:val="center"/>
              <w:spacing w:after="0" w:line="193" w:lineRule="exact"/>
              <w:rPr>
                <w:sz w:val="20"/>
                <w:szCs w:val="20"/>
                <w:color w:val="auto"/>
              </w:rPr>
            </w:pPr>
            <w:r>
              <w:rPr>
                <w:rFonts w:ascii="Arial" w:cs="Arial" w:eastAsia="Arial" w:hAnsi="Arial"/>
                <w:sz w:val="20"/>
                <w:szCs w:val="20"/>
                <w:color w:val="auto"/>
              </w:rPr>
              <w:t>0.0%</w:t>
            </w:r>
          </w:p>
        </w:tc>
        <w:tc>
          <w:tcPr>
            <w:tcW w:w="11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9.5%</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Retained earnings</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8"/>
              </w:rPr>
              <w:t>2,580,201</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8"/>
              </w:rPr>
              <w:t>2,897,372</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4,187,468</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w w:val="98"/>
              </w:rPr>
              <w:t>44.5%</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62.3%</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Unrealized gains (losses)</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8"/>
              </w:rPr>
              <w:t>(583,178)</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7"/>
              </w:rPr>
              <w:t>(1,089,747)</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(1,274,918)</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w w:val="98"/>
              </w:rPr>
              <w:t>17.0%</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rPr>
              <w:t>n.a</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Goodwill and intangibles</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7"/>
              </w:rPr>
              <w:t>(1,228,407)</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7"/>
              </w:rPr>
              <w:t>(1,312,578)</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(1,355,924)</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3.3%</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10.4%</w:t>
            </w: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Investments in subsidiaries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(2,191,203)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(2,515,685)</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(2,653,531)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5.5%</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21.1%</w:t>
            </w:r>
          </w:p>
        </w:tc>
        <w:tc>
          <w:tcPr>
            <w:tcW w:w="0" w:type="dxa"/>
            <w:vAlign w:val="bottom"/>
          </w:tcPr>
          <w:p>
            <w:pPr>
              <w:spacing w:after="0"/>
              <w:rPr>
                <w:sz w:val="1"/>
                <w:szCs w:val="1"/>
                <w:color w:val="auto"/>
              </w:rPr>
            </w:pPr>
          </w:p>
        </w:tc>
      </w:tr>
      <w:tr>
        <w:trPr>
          <w:trHeight w:val="221"/>
        </w:trPr>
        <w:tc>
          <w:tcPr>
            <w:tcW w:w="5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Risk-Weighted Assets - Basel IFRS (7)</w:t>
            </w:r>
          </w:p>
        </w:tc>
        <w:tc>
          <w:tcPr>
            <w:tcW w:w="3380" w:type="dxa"/>
            <w:vAlign w:val="bottom"/>
            <w:tcBorders>
              <w:bottom w:val="single" w:sz="8" w:color="auto"/>
              <w:right w:val="single" w:sz="8" w:color="auto"/>
            </w:tcBorders>
            <w:gridSpan w:val="3"/>
          </w:tcPr>
          <w:p>
            <w:pPr>
              <w:jc w:val="center"/>
              <w:spacing w:after="0" w:line="214" w:lineRule="exact"/>
              <w:rPr>
                <w:sz w:val="20"/>
                <w:szCs w:val="20"/>
                <w:color w:val="auto"/>
              </w:rPr>
            </w:pPr>
            <w:r>
              <w:rPr>
                <w:rFonts w:ascii="Arial" w:cs="Arial" w:eastAsia="Arial" w:hAnsi="Arial"/>
                <w:sz w:val="20"/>
                <w:szCs w:val="20"/>
                <w:b w:val="1"/>
                <w:bCs w:val="1"/>
                <w:color w:val="auto"/>
                <w:w w:val="99"/>
              </w:rPr>
              <w:t>143,602,974148,337,779152,849,186</w:t>
            </w:r>
          </w:p>
        </w:tc>
        <w:tc>
          <w:tcPr>
            <w:tcW w:w="10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rPr>
              <w:t>3.0%</w:t>
            </w:r>
          </w:p>
        </w:tc>
        <w:tc>
          <w:tcPr>
            <w:tcW w:w="112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6.4%</w:t>
            </w:r>
          </w:p>
        </w:tc>
        <w:tc>
          <w:tcPr>
            <w:tcW w:w="0" w:type="dxa"/>
            <w:vAlign w:val="bottom"/>
          </w:tcPr>
          <w:p>
            <w:pPr>
              <w:spacing w:after="0"/>
              <w:rPr>
                <w:sz w:val="1"/>
                <w:szCs w:val="1"/>
                <w:color w:val="auto"/>
              </w:rPr>
            </w:pPr>
          </w:p>
        </w:tc>
      </w:tr>
      <w:tr>
        <w:trPr>
          <w:trHeight w:val="193"/>
        </w:trPr>
        <w:tc>
          <w:tcPr>
            <w:tcW w:w="566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rPr>
              <w:t>Total risk-weighted assets</w:t>
            </w:r>
          </w:p>
        </w:tc>
        <w:tc>
          <w:tcPr>
            <w:tcW w:w="3380" w:type="dxa"/>
            <w:vAlign w:val="bottom"/>
            <w:tcBorders>
              <w:right w:val="single" w:sz="8" w:color="auto"/>
            </w:tcBorders>
            <w:gridSpan w:val="3"/>
          </w:tcPr>
          <w:p>
            <w:pPr>
              <w:jc w:val="center"/>
              <w:spacing w:after="0" w:line="193" w:lineRule="exact"/>
              <w:rPr>
                <w:sz w:val="20"/>
                <w:szCs w:val="20"/>
                <w:color w:val="auto"/>
              </w:rPr>
            </w:pPr>
            <w:r>
              <w:rPr>
                <w:rFonts w:ascii="Arial" w:cs="Arial" w:eastAsia="Arial" w:hAnsi="Arial"/>
                <w:sz w:val="20"/>
                <w:szCs w:val="20"/>
                <w:color w:val="auto"/>
                <w:w w:val="96"/>
              </w:rPr>
              <w:t>151,415,294 158,176,424 163,140,250</w:t>
            </w:r>
          </w:p>
        </w:tc>
        <w:tc>
          <w:tcPr>
            <w:tcW w:w="1080" w:type="dxa"/>
            <w:vAlign w:val="bottom"/>
          </w:tcPr>
          <w:p>
            <w:pPr>
              <w:jc w:val="center"/>
              <w:spacing w:after="0" w:line="193" w:lineRule="exact"/>
              <w:rPr>
                <w:sz w:val="20"/>
                <w:szCs w:val="20"/>
                <w:color w:val="auto"/>
              </w:rPr>
            </w:pPr>
            <w:r>
              <w:rPr>
                <w:rFonts w:ascii="Arial" w:cs="Arial" w:eastAsia="Arial" w:hAnsi="Arial"/>
                <w:sz w:val="20"/>
                <w:szCs w:val="20"/>
                <w:color w:val="auto"/>
              </w:rPr>
              <w:t>3.1%</w:t>
            </w:r>
          </w:p>
        </w:tc>
        <w:tc>
          <w:tcPr>
            <w:tcW w:w="11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7.7%</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200"/>
              <w:spacing w:after="0" w:line="214" w:lineRule="exact"/>
              <w:rPr>
                <w:sz w:val="20"/>
                <w:szCs w:val="20"/>
                <w:color w:val="auto"/>
              </w:rPr>
            </w:pPr>
            <w:r>
              <w:rPr>
                <w:rFonts w:ascii="Arial" w:cs="Arial" w:eastAsia="Arial" w:hAnsi="Arial"/>
                <w:sz w:val="20"/>
                <w:szCs w:val="20"/>
                <w:color w:val="auto"/>
              </w:rPr>
              <w:t>(-) RWA Intangible assets, excluding goodwill.</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9"/>
              </w:rPr>
              <w:t>10,137,459</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5"/>
              </w:rPr>
              <w:t>11,347,690</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11,847,404</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4.4%</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16.9%</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200"/>
              <w:spacing w:after="0" w:line="214" w:lineRule="exact"/>
              <w:rPr>
                <w:sz w:val="20"/>
                <w:szCs w:val="20"/>
                <w:color w:val="auto"/>
              </w:rPr>
            </w:pPr>
            <w:r>
              <w:rPr>
                <w:rFonts w:ascii="Arial" w:cs="Arial" w:eastAsia="Arial" w:hAnsi="Arial"/>
                <w:sz w:val="20"/>
                <w:szCs w:val="20"/>
                <w:color w:val="auto"/>
              </w:rPr>
              <w:t>(+) RWA Deferred tax assets generated as a result of</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360"/>
              <w:spacing w:after="0" w:line="214" w:lineRule="exact"/>
              <w:rPr>
                <w:sz w:val="20"/>
                <w:szCs w:val="20"/>
                <w:color w:val="auto"/>
              </w:rPr>
            </w:pPr>
            <w:r>
              <w:rPr>
                <w:rFonts w:ascii="Arial" w:cs="Arial" w:eastAsia="Arial" w:hAnsi="Arial"/>
                <w:sz w:val="20"/>
                <w:szCs w:val="20"/>
                <w:color w:val="auto"/>
              </w:rPr>
              <w:t>temporary differences in income tax, in excess of 10% of</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4"/>
              </w:rPr>
              <w:t>1,711,120</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9"/>
              </w:rPr>
              <w:t>884,457</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909,119</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rPr>
              <w:t>2.8%</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-46.9%</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360"/>
              <w:spacing w:after="0" w:line="214" w:lineRule="exact"/>
              <w:rPr>
                <w:sz w:val="20"/>
                <w:szCs w:val="20"/>
                <w:color w:val="auto"/>
              </w:rPr>
            </w:pPr>
            <w:r>
              <w:rPr>
                <w:rFonts w:ascii="Arial" w:cs="Arial" w:eastAsia="Arial" w:hAnsi="Arial"/>
                <w:sz w:val="20"/>
                <w:szCs w:val="20"/>
                <w:color w:val="auto"/>
              </w:rPr>
              <w:t>CET1</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200"/>
              <w:spacing w:after="0" w:line="214" w:lineRule="exact"/>
              <w:rPr>
                <w:sz w:val="20"/>
                <w:szCs w:val="20"/>
                <w:color w:val="auto"/>
              </w:rPr>
            </w:pPr>
            <w:r>
              <w:rPr>
                <w:rFonts w:ascii="Arial" w:cs="Arial" w:eastAsia="Arial" w:hAnsi="Arial"/>
                <w:sz w:val="20"/>
                <w:szCs w:val="20"/>
                <w:color w:val="auto"/>
              </w:rPr>
              <w:t>(+) RWA Deferred tax assets generated as a result of past</w:t>
            </w:r>
          </w:p>
        </w:tc>
        <w:tc>
          <w:tcPr>
            <w:tcW w:w="1100" w:type="dxa"/>
            <w:vAlign w:val="bottom"/>
            <w:vMerge w:val="restart"/>
          </w:tcPr>
          <w:p>
            <w:pPr>
              <w:jc w:val="center"/>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center"/>
              <w:spacing w:after="0"/>
              <w:rPr>
                <w:sz w:val="20"/>
                <w:szCs w:val="20"/>
                <w:color w:val="auto"/>
              </w:rPr>
            </w:pPr>
            <w:r>
              <w:rPr>
                <w:rFonts w:ascii="Arial" w:cs="Arial" w:eastAsia="Arial" w:hAnsi="Arial"/>
                <w:sz w:val="20"/>
                <w:szCs w:val="20"/>
                <w:color w:val="auto"/>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w:t>
            </w:r>
          </w:p>
        </w:tc>
        <w:tc>
          <w:tcPr>
            <w:tcW w:w="1080" w:type="dxa"/>
            <w:vAlign w:val="bottom"/>
            <w:vMerge w:val="restart"/>
          </w:tcPr>
          <w:p>
            <w:pPr>
              <w:jc w:val="center"/>
              <w:spacing w:after="0"/>
              <w:rPr>
                <w:sz w:val="20"/>
                <w:szCs w:val="20"/>
                <w:color w:val="auto"/>
              </w:rPr>
            </w:pPr>
            <w:r>
              <w:rPr>
                <w:rFonts w:ascii="Arial" w:cs="Arial" w:eastAsia="Arial" w:hAnsi="Arial"/>
                <w:sz w:val="20"/>
                <w:szCs w:val="20"/>
                <w:color w:val="auto"/>
              </w:rPr>
              <w:t>n.a.</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151"/>
        </w:trPr>
        <w:tc>
          <w:tcPr>
            <w:tcW w:w="5660" w:type="dxa"/>
            <w:vAlign w:val="bottom"/>
            <w:tcBorders>
              <w:left w:val="single" w:sz="8" w:color="auto"/>
              <w:right w:val="single" w:sz="8" w:color="auto"/>
            </w:tcBorders>
            <w:vMerge w:val="restart"/>
          </w:tcPr>
          <w:p>
            <w:pPr>
              <w:ind w:left="360"/>
              <w:spacing w:after="0" w:line="214" w:lineRule="exact"/>
              <w:rPr>
                <w:sz w:val="20"/>
                <w:szCs w:val="20"/>
                <w:color w:val="auto"/>
              </w:rPr>
            </w:pPr>
            <w:r>
              <w:rPr>
                <w:rFonts w:ascii="Arial" w:cs="Arial" w:eastAsia="Arial" w:hAnsi="Arial"/>
                <w:sz w:val="20"/>
                <w:szCs w:val="20"/>
                <w:color w:val="auto"/>
              </w:rPr>
              <w:t>losses</w:t>
            </w:r>
          </w:p>
        </w:tc>
        <w:tc>
          <w:tcPr>
            <w:tcW w:w="110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160" w:type="dxa"/>
            <w:vAlign w:val="bottom"/>
            <w:tcBorders>
              <w:right w:val="single" w:sz="8" w:color="auto"/>
            </w:tcBorders>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5660" w:type="dxa"/>
            <w:vAlign w:val="bottom"/>
            <w:tcBorders>
              <w:left w:val="single" w:sz="8" w:color="auto"/>
              <w:right w:val="single" w:sz="8" w:color="auto"/>
            </w:tcBorders>
            <w:vMerge w:val="continue"/>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20"/>
                <w:szCs w:val="20"/>
                <w:color w:val="auto"/>
              </w:rPr>
              <w:t>(+) IFRS Adjustments (11)</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614,018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624,588</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647,220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3.6%</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5.4%</w:t>
            </w:r>
          </w:p>
        </w:tc>
        <w:tc>
          <w:tcPr>
            <w:tcW w:w="0" w:type="dxa"/>
            <w:vAlign w:val="bottom"/>
          </w:tcPr>
          <w:p>
            <w:pPr>
              <w:spacing w:after="0"/>
              <w:rPr>
                <w:sz w:val="1"/>
                <w:szCs w:val="1"/>
                <w:color w:val="auto"/>
              </w:rPr>
            </w:pPr>
          </w:p>
        </w:tc>
      </w:tr>
      <w:tr>
        <w:trPr>
          <w:trHeight w:val="43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Capital ratios</w:t>
            </w: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66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rPr>
              <w:t>Regulatory Tier 1 ratio (8)</w:t>
            </w:r>
          </w:p>
        </w:tc>
        <w:tc>
          <w:tcPr>
            <w:tcW w:w="1100" w:type="dxa"/>
            <w:vAlign w:val="bottom"/>
          </w:tcPr>
          <w:p>
            <w:pPr>
              <w:jc w:val="center"/>
              <w:spacing w:after="0" w:line="193" w:lineRule="exact"/>
              <w:rPr>
                <w:sz w:val="20"/>
                <w:szCs w:val="20"/>
                <w:color w:val="auto"/>
              </w:rPr>
            </w:pPr>
            <w:r>
              <w:rPr>
                <w:rFonts w:ascii="Arial" w:cs="Arial" w:eastAsia="Arial" w:hAnsi="Arial"/>
                <w:sz w:val="20"/>
                <w:szCs w:val="20"/>
                <w:color w:val="auto"/>
              </w:rPr>
              <w:t>10.00%</w:t>
            </w:r>
          </w:p>
        </w:tc>
        <w:tc>
          <w:tcPr>
            <w:tcW w:w="1120" w:type="dxa"/>
            <w:vAlign w:val="bottom"/>
          </w:tcPr>
          <w:p>
            <w:pPr>
              <w:jc w:val="center"/>
              <w:spacing w:after="0" w:line="193" w:lineRule="exact"/>
              <w:rPr>
                <w:sz w:val="20"/>
                <w:szCs w:val="20"/>
                <w:color w:val="auto"/>
              </w:rPr>
            </w:pPr>
            <w:r>
              <w:rPr>
                <w:rFonts w:ascii="Arial" w:cs="Arial" w:eastAsia="Arial" w:hAnsi="Arial"/>
                <w:sz w:val="20"/>
                <w:szCs w:val="20"/>
                <w:color w:val="auto"/>
              </w:rPr>
              <w:t>10.25%</w:t>
            </w:r>
          </w:p>
        </w:tc>
        <w:tc>
          <w:tcPr>
            <w:tcW w:w="11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8"/>
              </w:rPr>
              <w:t>9.94%</w:t>
            </w:r>
          </w:p>
        </w:tc>
        <w:tc>
          <w:tcPr>
            <w:tcW w:w="1080" w:type="dxa"/>
            <w:vAlign w:val="bottom"/>
          </w:tcPr>
          <w:p>
            <w:pPr>
              <w:jc w:val="center"/>
              <w:spacing w:after="0" w:line="193" w:lineRule="exact"/>
              <w:rPr>
                <w:sz w:val="20"/>
                <w:szCs w:val="20"/>
                <w:color w:val="auto"/>
              </w:rPr>
            </w:pPr>
            <w:r>
              <w:rPr>
                <w:rFonts w:ascii="Arial" w:cs="Arial" w:eastAsia="Arial" w:hAnsi="Arial"/>
                <w:sz w:val="20"/>
                <w:szCs w:val="20"/>
                <w:color w:val="auto"/>
                <w:w w:val="98"/>
              </w:rPr>
              <w:t>-31 bps</w:t>
            </w:r>
          </w:p>
        </w:tc>
        <w:tc>
          <w:tcPr>
            <w:tcW w:w="112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7"/>
              </w:rPr>
              <w:t>-6 bps</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Common Equity Tier 1 ratio (9)(12)</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4"/>
              </w:rPr>
              <w:t>11.20%</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4"/>
              </w:rPr>
              <w:t>11.57%</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4"/>
              </w:rPr>
              <w:t>11.83%</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w w:val="96"/>
              </w:rPr>
              <w:t>26 bps</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63 bps</w:t>
            </w:r>
          </w:p>
        </w:tc>
        <w:tc>
          <w:tcPr>
            <w:tcW w:w="0" w:type="dxa"/>
            <w:vAlign w:val="bottom"/>
          </w:tcPr>
          <w:p>
            <w:pPr>
              <w:spacing w:after="0"/>
              <w:rPr>
                <w:sz w:val="1"/>
                <w:szCs w:val="1"/>
                <w:color w:val="auto"/>
              </w:rPr>
            </w:pPr>
          </w:p>
        </w:tc>
      </w:tr>
      <w:tr>
        <w:trPr>
          <w:trHeight w:val="214"/>
        </w:trPr>
        <w:tc>
          <w:tcPr>
            <w:tcW w:w="566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Regulatory Global Capital ratio (10)</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rPr>
              <w:t>15.16%</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rPr>
              <w:t>15.23%</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14.93%</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w w:val="98"/>
              </w:rPr>
              <w:t>-30 bps</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-23 bps</w:t>
            </w:r>
          </w:p>
        </w:tc>
        <w:tc>
          <w:tcPr>
            <w:tcW w:w="0" w:type="dxa"/>
            <w:vAlign w:val="bottom"/>
          </w:tcPr>
          <w:p>
            <w:pPr>
              <w:spacing w:after="0"/>
              <w:rPr>
                <w:sz w:val="1"/>
                <w:szCs w:val="1"/>
                <w:color w:val="auto"/>
              </w:rPr>
            </w:pPr>
          </w:p>
        </w:tc>
      </w:tr>
      <w:tr>
        <w:trPr>
          <w:trHeight w:val="243"/>
        </w:trPr>
        <w:tc>
          <w:tcPr>
            <w:tcW w:w="5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Risk-weighted assets / Regulatory capital</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6.60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6.56</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6.70</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rPr>
              <w:t>2.0%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1.6%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80" w:hanging="173"/>
        <w:spacing w:after="0"/>
        <w:tabs>
          <w:tab w:leader="none" w:pos="1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1.25% of total risk-weighted assets.</w:t>
      </w:r>
    </w:p>
    <w:p>
      <w:pPr>
        <w:spacing w:after="0" w:line="7" w:lineRule="exact"/>
        <w:rPr>
          <w:rFonts w:ascii="Times New Roman" w:cs="Times New Roman" w:eastAsia="Times New Roman" w:hAnsi="Times New Roman"/>
          <w:sz w:val="12"/>
          <w:szCs w:val="12"/>
          <w:color w:val="auto"/>
        </w:rPr>
      </w:pPr>
    </w:p>
    <w:p>
      <w:pPr>
        <w:ind w:right="20" w:firstLine="7"/>
        <w:spacing w:after="0" w:line="279" w:lineRule="auto"/>
        <w:tabs>
          <w:tab w:leader="none" w:pos="172" w:val="left"/>
        </w:tabs>
        <w:numPr>
          <w:ilvl w:val="0"/>
          <w:numId w:val="4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80" w:hanging="173"/>
        <w:spacing w:after="0" w:line="232" w:lineRule="auto"/>
        <w:tabs>
          <w:tab w:leader="none" w:pos="1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Tier 2 Capital = Subordinated debt + Loan loss reserves + Unrestricted Reserves + (0.5 x Unrealized profit and net income in subsidiaries) - (0.5 x Investment in subsidiaries).</w:t>
      </w:r>
    </w:p>
    <w:p>
      <w:pPr>
        <w:ind w:left="180" w:hanging="173"/>
        <w:spacing w:after="0" w:line="232" w:lineRule="auto"/>
        <w:tabs>
          <w:tab w:leader="none" w:pos="1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July 2012, Total Risk-weighted assets = Credit risk-weighted assets * 1.00 + Capital requirement to cover market risk * 10 + Capital requirement to cover operational risk * 10 * 1.00 (since July 2014)</w:t>
      </w:r>
    </w:p>
    <w:p>
      <w:pPr>
        <w:ind w:left="180" w:hanging="173"/>
        <w:spacing w:after="0" w:line="232" w:lineRule="auto"/>
        <w:tabs>
          <w:tab w:leader="none" w:pos="1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includes capital requirement to cover price and rate risk.</w:t>
      </w:r>
    </w:p>
    <w:p>
      <w:pPr>
        <w:ind w:firstLine="7"/>
        <w:spacing w:after="0" w:line="232" w:lineRule="auto"/>
        <w:tabs>
          <w:tab w:leader="none" w:pos="16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I = Capital + Reserves – 100% of applicable deductions (investment in subsidiaries, goodwill, intangibles and net deferred taxes that rely on future profitability) + retained earnings + unrealized gains. Figures differ from previously reported cause current calculations are based on IFRS figures.</w:t>
      </w:r>
    </w:p>
    <w:p>
      <w:pPr>
        <w:spacing w:after="0" w:line="1" w:lineRule="exact"/>
        <w:rPr>
          <w:rFonts w:ascii="Times New Roman" w:cs="Times New Roman" w:eastAsia="Times New Roman" w:hAnsi="Times New Roman"/>
          <w:sz w:val="12"/>
          <w:szCs w:val="12"/>
          <w:color w:val="auto"/>
        </w:rPr>
      </w:pPr>
    </w:p>
    <w:p>
      <w:pPr>
        <w:ind w:right="20" w:firstLine="7"/>
        <w:spacing w:after="0" w:line="232" w:lineRule="auto"/>
        <w:tabs>
          <w:tab w:leader="none" w:pos="167"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 Figures differ from previously reported cause current calculations are based on IFRS figures.</w:t>
      </w:r>
    </w:p>
    <w:p>
      <w:pPr>
        <w:spacing w:after="0" w:line="1"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Tier 1 Capital / Total Risk-weighted assets</w:t>
      </w:r>
    </w:p>
    <w:p>
      <w:pPr>
        <w:ind w:left="180" w:hanging="173"/>
        <w:spacing w:after="0" w:line="232" w:lineRule="auto"/>
        <w:tabs>
          <w:tab w:leader="none" w:pos="18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I / Adjusted Risk-Weighted Assets Risk-Weighted Assets</w:t>
      </w:r>
    </w:p>
    <w:p>
      <w:pPr>
        <w:ind w:left="220" w:hanging="213"/>
        <w:spacing w:after="0" w:line="232" w:lineRule="auto"/>
        <w:tabs>
          <w:tab w:leader="none" w:pos="22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Regulatory Capital / Total Risk-weighted assets (legal minimum = 10% since July 2011)</w:t>
      </w:r>
    </w:p>
    <w:p>
      <w:pPr>
        <w:ind w:right="160" w:firstLine="7"/>
        <w:spacing w:after="0" w:line="235" w:lineRule="auto"/>
        <w:tabs>
          <w:tab w:leader="none" w:pos="21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Adjustments for differences in balance assets under Local Accounting (which regulatory Rwas are calculated) and IFRS in the Right of use account (lease). As of March 2022, the 'Right of Use' account increased to S/ 364M, explained the 64% of the adjustment. The rest adjustments correspond to differences in stock of provisions and Deferred Taxes.</w:t>
      </w:r>
    </w:p>
    <w:p>
      <w:pPr>
        <w:sectPr>
          <w:pgSz w:w="11900" w:h="16838" w:orient="portrait"/>
          <w:cols w:equalWidth="0" w:num="1">
            <w:col w:w="11240"/>
          </w:cols>
          <w:pgMar w:left="320" w:top="451" w:right="339" w:bottom="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color w:val="auto"/>
        </w:rPr>
        <w:t>(12) Common Equity Tier I calculated based on IFRS Accounting</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6" w:name="page57"/>
    <w:bookmarkEnd w:id="56"/>
    <w:p>
      <w:pPr>
        <w:ind w:left="2980"/>
        <w:spacing w:after="0"/>
        <w:tabs>
          <w:tab w:leader="none" w:pos="758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-151765</wp:posOffset>
            </wp:positionV>
            <wp:extent cx="7065645" cy="1873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065645" cy="187325"/>
                    </a:xfrm>
                    <a:prstGeom prst="rect">
                      <a:avLst/>
                    </a:prstGeom>
                    <a:noFill/>
                  </pic:spPr>
                </pic:pic>
              </a:graphicData>
            </a:graphic>
          </wp:anchor>
        </w:drawing>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Regulatory Capital and Capital Adequacy Ratios at Mibanco</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 thousands)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660" w:type="dxa"/>
            <w:vAlign w:val="bottom"/>
            <w:tcBorders>
              <w:right w:val="single" w:sz="8" w:color="auto"/>
            </w:tcBorders>
          </w:tcPr>
          <w:p>
            <w:pPr>
              <w:spacing w:after="0"/>
              <w:rPr>
                <w:sz w:val="18"/>
                <w:szCs w:val="18"/>
                <w:color w:val="auto"/>
              </w:rPr>
            </w:pPr>
          </w:p>
        </w:tc>
        <w:tc>
          <w:tcPr>
            <w:tcW w:w="1100" w:type="dxa"/>
            <w:vAlign w:val="bottom"/>
            <w:tcBorders>
              <w:top w:val="single" w:sz="8" w:color="auto"/>
            </w:tcBorders>
            <w:shd w:val="clear" w:color="auto" w:fill="2AD2C9"/>
          </w:tcPr>
          <w:p>
            <w:pPr>
              <w:spacing w:after="0"/>
              <w:rPr>
                <w:sz w:val="18"/>
                <w:szCs w:val="18"/>
                <w:color w:val="auto"/>
              </w:rPr>
            </w:pPr>
          </w:p>
        </w:tc>
        <w:tc>
          <w:tcPr>
            <w:tcW w:w="112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As of</w:t>
            </w:r>
          </w:p>
        </w:tc>
        <w:tc>
          <w:tcPr>
            <w:tcW w:w="1160" w:type="dxa"/>
            <w:vAlign w:val="bottom"/>
            <w:tcBorders>
              <w:top w:val="single" w:sz="8" w:color="auto"/>
              <w:right w:val="single" w:sz="8" w:color="auto"/>
            </w:tcBorders>
            <w:shd w:val="clear" w:color="auto" w:fill="2AD2C9"/>
          </w:tcPr>
          <w:p>
            <w:pPr>
              <w:spacing w:after="0"/>
              <w:rPr>
                <w:sz w:val="18"/>
                <w:szCs w:val="18"/>
                <w:color w:val="auto"/>
              </w:rPr>
            </w:pPr>
          </w:p>
        </w:tc>
        <w:tc>
          <w:tcPr>
            <w:tcW w:w="2200" w:type="dxa"/>
            <w:vAlign w:val="bottom"/>
            <w:tcBorders>
              <w:top w:val="single" w:sz="8" w:color="auto"/>
              <w:right w:val="single" w:sz="8" w:color="auto"/>
            </w:tcBorders>
            <w:gridSpan w:val="2"/>
            <w:shd w:val="clear" w:color="auto" w:fill="2AD2C9"/>
          </w:tcPr>
          <w:p>
            <w:pPr>
              <w:ind w:left="660"/>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26"/>
        </w:trPr>
        <w:tc>
          <w:tcPr>
            <w:tcW w:w="566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8"/>
                <w:szCs w:val="18"/>
                <w:b w:val="1"/>
                <w:bCs w:val="1"/>
                <w:color w:val="FFFFFF"/>
              </w:rPr>
              <w:t>Sep 21</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Jun 22</w:t>
            </w:r>
          </w:p>
        </w:tc>
        <w:tc>
          <w:tcPr>
            <w:tcW w:w="116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8"/>
                <w:szCs w:val="18"/>
                <w:b w:val="1"/>
                <w:bCs w:val="1"/>
                <w:color w:val="FFFFFF"/>
              </w:rPr>
              <w:t>Sep 22</w:t>
            </w:r>
          </w:p>
        </w:tc>
        <w:tc>
          <w:tcPr>
            <w:tcW w:w="10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QoQ</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6"/>
              </w:rPr>
              <w:t>YoY</w:t>
            </w:r>
          </w:p>
        </w:tc>
        <w:tc>
          <w:tcPr>
            <w:tcW w:w="0" w:type="dxa"/>
            <w:vAlign w:val="bottom"/>
          </w:tcPr>
          <w:p>
            <w:pPr>
              <w:spacing w:after="0"/>
              <w:rPr>
                <w:sz w:val="1"/>
                <w:szCs w:val="1"/>
                <w:color w:val="auto"/>
              </w:rPr>
            </w:pPr>
          </w:p>
        </w:tc>
      </w:tr>
      <w:tr>
        <w:trPr>
          <w:trHeight w:val="182"/>
        </w:trPr>
        <w:tc>
          <w:tcPr>
            <w:tcW w:w="566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Capital Stock</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9"/>
              </w:rPr>
              <w:t>1,714,577</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1,840,606</w:t>
            </w:r>
          </w:p>
        </w:tc>
        <w:tc>
          <w:tcPr>
            <w:tcW w:w="11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1,840,606</w:t>
            </w:r>
          </w:p>
        </w:tc>
        <w:tc>
          <w:tcPr>
            <w:tcW w:w="1060" w:type="dxa"/>
            <w:vAlign w:val="bottom"/>
          </w:tcPr>
          <w:p>
            <w:pPr>
              <w:jc w:val="center"/>
              <w:spacing w:after="0" w:line="182" w:lineRule="exact"/>
              <w:rPr>
                <w:sz w:val="20"/>
                <w:szCs w:val="20"/>
                <w:color w:val="auto"/>
              </w:rPr>
            </w:pPr>
            <w:r>
              <w:rPr>
                <w:rFonts w:ascii="Arial" w:cs="Arial" w:eastAsia="Arial" w:hAnsi="Arial"/>
                <w:sz w:val="18"/>
                <w:szCs w:val="18"/>
                <w:color w:val="auto"/>
              </w:rPr>
              <w:t>0.0%</w:t>
            </w:r>
          </w:p>
        </w:tc>
        <w:tc>
          <w:tcPr>
            <w:tcW w:w="11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7.4%</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Legal and Other capital reserves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246,305</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264,221</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264,221</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rPr>
              <w:t>0.0%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7.3%</w:t>
            </w:r>
          </w:p>
        </w:tc>
        <w:tc>
          <w:tcPr>
            <w:tcW w:w="0" w:type="dxa"/>
            <w:vAlign w:val="bottom"/>
          </w:tcPr>
          <w:p>
            <w:pPr>
              <w:spacing w:after="0"/>
              <w:rPr>
                <w:sz w:val="1"/>
                <w:szCs w:val="1"/>
                <w:color w:val="auto"/>
              </w:rPr>
            </w:pPr>
          </w:p>
        </w:tc>
      </w:tr>
      <w:tr>
        <w:trPr>
          <w:trHeight w:val="192"/>
        </w:trPr>
        <w:tc>
          <w:tcPr>
            <w:tcW w:w="5660" w:type="dxa"/>
            <w:vAlign w:val="bottom"/>
            <w:tcBorders>
              <w:left w:val="single" w:sz="8" w:color="auto"/>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Accumulated earnings with capitalization agreement</w:t>
            </w:r>
          </w:p>
        </w:tc>
        <w:tc>
          <w:tcPr>
            <w:tcW w:w="1100" w:type="dxa"/>
            <w:vAlign w:val="bottom"/>
          </w:tcPr>
          <w:p>
            <w:pPr>
              <w:jc w:val="center"/>
              <w:spacing w:after="0" w:line="192" w:lineRule="exact"/>
              <w:rPr>
                <w:sz w:val="20"/>
                <w:szCs w:val="20"/>
                <w:color w:val="auto"/>
              </w:rPr>
            </w:pPr>
            <w:r>
              <w:rPr>
                <w:rFonts w:ascii="Arial" w:cs="Arial" w:eastAsia="Arial" w:hAnsi="Arial"/>
                <w:sz w:val="18"/>
                <w:szCs w:val="18"/>
                <w:color w:val="auto"/>
              </w:rPr>
              <w:t>94,945</w:t>
            </w:r>
          </w:p>
        </w:tc>
        <w:tc>
          <w:tcPr>
            <w:tcW w:w="1120" w:type="dxa"/>
            <w:vAlign w:val="bottom"/>
          </w:tcPr>
          <w:p>
            <w:pPr>
              <w:jc w:val="center"/>
              <w:spacing w:after="0" w:line="192" w:lineRule="exact"/>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192" w:lineRule="exact"/>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0"/>
        </w:trPr>
        <w:tc>
          <w:tcPr>
            <w:tcW w:w="5660" w:type="dxa"/>
            <w:vAlign w:val="bottom"/>
            <w:tcBorders>
              <w:left w:val="single" w:sz="8" w:color="auto"/>
              <w:right w:val="single" w:sz="8" w:color="auto"/>
            </w:tcBorders>
          </w:tcPr>
          <w:p>
            <w:pPr>
              <w:ind w:left="20"/>
              <w:spacing w:after="0" w:line="210" w:lineRule="exact"/>
              <w:rPr>
                <w:sz w:val="20"/>
                <w:szCs w:val="20"/>
                <w:color w:val="auto"/>
              </w:rPr>
            </w:pPr>
            <w:r>
              <w:rPr>
                <w:rFonts w:ascii="Arial" w:cs="Arial" w:eastAsia="Arial" w:hAnsi="Arial"/>
                <w:sz w:val="15"/>
                <w:szCs w:val="15"/>
                <w:color w:val="auto"/>
              </w:rPr>
              <w:t xml:space="preserve">Loan loss reserves </w:t>
            </w:r>
            <w:r>
              <w:rPr>
                <w:rFonts w:ascii="Arial" w:cs="Arial" w:eastAsia="Arial" w:hAnsi="Arial"/>
                <w:sz w:val="24"/>
                <w:szCs w:val="24"/>
                <w:color w:val="auto"/>
                <w:vertAlign w:val="superscript"/>
              </w:rPr>
              <w:t>(1)</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146,213</w:t>
            </w: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173,947</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176,520</w:t>
            </w:r>
          </w:p>
        </w:tc>
        <w:tc>
          <w:tcPr>
            <w:tcW w:w="1060" w:type="dxa"/>
            <w:vAlign w:val="bottom"/>
          </w:tcPr>
          <w:p>
            <w:pPr>
              <w:jc w:val="center"/>
              <w:spacing w:after="0"/>
              <w:rPr>
                <w:sz w:val="20"/>
                <w:szCs w:val="20"/>
                <w:color w:val="auto"/>
              </w:rPr>
            </w:pPr>
            <w:r>
              <w:rPr>
                <w:rFonts w:ascii="Arial" w:cs="Arial" w:eastAsia="Arial" w:hAnsi="Arial"/>
                <w:sz w:val="18"/>
                <w:szCs w:val="18"/>
                <w:color w:val="auto"/>
              </w:rPr>
              <w:t>1.5%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20.7%</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Perpetual subordinated debt</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Subordinated Debt</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185,000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179,000</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179,000</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rPr>
              <w:t>0.0%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-3.2%</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Investment in subsidiaries and others, net of unrealized profit and net</w:t>
            </w:r>
          </w:p>
        </w:tc>
        <w:tc>
          <w:tcPr>
            <w:tcW w:w="1100" w:type="dxa"/>
            <w:vAlign w:val="bottom"/>
            <w:vMerge w:val="restart"/>
          </w:tcPr>
          <w:p>
            <w:pPr>
              <w:jc w:val="center"/>
              <w:spacing w:after="0"/>
              <w:rPr>
                <w:sz w:val="20"/>
                <w:szCs w:val="20"/>
                <w:color w:val="auto"/>
              </w:rPr>
            </w:pPr>
            <w:r>
              <w:rPr>
                <w:rFonts w:ascii="Arial" w:cs="Arial" w:eastAsia="Arial" w:hAnsi="Arial"/>
                <w:sz w:val="16"/>
                <w:szCs w:val="16"/>
                <w:color w:val="auto"/>
                <w:w w:val="74"/>
              </w:rPr>
              <w: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8"/>
        </w:trPr>
        <w:tc>
          <w:tcPr>
            <w:tcW w:w="5660" w:type="dxa"/>
            <w:vAlign w:val="bottom"/>
            <w:tcBorders>
              <w:left w:val="single" w:sz="8" w:color="auto"/>
              <w:right w:val="single" w:sz="8" w:color="auto"/>
            </w:tcBorders>
            <w:vMerge w:val="restart"/>
          </w:tcPr>
          <w:p>
            <w:pPr>
              <w:ind w:left="180"/>
              <w:spacing w:after="0" w:line="201" w:lineRule="exact"/>
              <w:rPr>
                <w:sz w:val="20"/>
                <w:szCs w:val="20"/>
                <w:color w:val="auto"/>
              </w:rPr>
            </w:pPr>
            <w:r>
              <w:rPr>
                <w:rFonts w:ascii="Arial" w:cs="Arial" w:eastAsia="Arial" w:hAnsi="Arial"/>
                <w:sz w:val="18"/>
                <w:szCs w:val="18"/>
                <w:color w:val="auto"/>
              </w:rPr>
              <w:t>income</w:t>
            </w:r>
          </w:p>
        </w:tc>
        <w:tc>
          <w:tcPr>
            <w:tcW w:w="11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6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Investment in subsidiaries and others</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340"/>
              <w:spacing w:after="0" w:line="201" w:lineRule="exact"/>
              <w:rPr>
                <w:sz w:val="20"/>
                <w:szCs w:val="20"/>
                <w:color w:val="auto"/>
              </w:rPr>
            </w:pPr>
            <w:r>
              <w:rPr>
                <w:rFonts w:ascii="Arial" w:cs="Arial" w:eastAsia="Arial" w:hAnsi="Arial"/>
                <w:sz w:val="18"/>
                <w:szCs w:val="18"/>
                <w:color w:val="auto"/>
              </w:rPr>
              <w:t>Unrealized profit and net income in subsidiaries</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60" w:type="dxa"/>
            <w:vAlign w:val="bottom"/>
            <w:tcBorders>
              <w:right w:val="single" w:sz="8" w:color="auto"/>
            </w:tcBorders>
          </w:tcPr>
          <w:p>
            <w:pPr>
              <w:spacing w:after="0"/>
              <w:rPr>
                <w:sz w:val="17"/>
                <w:szCs w:val="17"/>
                <w:color w:val="auto"/>
              </w:rPr>
            </w:pP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Goodwill</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(139,180)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(139,180)</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(139,180)</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rPr>
              <w:t>0.0%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Accumulated Losses</w:t>
            </w:r>
          </w:p>
        </w:tc>
        <w:tc>
          <w:tcPr>
            <w:tcW w:w="110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6"/>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Regulatory Capital - SBS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2,247,861</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2,318,594</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2,321,167</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0.1%</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3.3%</w:t>
            </w:r>
          </w:p>
        </w:tc>
        <w:tc>
          <w:tcPr>
            <w:tcW w:w="0" w:type="dxa"/>
            <w:vAlign w:val="bottom"/>
          </w:tcPr>
          <w:p>
            <w:pPr>
              <w:spacing w:after="0"/>
              <w:rPr>
                <w:sz w:val="1"/>
                <w:szCs w:val="1"/>
                <w:color w:val="auto"/>
              </w:rPr>
            </w:pPr>
          </w:p>
        </w:tc>
      </w:tr>
      <w:tr>
        <w:trPr>
          <w:trHeight w:val="194"/>
        </w:trPr>
        <w:tc>
          <w:tcPr>
            <w:tcW w:w="5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56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Regulatory Tier 1 Capital </w:t>
            </w:r>
            <w:r>
              <w:rPr>
                <w:rFonts w:ascii="Arial" w:cs="Arial" w:eastAsia="Arial" w:hAnsi="Arial"/>
                <w:sz w:val="20"/>
                <w:szCs w:val="20"/>
                <w:color w:val="auto"/>
                <w:vertAlign w:val="superscript"/>
              </w:rPr>
              <w:t>(2)</w:t>
            </w:r>
          </w:p>
        </w:tc>
        <w:tc>
          <w:tcPr>
            <w:tcW w:w="1100" w:type="dxa"/>
            <w:vAlign w:val="bottom"/>
          </w:tcPr>
          <w:p>
            <w:pPr>
              <w:jc w:val="center"/>
              <w:spacing w:after="0" w:line="173" w:lineRule="exact"/>
              <w:rPr>
                <w:sz w:val="20"/>
                <w:szCs w:val="20"/>
                <w:color w:val="auto"/>
              </w:rPr>
            </w:pPr>
            <w:r>
              <w:rPr>
                <w:rFonts w:ascii="Arial" w:cs="Arial" w:eastAsia="Arial" w:hAnsi="Arial"/>
                <w:sz w:val="18"/>
                <w:szCs w:val="18"/>
                <w:color w:val="auto"/>
                <w:w w:val="99"/>
              </w:rPr>
              <w:t>1,913,912</w:t>
            </w:r>
          </w:p>
        </w:tc>
        <w:tc>
          <w:tcPr>
            <w:tcW w:w="1120" w:type="dxa"/>
            <w:vAlign w:val="bottom"/>
          </w:tcPr>
          <w:p>
            <w:pPr>
              <w:jc w:val="center"/>
              <w:spacing w:after="0" w:line="173" w:lineRule="exact"/>
              <w:rPr>
                <w:sz w:val="20"/>
                <w:szCs w:val="20"/>
                <w:color w:val="auto"/>
              </w:rPr>
            </w:pPr>
            <w:r>
              <w:rPr>
                <w:rFonts w:ascii="Arial" w:cs="Arial" w:eastAsia="Arial" w:hAnsi="Arial"/>
                <w:sz w:val="18"/>
                <w:szCs w:val="18"/>
                <w:color w:val="auto"/>
                <w:w w:val="99"/>
              </w:rPr>
              <w:t>1,962,906</w:t>
            </w:r>
          </w:p>
        </w:tc>
        <w:tc>
          <w:tcPr>
            <w:tcW w:w="11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1,962,906</w:t>
            </w:r>
          </w:p>
        </w:tc>
        <w:tc>
          <w:tcPr>
            <w:tcW w:w="1060" w:type="dxa"/>
            <w:vAlign w:val="bottom"/>
          </w:tcPr>
          <w:p>
            <w:pPr>
              <w:jc w:val="center"/>
              <w:spacing w:after="0" w:line="173" w:lineRule="exact"/>
              <w:rPr>
                <w:sz w:val="20"/>
                <w:szCs w:val="20"/>
                <w:color w:val="auto"/>
              </w:rPr>
            </w:pPr>
            <w:r>
              <w:rPr>
                <w:rFonts w:ascii="Arial" w:cs="Arial" w:eastAsia="Arial" w:hAnsi="Arial"/>
                <w:sz w:val="18"/>
                <w:szCs w:val="18"/>
                <w:color w:val="auto"/>
              </w:rPr>
              <w:t>0.0%</w:t>
            </w:r>
          </w:p>
        </w:tc>
        <w:tc>
          <w:tcPr>
            <w:tcW w:w="11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r>
        <w:trPr>
          <w:trHeight w:val="236"/>
        </w:trPr>
        <w:tc>
          <w:tcPr>
            <w:tcW w:w="5660" w:type="dxa"/>
            <w:vAlign w:val="bottom"/>
            <w:tcBorders>
              <w:left w:val="single" w:sz="8" w:color="auto"/>
              <w:bottom w:val="single" w:sz="8" w:color="auto"/>
              <w:right w:val="single" w:sz="8" w:color="auto"/>
            </w:tcBorders>
          </w:tcPr>
          <w:p>
            <w:pPr>
              <w:ind w:left="20"/>
              <w:spacing w:after="0" w:line="228" w:lineRule="exact"/>
              <w:rPr>
                <w:sz w:val="20"/>
                <w:szCs w:val="20"/>
                <w:color w:val="auto"/>
              </w:rPr>
            </w:pPr>
            <w:r>
              <w:rPr>
                <w:rFonts w:ascii="Arial" w:cs="Arial" w:eastAsia="Arial" w:hAnsi="Arial"/>
                <w:sz w:val="16"/>
                <w:szCs w:val="16"/>
                <w:color w:val="auto"/>
              </w:rPr>
              <w:t xml:space="preserve">Regulatory Tier 2 Capital </w:t>
            </w:r>
            <w:r>
              <w:rPr>
                <w:rFonts w:ascii="Arial" w:cs="Arial" w:eastAsia="Arial" w:hAnsi="Arial"/>
                <w:sz w:val="26"/>
                <w:szCs w:val="26"/>
                <w:color w:val="auto"/>
                <w:vertAlign w:val="superscript"/>
              </w:rPr>
              <w:t>(3)</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333,948</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355,687</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358,260</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0.7%</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7.3%</w:t>
            </w:r>
          </w:p>
        </w:tc>
        <w:tc>
          <w:tcPr>
            <w:tcW w:w="0" w:type="dxa"/>
            <w:vAlign w:val="bottom"/>
          </w:tcPr>
          <w:p>
            <w:pPr>
              <w:spacing w:after="0"/>
              <w:rPr>
                <w:sz w:val="1"/>
                <w:szCs w:val="1"/>
                <w:color w:val="auto"/>
              </w:rPr>
            </w:pPr>
          </w:p>
        </w:tc>
      </w:tr>
      <w:tr>
        <w:trPr>
          <w:trHeight w:val="194"/>
        </w:trPr>
        <w:tc>
          <w:tcPr>
            <w:tcW w:w="5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60" w:type="dxa"/>
            <w:vAlign w:val="bottom"/>
            <w:tcBorders>
              <w:left w:val="single" w:sz="8" w:color="auto"/>
              <w:bottom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b w:val="1"/>
                <w:bCs w:val="1"/>
                <w:color w:val="auto"/>
              </w:rPr>
              <w:t xml:space="preserve">Total risk-weighted assets - SBS </w:t>
            </w:r>
            <w:r>
              <w:rPr>
                <w:rFonts w:ascii="Arial" w:cs="Arial" w:eastAsia="Arial" w:hAnsi="Arial"/>
                <w:sz w:val="23"/>
                <w:szCs w:val="23"/>
                <w:b w:val="1"/>
                <w:bCs w:val="1"/>
                <w:color w:val="auto"/>
                <w:vertAlign w:val="superscript"/>
              </w:rPr>
              <w:t>(4)</w:t>
            </w:r>
          </w:p>
        </w:tc>
        <w:tc>
          <w:tcPr>
            <w:tcW w:w="11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13,430,936</w:t>
            </w:r>
          </w:p>
        </w:tc>
        <w:tc>
          <w:tcPr>
            <w:tcW w:w="11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15,638,132</w:t>
            </w:r>
          </w:p>
        </w:tc>
        <w:tc>
          <w:tcPr>
            <w:tcW w:w="116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15,882,853</w:t>
            </w:r>
          </w:p>
        </w:tc>
        <w:tc>
          <w:tcPr>
            <w:tcW w:w="10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1.6%</w:t>
            </w:r>
          </w:p>
        </w:tc>
        <w:tc>
          <w:tcPr>
            <w:tcW w:w="11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18.3%</w:t>
            </w:r>
          </w:p>
        </w:tc>
        <w:tc>
          <w:tcPr>
            <w:tcW w:w="0" w:type="dxa"/>
            <w:vAlign w:val="bottom"/>
          </w:tcPr>
          <w:p>
            <w:pPr>
              <w:spacing w:after="0"/>
              <w:rPr>
                <w:sz w:val="1"/>
                <w:szCs w:val="1"/>
                <w:color w:val="auto"/>
              </w:rPr>
            </w:pPr>
          </w:p>
        </w:tc>
      </w:tr>
      <w:tr>
        <w:trPr>
          <w:trHeight w:val="173"/>
        </w:trPr>
        <w:tc>
          <w:tcPr>
            <w:tcW w:w="56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8"/>
                <w:szCs w:val="18"/>
                <w:color w:val="auto"/>
              </w:rPr>
              <w:t>Credit risk-weighted assets</w:t>
            </w:r>
          </w:p>
        </w:tc>
        <w:tc>
          <w:tcPr>
            <w:tcW w:w="110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7"/>
              </w:rPr>
              <w:t>11,320,727</w:t>
            </w:r>
          </w:p>
        </w:tc>
        <w:tc>
          <w:tcPr>
            <w:tcW w:w="112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7"/>
              </w:rPr>
              <w:t>13,605,110</w:t>
            </w:r>
          </w:p>
        </w:tc>
        <w:tc>
          <w:tcPr>
            <w:tcW w:w="11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b w:val="1"/>
                <w:bCs w:val="1"/>
                <w:color w:val="auto"/>
                <w:w w:val="97"/>
              </w:rPr>
              <w:t>13,811,480</w:t>
            </w:r>
          </w:p>
        </w:tc>
        <w:tc>
          <w:tcPr>
            <w:tcW w:w="1060" w:type="dxa"/>
            <w:vAlign w:val="bottom"/>
          </w:tcPr>
          <w:p>
            <w:pPr>
              <w:jc w:val="center"/>
              <w:spacing w:after="0" w:line="173" w:lineRule="exact"/>
              <w:rPr>
                <w:sz w:val="20"/>
                <w:szCs w:val="20"/>
                <w:color w:val="auto"/>
              </w:rPr>
            </w:pPr>
            <w:r>
              <w:rPr>
                <w:rFonts w:ascii="Arial" w:cs="Arial" w:eastAsia="Arial" w:hAnsi="Arial"/>
                <w:sz w:val="18"/>
                <w:szCs w:val="18"/>
                <w:color w:val="auto"/>
              </w:rPr>
              <w:t>1.5%</w:t>
            </w:r>
          </w:p>
        </w:tc>
        <w:tc>
          <w:tcPr>
            <w:tcW w:w="11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7"/>
              </w:rPr>
              <w:t>22.0%</w:t>
            </w:r>
          </w:p>
        </w:tc>
        <w:tc>
          <w:tcPr>
            <w:tcW w:w="0" w:type="dxa"/>
            <w:vAlign w:val="bottom"/>
          </w:tcPr>
          <w:p>
            <w:pPr>
              <w:spacing w:after="0"/>
              <w:rPr>
                <w:sz w:val="1"/>
                <w:szCs w:val="1"/>
                <w:color w:val="auto"/>
              </w:rPr>
            </w:pPr>
          </w:p>
        </w:tc>
      </w:tr>
      <w:tr>
        <w:trPr>
          <w:trHeight w:val="210"/>
        </w:trPr>
        <w:tc>
          <w:tcPr>
            <w:tcW w:w="5660" w:type="dxa"/>
            <w:vAlign w:val="bottom"/>
            <w:tcBorders>
              <w:left w:val="single" w:sz="8" w:color="auto"/>
              <w:right w:val="single" w:sz="8" w:color="auto"/>
            </w:tcBorders>
          </w:tcPr>
          <w:p>
            <w:pPr>
              <w:ind w:left="20"/>
              <w:spacing w:after="0" w:line="210" w:lineRule="exact"/>
              <w:rPr>
                <w:sz w:val="20"/>
                <w:szCs w:val="20"/>
                <w:color w:val="auto"/>
              </w:rPr>
            </w:pPr>
            <w:r>
              <w:rPr>
                <w:rFonts w:ascii="Arial" w:cs="Arial" w:eastAsia="Arial" w:hAnsi="Arial"/>
                <w:sz w:val="15"/>
                <w:szCs w:val="15"/>
                <w:color w:val="auto"/>
              </w:rPr>
              <w:t xml:space="preserve">Market risk-weighted assets </w:t>
            </w:r>
            <w:r>
              <w:rPr>
                <w:rFonts w:ascii="Arial" w:cs="Arial" w:eastAsia="Arial" w:hAnsi="Arial"/>
                <w:sz w:val="24"/>
                <w:szCs w:val="24"/>
                <w:color w:val="auto"/>
                <w:vertAlign w:val="superscript"/>
              </w:rPr>
              <w:t>(5)</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8"/>
              </w:rPr>
              <w:t>229,235</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105,570</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115,614</w:t>
            </w:r>
          </w:p>
        </w:tc>
        <w:tc>
          <w:tcPr>
            <w:tcW w:w="1060" w:type="dxa"/>
            <w:vAlign w:val="bottom"/>
          </w:tcPr>
          <w:p>
            <w:pPr>
              <w:jc w:val="center"/>
              <w:spacing w:after="0"/>
              <w:rPr>
                <w:sz w:val="20"/>
                <w:szCs w:val="20"/>
                <w:color w:val="auto"/>
              </w:rPr>
            </w:pPr>
            <w:r>
              <w:rPr>
                <w:rFonts w:ascii="Arial" w:cs="Arial" w:eastAsia="Arial" w:hAnsi="Arial"/>
                <w:sz w:val="18"/>
                <w:szCs w:val="18"/>
                <w:color w:val="auto"/>
              </w:rPr>
              <w:t>9.5%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-49.6%</w:t>
            </w:r>
          </w:p>
        </w:tc>
        <w:tc>
          <w:tcPr>
            <w:tcW w:w="0" w:type="dxa"/>
            <w:vAlign w:val="bottom"/>
          </w:tcPr>
          <w:p>
            <w:pPr>
              <w:spacing w:after="0"/>
              <w:rPr>
                <w:sz w:val="1"/>
                <w:szCs w:val="1"/>
                <w:color w:val="auto"/>
              </w:rPr>
            </w:pPr>
          </w:p>
        </w:tc>
      </w:tr>
      <w:tr>
        <w:trPr>
          <w:trHeight w:val="226"/>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Operational risk-weighted assets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1,880,975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1,927,452</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1,955,759</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194"/>
        </w:trPr>
        <w:tc>
          <w:tcPr>
            <w:tcW w:w="5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60" w:type="dxa"/>
            <w:vAlign w:val="bottom"/>
            <w:tcBorders>
              <w:left w:val="single" w:sz="8" w:color="auto"/>
              <w:bottom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Total capital requirement</w:t>
            </w:r>
          </w:p>
        </w:tc>
        <w:tc>
          <w:tcPr>
            <w:tcW w:w="11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1,463,848</w:t>
            </w:r>
          </w:p>
        </w:tc>
        <w:tc>
          <w:tcPr>
            <w:tcW w:w="11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1,708,934</w:t>
            </w:r>
          </w:p>
        </w:tc>
        <w:tc>
          <w:tcPr>
            <w:tcW w:w="116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1,744,815</w:t>
            </w:r>
          </w:p>
        </w:tc>
        <w:tc>
          <w:tcPr>
            <w:tcW w:w="10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2.1%</w:t>
            </w:r>
          </w:p>
        </w:tc>
        <w:tc>
          <w:tcPr>
            <w:tcW w:w="11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19.2%</w:t>
            </w:r>
          </w:p>
        </w:tc>
        <w:tc>
          <w:tcPr>
            <w:tcW w:w="0" w:type="dxa"/>
            <w:vAlign w:val="bottom"/>
          </w:tcPr>
          <w:p>
            <w:pPr>
              <w:spacing w:after="0"/>
              <w:rPr>
                <w:sz w:val="1"/>
                <w:szCs w:val="1"/>
                <w:color w:val="auto"/>
              </w:rPr>
            </w:pPr>
          </w:p>
        </w:tc>
      </w:tr>
      <w:tr>
        <w:trPr>
          <w:trHeight w:val="182"/>
        </w:trPr>
        <w:tc>
          <w:tcPr>
            <w:tcW w:w="566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Credit risk capital requirement</w:t>
            </w:r>
          </w:p>
        </w:tc>
        <w:tc>
          <w:tcPr>
            <w:tcW w:w="11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1,132,073</w:t>
            </w:r>
          </w:p>
        </w:tc>
        <w:tc>
          <w:tcPr>
            <w:tcW w:w="112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7"/>
              </w:rPr>
              <w:t>1,360,511</w:t>
            </w:r>
          </w:p>
        </w:tc>
        <w:tc>
          <w:tcPr>
            <w:tcW w:w="11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9"/>
              </w:rPr>
              <w:t>1,381,148</w:t>
            </w:r>
          </w:p>
        </w:tc>
        <w:tc>
          <w:tcPr>
            <w:tcW w:w="1060" w:type="dxa"/>
            <w:vAlign w:val="bottom"/>
          </w:tcPr>
          <w:p>
            <w:pPr>
              <w:jc w:val="center"/>
              <w:spacing w:after="0" w:line="182" w:lineRule="exact"/>
              <w:rPr>
                <w:sz w:val="20"/>
                <w:szCs w:val="20"/>
                <w:color w:val="auto"/>
              </w:rPr>
            </w:pPr>
            <w:r>
              <w:rPr>
                <w:rFonts w:ascii="Arial" w:cs="Arial" w:eastAsia="Arial" w:hAnsi="Arial"/>
                <w:sz w:val="18"/>
                <w:szCs w:val="18"/>
                <w:color w:val="auto"/>
              </w:rPr>
              <w:t>1.5%</w:t>
            </w:r>
          </w:p>
        </w:tc>
        <w:tc>
          <w:tcPr>
            <w:tcW w:w="11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22.0%</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Market risk-weighted assets</w:t>
            </w: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22,923</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10,557</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11,561</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rPr>
              <w:t>9.5%</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-49.6%</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Operational risk capital requirement</w:t>
            </w:r>
          </w:p>
        </w:tc>
        <w:tc>
          <w:tcPr>
            <w:tcW w:w="11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188,097</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192,745</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195,576</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rPr>
              <w:t>1.5%</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4.0%</w:t>
            </w:r>
          </w:p>
        </w:tc>
        <w:tc>
          <w:tcPr>
            <w:tcW w:w="0" w:type="dxa"/>
            <w:vAlign w:val="bottom"/>
          </w:tcPr>
          <w:p>
            <w:pPr>
              <w:spacing w:after="0"/>
              <w:rPr>
                <w:sz w:val="1"/>
                <w:szCs w:val="1"/>
                <w:color w:val="auto"/>
              </w:rPr>
            </w:pPr>
          </w:p>
        </w:tc>
      </w:tr>
      <w:tr>
        <w:trPr>
          <w:trHeight w:val="226"/>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Additional capital requirements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120,754</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145,121</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156,530</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7.9%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29.6%</w:t>
            </w:r>
          </w:p>
        </w:tc>
        <w:tc>
          <w:tcPr>
            <w:tcW w:w="0" w:type="dxa"/>
            <w:vAlign w:val="bottom"/>
          </w:tcPr>
          <w:p>
            <w:pPr>
              <w:spacing w:after="0"/>
              <w:rPr>
                <w:sz w:val="1"/>
                <w:szCs w:val="1"/>
                <w:color w:val="auto"/>
              </w:rPr>
            </w:pPr>
          </w:p>
        </w:tc>
      </w:tr>
      <w:tr>
        <w:trPr>
          <w:trHeight w:val="194"/>
        </w:trPr>
        <w:tc>
          <w:tcPr>
            <w:tcW w:w="5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60" w:type="dxa"/>
            <w:vAlign w:val="bottom"/>
            <w:tcBorders>
              <w:left w:val="single" w:sz="8" w:color="auto"/>
              <w:bottom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b w:val="1"/>
                <w:bCs w:val="1"/>
                <w:color w:val="auto"/>
              </w:rPr>
              <w:t xml:space="preserve">Common Equity Tier 1 - Basel IFRS </w:t>
            </w:r>
            <w:r>
              <w:rPr>
                <w:rFonts w:ascii="Arial" w:cs="Arial" w:eastAsia="Arial" w:hAnsi="Arial"/>
                <w:sz w:val="23"/>
                <w:szCs w:val="23"/>
                <w:b w:val="1"/>
                <w:bCs w:val="1"/>
                <w:color w:val="auto"/>
                <w:vertAlign w:val="superscript"/>
              </w:rPr>
              <w:t>(6)</w:t>
            </w:r>
          </w:p>
        </w:tc>
        <w:tc>
          <w:tcPr>
            <w:tcW w:w="11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1,919,613</w:t>
            </w:r>
          </w:p>
        </w:tc>
        <w:tc>
          <w:tcPr>
            <w:tcW w:w="11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2,254,711</w:t>
            </w:r>
          </w:p>
        </w:tc>
        <w:tc>
          <w:tcPr>
            <w:tcW w:w="116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2,392,636</w:t>
            </w:r>
          </w:p>
        </w:tc>
        <w:tc>
          <w:tcPr>
            <w:tcW w:w="10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5.7%</w:t>
            </w:r>
          </w:p>
        </w:tc>
        <w:tc>
          <w:tcPr>
            <w:tcW w:w="11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23.4%</w:t>
            </w:r>
          </w:p>
        </w:tc>
        <w:tc>
          <w:tcPr>
            <w:tcW w:w="0" w:type="dxa"/>
            <w:vAlign w:val="bottom"/>
          </w:tcPr>
          <w:p>
            <w:pPr>
              <w:spacing w:after="0"/>
              <w:rPr>
                <w:sz w:val="1"/>
                <w:szCs w:val="1"/>
                <w:color w:val="auto"/>
              </w:rPr>
            </w:pPr>
          </w:p>
        </w:tc>
      </w:tr>
      <w:tr>
        <w:trPr>
          <w:trHeight w:val="182"/>
        </w:trPr>
        <w:tc>
          <w:tcPr>
            <w:tcW w:w="566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Capital and reserves</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9"/>
              </w:rPr>
              <w:t>2,489,011</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9"/>
              </w:rPr>
              <w:t>2,632,956</w:t>
            </w:r>
          </w:p>
        </w:tc>
        <w:tc>
          <w:tcPr>
            <w:tcW w:w="11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2,632,956</w:t>
            </w:r>
          </w:p>
        </w:tc>
        <w:tc>
          <w:tcPr>
            <w:tcW w:w="1060" w:type="dxa"/>
            <w:vAlign w:val="bottom"/>
          </w:tcPr>
          <w:p>
            <w:pPr>
              <w:jc w:val="center"/>
              <w:spacing w:after="0" w:line="182" w:lineRule="exact"/>
              <w:rPr>
                <w:sz w:val="20"/>
                <w:szCs w:val="20"/>
                <w:color w:val="auto"/>
              </w:rPr>
            </w:pPr>
            <w:r>
              <w:rPr>
                <w:rFonts w:ascii="Arial" w:cs="Arial" w:eastAsia="Arial" w:hAnsi="Arial"/>
                <w:sz w:val="18"/>
                <w:szCs w:val="18"/>
                <w:color w:val="auto"/>
              </w:rPr>
              <w:t>0.0%</w:t>
            </w:r>
          </w:p>
        </w:tc>
        <w:tc>
          <w:tcPr>
            <w:tcW w:w="11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5.8%</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Retained earnings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(239,537)</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rPr>
              <w:t>(32,701)</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114,341</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Unrealized gains (losses)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(6,761)</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rPr>
              <w:t>(13,045)</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(16,074)</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7"/>
              </w:rPr>
              <w:t>23.2%</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137.8%</w:t>
            </w:r>
          </w:p>
        </w:tc>
        <w:tc>
          <w:tcPr>
            <w:tcW w:w="0" w:type="dxa"/>
            <w:vAlign w:val="bottom"/>
          </w:tcPr>
          <w:p>
            <w:pPr>
              <w:spacing w:after="0"/>
              <w:rPr>
                <w:sz w:val="1"/>
                <w:szCs w:val="1"/>
                <w:color w:val="auto"/>
              </w:rPr>
            </w:pPr>
          </w:p>
        </w:tc>
      </w:tr>
      <w:tr>
        <w:trPr>
          <w:trHeight w:val="226"/>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Goodwill and intangibles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(323,100)</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(332,498)</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(338,587)</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4.8%</w:t>
            </w:r>
          </w:p>
        </w:tc>
        <w:tc>
          <w:tcPr>
            <w:tcW w:w="0" w:type="dxa"/>
            <w:vAlign w:val="bottom"/>
          </w:tcPr>
          <w:p>
            <w:pPr>
              <w:spacing w:after="0"/>
              <w:rPr>
                <w:sz w:val="1"/>
                <w:szCs w:val="1"/>
                <w:color w:val="auto"/>
              </w:rPr>
            </w:pPr>
          </w:p>
        </w:tc>
      </w:tr>
      <w:tr>
        <w:trPr>
          <w:trHeight w:val="194"/>
        </w:trPr>
        <w:tc>
          <w:tcPr>
            <w:tcW w:w="56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660" w:type="dxa"/>
            <w:vAlign w:val="bottom"/>
            <w:tcBorders>
              <w:left w:val="single" w:sz="8" w:color="auto"/>
              <w:bottom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b w:val="1"/>
                <w:bCs w:val="1"/>
                <w:color w:val="auto"/>
              </w:rPr>
              <w:t xml:space="preserve">Adjusted Risk-Weighted Assets </w:t>
            </w:r>
            <w:r>
              <w:rPr>
                <w:rFonts w:ascii="Arial" w:cs="Arial" w:eastAsia="Arial" w:hAnsi="Arial"/>
                <w:sz w:val="15"/>
                <w:szCs w:val="15"/>
                <w:color w:val="auto"/>
              </w:rPr>
              <w:t>-</w:t>
            </w:r>
            <w:r>
              <w:rPr>
                <w:rFonts w:ascii="Arial" w:cs="Arial" w:eastAsia="Arial" w:hAnsi="Arial"/>
                <w:sz w:val="15"/>
                <w:szCs w:val="15"/>
                <w:b w:val="1"/>
                <w:bCs w:val="1"/>
                <w:color w:val="auto"/>
              </w:rPr>
              <w:t xml:space="preserve"> Basel IFRS </w:t>
            </w:r>
            <w:r>
              <w:rPr>
                <w:rFonts w:ascii="Arial" w:cs="Arial" w:eastAsia="Arial" w:hAnsi="Arial"/>
                <w:sz w:val="23"/>
                <w:szCs w:val="23"/>
                <w:b w:val="1"/>
                <w:bCs w:val="1"/>
                <w:color w:val="auto"/>
                <w:vertAlign w:val="superscript"/>
              </w:rPr>
              <w:t>(7)</w:t>
            </w:r>
          </w:p>
        </w:tc>
        <w:tc>
          <w:tcPr>
            <w:tcW w:w="11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12,713,766</w:t>
            </w:r>
          </w:p>
        </w:tc>
        <w:tc>
          <w:tcPr>
            <w:tcW w:w="11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14,787,085</w:t>
            </w:r>
          </w:p>
        </w:tc>
        <w:tc>
          <w:tcPr>
            <w:tcW w:w="116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14,956,200</w:t>
            </w:r>
          </w:p>
        </w:tc>
        <w:tc>
          <w:tcPr>
            <w:tcW w:w="106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1.1%</w:t>
            </w:r>
          </w:p>
        </w:tc>
        <w:tc>
          <w:tcPr>
            <w:tcW w:w="11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17.6%</w:t>
            </w:r>
          </w:p>
        </w:tc>
        <w:tc>
          <w:tcPr>
            <w:tcW w:w="0" w:type="dxa"/>
            <w:vAlign w:val="bottom"/>
          </w:tcPr>
          <w:p>
            <w:pPr>
              <w:spacing w:after="0"/>
              <w:rPr>
                <w:sz w:val="1"/>
                <w:szCs w:val="1"/>
                <w:color w:val="auto"/>
              </w:rPr>
            </w:pPr>
          </w:p>
        </w:tc>
      </w:tr>
      <w:tr>
        <w:trPr>
          <w:trHeight w:val="182"/>
        </w:trPr>
        <w:tc>
          <w:tcPr>
            <w:tcW w:w="566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Total risk-weighted assets</w:t>
            </w:r>
          </w:p>
        </w:tc>
        <w:tc>
          <w:tcPr>
            <w:tcW w:w="1100" w:type="dxa"/>
            <w:vAlign w:val="bottom"/>
          </w:tcPr>
          <w:p>
            <w:pPr>
              <w:jc w:val="center"/>
              <w:spacing w:after="0" w:line="182" w:lineRule="exact"/>
              <w:rPr>
                <w:sz w:val="20"/>
                <w:szCs w:val="20"/>
                <w:color w:val="auto"/>
              </w:rPr>
            </w:pPr>
            <w:r>
              <w:rPr>
                <w:rFonts w:ascii="Arial" w:cs="Arial" w:eastAsia="Arial" w:hAnsi="Arial"/>
                <w:sz w:val="18"/>
                <w:szCs w:val="18"/>
                <w:color w:val="auto"/>
                <w:w w:val="97"/>
              </w:rPr>
              <w:t>13,430,936</w:t>
            </w: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7"/>
              </w:rPr>
              <w:t>15,638,132</w:t>
            </w:r>
          </w:p>
        </w:tc>
        <w:tc>
          <w:tcPr>
            <w:tcW w:w="11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15,882,853</w:t>
            </w:r>
          </w:p>
        </w:tc>
        <w:tc>
          <w:tcPr>
            <w:tcW w:w="1060" w:type="dxa"/>
            <w:vAlign w:val="bottom"/>
          </w:tcPr>
          <w:p>
            <w:pPr>
              <w:jc w:val="center"/>
              <w:spacing w:after="0" w:line="182" w:lineRule="exact"/>
              <w:rPr>
                <w:sz w:val="20"/>
                <w:szCs w:val="20"/>
                <w:color w:val="auto"/>
              </w:rPr>
            </w:pPr>
            <w:r>
              <w:rPr>
                <w:rFonts w:ascii="Arial" w:cs="Arial" w:eastAsia="Arial" w:hAnsi="Arial"/>
                <w:sz w:val="18"/>
                <w:szCs w:val="18"/>
                <w:color w:val="auto"/>
              </w:rPr>
              <w:t>1.6%</w:t>
            </w:r>
          </w:p>
        </w:tc>
        <w:tc>
          <w:tcPr>
            <w:tcW w:w="114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18.3%</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RWA Intangible assets, excluding goodwill.</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9"/>
              </w:rPr>
              <w:t>1,049,844</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1,199,443</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1,280,505</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rPr>
              <w:t>6.8%</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22.0%</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RWA Deferred tax assets generated as a result of temporary</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8"/>
              </w:rPr>
              <w:t>238,755</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8"/>
              </w:rPr>
              <w:t>169,072</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169,072</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-29.2%</w:t>
            </w:r>
          </w:p>
        </w:tc>
        <w:tc>
          <w:tcPr>
            <w:tcW w:w="0" w:type="dxa"/>
            <w:vAlign w:val="bottom"/>
          </w:tcPr>
          <w:p>
            <w:pPr>
              <w:spacing w:after="0"/>
              <w:rPr>
                <w:sz w:val="1"/>
                <w:szCs w:val="1"/>
                <w:color w:val="auto"/>
              </w:rPr>
            </w:pPr>
          </w:p>
        </w:tc>
      </w:tr>
      <w:tr>
        <w:trPr>
          <w:trHeight w:val="128"/>
        </w:trPr>
        <w:tc>
          <w:tcPr>
            <w:tcW w:w="5660" w:type="dxa"/>
            <w:vAlign w:val="bottom"/>
            <w:tcBorders>
              <w:left w:val="single" w:sz="8" w:color="auto"/>
              <w:right w:val="single" w:sz="8" w:color="auto"/>
            </w:tcBorders>
            <w:vMerge w:val="restart"/>
          </w:tcPr>
          <w:p>
            <w:pPr>
              <w:ind w:left="180"/>
              <w:spacing w:after="0" w:line="201" w:lineRule="exact"/>
              <w:rPr>
                <w:sz w:val="20"/>
                <w:szCs w:val="20"/>
                <w:color w:val="auto"/>
              </w:rPr>
            </w:pPr>
            <w:r>
              <w:rPr>
                <w:rFonts w:ascii="Arial" w:cs="Arial" w:eastAsia="Arial" w:hAnsi="Arial"/>
                <w:sz w:val="18"/>
                <w:szCs w:val="18"/>
                <w:color w:val="auto"/>
              </w:rPr>
              <w:t>differences in income tax, in excess of 10% of CET1</w:t>
            </w:r>
          </w:p>
        </w:tc>
        <w:tc>
          <w:tcPr>
            <w:tcW w:w="11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6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IFRS Adjustments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(22,981)</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157,645</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171,774</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rPr>
              <w:t>9.0%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-847.4%</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RWA for Market Risk difference (exchange risk) for temporary</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rPr>
              <w:t>37,182</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rPr>
              <w:t>21,679</w:t>
            </w:r>
          </w:p>
        </w:tc>
        <w:tc>
          <w:tcPr>
            <w:tcW w:w="1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13,007</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rPr>
              <w:t>-40.0%</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-65.0%</w:t>
            </w:r>
          </w:p>
        </w:tc>
        <w:tc>
          <w:tcPr>
            <w:tcW w:w="0" w:type="dxa"/>
            <w:vAlign w:val="bottom"/>
          </w:tcPr>
          <w:p>
            <w:pPr>
              <w:spacing w:after="0"/>
              <w:rPr>
                <w:sz w:val="1"/>
                <w:szCs w:val="1"/>
                <w:color w:val="auto"/>
              </w:rPr>
            </w:pPr>
          </w:p>
        </w:tc>
      </w:tr>
      <w:tr>
        <w:trPr>
          <w:trHeight w:val="128"/>
        </w:trPr>
        <w:tc>
          <w:tcPr>
            <w:tcW w:w="5660" w:type="dxa"/>
            <w:vAlign w:val="bottom"/>
            <w:tcBorders>
              <w:left w:val="single" w:sz="8" w:color="auto"/>
              <w:right w:val="single" w:sz="8" w:color="auto"/>
            </w:tcBorders>
            <w:vMerge w:val="restart"/>
          </w:tcPr>
          <w:p>
            <w:pPr>
              <w:ind w:left="180"/>
              <w:spacing w:after="0" w:line="201" w:lineRule="exact"/>
              <w:rPr>
                <w:sz w:val="20"/>
                <w:szCs w:val="20"/>
                <w:color w:val="auto"/>
              </w:rPr>
            </w:pPr>
            <w:r>
              <w:rPr>
                <w:rFonts w:ascii="Arial" w:cs="Arial" w:eastAsia="Arial" w:hAnsi="Arial"/>
                <w:sz w:val="18"/>
                <w:szCs w:val="18"/>
                <w:color w:val="auto"/>
              </w:rPr>
              <w:t>difference</w:t>
            </w:r>
          </w:p>
        </w:tc>
        <w:tc>
          <w:tcPr>
            <w:tcW w:w="11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5660" w:type="dxa"/>
            <w:vAlign w:val="bottom"/>
            <w:tcBorders>
              <w:left w:val="single" w:sz="8" w:color="auto"/>
              <w:right w:val="single" w:sz="8" w:color="auto"/>
            </w:tcBorders>
            <w:vMerge w:val="continue"/>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60" w:type="dxa"/>
            <w:vAlign w:val="bottom"/>
            <w:tcBorders>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 RWA assets that exceed 10% of CET1 SBS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80,966</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n.a.</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26"/>
        </w:trPr>
        <w:tc>
          <w:tcPr>
            <w:tcW w:w="56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RWA difference between excees SBS and Basel methodology</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1,247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395"/>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Capital ratios</w:t>
            </w: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66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 xml:space="preserve">Regulatory Tier 1 ratio </w:t>
            </w:r>
            <w:r>
              <w:rPr>
                <w:rFonts w:ascii="Arial" w:cs="Arial" w:eastAsia="Arial" w:hAnsi="Arial"/>
                <w:sz w:val="20"/>
                <w:szCs w:val="20"/>
                <w:color w:val="auto"/>
                <w:vertAlign w:val="superscript"/>
              </w:rPr>
              <w:t>(8)</w:t>
            </w:r>
          </w:p>
        </w:tc>
        <w:tc>
          <w:tcPr>
            <w:tcW w:w="1100" w:type="dxa"/>
            <w:vAlign w:val="bottom"/>
          </w:tcPr>
          <w:p>
            <w:pPr>
              <w:jc w:val="center"/>
              <w:spacing w:after="0" w:line="173" w:lineRule="exact"/>
              <w:rPr>
                <w:sz w:val="20"/>
                <w:szCs w:val="20"/>
                <w:color w:val="auto"/>
              </w:rPr>
            </w:pPr>
            <w:r>
              <w:rPr>
                <w:rFonts w:ascii="Arial" w:cs="Arial" w:eastAsia="Arial" w:hAnsi="Arial"/>
                <w:sz w:val="18"/>
                <w:szCs w:val="18"/>
                <w:color w:val="auto"/>
                <w:w w:val="98"/>
              </w:rPr>
              <w:t>14.25%</w:t>
            </w:r>
          </w:p>
        </w:tc>
        <w:tc>
          <w:tcPr>
            <w:tcW w:w="1120" w:type="dxa"/>
            <w:vAlign w:val="bottom"/>
          </w:tcPr>
          <w:p>
            <w:pPr>
              <w:jc w:val="center"/>
              <w:spacing w:after="0" w:line="173" w:lineRule="exact"/>
              <w:rPr>
                <w:sz w:val="20"/>
                <w:szCs w:val="20"/>
                <w:color w:val="auto"/>
              </w:rPr>
            </w:pPr>
            <w:r>
              <w:rPr>
                <w:rFonts w:ascii="Arial" w:cs="Arial" w:eastAsia="Arial" w:hAnsi="Arial"/>
                <w:sz w:val="18"/>
                <w:szCs w:val="18"/>
                <w:color w:val="auto"/>
                <w:w w:val="98"/>
              </w:rPr>
              <w:t>12.55%</w:t>
            </w:r>
          </w:p>
        </w:tc>
        <w:tc>
          <w:tcPr>
            <w:tcW w:w="11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8"/>
              </w:rPr>
              <w:t>12.36%</w:t>
            </w:r>
          </w:p>
        </w:tc>
        <w:tc>
          <w:tcPr>
            <w:tcW w:w="1060" w:type="dxa"/>
            <w:vAlign w:val="bottom"/>
          </w:tcPr>
          <w:p>
            <w:pPr>
              <w:jc w:val="center"/>
              <w:spacing w:after="0" w:line="173" w:lineRule="exact"/>
              <w:rPr>
                <w:sz w:val="20"/>
                <w:szCs w:val="20"/>
                <w:color w:val="auto"/>
              </w:rPr>
            </w:pPr>
            <w:r>
              <w:rPr>
                <w:rFonts w:ascii="Arial" w:cs="Arial" w:eastAsia="Arial" w:hAnsi="Arial"/>
                <w:sz w:val="18"/>
                <w:szCs w:val="18"/>
                <w:color w:val="auto"/>
                <w:w w:val="99"/>
              </w:rPr>
              <w:t>-19 bps</w:t>
            </w:r>
          </w:p>
        </w:tc>
        <w:tc>
          <w:tcPr>
            <w:tcW w:w="11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-189 bps</w:t>
            </w:r>
          </w:p>
        </w:tc>
        <w:tc>
          <w:tcPr>
            <w:tcW w:w="0" w:type="dxa"/>
            <w:vAlign w:val="bottom"/>
          </w:tcPr>
          <w:p>
            <w:pPr>
              <w:spacing w:after="0"/>
              <w:rPr>
                <w:sz w:val="1"/>
                <w:szCs w:val="1"/>
                <w:color w:val="auto"/>
              </w:rPr>
            </w:pPr>
          </w:p>
        </w:tc>
      </w:tr>
      <w:tr>
        <w:trPr>
          <w:trHeight w:val="201"/>
        </w:trPr>
        <w:tc>
          <w:tcPr>
            <w:tcW w:w="566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color w:val="auto"/>
              </w:rPr>
              <w:t xml:space="preserve">Common Equity Tier 1 ratio </w:t>
            </w:r>
            <w:r>
              <w:rPr>
                <w:rFonts w:ascii="Arial" w:cs="Arial" w:eastAsia="Arial" w:hAnsi="Arial"/>
                <w:sz w:val="23"/>
                <w:szCs w:val="23"/>
                <w:color w:val="auto"/>
                <w:vertAlign w:val="superscript"/>
              </w:rPr>
              <w:t>(9)(11)</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15.10%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15.25%</w:t>
            </w:r>
          </w:p>
        </w:tc>
        <w:tc>
          <w:tcPr>
            <w:tcW w:w="11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16.00%</w:t>
            </w:r>
          </w:p>
        </w:tc>
        <w:tc>
          <w:tcPr>
            <w:tcW w:w="1060" w:type="dxa"/>
            <w:vAlign w:val="bottom"/>
          </w:tcPr>
          <w:p>
            <w:pPr>
              <w:jc w:val="center"/>
              <w:spacing w:after="0" w:line="201" w:lineRule="exact"/>
              <w:rPr>
                <w:sz w:val="20"/>
                <w:szCs w:val="20"/>
                <w:color w:val="auto"/>
              </w:rPr>
            </w:pPr>
            <w:r>
              <w:rPr>
                <w:rFonts w:ascii="Arial" w:cs="Arial" w:eastAsia="Arial" w:hAnsi="Arial"/>
                <w:sz w:val="18"/>
                <w:szCs w:val="18"/>
                <w:color w:val="auto"/>
                <w:w w:val="99"/>
              </w:rPr>
              <w:t>75 bps</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90 bps</w:t>
            </w:r>
          </w:p>
        </w:tc>
        <w:tc>
          <w:tcPr>
            <w:tcW w:w="0" w:type="dxa"/>
            <w:vAlign w:val="bottom"/>
          </w:tcPr>
          <w:p>
            <w:pPr>
              <w:spacing w:after="0"/>
              <w:rPr>
                <w:sz w:val="1"/>
                <w:szCs w:val="1"/>
                <w:color w:val="auto"/>
              </w:rPr>
            </w:pPr>
          </w:p>
        </w:tc>
      </w:tr>
      <w:tr>
        <w:trPr>
          <w:trHeight w:val="210"/>
        </w:trPr>
        <w:tc>
          <w:tcPr>
            <w:tcW w:w="5660" w:type="dxa"/>
            <w:vAlign w:val="bottom"/>
            <w:tcBorders>
              <w:left w:val="single" w:sz="8" w:color="auto"/>
              <w:right w:val="single" w:sz="8" w:color="auto"/>
            </w:tcBorders>
          </w:tcPr>
          <w:p>
            <w:pPr>
              <w:ind w:left="20"/>
              <w:spacing w:after="0" w:line="210" w:lineRule="exact"/>
              <w:rPr>
                <w:sz w:val="20"/>
                <w:szCs w:val="20"/>
                <w:color w:val="auto"/>
              </w:rPr>
            </w:pPr>
            <w:r>
              <w:rPr>
                <w:rFonts w:ascii="Arial" w:cs="Arial" w:eastAsia="Arial" w:hAnsi="Arial"/>
                <w:sz w:val="15"/>
                <w:szCs w:val="15"/>
                <w:color w:val="auto"/>
              </w:rPr>
              <w:t xml:space="preserve">Regulatory Global Capital ratio </w:t>
            </w:r>
            <w:r>
              <w:rPr>
                <w:rFonts w:ascii="Arial" w:cs="Arial" w:eastAsia="Arial" w:hAnsi="Arial"/>
                <w:sz w:val="24"/>
                <w:szCs w:val="24"/>
                <w:color w:val="auto"/>
                <w:vertAlign w:val="superscript"/>
              </w:rPr>
              <w:t>(10)</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16.74%</w:t>
            </w: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14.83%</w:t>
            </w:r>
          </w:p>
        </w:tc>
        <w:tc>
          <w:tcPr>
            <w:tcW w:w="1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14.61%</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-22 bps</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-213 bps</w:t>
            </w:r>
          </w:p>
        </w:tc>
        <w:tc>
          <w:tcPr>
            <w:tcW w:w="0" w:type="dxa"/>
            <w:vAlign w:val="bottom"/>
          </w:tcPr>
          <w:p>
            <w:pPr>
              <w:spacing w:after="0"/>
              <w:rPr>
                <w:sz w:val="1"/>
                <w:szCs w:val="1"/>
                <w:color w:val="auto"/>
              </w:rPr>
            </w:pPr>
          </w:p>
        </w:tc>
      </w:tr>
      <w:tr>
        <w:trPr>
          <w:trHeight w:val="226"/>
        </w:trPr>
        <w:tc>
          <w:tcPr>
            <w:tcW w:w="5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Risk-weighted assets / Regulatory capital</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5.97</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6.74</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6.84</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14.5%</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80" w:hanging="173"/>
        <w:spacing w:after="0"/>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1.25% of total risk-weighted assets.</w:t>
      </w:r>
    </w:p>
    <w:p>
      <w:pPr>
        <w:spacing w:after="0" w:line="7" w:lineRule="exact"/>
        <w:rPr>
          <w:rFonts w:ascii="Times New Roman" w:cs="Times New Roman" w:eastAsia="Times New Roman" w:hAnsi="Times New Roman"/>
          <w:sz w:val="12"/>
          <w:szCs w:val="12"/>
          <w:color w:val="auto"/>
        </w:rPr>
      </w:pPr>
    </w:p>
    <w:p>
      <w:pPr>
        <w:ind w:right="20" w:firstLine="7"/>
        <w:spacing w:after="0" w:line="279" w:lineRule="auto"/>
        <w:tabs>
          <w:tab w:leader="none" w:pos="172" w:val="left"/>
        </w:tabs>
        <w:numPr>
          <w:ilvl w:val="0"/>
          <w:numId w:val="4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80" w:hanging="173"/>
        <w:spacing w:after="0" w:line="232" w:lineRule="auto"/>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Tier 2 Capital = Subordinated debt + Loan loss reserves + Unrestricted Reserves + (0.5 x Unrealized profit and net income in subsidiaries) - (0.5 x Investment in subsidiaries).</w:t>
      </w:r>
    </w:p>
    <w:p>
      <w:pPr>
        <w:ind w:left="180" w:hanging="173"/>
        <w:spacing w:after="0" w:line="232" w:lineRule="auto"/>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July 2012, Total Risk-weighted assets = Credit risk-weighted assets * 1.00 + Capital requirement to cover market risk * 10 + Capital requirement to cover operational risk * 10 * 1.00 (since July 2014)</w:t>
      </w:r>
    </w:p>
    <w:p>
      <w:pPr>
        <w:ind w:left="180" w:hanging="173"/>
        <w:spacing w:after="0" w:line="232" w:lineRule="auto"/>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includes capital requirement to cover price and rate risk.</w:t>
      </w:r>
    </w:p>
    <w:p>
      <w:pPr>
        <w:ind w:left="180" w:hanging="173"/>
        <w:spacing w:after="0" w:line="232" w:lineRule="auto"/>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I = Capital + Reserves – 100% of applicable deductions (investment in subsidiaries, goodwill, intangibles and net deferred taxes that rely on future profitability) + retained earnings + unrealized gains.</w:t>
      </w:r>
    </w:p>
    <w:p>
      <w:pPr>
        <w:ind w:right="20" w:firstLine="7"/>
        <w:spacing w:after="0" w:line="232" w:lineRule="auto"/>
        <w:tabs>
          <w:tab w:leader="none" w:pos="16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 Figures differ from previously reported cause current calculations are based on IFRS figures.</w:t>
      </w:r>
    </w:p>
    <w:p>
      <w:pPr>
        <w:spacing w:after="0" w:line="1"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Tier 1 Capital / Total Risk-weighted assets</w:t>
      </w:r>
    </w:p>
    <w:p>
      <w:pPr>
        <w:ind w:left="180" w:hanging="173"/>
        <w:spacing w:after="0" w:line="232" w:lineRule="auto"/>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I / Adjusted Risk-Weighted Assets Risk-Weighted Assets</w:t>
      </w:r>
    </w:p>
    <w:p>
      <w:pPr>
        <w:ind w:left="220" w:hanging="213"/>
        <w:spacing w:after="0" w:line="232" w:lineRule="auto"/>
        <w:tabs>
          <w:tab w:leader="none" w:pos="2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Regulatory Capital / Total Risk-weighted assets (legal minimum = 10% since July 2011)</w:t>
      </w:r>
    </w:p>
    <w:p>
      <w:pPr>
        <w:ind w:left="220" w:hanging="213"/>
        <w:spacing w:after="0"/>
        <w:tabs>
          <w:tab w:leader="none" w:pos="22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Common Equity Tier I calculated based on IFRS Accounting</w:t>
      </w:r>
    </w:p>
    <w:p>
      <w:pPr>
        <w:spacing w:after="0" w:line="37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571" w:gutter="0" w:footer="0" w:header="0"/>
        </w:sectPr>
      </w:pPr>
    </w:p>
    <w:bookmarkStart w:id="57" w:name="page58"/>
    <w:bookmarkEnd w:id="5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3590" cy="569595"/>
                    </a:xfrm>
                    <a:prstGeom prst="rect">
                      <a:avLst/>
                    </a:prstGeom>
                    <a:noFill/>
                  </pic:spPr>
                </pic:pic>
              </a:graphicData>
            </a:graphic>
          </wp:anchor>
        </w:drawing>
      </w:r>
    </w:p>
    <w:p>
      <w:pPr>
        <w:jc w:val="right"/>
        <w:spacing w:after="0"/>
        <w:tabs>
          <w:tab w:leader="none" w:pos="3620" w:val="left"/>
        </w:tabs>
        <w:rPr>
          <w:sz w:val="20"/>
          <w:szCs w:val="20"/>
          <w:color w:val="auto"/>
        </w:rPr>
      </w:pPr>
      <w:r>
        <w:rPr>
          <w:rFonts w:ascii="Arial" w:cs="Arial" w:eastAsia="Arial" w:hAnsi="Arial"/>
          <w:sz w:val="18"/>
          <w:szCs w:val="18"/>
          <w:color w:val="A5A5A5"/>
        </w:rPr>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 Financial Statements and Ratios by Business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12.5.1. Credicorp Consolidated</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6040" w:type="dxa"/>
            <w:vAlign w:val="bottom"/>
            <w:tcBorders>
              <w:right w:val="single" w:sz="8" w:color="auto"/>
            </w:tcBorders>
          </w:tcPr>
          <w:p>
            <w:pPr>
              <w:spacing w:after="0"/>
              <w:rPr>
                <w:sz w:val="18"/>
                <w:szCs w:val="18"/>
                <w:color w:val="auto"/>
              </w:rPr>
            </w:pPr>
          </w:p>
        </w:tc>
        <w:tc>
          <w:tcPr>
            <w:tcW w:w="1160" w:type="dxa"/>
            <w:vAlign w:val="bottom"/>
            <w:tcBorders>
              <w:top w:val="single" w:sz="8" w:color="auto"/>
            </w:tcBorders>
            <w:shd w:val="clear" w:color="auto" w:fill="2AD2C9"/>
          </w:tcPr>
          <w:p>
            <w:pPr>
              <w:spacing w:after="0"/>
              <w:rPr>
                <w:sz w:val="18"/>
                <w:szCs w:val="18"/>
                <w:color w:val="auto"/>
              </w:rPr>
            </w:pPr>
          </w:p>
        </w:tc>
        <w:tc>
          <w:tcPr>
            <w:tcW w:w="116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As of</w:t>
            </w:r>
          </w:p>
        </w:tc>
        <w:tc>
          <w:tcPr>
            <w:tcW w:w="1200" w:type="dxa"/>
            <w:vAlign w:val="bottom"/>
            <w:tcBorders>
              <w:top w:val="single" w:sz="8" w:color="auto"/>
              <w:right w:val="single" w:sz="8" w:color="auto"/>
            </w:tcBorders>
            <w:shd w:val="clear" w:color="auto" w:fill="2AD2C9"/>
          </w:tcPr>
          <w:p>
            <w:pPr>
              <w:spacing w:after="0"/>
              <w:rPr>
                <w:sz w:val="18"/>
                <w:szCs w:val="18"/>
                <w:color w:val="auto"/>
              </w:rPr>
            </w:pPr>
          </w:p>
        </w:tc>
        <w:tc>
          <w:tcPr>
            <w:tcW w:w="1680" w:type="dxa"/>
            <w:vAlign w:val="bottom"/>
            <w:tcBorders>
              <w:top w:val="single" w:sz="8" w:color="auto"/>
              <w:right w:val="single" w:sz="8" w:color="auto"/>
            </w:tcBorders>
            <w:gridSpan w:val="2"/>
            <w:shd w:val="clear" w:color="auto" w:fill="2AD2C9"/>
          </w:tcPr>
          <w:p>
            <w:pPr>
              <w:ind w:left="400"/>
              <w:spacing w:after="0"/>
              <w:rPr>
                <w:sz w:val="20"/>
                <w:szCs w:val="20"/>
                <w:color w:val="auto"/>
              </w:rPr>
            </w:pPr>
            <w:r>
              <w:rPr>
                <w:rFonts w:ascii="Arial" w:cs="Arial" w:eastAsia="Arial" w:hAnsi="Arial"/>
                <w:sz w:val="18"/>
                <w:szCs w:val="18"/>
                <w:b w:val="1"/>
                <w:bCs w:val="1"/>
                <w:color w:val="FFFFFF"/>
              </w:rPr>
              <w:t>% change</w:t>
            </w:r>
          </w:p>
        </w:tc>
      </w:tr>
      <w:tr>
        <w:trPr>
          <w:trHeight w:val="226"/>
        </w:trPr>
        <w:tc>
          <w:tcPr>
            <w:tcW w:w="6040" w:type="dxa"/>
            <w:vAlign w:val="bottom"/>
            <w:tcBorders>
              <w:bottom w:val="single" w:sz="8" w:color="auto"/>
              <w:right w:val="single" w:sz="8" w:color="auto"/>
            </w:tcBorders>
          </w:tcPr>
          <w:p>
            <w:pPr>
              <w:spacing w:after="0"/>
              <w:rPr>
                <w:sz w:val="19"/>
                <w:szCs w:val="19"/>
                <w:color w:val="auto"/>
              </w:rPr>
            </w:pPr>
          </w:p>
        </w:tc>
        <w:tc>
          <w:tcPr>
            <w:tcW w:w="116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8"/>
                <w:szCs w:val="18"/>
                <w:b w:val="1"/>
                <w:bCs w:val="1"/>
                <w:color w:val="FFFFFF"/>
              </w:rPr>
              <w:t>Sep 21</w:t>
            </w:r>
          </w:p>
        </w:tc>
        <w:tc>
          <w:tcPr>
            <w:tcW w:w="11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Jun 22</w:t>
            </w:r>
          </w:p>
        </w:tc>
        <w:tc>
          <w:tcPr>
            <w:tcW w:w="120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8"/>
                <w:szCs w:val="18"/>
                <w:b w:val="1"/>
                <w:bCs w:val="1"/>
                <w:color w:val="FFFFFF"/>
              </w:rPr>
              <w:t>Sep 22</w:t>
            </w:r>
          </w:p>
        </w:tc>
        <w:tc>
          <w:tcPr>
            <w:tcW w:w="72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18"/>
                <w:szCs w:val="18"/>
                <w:b w:val="1"/>
                <w:bCs w:val="1"/>
                <w:color w:val="FFFFFF"/>
              </w:rPr>
              <w:t>QoQ</w:t>
            </w:r>
          </w:p>
        </w:tc>
        <w:tc>
          <w:tcPr>
            <w:tcW w:w="96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8"/>
                <w:szCs w:val="18"/>
                <w:b w:val="1"/>
                <w:bCs w:val="1"/>
                <w:color w:val="FFFFFF"/>
              </w:rPr>
              <w:t>YoY</w:t>
            </w:r>
          </w:p>
        </w:tc>
      </w:tr>
      <w:tr>
        <w:trPr>
          <w:trHeight w:val="182"/>
        </w:trPr>
        <w:tc>
          <w:tcPr>
            <w:tcW w:w="60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b w:val="1"/>
                <w:bCs w:val="1"/>
                <w:color w:val="auto"/>
              </w:rPr>
              <w:t>ASSETS</w:t>
            </w: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Cash and due from banks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01"/>
        </w:trPr>
        <w:tc>
          <w:tcPr>
            <w:tcW w:w="60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Non-interest bearing</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8,360,631</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7,017,129</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6,919,212</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-1.4%</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-17.2%</w:t>
            </w:r>
          </w:p>
        </w:tc>
      </w:tr>
      <w:tr>
        <w:trPr>
          <w:trHeight w:val="236"/>
        </w:trPr>
        <w:tc>
          <w:tcPr>
            <w:tcW w:w="60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Interest bearing</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36,147,225</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23,831,465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29,330,082</w:t>
            </w:r>
          </w:p>
        </w:tc>
        <w:tc>
          <w:tcPr>
            <w:tcW w:w="720" w:type="dxa"/>
            <w:vAlign w:val="bottom"/>
          </w:tcPr>
          <w:p>
            <w:pPr>
              <w:jc w:val="center"/>
              <w:spacing w:after="0"/>
              <w:rPr>
                <w:sz w:val="20"/>
                <w:szCs w:val="20"/>
                <w:color w:val="auto"/>
              </w:rPr>
            </w:pPr>
            <w:r>
              <w:rPr>
                <w:rFonts w:ascii="Arial" w:cs="Arial" w:eastAsia="Arial" w:hAnsi="Arial"/>
                <w:sz w:val="18"/>
                <w:szCs w:val="18"/>
                <w:color w:val="auto"/>
              </w:rPr>
              <w:t>23.1%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-18.9%</w:t>
            </w:r>
          </w:p>
        </w:tc>
      </w:tr>
      <w:tr>
        <w:trPr>
          <w:trHeight w:val="398"/>
        </w:trPr>
        <w:tc>
          <w:tcPr>
            <w:tcW w:w="6040" w:type="dxa"/>
            <w:vAlign w:val="bottom"/>
            <w:tcBorders>
              <w:left w:val="single" w:sz="8" w:color="auto"/>
              <w:right w:val="single" w:sz="8" w:color="auto"/>
            </w:tcBorders>
          </w:tcPr>
          <w:p>
            <w:pPr>
              <w:ind w:left="1720"/>
              <w:spacing w:after="0"/>
              <w:rPr>
                <w:sz w:val="20"/>
                <w:szCs w:val="20"/>
                <w:color w:val="auto"/>
              </w:rPr>
            </w:pPr>
            <w:r>
              <w:rPr>
                <w:rFonts w:ascii="Arial" w:cs="Arial" w:eastAsia="Arial" w:hAnsi="Arial"/>
                <w:sz w:val="18"/>
                <w:szCs w:val="18"/>
                <w:b w:val="1"/>
                <w:bCs w:val="1"/>
                <w:color w:val="auto"/>
              </w:rPr>
              <w:t>Total cash and due from banks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44,507,856</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30,848,594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36,249,294</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rPr>
              <w:t>17.5%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-18.6%</w:t>
            </w:r>
          </w:p>
        </w:tc>
      </w:tr>
      <w:tr>
        <w:trPr>
          <w:trHeight w:val="378"/>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Cash collateral, reverse repurchase agreements and securities borrowing</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2,555,337</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2,046,209</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1,586,967</w:t>
            </w:r>
          </w:p>
        </w:tc>
        <w:tc>
          <w:tcPr>
            <w:tcW w:w="720" w:type="dxa"/>
            <w:vAlign w:val="bottom"/>
          </w:tcPr>
          <w:p>
            <w:pPr>
              <w:jc w:val="center"/>
              <w:spacing w:after="0"/>
              <w:rPr>
                <w:sz w:val="20"/>
                <w:szCs w:val="20"/>
                <w:color w:val="auto"/>
              </w:rPr>
            </w:pPr>
            <w:r>
              <w:rPr>
                <w:rFonts w:ascii="Arial" w:cs="Arial" w:eastAsia="Arial" w:hAnsi="Arial"/>
                <w:sz w:val="18"/>
                <w:szCs w:val="18"/>
                <w:color w:val="auto"/>
                <w:w w:val="98"/>
              </w:rPr>
              <w:t>-22.4%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-37.9%</w:t>
            </w:r>
          </w:p>
        </w:tc>
      </w:tr>
      <w:tr>
        <w:trPr>
          <w:trHeight w:val="354"/>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Fair value through profit or loss investments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6,661,600</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4,187,000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4,550,783</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8.7%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-31.7%</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Fair value through other comprehensive income investments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33,261,505</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32,955,721</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34,263,930</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4.0%</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3.0%</w:t>
            </w:r>
          </w:p>
        </w:tc>
      </w:tr>
      <w:tr>
        <w:trPr>
          <w:trHeight w:val="236"/>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Amortized cost investments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8,187,351</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8,200,054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8,028,557</w:t>
            </w:r>
          </w:p>
        </w:tc>
        <w:tc>
          <w:tcPr>
            <w:tcW w:w="720" w:type="dxa"/>
            <w:vAlign w:val="bottom"/>
          </w:tcPr>
          <w:p>
            <w:pPr>
              <w:jc w:val="center"/>
              <w:spacing w:after="0"/>
              <w:rPr>
                <w:sz w:val="20"/>
                <w:szCs w:val="20"/>
                <w:color w:val="auto"/>
              </w:rPr>
            </w:pPr>
            <w:r>
              <w:rPr>
                <w:rFonts w:ascii="Arial" w:cs="Arial" w:eastAsia="Arial" w:hAnsi="Arial"/>
                <w:sz w:val="18"/>
                <w:szCs w:val="18"/>
                <w:color w:val="auto"/>
              </w:rPr>
              <w:t>-2.1%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-1.9%</w:t>
            </w:r>
          </w:p>
        </w:tc>
      </w:tr>
      <w:tr>
        <w:trPr>
          <w:trHeight w:val="354"/>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Loans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146,551,226</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150,370,184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151,392,202</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0.7%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3.3%</w:t>
            </w:r>
          </w:p>
        </w:tc>
      </w:tr>
      <w:tr>
        <w:trPr>
          <w:trHeight w:val="201"/>
        </w:trPr>
        <w:tc>
          <w:tcPr>
            <w:tcW w:w="60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Current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141,077,541</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144,264,928</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145,142,071</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0.6%</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2.9%</w:t>
            </w:r>
          </w:p>
        </w:tc>
      </w:tr>
      <w:tr>
        <w:trPr>
          <w:trHeight w:val="201"/>
        </w:trPr>
        <w:tc>
          <w:tcPr>
            <w:tcW w:w="60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Internal overdue loans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5,473,685</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6,105,256</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6,250,131</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2.4%</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14.2%</w:t>
            </w:r>
          </w:p>
        </w:tc>
      </w:tr>
      <w:tr>
        <w:trPr>
          <w:trHeight w:val="201"/>
        </w:trPr>
        <w:tc>
          <w:tcPr>
            <w:tcW w:w="60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Less - allowance for loan losses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(9,077,449)</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(8,306,500)</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(8,030,104)</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-3.3%</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-11.5%</w:t>
            </w:r>
          </w:p>
        </w:tc>
      </w:tr>
      <w:tr>
        <w:trPr>
          <w:trHeight w:val="236"/>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Loans, net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137,473,777</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142,063,684</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143,362,098</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0.9%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4.3%</w:t>
            </w:r>
          </w:p>
        </w:tc>
      </w:tr>
      <w:tr>
        <w:trPr>
          <w:trHeight w:val="354"/>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Financial assets designated at fair value through profit or loss</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981,508</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765,195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767,425</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0.3%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-21.8%</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Accounts receivable from reinsurers and coinsurers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1,097,493</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1,105,527</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1,063,972</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-3.8%</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-3.1%</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Premiums and other policyholder receivables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801,531</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816,076</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803,886</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-1.5%</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0.3%</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Property, plant and equipment, net</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1,911,478</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1,837,436</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1,786,136</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-2.8%</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-6.6%</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Due from customers on acceptances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776,863</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743,925</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697,119</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-6.3%</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-10.3%</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Investments in associates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648,041</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636,217</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660,849</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3.9%</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2.0%</w:t>
            </w:r>
          </w:p>
        </w:tc>
      </w:tr>
      <w:tr>
        <w:trPr>
          <w:trHeight w:val="192"/>
        </w:trPr>
        <w:tc>
          <w:tcPr>
            <w:tcW w:w="6040" w:type="dxa"/>
            <w:vAlign w:val="bottom"/>
            <w:tcBorders>
              <w:left w:val="single" w:sz="8" w:color="auto"/>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Intangible assets and goodwill, net</w:t>
            </w:r>
          </w:p>
        </w:tc>
        <w:tc>
          <w:tcPr>
            <w:tcW w:w="1160" w:type="dxa"/>
            <w:vAlign w:val="bottom"/>
          </w:tcPr>
          <w:p>
            <w:pPr>
              <w:jc w:val="center"/>
              <w:spacing w:after="0" w:line="192" w:lineRule="exact"/>
              <w:rPr>
                <w:sz w:val="20"/>
                <w:szCs w:val="20"/>
                <w:color w:val="auto"/>
              </w:rPr>
            </w:pPr>
            <w:r>
              <w:rPr>
                <w:rFonts w:ascii="Arial" w:cs="Arial" w:eastAsia="Arial" w:hAnsi="Arial"/>
                <w:sz w:val="18"/>
                <w:szCs w:val="18"/>
                <w:color w:val="auto"/>
                <w:w w:val="99"/>
              </w:rPr>
              <w:t>2,682,216</w:t>
            </w:r>
          </w:p>
        </w:tc>
        <w:tc>
          <w:tcPr>
            <w:tcW w:w="1160" w:type="dxa"/>
            <w:vAlign w:val="bottom"/>
          </w:tcPr>
          <w:p>
            <w:pPr>
              <w:jc w:val="center"/>
              <w:spacing w:after="0" w:line="192" w:lineRule="exact"/>
              <w:rPr>
                <w:sz w:val="20"/>
                <w:szCs w:val="20"/>
                <w:color w:val="auto"/>
              </w:rPr>
            </w:pPr>
            <w:r>
              <w:rPr>
                <w:rFonts w:ascii="Arial" w:cs="Arial" w:eastAsia="Arial" w:hAnsi="Arial"/>
                <w:sz w:val="18"/>
                <w:szCs w:val="18"/>
                <w:color w:val="auto"/>
                <w:w w:val="99"/>
              </w:rPr>
              <w:t>2,729,593</w:t>
            </w:r>
          </w:p>
        </w:tc>
        <w:tc>
          <w:tcPr>
            <w:tcW w:w="120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9"/>
              </w:rPr>
              <w:t>2,767,341</w:t>
            </w:r>
          </w:p>
        </w:tc>
        <w:tc>
          <w:tcPr>
            <w:tcW w:w="720" w:type="dxa"/>
            <w:vAlign w:val="bottom"/>
          </w:tcPr>
          <w:p>
            <w:pPr>
              <w:jc w:val="center"/>
              <w:spacing w:after="0" w:line="192" w:lineRule="exact"/>
              <w:rPr>
                <w:sz w:val="20"/>
                <w:szCs w:val="20"/>
                <w:color w:val="auto"/>
              </w:rPr>
            </w:pPr>
            <w:r>
              <w:rPr>
                <w:rFonts w:ascii="Arial" w:cs="Arial" w:eastAsia="Arial" w:hAnsi="Arial"/>
                <w:sz w:val="18"/>
                <w:szCs w:val="18"/>
                <w:color w:val="auto"/>
                <w:w w:val="97"/>
              </w:rPr>
              <w:t>1.4%</w:t>
            </w:r>
          </w:p>
        </w:tc>
        <w:tc>
          <w:tcPr>
            <w:tcW w:w="9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rPr>
              <w:t>3.2%</w:t>
            </w:r>
          </w:p>
        </w:tc>
      </w:tr>
      <w:tr>
        <w:trPr>
          <w:trHeight w:val="398"/>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xml:space="preserve">Other assets </w:t>
            </w:r>
            <w:r>
              <w:rPr>
                <w:rFonts w:ascii="Arial" w:cs="Arial" w:eastAsia="Arial" w:hAnsi="Arial"/>
                <w:sz w:val="29"/>
                <w:szCs w:val="29"/>
                <w:color w:val="auto"/>
                <w:vertAlign w:val="superscript"/>
              </w:rPr>
              <w:t>(1)</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9,995,835</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7,645,232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7,327,839</w:t>
            </w:r>
          </w:p>
        </w:tc>
        <w:tc>
          <w:tcPr>
            <w:tcW w:w="720" w:type="dxa"/>
            <w:vAlign w:val="bottom"/>
          </w:tcPr>
          <w:p>
            <w:pPr>
              <w:jc w:val="center"/>
              <w:spacing w:after="0"/>
              <w:rPr>
                <w:sz w:val="20"/>
                <w:szCs w:val="20"/>
                <w:color w:val="auto"/>
              </w:rPr>
            </w:pPr>
            <w:r>
              <w:rPr>
                <w:rFonts w:ascii="Arial" w:cs="Arial" w:eastAsia="Arial" w:hAnsi="Arial"/>
                <w:sz w:val="18"/>
                <w:szCs w:val="18"/>
                <w:color w:val="auto"/>
              </w:rPr>
              <w:t>-4.2%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-26.7%</w:t>
            </w:r>
          </w:p>
        </w:tc>
      </w:tr>
      <w:tr>
        <w:trPr>
          <w:trHeight w:val="246"/>
        </w:trPr>
        <w:tc>
          <w:tcPr>
            <w:tcW w:w="6040" w:type="dxa"/>
            <w:vAlign w:val="bottom"/>
            <w:tcBorders>
              <w:left w:val="single" w:sz="8" w:color="auto"/>
              <w:right w:val="single" w:sz="8" w:color="auto"/>
            </w:tcBorders>
          </w:tcPr>
          <w:p>
            <w:pPr>
              <w:ind w:left="2500"/>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251,542,391</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236,580,463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243,916,196</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7"/>
              </w:rPr>
              <w:t>3.1%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-3.0%</w:t>
            </w:r>
          </w:p>
        </w:tc>
      </w:tr>
      <w:tr>
        <w:trPr>
          <w:trHeight w:val="344"/>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Deposits and obligations</w:t>
            </w: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r>
      <w:tr>
        <w:trPr>
          <w:trHeight w:val="201"/>
        </w:trPr>
        <w:tc>
          <w:tcPr>
            <w:tcW w:w="60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Non-interest bearing</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54,546,530</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46,043,988</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46,625,814</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1.3%</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-14.5%</w:t>
            </w:r>
          </w:p>
        </w:tc>
      </w:tr>
      <w:tr>
        <w:trPr>
          <w:trHeight w:val="201"/>
        </w:trPr>
        <w:tc>
          <w:tcPr>
            <w:tcW w:w="60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Interest bearing</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98,001,838</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101,396,587</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106,166,200</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4.7%</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8.3%</w:t>
            </w:r>
          </w:p>
        </w:tc>
      </w:tr>
      <w:tr>
        <w:trPr>
          <w:trHeight w:val="236"/>
        </w:trPr>
        <w:tc>
          <w:tcPr>
            <w:tcW w:w="60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Total deposits and obligations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152,548,368</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147,440,575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152,792,014</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0.2%</w:t>
            </w:r>
          </w:p>
        </w:tc>
      </w:tr>
      <w:tr>
        <w:trPr>
          <w:trHeight w:val="354"/>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Payables from repurchase agreements and securities lending</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23,363,030</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18,138,863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16,575,580</w:t>
            </w:r>
          </w:p>
        </w:tc>
        <w:tc>
          <w:tcPr>
            <w:tcW w:w="720" w:type="dxa"/>
            <w:vAlign w:val="bottom"/>
          </w:tcPr>
          <w:p>
            <w:pPr>
              <w:jc w:val="center"/>
              <w:spacing w:after="0"/>
              <w:rPr>
                <w:sz w:val="20"/>
                <w:szCs w:val="20"/>
                <w:color w:val="auto"/>
              </w:rPr>
            </w:pPr>
            <w:r>
              <w:rPr>
                <w:rFonts w:ascii="Arial" w:cs="Arial" w:eastAsia="Arial" w:hAnsi="Arial"/>
                <w:sz w:val="18"/>
                <w:szCs w:val="18"/>
                <w:color w:val="auto"/>
              </w:rPr>
              <w:t>-8.6%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-29.1%</w:t>
            </w:r>
          </w:p>
        </w:tc>
      </w:tr>
      <w:tr>
        <w:trPr>
          <w:trHeight w:val="201"/>
        </w:trPr>
        <w:tc>
          <w:tcPr>
            <w:tcW w:w="60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BCRP instruments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20,746,109</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16,031,618</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14,449,597</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-9.9%</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-30.4%</w:t>
            </w:r>
          </w:p>
        </w:tc>
      </w:tr>
      <w:tr>
        <w:trPr>
          <w:trHeight w:val="201"/>
        </w:trPr>
        <w:tc>
          <w:tcPr>
            <w:tcW w:w="60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Repurchase agreements with third parties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1,330,811</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1,340,423</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1,182,946</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8"/>
              </w:rPr>
              <w:t>-11.7%</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-11.1%</w:t>
            </w:r>
          </w:p>
        </w:tc>
      </w:tr>
      <w:tr>
        <w:trPr>
          <w:trHeight w:val="236"/>
        </w:trPr>
        <w:tc>
          <w:tcPr>
            <w:tcW w:w="60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Repurchase agreements with customers</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1,286,110</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766,822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943,037</w:t>
            </w:r>
          </w:p>
        </w:tc>
        <w:tc>
          <w:tcPr>
            <w:tcW w:w="720" w:type="dxa"/>
            <w:vAlign w:val="bottom"/>
          </w:tcPr>
          <w:p>
            <w:pPr>
              <w:jc w:val="center"/>
              <w:spacing w:after="0"/>
              <w:rPr>
                <w:sz w:val="20"/>
                <w:szCs w:val="20"/>
                <w:color w:val="auto"/>
              </w:rPr>
            </w:pPr>
            <w:r>
              <w:rPr>
                <w:rFonts w:ascii="Arial" w:cs="Arial" w:eastAsia="Arial" w:hAnsi="Arial"/>
                <w:sz w:val="18"/>
                <w:szCs w:val="18"/>
                <w:color w:val="auto"/>
              </w:rPr>
              <w:t>23.0%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-26.7%</w:t>
            </w:r>
          </w:p>
        </w:tc>
      </w:tr>
      <w:tr>
        <w:trPr>
          <w:trHeight w:val="354"/>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Due to banks and correspondents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7,466,434</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6,456,360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9,002,035</w:t>
            </w:r>
          </w:p>
        </w:tc>
        <w:tc>
          <w:tcPr>
            <w:tcW w:w="720" w:type="dxa"/>
            <w:vAlign w:val="bottom"/>
          </w:tcPr>
          <w:p>
            <w:pPr>
              <w:jc w:val="center"/>
              <w:spacing w:after="0"/>
              <w:rPr>
                <w:sz w:val="20"/>
                <w:szCs w:val="20"/>
                <w:color w:val="auto"/>
              </w:rPr>
            </w:pPr>
            <w:r>
              <w:rPr>
                <w:rFonts w:ascii="Arial" w:cs="Arial" w:eastAsia="Arial" w:hAnsi="Arial"/>
                <w:sz w:val="18"/>
                <w:szCs w:val="18"/>
                <w:color w:val="auto"/>
              </w:rPr>
              <w:t>39.4%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20.6%</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Bonds and notes issued</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17,577,630</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16,579,674</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17,019,694</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2.7%</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-3.2%</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Banker’s acceptances outstanding</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776,863</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743,925</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697,119</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-6.3%</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-10.3%</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Reserves for property and casualty claims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2,583,777</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2,551,089</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2,608,744</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2.3%</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1.0%</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Reserve for unearned premiums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9,928,912</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9,150,249</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9,101,140</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-0.5%</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-8.3%</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Accounts payable to reinsurers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278,220</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343,959</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328,031</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-4.6%</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17.9%</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Financial liabilities at fair value through profit or loss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879,177</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527,541</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333,453</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8"/>
              </w:rPr>
              <w:t>-36.8%</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-62.1%</w:t>
            </w:r>
          </w:p>
        </w:tc>
      </w:tr>
      <w:tr>
        <w:trPr>
          <w:trHeight w:val="236"/>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10,434,536</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7,927,550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7,780,443</w:t>
            </w:r>
          </w:p>
        </w:tc>
        <w:tc>
          <w:tcPr>
            <w:tcW w:w="720" w:type="dxa"/>
            <w:vAlign w:val="bottom"/>
          </w:tcPr>
          <w:p>
            <w:pPr>
              <w:jc w:val="center"/>
              <w:spacing w:after="0"/>
              <w:rPr>
                <w:sz w:val="20"/>
                <w:szCs w:val="20"/>
                <w:color w:val="auto"/>
              </w:rPr>
            </w:pPr>
            <w:r>
              <w:rPr>
                <w:rFonts w:ascii="Arial" w:cs="Arial" w:eastAsia="Arial" w:hAnsi="Arial"/>
                <w:sz w:val="18"/>
                <w:szCs w:val="18"/>
                <w:color w:val="auto"/>
              </w:rPr>
              <w:t>-1.9%</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-25.4%</w:t>
            </w:r>
          </w:p>
        </w:tc>
      </w:tr>
      <w:tr>
        <w:trPr>
          <w:trHeight w:val="398"/>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225,836,947</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209,859,785</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216,238,253</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7"/>
              </w:rPr>
              <w:t>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-4.3%</w:t>
            </w:r>
          </w:p>
        </w:tc>
      </w:tr>
      <w:tr>
        <w:trPr>
          <w:trHeight w:val="344"/>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equity</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25,192,569</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26,175,222</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27,109,054</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7"/>
              </w:rPr>
              <w:t>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7.6%</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Capital stock</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1,318,993</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1,318,993</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1,318,993</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0.0%</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0.0%</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Treasury stock</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(207,745)</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(207,518)</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(207,518)</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0.0%</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-0.1%</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Capital surplus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215,071</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8"/>
              </w:rPr>
              <w:t>231,179</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225,832</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-2.3%</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5.0%</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Reserves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21,350,150</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23,666,823</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23,687,946</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97"/>
              </w:rPr>
              <w:t>0.1%</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10.9%</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Unrealized gains and losses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rPr>
              <w:t>19,435</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9"/>
              </w:rPr>
              <w:t>(1,098,325)</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(1,482,023)</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rPr>
              <w:t>34.9%</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-7725.5%</w:t>
            </w:r>
          </w:p>
        </w:tc>
      </w:tr>
      <w:tr>
        <w:trPr>
          <w:trHeight w:val="236"/>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Retained earnings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2,496,665</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2,264,070</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3,565,824</w:t>
            </w:r>
          </w:p>
        </w:tc>
        <w:tc>
          <w:tcPr>
            <w:tcW w:w="720" w:type="dxa"/>
            <w:vAlign w:val="bottom"/>
          </w:tcPr>
          <w:p>
            <w:pPr>
              <w:jc w:val="center"/>
              <w:spacing w:after="0"/>
              <w:rPr>
                <w:sz w:val="20"/>
                <w:szCs w:val="20"/>
                <w:color w:val="auto"/>
              </w:rPr>
            </w:pPr>
            <w:r>
              <w:rPr>
                <w:rFonts w:ascii="Arial" w:cs="Arial" w:eastAsia="Arial" w:hAnsi="Arial"/>
                <w:sz w:val="18"/>
                <w:szCs w:val="18"/>
                <w:color w:val="auto"/>
              </w:rPr>
              <w:t>57.5%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42.8%</w:t>
            </w:r>
          </w:p>
        </w:tc>
      </w:tr>
      <w:tr>
        <w:trPr>
          <w:trHeight w:val="388"/>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Non-controlling interest</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512,875</w:t>
            </w:r>
          </w:p>
        </w:tc>
        <w:tc>
          <w:tcPr>
            <w:tcW w:w="1160" w:type="dxa"/>
            <w:vAlign w:val="bottom"/>
          </w:tcPr>
          <w:p>
            <w:pPr>
              <w:jc w:val="center"/>
              <w:spacing w:after="0"/>
              <w:rPr>
                <w:sz w:val="20"/>
                <w:szCs w:val="20"/>
                <w:color w:val="auto"/>
              </w:rPr>
            </w:pPr>
            <w:r>
              <w:rPr>
                <w:rFonts w:ascii="Arial" w:cs="Arial" w:eastAsia="Arial" w:hAnsi="Arial"/>
                <w:sz w:val="18"/>
                <w:szCs w:val="18"/>
                <w:color w:val="auto"/>
                <w:w w:val="98"/>
              </w:rPr>
              <w:t>545,456</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568,889</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4.3%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10.9%</w:t>
            </w:r>
          </w:p>
        </w:tc>
      </w:tr>
      <w:tr>
        <w:trPr>
          <w:trHeight w:val="398"/>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Net Equity</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25,705,444</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26,720,678</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27,677,943</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7"/>
              </w:rPr>
              <w:t>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7.7%</w:t>
            </w:r>
          </w:p>
        </w:tc>
      </w:tr>
      <w:tr>
        <w:trPr>
          <w:trHeight w:val="388"/>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251,542,391</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236,580,463</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243,916,196</w:t>
            </w: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7"/>
              </w:rPr>
              <w:t>3.1%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-3.0%</w:t>
            </w:r>
          </w:p>
        </w:tc>
      </w:tr>
      <w:tr>
        <w:trPr>
          <w:trHeight w:val="65"/>
        </w:trPr>
        <w:tc>
          <w:tcPr>
            <w:tcW w:w="6040" w:type="dxa"/>
            <w:vAlign w:val="bottom"/>
            <w:tcBorders>
              <w:left w:val="single" w:sz="8" w:color="auto"/>
              <w:right w:val="single" w:sz="8" w:color="auto"/>
            </w:tcBorders>
          </w:tcPr>
          <w:p>
            <w:pPr>
              <w:spacing w:after="0"/>
              <w:rPr>
                <w:sz w:val="5"/>
                <w:szCs w:val="5"/>
                <w:color w:val="auto"/>
              </w:rPr>
            </w:pPr>
          </w:p>
        </w:tc>
        <w:tc>
          <w:tcPr>
            <w:tcW w:w="1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Borders>
              <w:right w:val="single" w:sz="8" w:color="auto"/>
            </w:tcBorders>
          </w:tcPr>
          <w:p>
            <w:pPr>
              <w:spacing w:after="0"/>
              <w:rPr>
                <w:sz w:val="5"/>
                <w:szCs w:val="5"/>
                <w:color w:val="auto"/>
              </w:rPr>
            </w:pPr>
          </w:p>
        </w:tc>
      </w:tr>
    </w:tbl>
    <w:p>
      <w:pPr>
        <w:sectPr>
          <w:pgSz w:w="11900" w:h="16900" w:orient="portrait"/>
          <w:cols w:equalWidth="0" w:num="1">
            <w:col w:w="11240"/>
          </w:cols>
          <w:pgMar w:left="320" w:top="451" w:right="339" w:bottom="0" w:gutter="0" w:footer="0" w:header="0"/>
        </w:sectPr>
      </w:pPr>
    </w:p>
    <w:bookmarkStart w:id="58" w:name="page59"/>
    <w:bookmarkEnd w:id="5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369"/>
        </w:trPr>
        <w:tc>
          <w:tcPr>
            <w:tcW w:w="6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Off-balance sheet</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154,907,974</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9"/>
              </w:rPr>
              <w:t>142,573,498</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151,545,926</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7"/>
              </w:rPr>
              <w:t>6.6%</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-1.9%</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Total performance bonds, stand-by and L/Cs.</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22,665,879</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21,331,467</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21,399,132</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7"/>
              </w:rPr>
              <w:t>0.3%</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-5.6%</w:t>
            </w:r>
          </w:p>
        </w:tc>
      </w:tr>
      <w:tr>
        <w:trPr>
          <w:trHeight w:val="201"/>
        </w:trPr>
        <w:tc>
          <w:tcPr>
            <w:tcW w:w="60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Undrawn credit lines, advised but not committed</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94,165,966</w:t>
            </w: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7"/>
              </w:rPr>
              <w:t>84,820,503</w:t>
            </w:r>
          </w:p>
        </w:tc>
        <w:tc>
          <w:tcPr>
            <w:tcW w:w="12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87,600,569</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97"/>
              </w:rPr>
              <w:t>3.3%</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-7.0%</w:t>
            </w:r>
          </w:p>
        </w:tc>
      </w:tr>
      <w:tr>
        <w:trPr>
          <w:trHeight w:val="226"/>
        </w:trPr>
        <w:tc>
          <w:tcPr>
            <w:tcW w:w="6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derivatives (notional) and others</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38,076,129</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36,421,528</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42,546,225</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16.8%</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11.7%</w:t>
            </w:r>
          </w:p>
        </w:tc>
      </w:tr>
    </w:tbl>
    <w:p>
      <w:pPr>
        <w:spacing w:after="0"/>
        <w:rPr>
          <w:sz w:val="20"/>
          <w:szCs w:val="20"/>
          <w:color w:val="auto"/>
        </w:rPr>
      </w:pPr>
      <w:r>
        <w:rPr>
          <w:rFonts w:ascii="Times New Roman" w:cs="Times New Roman" w:eastAsia="Times New Roman" w:hAnsi="Times New Roman"/>
          <w:sz w:val="12"/>
          <w:szCs w:val="12"/>
          <w:color w:val="auto"/>
        </w:rPr>
        <w:t>(1) Includes mainly accounts receivables from brokerage and others.</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-151765</wp:posOffset>
            </wp:positionV>
            <wp:extent cx="7124700" cy="1873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24700" cy="187325"/>
                    </a:xfrm>
                    <a:prstGeom prst="rect">
                      <a:avLst/>
                    </a:prstGeom>
                    <a:noFill/>
                  </pic:spPr>
                </pic:pic>
              </a:graphicData>
            </a:graphic>
          </wp:anchor>
        </w:drawing>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920" w:type="dxa"/>
            <w:vAlign w:val="bottom"/>
            <w:tcBorders>
              <w:right w:val="single" w:sz="8" w:color="auto"/>
            </w:tcBorders>
          </w:tcPr>
          <w:p>
            <w:pPr>
              <w:spacing w:after="0"/>
              <w:rPr>
                <w:sz w:val="23"/>
                <w:szCs w:val="23"/>
                <w:color w:val="auto"/>
              </w:rPr>
            </w:pPr>
          </w:p>
        </w:tc>
        <w:tc>
          <w:tcPr>
            <w:tcW w:w="920" w:type="dxa"/>
            <w:vAlign w:val="bottom"/>
            <w:tcBorders>
              <w:top w:val="single" w:sz="8" w:color="auto"/>
            </w:tcBorders>
            <w:shd w:val="clear" w:color="auto" w:fill="2AD2C9"/>
          </w:tcPr>
          <w:p>
            <w:pPr>
              <w:spacing w:after="0"/>
              <w:rPr>
                <w:sz w:val="23"/>
                <w:szCs w:val="23"/>
                <w:color w:val="auto"/>
              </w:rPr>
            </w:pPr>
          </w:p>
        </w:tc>
        <w:tc>
          <w:tcPr>
            <w:tcW w:w="920" w:type="dxa"/>
            <w:vAlign w:val="bottom"/>
            <w:tcBorders>
              <w:top w:val="single" w:sz="8" w:color="auto"/>
            </w:tcBorders>
            <w:shd w:val="clear" w:color="auto" w:fill="2AD2C9"/>
          </w:tcPr>
          <w:p>
            <w:pPr>
              <w:ind w:left="140"/>
              <w:spacing w:after="0"/>
              <w:rPr>
                <w:sz w:val="20"/>
                <w:szCs w:val="20"/>
                <w:color w:val="auto"/>
              </w:rPr>
            </w:pPr>
            <w:r>
              <w:rPr>
                <w:rFonts w:ascii="Arial" w:cs="Arial" w:eastAsia="Arial" w:hAnsi="Arial"/>
                <w:sz w:val="18"/>
                <w:szCs w:val="18"/>
                <w:b w:val="1"/>
                <w:bCs w:val="1"/>
                <w:color w:val="FFFFFF"/>
              </w:rPr>
              <w:t>Quarter</w:t>
            </w:r>
          </w:p>
        </w:tc>
        <w:tc>
          <w:tcPr>
            <w:tcW w:w="960" w:type="dxa"/>
            <w:vAlign w:val="bottom"/>
            <w:tcBorders>
              <w:top w:val="single" w:sz="8" w:color="auto"/>
              <w:right w:val="single" w:sz="8" w:color="auto"/>
            </w:tcBorders>
            <w:shd w:val="clear" w:color="auto" w:fill="2AD2C9"/>
          </w:tcPr>
          <w:p>
            <w:pPr>
              <w:spacing w:after="0"/>
              <w:rPr>
                <w:sz w:val="23"/>
                <w:szCs w:val="23"/>
                <w:color w:val="auto"/>
              </w:rPr>
            </w:pPr>
          </w:p>
        </w:tc>
        <w:tc>
          <w:tcPr>
            <w:tcW w:w="1300" w:type="dxa"/>
            <w:vAlign w:val="bottom"/>
            <w:tcBorders>
              <w:top w:val="single" w:sz="8" w:color="auto"/>
              <w:right w:val="single" w:sz="8" w:color="auto"/>
            </w:tcBorders>
            <w:gridSpan w:val="2"/>
            <w:shd w:val="clear" w:color="auto" w:fill="2AD2C9"/>
          </w:tcPr>
          <w:p>
            <w:pPr>
              <w:jc w:val="right"/>
              <w:ind w:right="151"/>
              <w:spacing w:after="0"/>
              <w:rPr>
                <w:sz w:val="20"/>
                <w:szCs w:val="20"/>
                <w:color w:val="auto"/>
              </w:rPr>
            </w:pPr>
            <w:r>
              <w:rPr>
                <w:rFonts w:ascii="Arial" w:cs="Arial" w:eastAsia="Arial" w:hAnsi="Arial"/>
                <w:sz w:val="18"/>
                <w:szCs w:val="18"/>
                <w:b w:val="1"/>
                <w:bCs w:val="1"/>
                <w:color w:val="FFFFFF"/>
              </w:rPr>
              <w:t>% change</w:t>
            </w:r>
          </w:p>
        </w:tc>
        <w:tc>
          <w:tcPr>
            <w:tcW w:w="1880" w:type="dxa"/>
            <w:vAlign w:val="bottom"/>
            <w:tcBorders>
              <w:top w:val="single" w:sz="8" w:color="auto"/>
              <w:right w:val="single" w:sz="8" w:color="auto"/>
            </w:tcBorders>
            <w:gridSpan w:val="2"/>
            <w:shd w:val="clear" w:color="auto" w:fill="2AD2C9"/>
          </w:tcPr>
          <w:p>
            <w:pPr>
              <w:jc w:val="center"/>
              <w:spacing w:after="0"/>
              <w:rPr>
                <w:sz w:val="20"/>
                <w:szCs w:val="20"/>
                <w:color w:val="auto"/>
              </w:rPr>
            </w:pPr>
            <w:r>
              <w:rPr>
                <w:rFonts w:ascii="Arial" w:cs="Arial" w:eastAsia="Arial" w:hAnsi="Arial"/>
                <w:sz w:val="18"/>
                <w:szCs w:val="18"/>
                <w:b w:val="1"/>
                <w:bCs w:val="1"/>
                <w:color w:val="FFFFFF"/>
              </w:rPr>
              <w:t>As of</w:t>
            </w:r>
          </w:p>
        </w:tc>
        <w:tc>
          <w:tcPr>
            <w:tcW w:w="13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 change</w:t>
            </w:r>
          </w:p>
        </w:tc>
        <w:tc>
          <w:tcPr>
            <w:tcW w:w="0" w:type="dxa"/>
            <w:vAlign w:val="bottom"/>
          </w:tcPr>
          <w:p>
            <w:pPr>
              <w:spacing w:after="0"/>
              <w:rPr>
                <w:sz w:val="1"/>
                <w:szCs w:val="1"/>
                <w:color w:val="auto"/>
              </w:rPr>
            </w:pPr>
          </w:p>
        </w:tc>
      </w:tr>
      <w:tr>
        <w:trPr>
          <w:trHeight w:val="369"/>
        </w:trPr>
        <w:tc>
          <w:tcPr>
            <w:tcW w:w="3920" w:type="dxa"/>
            <w:vAlign w:val="bottom"/>
            <w:tcBorders>
              <w:right w:val="single" w:sz="8" w:color="auto"/>
            </w:tcBorders>
          </w:tcPr>
          <w:p>
            <w:pPr>
              <w:spacing w:after="0"/>
              <w:rPr>
                <w:sz w:val="24"/>
                <w:szCs w:val="24"/>
                <w:color w:val="auto"/>
              </w:rPr>
            </w:pPr>
          </w:p>
        </w:tc>
        <w:tc>
          <w:tcPr>
            <w:tcW w:w="920" w:type="dxa"/>
            <w:vAlign w:val="bottom"/>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920" w:type="dxa"/>
            <w:vAlign w:val="bottom"/>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2Q22</w:t>
            </w:r>
          </w:p>
        </w:tc>
        <w:tc>
          <w:tcPr>
            <w:tcW w:w="960" w:type="dxa"/>
            <w:vAlign w:val="bottom"/>
            <w:tcBorders>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3Q22</w:t>
            </w:r>
          </w:p>
        </w:tc>
        <w:tc>
          <w:tcPr>
            <w:tcW w:w="620" w:type="dxa"/>
            <w:vAlign w:val="bottom"/>
            <w:shd w:val="clear" w:color="auto" w:fill="2AD2C9"/>
          </w:tcPr>
          <w:p>
            <w:pPr>
              <w:ind w:left="100"/>
              <w:spacing w:after="0"/>
              <w:rPr>
                <w:sz w:val="20"/>
                <w:szCs w:val="20"/>
                <w:color w:val="auto"/>
              </w:rPr>
            </w:pPr>
            <w:r>
              <w:rPr>
                <w:rFonts w:ascii="Arial" w:cs="Arial" w:eastAsia="Arial" w:hAnsi="Arial"/>
                <w:sz w:val="18"/>
                <w:szCs w:val="18"/>
                <w:b w:val="1"/>
                <w:bCs w:val="1"/>
                <w:color w:val="FFFFFF"/>
              </w:rPr>
              <w:t>QoQ</w:t>
            </w:r>
          </w:p>
        </w:tc>
        <w:tc>
          <w:tcPr>
            <w:tcW w:w="680" w:type="dxa"/>
            <w:vAlign w:val="bottom"/>
            <w:tcBorders>
              <w:right w:val="single" w:sz="8" w:color="auto"/>
            </w:tcBorders>
            <w:shd w:val="clear" w:color="auto" w:fill="2AD2C9"/>
          </w:tcPr>
          <w:p>
            <w:pPr>
              <w:jc w:val="right"/>
              <w:ind w:right="91"/>
              <w:spacing w:after="0"/>
              <w:rPr>
                <w:sz w:val="20"/>
                <w:szCs w:val="20"/>
                <w:color w:val="auto"/>
              </w:rPr>
            </w:pPr>
            <w:r>
              <w:rPr>
                <w:rFonts w:ascii="Arial" w:cs="Arial" w:eastAsia="Arial" w:hAnsi="Arial"/>
                <w:sz w:val="18"/>
                <w:szCs w:val="18"/>
                <w:b w:val="1"/>
                <w:bCs w:val="1"/>
                <w:color w:val="FFFFFF"/>
              </w:rPr>
              <w:t>YoY</w:t>
            </w:r>
          </w:p>
        </w:tc>
        <w:tc>
          <w:tcPr>
            <w:tcW w:w="940" w:type="dxa"/>
            <w:vAlign w:val="bottom"/>
            <w:shd w:val="clear" w:color="auto" w:fill="2AD2C9"/>
          </w:tcPr>
          <w:p>
            <w:pPr>
              <w:ind w:left="180"/>
              <w:spacing w:after="0"/>
              <w:rPr>
                <w:sz w:val="20"/>
                <w:szCs w:val="20"/>
                <w:color w:val="auto"/>
              </w:rPr>
            </w:pPr>
            <w:r>
              <w:rPr>
                <w:rFonts w:ascii="Arial" w:cs="Arial" w:eastAsia="Arial" w:hAnsi="Arial"/>
                <w:sz w:val="18"/>
                <w:szCs w:val="18"/>
                <w:b w:val="1"/>
                <w:bCs w:val="1"/>
                <w:color w:val="FFFFFF"/>
              </w:rPr>
              <w:t>Sep 21</w:t>
            </w:r>
          </w:p>
        </w:tc>
        <w:tc>
          <w:tcPr>
            <w:tcW w:w="940" w:type="dxa"/>
            <w:vAlign w:val="bottom"/>
            <w:tcBorders>
              <w:right w:val="single" w:sz="8" w:color="auto"/>
            </w:tcBorders>
            <w:shd w:val="clear" w:color="auto" w:fill="2AD2C9"/>
          </w:tcPr>
          <w:p>
            <w:pPr>
              <w:ind w:left="160"/>
              <w:spacing w:after="0"/>
              <w:rPr>
                <w:sz w:val="20"/>
                <w:szCs w:val="20"/>
                <w:color w:val="auto"/>
              </w:rPr>
            </w:pPr>
            <w:r>
              <w:rPr>
                <w:rFonts w:ascii="Arial" w:cs="Arial" w:eastAsia="Arial" w:hAnsi="Arial"/>
                <w:sz w:val="18"/>
                <w:szCs w:val="18"/>
                <w:b w:val="1"/>
                <w:bCs w:val="1"/>
                <w:color w:val="FFFFFF"/>
              </w:rPr>
              <w:t>Sep 22</w:t>
            </w:r>
          </w:p>
        </w:tc>
        <w:tc>
          <w:tcPr>
            <w:tcW w:w="1340" w:type="dxa"/>
            <w:vAlign w:val="bottom"/>
            <w:tcBorders>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c>
          <w:tcPr>
            <w:tcW w:w="0" w:type="dxa"/>
            <w:vAlign w:val="bottom"/>
          </w:tcPr>
          <w:p>
            <w:pPr>
              <w:spacing w:after="0"/>
              <w:rPr>
                <w:sz w:val="1"/>
                <w:szCs w:val="1"/>
                <w:color w:val="auto"/>
              </w:rPr>
            </w:pPr>
          </w:p>
        </w:tc>
      </w:tr>
      <w:tr>
        <w:trPr>
          <w:trHeight w:val="168"/>
        </w:trPr>
        <w:tc>
          <w:tcPr>
            <w:tcW w:w="3920" w:type="dxa"/>
            <w:vAlign w:val="bottom"/>
            <w:tcBorders>
              <w:bottom w:val="single" w:sz="8" w:color="auto"/>
              <w:right w:val="single" w:sz="8" w:color="auto"/>
            </w:tcBorders>
          </w:tcPr>
          <w:p>
            <w:pPr>
              <w:spacing w:after="0"/>
              <w:rPr>
                <w:sz w:val="14"/>
                <w:szCs w:val="14"/>
                <w:color w:val="auto"/>
              </w:rPr>
            </w:pPr>
          </w:p>
        </w:tc>
        <w:tc>
          <w:tcPr>
            <w:tcW w:w="920" w:type="dxa"/>
            <w:vAlign w:val="bottom"/>
            <w:tcBorders>
              <w:bottom w:val="single" w:sz="8" w:color="auto"/>
            </w:tcBorders>
            <w:shd w:val="clear" w:color="auto" w:fill="2AD2C9"/>
          </w:tcPr>
          <w:p>
            <w:pPr>
              <w:spacing w:after="0"/>
              <w:rPr>
                <w:sz w:val="14"/>
                <w:szCs w:val="14"/>
                <w:color w:val="auto"/>
              </w:rPr>
            </w:pPr>
          </w:p>
        </w:tc>
        <w:tc>
          <w:tcPr>
            <w:tcW w:w="920" w:type="dxa"/>
            <w:vAlign w:val="bottom"/>
            <w:tcBorders>
              <w:bottom w:val="single" w:sz="8" w:color="auto"/>
            </w:tcBorders>
            <w:shd w:val="clear" w:color="auto" w:fill="2AD2C9"/>
          </w:tcPr>
          <w:p>
            <w:pPr>
              <w:spacing w:after="0"/>
              <w:rPr>
                <w:sz w:val="14"/>
                <w:szCs w:val="14"/>
                <w:color w:val="auto"/>
              </w:rPr>
            </w:pPr>
          </w:p>
        </w:tc>
        <w:tc>
          <w:tcPr>
            <w:tcW w:w="960" w:type="dxa"/>
            <w:vAlign w:val="bottom"/>
            <w:tcBorders>
              <w:bottom w:val="single" w:sz="8" w:color="auto"/>
              <w:right w:val="single" w:sz="8" w:color="auto"/>
            </w:tcBorders>
            <w:shd w:val="clear" w:color="auto" w:fill="2AD2C9"/>
          </w:tcPr>
          <w:p>
            <w:pPr>
              <w:spacing w:after="0"/>
              <w:rPr>
                <w:sz w:val="14"/>
                <w:szCs w:val="14"/>
                <w:color w:val="auto"/>
              </w:rPr>
            </w:pPr>
          </w:p>
        </w:tc>
        <w:tc>
          <w:tcPr>
            <w:tcW w:w="620" w:type="dxa"/>
            <w:vAlign w:val="bottom"/>
            <w:tcBorders>
              <w:bottom w:val="single" w:sz="8" w:color="auto"/>
            </w:tcBorders>
            <w:shd w:val="clear" w:color="auto" w:fill="2AD2C9"/>
          </w:tcPr>
          <w:p>
            <w:pPr>
              <w:spacing w:after="0"/>
              <w:rPr>
                <w:sz w:val="14"/>
                <w:szCs w:val="14"/>
                <w:color w:val="auto"/>
              </w:rPr>
            </w:pPr>
          </w:p>
        </w:tc>
        <w:tc>
          <w:tcPr>
            <w:tcW w:w="680" w:type="dxa"/>
            <w:vAlign w:val="bottom"/>
            <w:tcBorders>
              <w:bottom w:val="single" w:sz="8" w:color="auto"/>
              <w:right w:val="single" w:sz="8" w:color="auto"/>
            </w:tcBorders>
            <w:shd w:val="clear" w:color="auto" w:fill="2AD2C9"/>
          </w:tcPr>
          <w:p>
            <w:pPr>
              <w:spacing w:after="0"/>
              <w:rPr>
                <w:sz w:val="14"/>
                <w:szCs w:val="14"/>
                <w:color w:val="auto"/>
              </w:rPr>
            </w:pPr>
          </w:p>
        </w:tc>
        <w:tc>
          <w:tcPr>
            <w:tcW w:w="940" w:type="dxa"/>
            <w:vAlign w:val="bottom"/>
            <w:tcBorders>
              <w:bottom w:val="single" w:sz="8" w:color="auto"/>
            </w:tcBorders>
            <w:shd w:val="clear" w:color="auto" w:fill="2AD2C9"/>
          </w:tcPr>
          <w:p>
            <w:pPr>
              <w:spacing w:after="0"/>
              <w:rPr>
                <w:sz w:val="14"/>
                <w:szCs w:val="14"/>
                <w:color w:val="auto"/>
              </w:rPr>
            </w:pPr>
          </w:p>
        </w:tc>
        <w:tc>
          <w:tcPr>
            <w:tcW w:w="940" w:type="dxa"/>
            <w:vAlign w:val="bottom"/>
            <w:tcBorders>
              <w:bottom w:val="single" w:sz="8" w:color="auto"/>
              <w:right w:val="single" w:sz="8" w:color="auto"/>
            </w:tcBorders>
            <w:shd w:val="clear" w:color="auto" w:fill="2AD2C9"/>
          </w:tcPr>
          <w:p>
            <w:pPr>
              <w:spacing w:after="0"/>
              <w:rPr>
                <w:sz w:val="14"/>
                <w:szCs w:val="14"/>
                <w:color w:val="auto"/>
              </w:rPr>
            </w:pPr>
          </w:p>
        </w:tc>
        <w:tc>
          <w:tcPr>
            <w:tcW w:w="1340" w:type="dxa"/>
            <w:vAlign w:val="bottom"/>
            <w:tcBorders>
              <w:bottom w:val="single" w:sz="8" w:color="auto"/>
              <w:right w:val="single" w:sz="8" w:color="auto"/>
            </w:tcBorders>
            <w:shd w:val="clear" w:color="auto" w:fill="2AD2C9"/>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92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b w:val="1"/>
                <w:bCs w:val="1"/>
                <w:color w:val="auto"/>
              </w:rPr>
              <w:t>Interest income and expense</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920" w:type="dxa"/>
            <w:vAlign w:val="bottom"/>
            <w:tcBorders>
              <w:left w:val="single" w:sz="8" w:color="auto"/>
              <w:right w:val="single" w:sz="8" w:color="auto"/>
            </w:tcBorders>
          </w:tcPr>
          <w:p>
            <w:pPr>
              <w:ind w:left="180"/>
              <w:spacing w:after="0" w:line="192" w:lineRule="exact"/>
              <w:rPr>
                <w:sz w:val="20"/>
                <w:szCs w:val="20"/>
                <w:color w:val="auto"/>
              </w:rPr>
            </w:pPr>
            <w:r>
              <w:rPr>
                <w:rFonts w:ascii="Arial" w:cs="Arial" w:eastAsia="Arial" w:hAnsi="Arial"/>
                <w:sz w:val="18"/>
                <w:szCs w:val="18"/>
                <w:color w:val="auto"/>
              </w:rPr>
              <w:t>Interest and dividend income</w:t>
            </w:r>
          </w:p>
        </w:tc>
        <w:tc>
          <w:tcPr>
            <w:tcW w:w="920" w:type="dxa"/>
            <w:vAlign w:val="bottom"/>
          </w:tcPr>
          <w:p>
            <w:pPr>
              <w:jc w:val="center"/>
              <w:spacing w:after="0" w:line="192" w:lineRule="exact"/>
              <w:rPr>
                <w:sz w:val="20"/>
                <w:szCs w:val="20"/>
                <w:color w:val="auto"/>
              </w:rPr>
            </w:pPr>
            <w:r>
              <w:rPr>
                <w:rFonts w:ascii="Arial" w:cs="Arial" w:eastAsia="Arial" w:hAnsi="Arial"/>
                <w:sz w:val="18"/>
                <w:szCs w:val="18"/>
                <w:color w:val="auto"/>
                <w:w w:val="99"/>
              </w:rPr>
              <w:t>3,051,000</w:t>
            </w:r>
          </w:p>
        </w:tc>
        <w:tc>
          <w:tcPr>
            <w:tcW w:w="920" w:type="dxa"/>
            <w:vAlign w:val="bottom"/>
          </w:tcPr>
          <w:p>
            <w:pPr>
              <w:jc w:val="center"/>
              <w:spacing w:after="0" w:line="192" w:lineRule="exact"/>
              <w:rPr>
                <w:sz w:val="20"/>
                <w:szCs w:val="20"/>
                <w:color w:val="auto"/>
              </w:rPr>
            </w:pPr>
            <w:r>
              <w:rPr>
                <w:rFonts w:ascii="Arial" w:cs="Arial" w:eastAsia="Arial" w:hAnsi="Arial"/>
                <w:sz w:val="18"/>
                <w:szCs w:val="18"/>
                <w:color w:val="auto"/>
                <w:w w:val="97"/>
              </w:rPr>
              <w:t>3,488,113</w:t>
            </w:r>
          </w:p>
        </w:tc>
        <w:tc>
          <w:tcPr>
            <w:tcW w:w="9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9"/>
              </w:rPr>
              <w:t>3,988,681</w:t>
            </w:r>
          </w:p>
        </w:tc>
        <w:tc>
          <w:tcPr>
            <w:tcW w:w="620" w:type="dxa"/>
            <w:vAlign w:val="bottom"/>
          </w:tcPr>
          <w:p>
            <w:pPr>
              <w:jc w:val="center"/>
              <w:spacing w:after="0" w:line="192" w:lineRule="exact"/>
              <w:rPr>
                <w:sz w:val="20"/>
                <w:szCs w:val="20"/>
                <w:color w:val="auto"/>
              </w:rPr>
            </w:pPr>
            <w:r>
              <w:rPr>
                <w:rFonts w:ascii="Arial" w:cs="Arial" w:eastAsia="Arial" w:hAnsi="Arial"/>
                <w:sz w:val="18"/>
                <w:szCs w:val="18"/>
                <w:color w:val="auto"/>
                <w:w w:val="97"/>
              </w:rPr>
              <w:t>14.4%</w:t>
            </w:r>
          </w:p>
        </w:tc>
        <w:tc>
          <w:tcPr>
            <w:tcW w:w="68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7"/>
              </w:rPr>
              <w:t>30.7%</w:t>
            </w:r>
          </w:p>
        </w:tc>
        <w:tc>
          <w:tcPr>
            <w:tcW w:w="1880" w:type="dxa"/>
            <w:vAlign w:val="bottom"/>
            <w:tcBorders>
              <w:right w:val="single" w:sz="8" w:color="auto"/>
            </w:tcBorders>
            <w:gridSpan w:val="2"/>
          </w:tcPr>
          <w:p>
            <w:pPr>
              <w:jc w:val="right"/>
              <w:spacing w:after="0" w:line="192" w:lineRule="exact"/>
              <w:rPr>
                <w:sz w:val="20"/>
                <w:szCs w:val="20"/>
                <w:color w:val="auto"/>
              </w:rPr>
            </w:pPr>
            <w:r>
              <w:rPr>
                <w:rFonts w:ascii="Arial" w:cs="Arial" w:eastAsia="Arial" w:hAnsi="Arial"/>
                <w:sz w:val="18"/>
                <w:szCs w:val="18"/>
                <w:color w:val="auto"/>
              </w:rPr>
              <w:t>8,758,652 10,649,140</w:t>
            </w:r>
          </w:p>
        </w:tc>
        <w:tc>
          <w:tcPr>
            <w:tcW w:w="13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3920" w:type="dxa"/>
            <w:vAlign w:val="bottom"/>
            <w:tcBorders>
              <w:left w:val="single" w:sz="8" w:color="auto"/>
              <w:right w:val="single" w:sz="8" w:color="auto"/>
            </w:tcBorders>
          </w:tcPr>
          <w:p>
            <w:pPr>
              <w:ind w:left="180"/>
              <w:spacing w:after="0" w:line="210"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4"/>
                <w:szCs w:val="24"/>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(599,901)</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(748,085)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(987,255)</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32.0%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64.6%</w:t>
            </w:r>
          </w:p>
        </w:tc>
        <w:tc>
          <w:tcPr>
            <w:tcW w:w="1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(1,876,282)(2,374,221)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46"/>
        </w:trPr>
        <w:tc>
          <w:tcPr>
            <w:tcW w:w="39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Net interest income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2,451,099</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2,740,028</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3,001,426</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9.5%</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22.5%</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6,882,370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8,274,919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344"/>
        </w:trPr>
        <w:tc>
          <w:tcPr>
            <w:tcW w:w="3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9"/>
              </w:rPr>
              <w:t>Gross provision for credit losses on loan portfolio</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(265,158)</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(447,036)</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(545,249)</w:t>
            </w:r>
          </w:p>
        </w:tc>
        <w:tc>
          <w:tcPr>
            <w:tcW w:w="1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22.0% 105.6%</w:t>
            </w:r>
          </w:p>
        </w:tc>
        <w:tc>
          <w:tcPr>
            <w:tcW w:w="1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(1,329,147)(1,342,966)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Recoveries of written-off loans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100,744</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83,745</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85,273</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7"/>
              </w:rPr>
              <w:t>1.8%</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-15.4%</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243,706</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262,109</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7.6%</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Provision for credit losses on loan portfolio,</w:t>
            </w: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(164,414)</w:t>
            </w: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(363,291)</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(459,976)</w:t>
            </w:r>
          </w:p>
        </w:tc>
        <w:tc>
          <w:tcPr>
            <w:tcW w:w="13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26.6% 179.8%</w:t>
            </w:r>
          </w:p>
        </w:tc>
        <w:tc>
          <w:tcPr>
            <w:tcW w:w="940" w:type="dxa"/>
            <w:vAlign w:val="bottom"/>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9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net of recoveries</w:t>
            </w:r>
          </w:p>
        </w:tc>
        <w:tc>
          <w:tcPr>
            <w:tcW w:w="92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960" w:type="dxa"/>
            <w:vAlign w:val="bottom"/>
            <w:tcBorders>
              <w:right w:val="single" w:sz="8" w:color="auto"/>
            </w:tcBorders>
            <w:vMerge w:val="continue"/>
          </w:tcPr>
          <w:p>
            <w:pPr>
              <w:spacing w:after="0"/>
              <w:rPr>
                <w:sz w:val="21"/>
                <w:szCs w:val="21"/>
                <w:color w:val="auto"/>
              </w:rPr>
            </w:pPr>
          </w:p>
        </w:tc>
        <w:tc>
          <w:tcPr>
            <w:tcW w:w="1300" w:type="dxa"/>
            <w:vAlign w:val="bottom"/>
            <w:tcBorders>
              <w:right w:val="single" w:sz="8" w:color="auto"/>
            </w:tcBorders>
            <w:gridSpan w:val="2"/>
            <w:vMerge w:val="continue"/>
          </w:tcPr>
          <w:p>
            <w:pPr>
              <w:spacing w:after="0"/>
              <w:rPr>
                <w:sz w:val="21"/>
                <w:szCs w:val="21"/>
                <w:color w:val="auto"/>
              </w:rPr>
            </w:pPr>
          </w:p>
        </w:tc>
        <w:tc>
          <w:tcPr>
            <w:tcW w:w="1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(1,085,441)(1,080,857)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341"/>
        </w:trPr>
        <w:tc>
          <w:tcPr>
            <w:tcW w:w="3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Risk-adjusted net interest income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2,286,685</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2,376,737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2,541,450</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6.9%</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11.1%</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5,796,929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7,194,062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24.1%</w:t>
            </w:r>
          </w:p>
        </w:tc>
        <w:tc>
          <w:tcPr>
            <w:tcW w:w="0" w:type="dxa"/>
            <w:vAlign w:val="bottom"/>
          </w:tcPr>
          <w:p>
            <w:pPr>
              <w:spacing w:after="0"/>
              <w:rPr>
                <w:sz w:val="1"/>
                <w:szCs w:val="1"/>
                <w:color w:val="auto"/>
              </w:rPr>
            </w:pPr>
          </w:p>
        </w:tc>
      </w:tr>
      <w:tr>
        <w:trPr>
          <w:trHeight w:val="217"/>
        </w:trPr>
        <w:tc>
          <w:tcPr>
            <w:tcW w:w="3920" w:type="dxa"/>
            <w:vAlign w:val="bottom"/>
            <w:tcBorders>
              <w:left w:val="single" w:sz="8" w:color="auto"/>
              <w:right w:val="single" w:sz="8" w:color="auto"/>
            </w:tcBorders>
          </w:tcPr>
          <w:p>
            <w:pPr>
              <w:ind w:left="20"/>
              <w:spacing w:after="0" w:line="217" w:lineRule="exact"/>
              <w:rPr>
                <w:sz w:val="20"/>
                <w:szCs w:val="20"/>
                <w:color w:val="auto"/>
              </w:rPr>
            </w:pPr>
            <w:r>
              <w:rPr>
                <w:rFonts w:ascii="Arial" w:cs="Arial" w:eastAsia="Arial" w:hAnsi="Arial"/>
                <w:sz w:val="20"/>
                <w:szCs w:val="20"/>
                <w:color w:val="auto"/>
              </w:rPr>
              <w:t>Non-financial income</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Fee income</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876,391</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920,492</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934,244</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7"/>
              </w:rPr>
              <w:t>1.5%</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6.6%</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7"/>
              </w:rPr>
              <w:t>2,569,573</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2,745,767</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6.9%</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Net gain on foreign exchange transactions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246,649</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269,059</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262,167</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7"/>
              </w:rPr>
              <w:t>-2.6%</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6.3%</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659,900</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790,936</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Net gain on sales of securities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7"/>
              </w:rPr>
              <w:t>5,739</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(94,180)</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(25,459)</w:t>
            </w:r>
          </w:p>
        </w:tc>
        <w:tc>
          <w:tcPr>
            <w:tcW w:w="130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7"/>
              </w:rPr>
              <w:t>-73.0% -543.6%</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(47,921)</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(176,505)</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268.3%</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Net gain from associates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19,090</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29,219</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25,806</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8"/>
              </w:rPr>
              <w:t>-11.7%</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35.2%</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60,797</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79,039</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Net gain on derivatives held for trading</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43,365</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12,304</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53,008</w:t>
            </w:r>
          </w:p>
        </w:tc>
        <w:tc>
          <w:tcPr>
            <w:tcW w:w="1300" w:type="dxa"/>
            <w:vAlign w:val="bottom"/>
            <w:tcBorders>
              <w:right w:val="single" w:sz="8" w:color="auto"/>
            </w:tcBorders>
            <w:gridSpan w:val="2"/>
          </w:tcPr>
          <w:p>
            <w:pPr>
              <w:jc w:val="right"/>
              <w:ind w:right="11"/>
              <w:spacing w:after="0" w:line="201" w:lineRule="exact"/>
              <w:rPr>
                <w:sz w:val="20"/>
                <w:szCs w:val="20"/>
                <w:color w:val="auto"/>
              </w:rPr>
            </w:pPr>
            <w:r>
              <w:rPr>
                <w:rFonts w:ascii="Arial" w:cs="Arial" w:eastAsia="Arial" w:hAnsi="Arial"/>
                <w:sz w:val="18"/>
                <w:szCs w:val="18"/>
                <w:color w:val="auto"/>
              </w:rPr>
              <w:t>330.8% 22.2%</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174,518</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59,330</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-66.0%</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Net gain from exchange differences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(4,809)</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(17,066)</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(4,071)</w:t>
            </w:r>
          </w:p>
        </w:tc>
        <w:tc>
          <w:tcPr>
            <w:tcW w:w="1300" w:type="dxa"/>
            <w:vAlign w:val="bottom"/>
            <w:tcBorders>
              <w:right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-76.1% -15.3%</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18,868</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(38,197)</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Other non-financial income</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52,258</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84,152</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64,890</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8"/>
              </w:rPr>
              <w:t>-22.9%</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24.2%</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189,172</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296,944</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46"/>
        </w:trPr>
        <w:tc>
          <w:tcPr>
            <w:tcW w:w="39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Total non-financial income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1,238,683</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1,203,980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1,310,585</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8.9%</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5.8%</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3,624,907</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3,757,314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3.7%</w:t>
            </w:r>
          </w:p>
        </w:tc>
        <w:tc>
          <w:tcPr>
            <w:tcW w:w="0" w:type="dxa"/>
            <w:vAlign w:val="bottom"/>
          </w:tcPr>
          <w:p>
            <w:pPr>
              <w:spacing w:after="0"/>
              <w:rPr>
                <w:sz w:val="1"/>
                <w:szCs w:val="1"/>
                <w:color w:val="auto"/>
              </w:rPr>
            </w:pPr>
          </w:p>
        </w:tc>
      </w:tr>
      <w:tr>
        <w:trPr>
          <w:trHeight w:val="344"/>
        </w:trPr>
        <w:tc>
          <w:tcPr>
            <w:tcW w:w="3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Insurance underwriting result</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Net earned premiums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675,571</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695,547</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751,936</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7"/>
              </w:rPr>
              <w:t>8.1%</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11.3%</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7"/>
              </w:rPr>
              <w:t>1,959,443</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2,138,019</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9.1%</w:t>
            </w:r>
          </w:p>
        </w:tc>
        <w:tc>
          <w:tcPr>
            <w:tcW w:w="0" w:type="dxa"/>
            <w:vAlign w:val="bottom"/>
          </w:tcPr>
          <w:p>
            <w:pPr>
              <w:spacing w:after="0"/>
              <w:rPr>
                <w:sz w:val="1"/>
                <w:szCs w:val="1"/>
                <w:color w:val="auto"/>
              </w:rPr>
            </w:pPr>
          </w:p>
        </w:tc>
      </w:tr>
      <w:tr>
        <w:trPr>
          <w:trHeight w:val="192"/>
        </w:trPr>
        <w:tc>
          <w:tcPr>
            <w:tcW w:w="3920" w:type="dxa"/>
            <w:vAlign w:val="bottom"/>
            <w:tcBorders>
              <w:left w:val="single" w:sz="8" w:color="auto"/>
              <w:right w:val="single" w:sz="8" w:color="auto"/>
            </w:tcBorders>
          </w:tcPr>
          <w:p>
            <w:pPr>
              <w:ind w:left="180"/>
              <w:spacing w:after="0" w:line="192" w:lineRule="exact"/>
              <w:rPr>
                <w:sz w:val="20"/>
                <w:szCs w:val="20"/>
                <w:color w:val="auto"/>
              </w:rPr>
            </w:pPr>
            <w:r>
              <w:rPr>
                <w:rFonts w:ascii="Arial" w:cs="Arial" w:eastAsia="Arial" w:hAnsi="Arial"/>
                <w:sz w:val="18"/>
                <w:szCs w:val="18"/>
                <w:color w:val="auto"/>
              </w:rPr>
              <w:t>Net claims</w:t>
            </w:r>
          </w:p>
        </w:tc>
        <w:tc>
          <w:tcPr>
            <w:tcW w:w="920" w:type="dxa"/>
            <w:vAlign w:val="bottom"/>
          </w:tcPr>
          <w:p>
            <w:pPr>
              <w:jc w:val="center"/>
              <w:spacing w:after="0" w:line="192" w:lineRule="exact"/>
              <w:rPr>
                <w:sz w:val="20"/>
                <w:szCs w:val="20"/>
                <w:color w:val="auto"/>
              </w:rPr>
            </w:pPr>
            <w:r>
              <w:rPr>
                <w:rFonts w:ascii="Arial" w:cs="Arial" w:eastAsia="Arial" w:hAnsi="Arial"/>
                <w:sz w:val="18"/>
                <w:szCs w:val="18"/>
                <w:color w:val="auto"/>
                <w:w w:val="98"/>
              </w:rPr>
              <w:t>(517,951)</w:t>
            </w:r>
          </w:p>
        </w:tc>
        <w:tc>
          <w:tcPr>
            <w:tcW w:w="920" w:type="dxa"/>
            <w:vAlign w:val="bottom"/>
          </w:tcPr>
          <w:p>
            <w:pPr>
              <w:jc w:val="center"/>
              <w:spacing w:after="0" w:line="192" w:lineRule="exact"/>
              <w:rPr>
                <w:sz w:val="20"/>
                <w:szCs w:val="20"/>
                <w:color w:val="auto"/>
              </w:rPr>
            </w:pPr>
            <w:r>
              <w:rPr>
                <w:rFonts w:ascii="Arial" w:cs="Arial" w:eastAsia="Arial" w:hAnsi="Arial"/>
                <w:sz w:val="18"/>
                <w:szCs w:val="18"/>
                <w:color w:val="auto"/>
                <w:w w:val="98"/>
              </w:rPr>
              <w:t>(492,258)</w:t>
            </w:r>
          </w:p>
        </w:tc>
        <w:tc>
          <w:tcPr>
            <w:tcW w:w="96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8"/>
              </w:rPr>
              <w:t>(478,039)</w:t>
            </w:r>
          </w:p>
        </w:tc>
        <w:tc>
          <w:tcPr>
            <w:tcW w:w="1300" w:type="dxa"/>
            <w:vAlign w:val="bottom"/>
            <w:tcBorders>
              <w:right w:val="single" w:sz="8" w:color="auto"/>
            </w:tcBorders>
            <w:gridSpan w:val="2"/>
          </w:tcPr>
          <w:p>
            <w:pPr>
              <w:jc w:val="right"/>
              <w:ind w:right="31"/>
              <w:spacing w:after="0" w:line="192" w:lineRule="exact"/>
              <w:rPr>
                <w:sz w:val="20"/>
                <w:szCs w:val="20"/>
                <w:color w:val="auto"/>
              </w:rPr>
            </w:pPr>
            <w:r>
              <w:rPr>
                <w:rFonts w:ascii="Arial" w:cs="Arial" w:eastAsia="Arial" w:hAnsi="Arial"/>
                <w:sz w:val="18"/>
                <w:szCs w:val="18"/>
                <w:color w:val="auto"/>
              </w:rPr>
              <w:t>-2.9%  -7.7%</w:t>
            </w:r>
          </w:p>
        </w:tc>
        <w:tc>
          <w:tcPr>
            <w:tcW w:w="1880" w:type="dxa"/>
            <w:vAlign w:val="bottom"/>
            <w:tcBorders>
              <w:right w:val="single" w:sz="8" w:color="auto"/>
            </w:tcBorders>
            <w:gridSpan w:val="2"/>
          </w:tcPr>
          <w:p>
            <w:pPr>
              <w:jc w:val="center"/>
              <w:spacing w:after="0" w:line="192" w:lineRule="exact"/>
              <w:rPr>
                <w:sz w:val="20"/>
                <w:szCs w:val="20"/>
                <w:color w:val="auto"/>
              </w:rPr>
            </w:pPr>
            <w:r>
              <w:rPr>
                <w:rFonts w:ascii="Arial" w:cs="Arial" w:eastAsia="Arial" w:hAnsi="Arial"/>
                <w:sz w:val="18"/>
                <w:szCs w:val="18"/>
                <w:color w:val="auto"/>
                <w:w w:val="98"/>
              </w:rPr>
              <w:t>(1,832,639)(1,448,803)</w:t>
            </w:r>
          </w:p>
        </w:tc>
        <w:tc>
          <w:tcPr>
            <w:tcW w:w="13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8"/>
              </w:rPr>
              <w:t>-20.9%</w:t>
            </w:r>
          </w:p>
        </w:tc>
        <w:tc>
          <w:tcPr>
            <w:tcW w:w="0" w:type="dxa"/>
            <w:vAlign w:val="bottom"/>
          </w:tcPr>
          <w:p>
            <w:pPr>
              <w:spacing w:after="0"/>
              <w:rPr>
                <w:sz w:val="1"/>
                <w:szCs w:val="1"/>
                <w:color w:val="auto"/>
              </w:rPr>
            </w:pPr>
          </w:p>
        </w:tc>
      </w:tr>
      <w:tr>
        <w:trPr>
          <w:trHeight w:val="210"/>
        </w:trPr>
        <w:tc>
          <w:tcPr>
            <w:tcW w:w="3920" w:type="dxa"/>
            <w:vAlign w:val="bottom"/>
            <w:tcBorders>
              <w:left w:val="single" w:sz="8" w:color="auto"/>
              <w:right w:val="single" w:sz="8" w:color="auto"/>
            </w:tcBorders>
          </w:tcPr>
          <w:p>
            <w:pPr>
              <w:ind w:left="180"/>
              <w:spacing w:after="0" w:line="210" w:lineRule="exact"/>
              <w:rPr>
                <w:sz w:val="20"/>
                <w:szCs w:val="20"/>
                <w:color w:val="auto"/>
              </w:rPr>
            </w:pPr>
            <w:r>
              <w:rPr>
                <w:rFonts w:ascii="Arial" w:cs="Arial" w:eastAsia="Arial" w:hAnsi="Arial"/>
                <w:sz w:val="15"/>
                <w:szCs w:val="15"/>
                <w:color w:val="auto"/>
              </w:rPr>
              <w:t xml:space="preserve">Acquisition cost </w:t>
            </w:r>
            <w:r>
              <w:rPr>
                <w:rFonts w:ascii="Arial" w:cs="Arial" w:eastAsia="Arial" w:hAnsi="Arial"/>
                <w:sz w:val="24"/>
                <w:szCs w:val="24"/>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rPr>
              <w:t>(87,416)</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(66,247)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(75,055)</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13.3%</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-14.1%</w:t>
            </w:r>
          </w:p>
        </w:tc>
        <w:tc>
          <w:tcPr>
            <w:tcW w:w="940" w:type="dxa"/>
            <w:vAlign w:val="bottom"/>
          </w:tcPr>
          <w:p>
            <w:pPr>
              <w:jc w:val="center"/>
              <w:spacing w:after="0"/>
              <w:rPr>
                <w:sz w:val="20"/>
                <w:szCs w:val="20"/>
                <w:color w:val="auto"/>
              </w:rPr>
            </w:pPr>
            <w:r>
              <w:rPr>
                <w:rFonts w:ascii="Arial" w:cs="Arial" w:eastAsia="Arial" w:hAnsi="Arial"/>
                <w:sz w:val="18"/>
                <w:szCs w:val="18"/>
                <w:color w:val="auto"/>
              </w:rPr>
              <w:t>(258,182)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(211,786)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-18.0%</w:t>
            </w:r>
          </w:p>
        </w:tc>
        <w:tc>
          <w:tcPr>
            <w:tcW w:w="0" w:type="dxa"/>
            <w:vAlign w:val="bottom"/>
          </w:tcPr>
          <w:p>
            <w:pPr>
              <w:spacing w:after="0"/>
              <w:rPr>
                <w:sz w:val="1"/>
                <w:szCs w:val="1"/>
                <w:color w:val="auto"/>
              </w:rPr>
            </w:pPr>
          </w:p>
        </w:tc>
      </w:tr>
      <w:tr>
        <w:trPr>
          <w:trHeight w:val="246"/>
        </w:trPr>
        <w:tc>
          <w:tcPr>
            <w:tcW w:w="39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Total insurance underwriting result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rPr>
              <w:t>70,204</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137,042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198,842</w:t>
            </w:r>
          </w:p>
        </w:tc>
        <w:tc>
          <w:tcPr>
            <w:tcW w:w="13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45.1% 183.2%</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rPr>
              <w:t>(131,378)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477,430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-463.4%</w:t>
            </w:r>
          </w:p>
        </w:tc>
        <w:tc>
          <w:tcPr>
            <w:tcW w:w="0" w:type="dxa"/>
            <w:vAlign w:val="bottom"/>
          </w:tcPr>
          <w:p>
            <w:pPr>
              <w:spacing w:after="0"/>
              <w:rPr>
                <w:sz w:val="1"/>
                <w:szCs w:val="1"/>
                <w:color w:val="auto"/>
              </w:rPr>
            </w:pPr>
          </w:p>
        </w:tc>
      </w:tr>
      <w:tr>
        <w:trPr>
          <w:trHeight w:val="344"/>
        </w:trPr>
        <w:tc>
          <w:tcPr>
            <w:tcW w:w="3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Salaries and employee benefits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(915,564)</w:t>
            </w:r>
          </w:p>
        </w:tc>
        <w:tc>
          <w:tcPr>
            <w:tcW w:w="1880" w:type="dxa"/>
            <w:vAlign w:val="bottom"/>
            <w:tcBorders>
              <w:right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(975,420) (1,021,946)</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7"/>
              </w:rPr>
              <w:t>4.8%</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11.6%</w:t>
            </w:r>
          </w:p>
        </w:tc>
        <w:tc>
          <w:tcPr>
            <w:tcW w:w="188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(2,655,300)(2,975,319)</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Administrative, general and tax expenses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(802,547)</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(850,560)</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(870,852)</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7"/>
              </w:rPr>
              <w:t>2.4%</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8.5%</w:t>
            </w:r>
          </w:p>
        </w:tc>
        <w:tc>
          <w:tcPr>
            <w:tcW w:w="188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(2,055,040)(2,446,326)</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Depreciation and amortization</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(170,960)</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(168,845)</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(173,500)</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7"/>
              </w:rPr>
              <w:t>2.8%</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1.5%</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(501,594)</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(506,859)</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1.0%</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Association in participation</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(10,426)</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(10,329)</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(9,999)</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7"/>
              </w:rPr>
              <w:t>-3.2%</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-4.1%</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(33,211)</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(28,019)</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-15.6%</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Other expenses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(77,688)</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(49,244)</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(65,222)</w:t>
            </w:r>
          </w:p>
        </w:tc>
        <w:tc>
          <w:tcPr>
            <w:tcW w:w="1300" w:type="dxa"/>
            <w:vAlign w:val="bottom"/>
            <w:tcBorders>
              <w:right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32.4% -16.0%</w:t>
            </w:r>
          </w:p>
        </w:tc>
        <w:tc>
          <w:tcPr>
            <w:tcW w:w="188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(271,604)  (188,951)</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-30.4%</w:t>
            </w:r>
          </w:p>
        </w:tc>
        <w:tc>
          <w:tcPr>
            <w:tcW w:w="0" w:type="dxa"/>
            <w:vAlign w:val="bottom"/>
          </w:tcPr>
          <w:p>
            <w:pPr>
              <w:spacing w:after="0"/>
              <w:rPr>
                <w:sz w:val="1"/>
                <w:szCs w:val="1"/>
                <w:color w:val="auto"/>
              </w:rPr>
            </w:pPr>
          </w:p>
        </w:tc>
      </w:tr>
      <w:tr>
        <w:trPr>
          <w:trHeight w:val="246"/>
        </w:trPr>
        <w:tc>
          <w:tcPr>
            <w:tcW w:w="3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expenses</w:t>
            </w:r>
          </w:p>
        </w:tc>
        <w:tc>
          <w:tcPr>
            <w:tcW w:w="28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(1,977,185)(2,054,398)(2,141,519)</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4.2%</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8.3%</w:t>
            </w:r>
          </w:p>
        </w:tc>
        <w:tc>
          <w:tcPr>
            <w:tcW w:w="1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(5,516,749)(6,145,474)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11.4%</w:t>
            </w:r>
          </w:p>
        </w:tc>
        <w:tc>
          <w:tcPr>
            <w:tcW w:w="0" w:type="dxa"/>
            <w:vAlign w:val="bottom"/>
          </w:tcPr>
          <w:p>
            <w:pPr>
              <w:spacing w:after="0"/>
              <w:rPr>
                <w:sz w:val="1"/>
                <w:szCs w:val="1"/>
                <w:color w:val="auto"/>
              </w:rPr>
            </w:pPr>
          </w:p>
        </w:tc>
      </w:tr>
      <w:tr>
        <w:trPr>
          <w:trHeight w:val="388"/>
        </w:trPr>
        <w:tc>
          <w:tcPr>
            <w:tcW w:w="3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Profit before income tax</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1,618,387</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1,663,361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1,909,358</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14.8%</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18.0%</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3,773,709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5,283,332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378"/>
        </w:trPr>
        <w:tc>
          <w:tcPr>
            <w:tcW w:w="392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Income tax</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(428,037)</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(513,181)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(575,083)</w:t>
            </w:r>
          </w:p>
        </w:tc>
        <w:tc>
          <w:tcPr>
            <w:tcW w:w="620" w:type="dxa"/>
            <w:vAlign w:val="bottom"/>
          </w:tcPr>
          <w:p>
            <w:pPr>
              <w:jc w:val="center"/>
              <w:spacing w:after="0"/>
              <w:rPr>
                <w:sz w:val="20"/>
                <w:szCs w:val="20"/>
                <w:color w:val="auto"/>
              </w:rPr>
            </w:pPr>
            <w:r>
              <w:rPr>
                <w:rFonts w:ascii="Arial" w:cs="Arial" w:eastAsia="Arial" w:hAnsi="Arial"/>
                <w:sz w:val="18"/>
                <w:szCs w:val="18"/>
                <w:color w:val="auto"/>
                <w:w w:val="97"/>
              </w:rPr>
              <w:t>12.1%</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34.4%</w:t>
            </w:r>
          </w:p>
        </w:tc>
        <w:tc>
          <w:tcPr>
            <w:tcW w:w="1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(1,189,127)(1,634,265)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354"/>
        </w:trPr>
        <w:tc>
          <w:tcPr>
            <w:tcW w:w="39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profit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1,190,350</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1,150,180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1,334,275</w:t>
            </w: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97"/>
              </w:rPr>
              <w:t>16.0%</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12.1%</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2,584,582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3,649,067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41.2%</w:t>
            </w:r>
          </w:p>
        </w:tc>
        <w:tc>
          <w:tcPr>
            <w:tcW w:w="0" w:type="dxa"/>
            <w:vAlign w:val="bottom"/>
          </w:tcPr>
          <w:p>
            <w:pPr>
              <w:spacing w:after="0"/>
              <w:rPr>
                <w:sz w:val="1"/>
                <w:szCs w:val="1"/>
                <w:color w:val="auto"/>
              </w:rPr>
            </w:pPr>
          </w:p>
        </w:tc>
      </w:tr>
      <w:tr>
        <w:trPr>
          <w:trHeight w:val="201"/>
        </w:trPr>
        <w:tc>
          <w:tcPr>
            <w:tcW w:w="392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Non-controlling interest</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26,651</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rPr>
              <w:t>28,420</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31,855</w:t>
            </w:r>
          </w:p>
        </w:tc>
        <w:tc>
          <w:tcPr>
            <w:tcW w:w="620" w:type="dxa"/>
            <w:vAlign w:val="bottom"/>
          </w:tcPr>
          <w:p>
            <w:pPr>
              <w:jc w:val="center"/>
              <w:spacing w:after="0" w:line="201" w:lineRule="exact"/>
              <w:rPr>
                <w:sz w:val="20"/>
                <w:szCs w:val="20"/>
                <w:color w:val="auto"/>
              </w:rPr>
            </w:pPr>
            <w:r>
              <w:rPr>
                <w:rFonts w:ascii="Arial" w:cs="Arial" w:eastAsia="Arial" w:hAnsi="Arial"/>
                <w:sz w:val="18"/>
                <w:szCs w:val="18"/>
                <w:color w:val="auto"/>
                <w:w w:val="97"/>
              </w:rPr>
              <w:t>12.1%</w:t>
            </w:r>
          </w:p>
        </w:tc>
        <w:tc>
          <w:tcPr>
            <w:tcW w:w="68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19.5%</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60,616</w:t>
            </w:r>
          </w:p>
        </w:tc>
        <w:tc>
          <w:tcPr>
            <w:tcW w:w="9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88,061</w:t>
            </w:r>
          </w:p>
        </w:tc>
        <w:tc>
          <w:tcPr>
            <w:tcW w:w="13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6"/>
        </w:trPr>
        <w:tc>
          <w:tcPr>
            <w:tcW w:w="3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profit attributable to Credicorp</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1,163,699</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1,121,760</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1,302,420</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16.1%</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11.9%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2,523,966</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3,561,006</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41.1%</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The acquisition cost of Pacifico includes net fees and underwriting expenses.</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60" w:name="page61"/>
    <w:bookmarkEnd w:id="60"/>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12.5.2. Credicorp Stand-alone</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Separate Statement of Financal Position</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 thousands, IFRS)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40" w:type="dxa"/>
            <w:vAlign w:val="bottom"/>
            <w:tcBorders>
              <w:right w:val="single" w:sz="8" w:color="auto"/>
            </w:tcBorders>
          </w:tcPr>
          <w:p>
            <w:pPr>
              <w:spacing w:after="0"/>
              <w:rPr>
                <w:sz w:val="18"/>
                <w:szCs w:val="18"/>
                <w:color w:val="auto"/>
              </w:rPr>
            </w:pPr>
          </w:p>
        </w:tc>
        <w:tc>
          <w:tcPr>
            <w:tcW w:w="1100" w:type="dxa"/>
            <w:vAlign w:val="bottom"/>
            <w:tcBorders>
              <w:top w:val="single" w:sz="8" w:color="auto"/>
            </w:tcBorders>
            <w:shd w:val="clear" w:color="auto" w:fill="2AD2C9"/>
          </w:tcPr>
          <w:p>
            <w:pPr>
              <w:spacing w:after="0"/>
              <w:rPr>
                <w:sz w:val="18"/>
                <w:szCs w:val="18"/>
                <w:color w:val="auto"/>
              </w:rPr>
            </w:pPr>
          </w:p>
        </w:tc>
        <w:tc>
          <w:tcPr>
            <w:tcW w:w="112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As of</w:t>
            </w:r>
          </w:p>
        </w:tc>
        <w:tc>
          <w:tcPr>
            <w:tcW w:w="1140" w:type="dxa"/>
            <w:vAlign w:val="bottom"/>
            <w:tcBorders>
              <w:top w:val="single" w:sz="8" w:color="auto"/>
              <w:right w:val="single" w:sz="8" w:color="auto"/>
            </w:tcBorders>
            <w:shd w:val="clear" w:color="auto" w:fill="2AD2C9"/>
          </w:tcPr>
          <w:p>
            <w:pPr>
              <w:spacing w:after="0"/>
              <w:rPr>
                <w:sz w:val="18"/>
                <w:szCs w:val="18"/>
                <w:color w:val="auto"/>
              </w:rPr>
            </w:pPr>
          </w:p>
        </w:tc>
        <w:tc>
          <w:tcPr>
            <w:tcW w:w="2220" w:type="dxa"/>
            <w:vAlign w:val="bottom"/>
            <w:tcBorders>
              <w:top w:val="single" w:sz="8" w:color="auto"/>
              <w:right w:val="single" w:sz="8" w:color="auto"/>
            </w:tcBorders>
            <w:gridSpan w:val="2"/>
            <w:shd w:val="clear" w:color="auto" w:fill="2AD2C9"/>
          </w:tcPr>
          <w:p>
            <w:pPr>
              <w:ind w:left="680"/>
              <w:spacing w:after="0"/>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tcPr>
          <w:p>
            <w:pPr>
              <w:spacing w:after="0"/>
              <w:rPr>
                <w:sz w:val="19"/>
                <w:szCs w:val="19"/>
                <w:color w:val="auto"/>
              </w:rPr>
            </w:pPr>
          </w:p>
        </w:tc>
        <w:tc>
          <w:tcPr>
            <w:tcW w:w="56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8"/>
                <w:szCs w:val="18"/>
                <w:b w:val="1"/>
                <w:bCs w:val="1"/>
                <w:color w:val="FFFFFF"/>
              </w:rPr>
              <w:t>Sep 21</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Jun 22</w:t>
            </w:r>
          </w:p>
        </w:tc>
        <w:tc>
          <w:tcPr>
            <w:tcW w:w="114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8"/>
                <w:szCs w:val="18"/>
                <w:b w:val="1"/>
                <w:bCs w:val="1"/>
                <w:color w:val="FFFFFF"/>
              </w:rPr>
              <w:t>Sep 22</w:t>
            </w:r>
          </w:p>
        </w:tc>
        <w:tc>
          <w:tcPr>
            <w:tcW w:w="11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QoQ</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6"/>
              </w:rPr>
              <w:t>YoY</w:t>
            </w:r>
          </w:p>
        </w:tc>
        <w:tc>
          <w:tcPr>
            <w:tcW w:w="0" w:type="dxa"/>
            <w:vAlign w:val="bottom"/>
          </w:tcPr>
          <w:p>
            <w:pPr>
              <w:spacing w:after="0"/>
              <w:rPr>
                <w:sz w:val="1"/>
                <w:szCs w:val="1"/>
                <w:color w:val="auto"/>
              </w:rPr>
            </w:pPr>
          </w:p>
        </w:tc>
      </w:tr>
      <w:tr>
        <w:trPr>
          <w:trHeight w:val="182"/>
        </w:trPr>
        <w:tc>
          <w:tcPr>
            <w:tcW w:w="20" w:type="dxa"/>
            <w:vAlign w:val="bottom"/>
            <w:shd w:val="clear" w:color="auto" w:fill="000000"/>
          </w:tcPr>
          <w:p>
            <w:pPr>
              <w:spacing w:after="0"/>
              <w:rPr>
                <w:sz w:val="15"/>
                <w:szCs w:val="15"/>
                <w:color w:val="auto"/>
              </w:rPr>
            </w:pPr>
          </w:p>
        </w:tc>
        <w:tc>
          <w:tcPr>
            <w:tcW w:w="56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ASSETS</w:t>
            </w: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Cash and cash equivalents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598,770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115,612</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125,092</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8.2%</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-79.1%</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At fair value through profit or loss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9"/>
              </w:rPr>
              <w:t>1,091,138</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938,816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967,331</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3.0%</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-11.3%</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Fair value through other comprehensive income investments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342,485</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332,280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313,739</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7"/>
              </w:rPr>
              <w:t>-5.6%</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-8.4%</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In subsidiaries and associates investments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7"/>
              </w:rPr>
              <w:t>29,862,234</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31,251,710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32,308,088</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3.4%</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8.2%</w:t>
            </w:r>
          </w:p>
        </w:tc>
        <w:tc>
          <w:tcPr>
            <w:tcW w:w="0" w:type="dxa"/>
            <w:vAlign w:val="bottom"/>
          </w:tcPr>
          <w:p>
            <w:pPr>
              <w:spacing w:after="0"/>
              <w:rPr>
                <w:sz w:val="1"/>
                <w:szCs w:val="1"/>
                <w:color w:val="auto"/>
              </w:rPr>
            </w:pPr>
          </w:p>
        </w:tc>
      </w:tr>
      <w:tr>
        <w:trPr>
          <w:trHeight w:val="236"/>
        </w:trPr>
        <w:tc>
          <w:tcPr>
            <w:tcW w:w="20" w:type="dxa"/>
            <w:vAlign w:val="bottom"/>
            <w:shd w:val="clear" w:color="auto" w:fill="000000"/>
          </w:tcPr>
          <w:p>
            <w:pPr>
              <w:spacing w:after="0"/>
              <w:rPr>
                <w:sz w:val="20"/>
                <w:szCs w:val="20"/>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Other assets</w:t>
            </w: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328</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230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12,115</w:t>
            </w:r>
          </w:p>
        </w:tc>
        <w:tc>
          <w:tcPr>
            <w:tcW w:w="1100" w:type="dxa"/>
            <w:vAlign w:val="bottom"/>
          </w:tcPr>
          <w:p>
            <w:pPr>
              <w:jc w:val="center"/>
              <w:spacing w:after="0"/>
              <w:rPr>
                <w:sz w:val="20"/>
                <w:szCs w:val="20"/>
                <w:color w:val="auto"/>
              </w:rPr>
            </w:pPr>
            <w:r>
              <w:rPr>
                <w:rFonts w:ascii="Arial" w:cs="Arial" w:eastAsia="Arial" w:hAnsi="Arial"/>
                <w:sz w:val="18"/>
                <w:szCs w:val="18"/>
                <w:color w:val="auto"/>
              </w:rPr>
              <w:t>n.a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398"/>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Total Assets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31,894,955</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32,638,648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33,726,365</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3.3%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5.7%</w:t>
            </w:r>
          </w:p>
        </w:tc>
        <w:tc>
          <w:tcPr>
            <w:tcW w:w="0" w:type="dxa"/>
            <w:vAlign w:val="bottom"/>
          </w:tcPr>
          <w:p>
            <w:pPr>
              <w:spacing w:after="0"/>
              <w:rPr>
                <w:sz w:val="1"/>
                <w:szCs w:val="1"/>
                <w:color w:val="auto"/>
              </w:rPr>
            </w:pPr>
          </w:p>
        </w:tc>
      </w:tr>
      <w:tr>
        <w:trPr>
          <w:trHeight w:val="388"/>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LIABILITIES AND NET SHAREHOLDERS' EQUITY</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Due to banks, correspondents and other entities</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471,912</w:t>
            </w: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240,996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256,528</w:t>
            </w:r>
          </w:p>
        </w:tc>
        <w:tc>
          <w:tcPr>
            <w:tcW w:w="1100" w:type="dxa"/>
            <w:vAlign w:val="bottom"/>
          </w:tcPr>
          <w:p>
            <w:pPr>
              <w:jc w:val="center"/>
              <w:spacing w:after="0"/>
              <w:rPr>
                <w:sz w:val="20"/>
                <w:szCs w:val="20"/>
                <w:color w:val="auto"/>
              </w:rPr>
            </w:pPr>
            <w:r>
              <w:rPr>
                <w:rFonts w:ascii="Arial" w:cs="Arial" w:eastAsia="Arial" w:hAnsi="Arial"/>
                <w:sz w:val="18"/>
                <w:szCs w:val="18"/>
                <w:color w:val="auto"/>
              </w:rPr>
              <w:t>6.4%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-45.6%</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Bonds and notes issued</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9"/>
              </w:rPr>
              <w:t>2,066,412</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1,901,462</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1,993,778</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4.9%</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-3.5%</w:t>
            </w:r>
          </w:p>
        </w:tc>
        <w:tc>
          <w:tcPr>
            <w:tcW w:w="0" w:type="dxa"/>
            <w:vAlign w:val="bottom"/>
          </w:tcPr>
          <w:p>
            <w:pPr>
              <w:spacing w:after="0"/>
              <w:rPr>
                <w:sz w:val="1"/>
                <w:szCs w:val="1"/>
                <w:color w:val="auto"/>
              </w:rPr>
            </w:pPr>
          </w:p>
        </w:tc>
      </w:tr>
      <w:tr>
        <w:trPr>
          <w:trHeight w:val="236"/>
        </w:trPr>
        <w:tc>
          <w:tcPr>
            <w:tcW w:w="20" w:type="dxa"/>
            <w:vAlign w:val="bottom"/>
            <w:shd w:val="clear" w:color="auto" w:fill="000000"/>
          </w:tcPr>
          <w:p>
            <w:pPr>
              <w:spacing w:after="0"/>
              <w:rPr>
                <w:sz w:val="20"/>
                <w:szCs w:val="20"/>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143,382</w:t>
            </w:r>
          </w:p>
        </w:tc>
        <w:tc>
          <w:tcPr>
            <w:tcW w:w="1120" w:type="dxa"/>
            <w:vAlign w:val="bottom"/>
          </w:tcPr>
          <w:p>
            <w:pPr>
              <w:jc w:val="center"/>
              <w:spacing w:after="0"/>
              <w:rPr>
                <w:sz w:val="20"/>
                <w:szCs w:val="20"/>
                <w:color w:val="auto"/>
              </w:rPr>
            </w:pPr>
            <w:r>
              <w:rPr>
                <w:rFonts w:ascii="Arial" w:cs="Arial" w:eastAsia="Arial" w:hAnsi="Arial"/>
                <w:sz w:val="18"/>
                <w:szCs w:val="18"/>
                <w:color w:val="auto"/>
                <w:w w:val="98"/>
              </w:rPr>
              <w:t>164,451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218,687</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33.0%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52.5%</w:t>
            </w:r>
          </w:p>
        </w:tc>
        <w:tc>
          <w:tcPr>
            <w:tcW w:w="0" w:type="dxa"/>
            <w:vAlign w:val="bottom"/>
          </w:tcPr>
          <w:p>
            <w:pPr>
              <w:spacing w:after="0"/>
              <w:rPr>
                <w:sz w:val="1"/>
                <w:szCs w:val="1"/>
                <w:color w:val="auto"/>
              </w:rPr>
            </w:pPr>
          </w:p>
        </w:tc>
      </w:tr>
      <w:tr>
        <w:trPr>
          <w:trHeight w:val="398"/>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Total Liabilities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2,681,706</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2,306,909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2,468,993</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7.0%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-7.9%</w:t>
            </w:r>
          </w:p>
        </w:tc>
        <w:tc>
          <w:tcPr>
            <w:tcW w:w="0" w:type="dxa"/>
            <w:vAlign w:val="bottom"/>
          </w:tcPr>
          <w:p>
            <w:pPr>
              <w:spacing w:after="0"/>
              <w:rPr>
                <w:sz w:val="1"/>
                <w:szCs w:val="1"/>
                <w:color w:val="auto"/>
              </w:rPr>
            </w:pPr>
          </w:p>
        </w:tc>
      </w:tr>
      <w:tr>
        <w:trPr>
          <w:trHeight w:val="344"/>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NET EQUITY</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Capital stock</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9"/>
              </w:rPr>
              <w:t>1,318,993</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1,318,993</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1,318,993</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0.0%</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Capital Surplus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384,542</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384,542</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384,542</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0.0%</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0.0%</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Reserve</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7"/>
              </w:rPr>
              <w:t>20,945,491</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23,300,350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23,300,350</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0.0%</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11.2%</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Unrealized results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(281,545)</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(1,285,376)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(1,661,404)</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7"/>
              </w:rPr>
              <w:t>29.3%</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236"/>
        </w:trPr>
        <w:tc>
          <w:tcPr>
            <w:tcW w:w="20" w:type="dxa"/>
            <w:vAlign w:val="bottom"/>
            <w:shd w:val="clear" w:color="auto" w:fill="000000"/>
          </w:tcPr>
          <w:p>
            <w:pPr>
              <w:spacing w:after="0"/>
              <w:rPr>
                <w:sz w:val="20"/>
                <w:szCs w:val="20"/>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6,845,768</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6,613,230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7,914,891</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19.7%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15.6%</w:t>
            </w:r>
          </w:p>
        </w:tc>
        <w:tc>
          <w:tcPr>
            <w:tcW w:w="0" w:type="dxa"/>
            <w:vAlign w:val="bottom"/>
          </w:tcPr>
          <w:p>
            <w:pPr>
              <w:spacing w:after="0"/>
              <w:rPr>
                <w:sz w:val="1"/>
                <w:szCs w:val="1"/>
                <w:color w:val="auto"/>
              </w:rPr>
            </w:pPr>
          </w:p>
        </w:tc>
      </w:tr>
      <w:tr>
        <w:trPr>
          <w:trHeight w:val="398"/>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Total net equity</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7"/>
              </w:rPr>
              <w:t>29,213,249</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30,331,739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31,257,372</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3.1%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7.0%</w:t>
            </w:r>
          </w:p>
        </w:tc>
        <w:tc>
          <w:tcPr>
            <w:tcW w:w="0" w:type="dxa"/>
            <w:vAlign w:val="bottom"/>
          </w:tcPr>
          <w:p>
            <w:pPr>
              <w:spacing w:after="0"/>
              <w:rPr>
                <w:sz w:val="1"/>
                <w:szCs w:val="1"/>
                <w:color w:val="auto"/>
              </w:rPr>
            </w:pPr>
          </w:p>
        </w:tc>
      </w:tr>
      <w:tr>
        <w:trPr>
          <w:trHeight w:val="369"/>
        </w:trPr>
        <w:tc>
          <w:tcPr>
            <w:tcW w:w="20" w:type="dxa"/>
            <w:vAlign w:val="bottom"/>
            <w:tcBorders>
              <w:bottom w:val="single" w:sz="8" w:color="auto"/>
            </w:tcBorders>
            <w:shd w:val="clear" w:color="auto" w:fill="000000"/>
          </w:tcPr>
          <w:p>
            <w:pPr>
              <w:spacing w:after="0"/>
              <w:rPr>
                <w:sz w:val="24"/>
                <w:szCs w:val="24"/>
                <w:color w:val="auto"/>
              </w:rPr>
            </w:pPr>
          </w:p>
        </w:tc>
        <w:tc>
          <w:tcPr>
            <w:tcW w:w="5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31,894,955</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32,638,648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33,726,365</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3.3%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5.7%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Borders>
              <w:right w:val="single" w:sz="8" w:color="auto"/>
            </w:tcBorders>
          </w:tcPr>
          <w:p>
            <w:pPr>
              <w:spacing w:after="0"/>
              <w:rPr>
                <w:sz w:val="15"/>
                <w:szCs w:val="15"/>
                <w:color w:val="auto"/>
              </w:rPr>
            </w:pPr>
          </w:p>
        </w:tc>
        <w:tc>
          <w:tcPr>
            <w:tcW w:w="1100" w:type="dxa"/>
            <w:vAlign w:val="bottom"/>
            <w:shd w:val="clear" w:color="auto" w:fill="2AD2C9"/>
          </w:tcPr>
          <w:p>
            <w:pPr>
              <w:spacing w:after="0"/>
              <w:rPr>
                <w:sz w:val="15"/>
                <w:szCs w:val="15"/>
                <w:color w:val="auto"/>
              </w:rPr>
            </w:pPr>
          </w:p>
        </w:tc>
        <w:tc>
          <w:tcPr>
            <w:tcW w:w="1120" w:type="dxa"/>
            <w:vAlign w:val="bottom"/>
            <w:shd w:val="clear" w:color="auto" w:fill="2AD2C9"/>
          </w:tcPr>
          <w:p>
            <w:pPr>
              <w:jc w:val="center"/>
              <w:spacing w:after="0" w:line="182" w:lineRule="exact"/>
              <w:rPr>
                <w:sz w:val="20"/>
                <w:szCs w:val="20"/>
                <w:color w:val="auto"/>
              </w:rPr>
            </w:pPr>
            <w:r>
              <w:rPr>
                <w:rFonts w:ascii="Arial" w:cs="Arial" w:eastAsia="Arial" w:hAnsi="Arial"/>
                <w:sz w:val="18"/>
                <w:szCs w:val="18"/>
                <w:b w:val="1"/>
                <w:bCs w:val="1"/>
                <w:color w:val="FFFFFF"/>
                <w:w w:val="98"/>
              </w:rPr>
              <w:t>Quarter</w:t>
            </w:r>
          </w:p>
        </w:tc>
        <w:tc>
          <w:tcPr>
            <w:tcW w:w="1140" w:type="dxa"/>
            <w:vAlign w:val="bottom"/>
            <w:tcBorders>
              <w:right w:val="single" w:sz="8" w:color="auto"/>
            </w:tcBorders>
            <w:shd w:val="clear" w:color="auto" w:fill="2AD2C9"/>
          </w:tcPr>
          <w:p>
            <w:pPr>
              <w:spacing w:after="0"/>
              <w:rPr>
                <w:sz w:val="15"/>
                <w:szCs w:val="15"/>
                <w:color w:val="auto"/>
              </w:rPr>
            </w:pPr>
          </w:p>
        </w:tc>
        <w:tc>
          <w:tcPr>
            <w:tcW w:w="2220" w:type="dxa"/>
            <w:vAlign w:val="bottom"/>
            <w:tcBorders>
              <w:right w:val="single" w:sz="8" w:color="auto"/>
            </w:tcBorders>
            <w:gridSpan w:val="2"/>
            <w:shd w:val="clear" w:color="auto" w:fill="2AD2C9"/>
          </w:tcPr>
          <w:p>
            <w:pPr>
              <w:ind w:left="680"/>
              <w:spacing w:after="0" w:line="182" w:lineRule="exact"/>
              <w:rPr>
                <w:sz w:val="20"/>
                <w:szCs w:val="20"/>
                <w:color w:val="auto"/>
              </w:rPr>
            </w:pPr>
            <w:r>
              <w:rPr>
                <w:rFonts w:ascii="Arial" w:cs="Arial" w:eastAsia="Arial" w:hAnsi="Arial"/>
                <w:sz w:val="18"/>
                <w:szCs w:val="18"/>
                <w:b w:val="1"/>
                <w:bCs w:val="1"/>
                <w:color w:val="FFFFFF"/>
              </w:rPr>
              <w:t>% change</w:t>
            </w: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tcPr>
          <w:p>
            <w:pPr>
              <w:spacing w:after="0"/>
              <w:rPr>
                <w:sz w:val="19"/>
                <w:szCs w:val="19"/>
                <w:color w:val="auto"/>
              </w:rPr>
            </w:pPr>
          </w:p>
        </w:tc>
        <w:tc>
          <w:tcPr>
            <w:tcW w:w="56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2Q22</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3Q22</w:t>
            </w:r>
          </w:p>
        </w:tc>
        <w:tc>
          <w:tcPr>
            <w:tcW w:w="11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QoQ</w:t>
            </w:r>
          </w:p>
        </w:tc>
        <w:tc>
          <w:tcPr>
            <w:tcW w:w="11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6"/>
              </w:rPr>
              <w:t>YoY</w:t>
            </w:r>
          </w:p>
        </w:tc>
        <w:tc>
          <w:tcPr>
            <w:tcW w:w="0" w:type="dxa"/>
            <w:vAlign w:val="bottom"/>
          </w:tcPr>
          <w:p>
            <w:pPr>
              <w:spacing w:after="0"/>
              <w:rPr>
                <w:sz w:val="1"/>
                <w:szCs w:val="1"/>
                <w:color w:val="auto"/>
              </w:rPr>
            </w:pPr>
          </w:p>
        </w:tc>
      </w:tr>
      <w:tr>
        <w:trPr>
          <w:trHeight w:val="246"/>
        </w:trPr>
        <w:tc>
          <w:tcPr>
            <w:tcW w:w="20" w:type="dxa"/>
            <w:vAlign w:val="bottom"/>
            <w:shd w:val="clear" w:color="auto" w:fill="000000"/>
          </w:tcPr>
          <w:p>
            <w:pPr>
              <w:spacing w:after="0"/>
              <w:rPr>
                <w:sz w:val="21"/>
                <w:szCs w:val="21"/>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Interest income</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40" w:type="dxa"/>
            <w:vAlign w:val="bottom"/>
            <w:tcBorders>
              <w:right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Net share of the income from investments in subsidiaries and</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1,256,878</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1,425,812</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1,379,036</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7"/>
              </w:rPr>
              <w:t>-3.3%</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9.7%</w:t>
            </w:r>
          </w:p>
        </w:tc>
        <w:tc>
          <w:tcPr>
            <w:tcW w:w="0" w:type="dxa"/>
            <w:vAlign w:val="bottom"/>
          </w:tcPr>
          <w:p>
            <w:pPr>
              <w:spacing w:after="0"/>
              <w:rPr>
                <w:sz w:val="1"/>
                <w:szCs w:val="1"/>
                <w:color w:val="auto"/>
              </w:rPr>
            </w:pPr>
          </w:p>
        </w:tc>
      </w:tr>
      <w:tr>
        <w:trPr>
          <w:trHeight w:val="128"/>
        </w:trPr>
        <w:tc>
          <w:tcPr>
            <w:tcW w:w="20" w:type="dxa"/>
            <w:vAlign w:val="bottom"/>
            <w:shd w:val="clear" w:color="auto" w:fill="000000"/>
          </w:tcPr>
          <w:p>
            <w:pPr>
              <w:spacing w:after="0"/>
              <w:rPr>
                <w:sz w:val="11"/>
                <w:szCs w:val="11"/>
                <w:color w:val="auto"/>
              </w:rPr>
            </w:pPr>
          </w:p>
        </w:tc>
        <w:tc>
          <w:tcPr>
            <w:tcW w:w="5640" w:type="dxa"/>
            <w:vAlign w:val="bottom"/>
            <w:tcBorders>
              <w:right w:val="single" w:sz="8" w:color="auto"/>
            </w:tcBorders>
            <w:vMerge w:val="restart"/>
          </w:tcPr>
          <w:p>
            <w:pPr>
              <w:ind w:left="160"/>
              <w:spacing w:after="0" w:line="201" w:lineRule="exact"/>
              <w:rPr>
                <w:sz w:val="20"/>
                <w:szCs w:val="20"/>
                <w:color w:val="auto"/>
              </w:rPr>
            </w:pPr>
            <w:r>
              <w:rPr>
                <w:rFonts w:ascii="Arial" w:cs="Arial" w:eastAsia="Arial" w:hAnsi="Arial"/>
                <w:sz w:val="18"/>
                <w:szCs w:val="18"/>
                <w:color w:val="auto"/>
              </w:rPr>
              <w:t>associates</w:t>
            </w:r>
          </w:p>
        </w:tc>
        <w:tc>
          <w:tcPr>
            <w:tcW w:w="11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shd w:val="clear" w:color="auto" w:fill="000000"/>
          </w:tcPr>
          <w:p>
            <w:pPr>
              <w:spacing w:after="0"/>
              <w:rPr>
                <w:sz w:val="6"/>
                <w:szCs w:val="6"/>
                <w:color w:val="auto"/>
              </w:rPr>
            </w:pPr>
          </w:p>
        </w:tc>
        <w:tc>
          <w:tcPr>
            <w:tcW w:w="5640" w:type="dxa"/>
            <w:vAlign w:val="bottom"/>
            <w:tcBorders>
              <w:right w:val="single" w:sz="8" w:color="auto"/>
            </w:tcBorders>
            <w:vMerge w:val="continue"/>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Interest and similar income</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13,909</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7,056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307</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-95.6%</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-97.8%</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Net gain on financial assets at fair value through profit or loss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7"/>
              </w:rPr>
              <w:t>3,860</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rPr>
              <w:t>(41,316)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(10,214)</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-75.3%</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-364.6%</w:t>
            </w:r>
          </w:p>
        </w:tc>
        <w:tc>
          <w:tcPr>
            <w:tcW w:w="0" w:type="dxa"/>
            <w:vAlign w:val="bottom"/>
          </w:tcPr>
          <w:p>
            <w:pPr>
              <w:spacing w:after="0"/>
              <w:rPr>
                <w:sz w:val="1"/>
                <w:szCs w:val="1"/>
                <w:color w:val="auto"/>
              </w:rPr>
            </w:pPr>
          </w:p>
        </w:tc>
      </w:tr>
      <w:tr>
        <w:trPr>
          <w:trHeight w:val="246"/>
        </w:trPr>
        <w:tc>
          <w:tcPr>
            <w:tcW w:w="20" w:type="dxa"/>
            <w:vAlign w:val="bottom"/>
            <w:shd w:val="clear" w:color="auto" w:fill="000000"/>
          </w:tcPr>
          <w:p>
            <w:pPr>
              <w:spacing w:after="0"/>
              <w:rPr>
                <w:sz w:val="21"/>
                <w:szCs w:val="21"/>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Total income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1,274,647</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1,391,552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1,369,129</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-1.6%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7.4%</w:t>
            </w:r>
          </w:p>
        </w:tc>
        <w:tc>
          <w:tcPr>
            <w:tcW w:w="0" w:type="dxa"/>
            <w:vAlign w:val="bottom"/>
          </w:tcPr>
          <w:p>
            <w:pPr>
              <w:spacing w:after="0"/>
              <w:rPr>
                <w:sz w:val="1"/>
                <w:szCs w:val="1"/>
                <w:color w:val="auto"/>
              </w:rPr>
            </w:pPr>
          </w:p>
        </w:tc>
      </w:tr>
      <w:tr>
        <w:trPr>
          <w:trHeight w:val="344"/>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Interest and similar expense</w:t>
            </w:r>
          </w:p>
        </w:tc>
        <w:tc>
          <w:tcPr>
            <w:tcW w:w="1100" w:type="dxa"/>
            <w:vAlign w:val="bottom"/>
          </w:tcPr>
          <w:p>
            <w:pPr>
              <w:jc w:val="center"/>
              <w:spacing w:after="0"/>
              <w:rPr>
                <w:sz w:val="20"/>
                <w:szCs w:val="20"/>
                <w:color w:val="auto"/>
              </w:rPr>
            </w:pPr>
            <w:r>
              <w:rPr>
                <w:rFonts w:ascii="Arial" w:cs="Arial" w:eastAsia="Arial" w:hAnsi="Arial"/>
                <w:sz w:val="18"/>
                <w:szCs w:val="18"/>
                <w:color w:val="auto"/>
              </w:rPr>
              <w:t>(15,161)</w:t>
            </w:r>
          </w:p>
        </w:tc>
        <w:tc>
          <w:tcPr>
            <w:tcW w:w="1120" w:type="dxa"/>
            <w:vAlign w:val="bottom"/>
          </w:tcPr>
          <w:p>
            <w:pPr>
              <w:jc w:val="center"/>
              <w:spacing w:after="0"/>
              <w:rPr>
                <w:sz w:val="20"/>
                <w:szCs w:val="20"/>
                <w:color w:val="auto"/>
              </w:rPr>
            </w:pPr>
            <w:r>
              <w:rPr>
                <w:rFonts w:ascii="Arial" w:cs="Arial" w:eastAsia="Arial" w:hAnsi="Arial"/>
                <w:sz w:val="18"/>
                <w:szCs w:val="18"/>
                <w:color w:val="auto"/>
              </w:rPr>
              <w:t>(14,778)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(19,155)</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29.6%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26.3%</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Administrative and general expenses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(4,367)</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(3,766)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(5,908)</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7"/>
              </w:rPr>
              <w:t>56.9%</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35.3%</w:t>
            </w:r>
          </w:p>
        </w:tc>
        <w:tc>
          <w:tcPr>
            <w:tcW w:w="0" w:type="dxa"/>
            <w:vAlign w:val="bottom"/>
          </w:tcPr>
          <w:p>
            <w:pPr>
              <w:spacing w:after="0"/>
              <w:rPr>
                <w:sz w:val="1"/>
                <w:szCs w:val="1"/>
                <w:color w:val="auto"/>
              </w:rPr>
            </w:pPr>
          </w:p>
        </w:tc>
      </w:tr>
      <w:tr>
        <w:trPr>
          <w:trHeight w:val="246"/>
        </w:trPr>
        <w:tc>
          <w:tcPr>
            <w:tcW w:w="20" w:type="dxa"/>
            <w:vAlign w:val="bottom"/>
            <w:shd w:val="clear" w:color="auto" w:fill="000000"/>
          </w:tcPr>
          <w:p>
            <w:pPr>
              <w:spacing w:after="0"/>
              <w:rPr>
                <w:sz w:val="21"/>
                <w:szCs w:val="21"/>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Total expenses</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rPr>
              <w:t>(19,528)</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rPr>
              <w:t>(18,544)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(25,063)</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35.2%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28.3%</w:t>
            </w:r>
          </w:p>
        </w:tc>
        <w:tc>
          <w:tcPr>
            <w:tcW w:w="0" w:type="dxa"/>
            <w:vAlign w:val="bottom"/>
          </w:tcPr>
          <w:p>
            <w:pPr>
              <w:spacing w:after="0"/>
              <w:rPr>
                <w:sz w:val="1"/>
                <w:szCs w:val="1"/>
                <w:color w:val="auto"/>
              </w:rPr>
            </w:pPr>
          </w:p>
        </w:tc>
      </w:tr>
      <w:tr>
        <w:trPr>
          <w:trHeight w:val="388"/>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Operating income</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1,255,119</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1,373,008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1,344,066</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-2.1%</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7.1%</w:t>
            </w:r>
          </w:p>
        </w:tc>
        <w:tc>
          <w:tcPr>
            <w:tcW w:w="0" w:type="dxa"/>
            <w:vAlign w:val="bottom"/>
          </w:tcPr>
          <w:p>
            <w:pPr>
              <w:spacing w:after="0"/>
              <w:rPr>
                <w:sz w:val="1"/>
                <w:szCs w:val="1"/>
                <w:color w:val="auto"/>
              </w:rPr>
            </w:pPr>
          </w:p>
        </w:tc>
      </w:tr>
      <w:tr>
        <w:trPr>
          <w:trHeight w:val="162"/>
        </w:trPr>
        <w:tc>
          <w:tcPr>
            <w:tcW w:w="20" w:type="dxa"/>
            <w:vAlign w:val="bottom"/>
            <w:shd w:val="clear" w:color="auto" w:fill="000000"/>
          </w:tcPr>
          <w:p>
            <w:pPr>
              <w:spacing w:after="0"/>
              <w:rPr>
                <w:sz w:val="14"/>
                <w:szCs w:val="14"/>
                <w:color w:val="auto"/>
              </w:rPr>
            </w:pPr>
          </w:p>
        </w:tc>
        <w:tc>
          <w:tcPr>
            <w:tcW w:w="56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Net gain (losses) from exchange differences</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5"/>
              </w:rPr>
              <w:t>(415)</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9"/>
              </w:rPr>
              <w:t>(752)</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31</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8"/>
              </w:rPr>
              <w:t>-104.1%</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-107.5%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Borders>
              <w:right w:val="single" w:sz="8" w:color="auto"/>
            </w:tcBorders>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140" w:type="dxa"/>
            <w:vAlign w:val="bottom"/>
            <w:tcBorders>
              <w:right w:val="single" w:sz="8" w:color="auto"/>
            </w:tcBorders>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000000"/>
          </w:tcPr>
          <w:p>
            <w:pPr>
              <w:spacing w:after="0"/>
              <w:rPr>
                <w:sz w:val="20"/>
                <w:szCs w:val="20"/>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Other, net</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231</w:t>
            </w:r>
          </w:p>
        </w:tc>
        <w:tc>
          <w:tcPr>
            <w:tcW w:w="1100" w:type="dxa"/>
            <w:vAlign w:val="bottom"/>
          </w:tcPr>
          <w:p>
            <w:pPr>
              <w:jc w:val="center"/>
              <w:spacing w:after="0"/>
              <w:rPr>
                <w:sz w:val="20"/>
                <w:szCs w:val="20"/>
                <w:color w:val="auto"/>
              </w:rPr>
            </w:pPr>
            <w:r>
              <w:rPr>
                <w:rFonts w:ascii="Arial" w:cs="Arial" w:eastAsia="Arial" w:hAnsi="Arial"/>
                <w:sz w:val="18"/>
                <w:szCs w:val="18"/>
                <w:color w:val="auto"/>
              </w:rPr>
              <w:t>n.a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354"/>
        </w:trPr>
        <w:tc>
          <w:tcPr>
            <w:tcW w:w="20" w:type="dxa"/>
            <w:vAlign w:val="bottom"/>
            <w:shd w:val="clear" w:color="auto" w:fill="000000"/>
          </w:tcPr>
          <w:p>
            <w:pPr>
              <w:spacing w:after="0"/>
              <w:rPr>
                <w:sz w:val="24"/>
                <w:szCs w:val="24"/>
                <w:color w:val="auto"/>
              </w:rPr>
            </w:pPr>
          </w:p>
        </w:tc>
        <w:tc>
          <w:tcPr>
            <w:tcW w:w="56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Profit before income tax</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1,254,698</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1,372,243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1,344,328</w:t>
            </w:r>
          </w:p>
        </w:tc>
        <w:tc>
          <w:tcPr>
            <w:tcW w:w="1100" w:type="dxa"/>
            <w:vAlign w:val="bottom"/>
          </w:tcPr>
          <w:p>
            <w:pPr>
              <w:jc w:val="center"/>
              <w:spacing w:after="0"/>
              <w:rPr>
                <w:sz w:val="20"/>
                <w:szCs w:val="20"/>
                <w:color w:val="auto"/>
              </w:rPr>
            </w:pPr>
            <w:r>
              <w:rPr>
                <w:rFonts w:ascii="Arial" w:cs="Arial" w:eastAsia="Arial" w:hAnsi="Arial"/>
                <w:sz w:val="18"/>
                <w:szCs w:val="18"/>
                <w:color w:val="auto"/>
                <w:w w:val="97"/>
              </w:rPr>
              <w:t>-2.0%</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7.1%</w:t>
            </w:r>
          </w:p>
        </w:tc>
        <w:tc>
          <w:tcPr>
            <w:tcW w:w="0" w:type="dxa"/>
            <w:vAlign w:val="bottom"/>
          </w:tcPr>
          <w:p>
            <w:pPr>
              <w:spacing w:after="0"/>
              <w:rPr>
                <w:sz w:val="1"/>
                <w:szCs w:val="1"/>
                <w:color w:val="auto"/>
              </w:rPr>
            </w:pPr>
          </w:p>
        </w:tc>
      </w:tr>
      <w:tr>
        <w:trPr>
          <w:trHeight w:val="201"/>
        </w:trPr>
        <w:tc>
          <w:tcPr>
            <w:tcW w:w="20" w:type="dxa"/>
            <w:vAlign w:val="bottom"/>
            <w:shd w:val="clear" w:color="auto" w:fill="000000"/>
          </w:tcPr>
          <w:p>
            <w:pPr>
              <w:spacing w:after="0"/>
              <w:rPr>
                <w:sz w:val="17"/>
                <w:szCs w:val="17"/>
                <w:color w:val="auto"/>
              </w:rPr>
            </w:pPr>
          </w:p>
        </w:tc>
        <w:tc>
          <w:tcPr>
            <w:tcW w:w="564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Income tax</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(20,079)</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rPr>
              <w:t>(42,290)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(42,000)</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7"/>
              </w:rPr>
              <w:t>-0.7%</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109.2%</w:t>
            </w:r>
          </w:p>
        </w:tc>
        <w:tc>
          <w:tcPr>
            <w:tcW w:w="0" w:type="dxa"/>
            <w:vAlign w:val="bottom"/>
          </w:tcPr>
          <w:p>
            <w:pPr>
              <w:spacing w:after="0"/>
              <w:rPr>
                <w:sz w:val="1"/>
                <w:szCs w:val="1"/>
                <w:color w:val="auto"/>
              </w:rPr>
            </w:pPr>
          </w:p>
        </w:tc>
      </w:tr>
      <w:tr>
        <w:trPr>
          <w:trHeight w:val="226"/>
        </w:trPr>
        <w:tc>
          <w:tcPr>
            <w:tcW w:w="20" w:type="dxa"/>
            <w:vAlign w:val="bottom"/>
            <w:tcBorders>
              <w:bottom w:val="single" w:sz="8" w:color="auto"/>
            </w:tcBorders>
            <w:shd w:val="clear" w:color="auto" w:fill="000000"/>
          </w:tcPr>
          <w:p>
            <w:pPr>
              <w:spacing w:after="0"/>
              <w:rPr>
                <w:sz w:val="19"/>
                <w:szCs w:val="19"/>
                <w:color w:val="auto"/>
              </w:rPr>
            </w:pPr>
          </w:p>
        </w:tc>
        <w:tc>
          <w:tcPr>
            <w:tcW w:w="56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1,234,619</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1,329,953</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1,302,328</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-2.1%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5.5%</w:t>
            </w:r>
          </w:p>
        </w:tc>
        <w:tc>
          <w:tcPr>
            <w:tcW w:w="0" w:type="dxa"/>
            <w:vAlign w:val="bottom"/>
          </w:tcPr>
          <w:p>
            <w:pPr>
              <w:spacing w:after="0"/>
              <w:rPr>
                <w:sz w:val="1"/>
                <w:szCs w:val="1"/>
                <w:color w:val="auto"/>
              </w:rPr>
            </w:pPr>
          </w:p>
        </w:tc>
      </w:tr>
      <w:tr>
        <w:trPr>
          <w:trHeight w:val="194"/>
        </w:trPr>
        <w:tc>
          <w:tcPr>
            <w:tcW w:w="20" w:type="dxa"/>
            <w:vAlign w:val="bottom"/>
            <w:tcBorders>
              <w:bottom w:val="single" w:sz="8" w:color="auto"/>
            </w:tcBorders>
          </w:tcPr>
          <w:p>
            <w:pPr>
              <w:spacing w:after="0"/>
              <w:rPr>
                <w:sz w:val="16"/>
                <w:szCs w:val="16"/>
                <w:color w:val="auto"/>
              </w:rPr>
            </w:pPr>
          </w:p>
        </w:tc>
        <w:tc>
          <w:tcPr>
            <w:tcW w:w="56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auto"/>
            </w:tcBorders>
            <w:shd w:val="clear" w:color="auto" w:fill="000000"/>
          </w:tcPr>
          <w:p>
            <w:pPr>
              <w:spacing w:after="0"/>
              <w:rPr>
                <w:sz w:val="18"/>
                <w:szCs w:val="18"/>
                <w:color w:val="auto"/>
              </w:rPr>
            </w:pPr>
          </w:p>
        </w:tc>
        <w:tc>
          <w:tcPr>
            <w:tcW w:w="5640" w:type="dxa"/>
            <w:vAlign w:val="bottom"/>
            <w:tcBorders>
              <w:bottom w:val="single" w:sz="8" w:color="auto"/>
              <w:right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Double Leverage Ratio</w:t>
            </w:r>
          </w:p>
        </w:tc>
        <w:tc>
          <w:tcPr>
            <w:tcW w:w="11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102.22%</w:t>
            </w:r>
          </w:p>
        </w:tc>
        <w:tc>
          <w:tcPr>
            <w:tcW w:w="11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103.03%</w:t>
            </w:r>
          </w:p>
        </w:tc>
        <w:tc>
          <w:tcPr>
            <w:tcW w:w="114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103.36%</w:t>
            </w:r>
          </w:p>
        </w:tc>
        <w:tc>
          <w:tcPr>
            <w:tcW w:w="11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33 bps</w:t>
            </w:r>
          </w:p>
        </w:tc>
        <w:tc>
          <w:tcPr>
            <w:tcW w:w="1120" w:type="dxa"/>
            <w:vAlign w:val="bottom"/>
            <w:tcBorders>
              <w:bottom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114 bps</w:t>
            </w:r>
          </w:p>
        </w:tc>
        <w:tc>
          <w:tcPr>
            <w:tcW w:w="0" w:type="dxa"/>
            <w:vAlign w:val="bottom"/>
          </w:tcPr>
          <w:p>
            <w:pPr>
              <w:spacing w:after="0"/>
              <w:rPr>
                <w:sz w:val="1"/>
                <w:szCs w:val="1"/>
                <w:color w:val="auto"/>
              </w:rPr>
            </w:pPr>
          </w:p>
        </w:tc>
      </w:tr>
    </w:tbl>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61" w:name="page62"/>
    <w:bookmarkEnd w:id="61"/>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12.5.3. BCP Consolidated</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5680" w:type="dxa"/>
            <w:vAlign w:val="bottom"/>
            <w:tcBorders>
              <w:right w:val="single" w:sz="8" w:color="auto"/>
            </w:tcBorders>
          </w:tcPr>
          <w:p>
            <w:pPr>
              <w:spacing w:after="0"/>
              <w:rPr>
                <w:sz w:val="21"/>
                <w:szCs w:val="21"/>
                <w:color w:val="auto"/>
              </w:rPr>
            </w:pPr>
          </w:p>
        </w:tc>
        <w:tc>
          <w:tcPr>
            <w:tcW w:w="1100" w:type="dxa"/>
            <w:vAlign w:val="bottom"/>
            <w:tcBorders>
              <w:top w:val="single" w:sz="8" w:color="auto"/>
            </w:tcBorders>
            <w:shd w:val="clear" w:color="auto" w:fill="2AD2C9"/>
          </w:tcPr>
          <w:p>
            <w:pPr>
              <w:spacing w:after="0"/>
              <w:rPr>
                <w:sz w:val="21"/>
                <w:szCs w:val="21"/>
                <w:color w:val="auto"/>
              </w:rPr>
            </w:pPr>
          </w:p>
        </w:tc>
        <w:tc>
          <w:tcPr>
            <w:tcW w:w="1140" w:type="dxa"/>
            <w:vAlign w:val="bottom"/>
            <w:tcBorders>
              <w:top w:val="single" w:sz="8" w:color="auto"/>
            </w:tcBorders>
            <w:shd w:val="clear" w:color="auto" w:fill="2AD2C9"/>
          </w:tcPr>
          <w:p>
            <w:pPr>
              <w:ind w:left="300"/>
              <w:spacing w:after="0"/>
              <w:rPr>
                <w:sz w:val="20"/>
                <w:szCs w:val="20"/>
                <w:color w:val="auto"/>
              </w:rPr>
            </w:pPr>
            <w:r>
              <w:rPr>
                <w:rFonts w:ascii="Arial" w:cs="Arial" w:eastAsia="Arial" w:hAnsi="Arial"/>
                <w:sz w:val="20"/>
                <w:szCs w:val="20"/>
                <w:b w:val="1"/>
                <w:bCs w:val="1"/>
                <w:color w:val="FFFFFF"/>
              </w:rPr>
              <w:t>As of</w:t>
            </w:r>
          </w:p>
        </w:tc>
        <w:tc>
          <w:tcPr>
            <w:tcW w:w="1080" w:type="dxa"/>
            <w:vAlign w:val="bottom"/>
            <w:tcBorders>
              <w:top w:val="single" w:sz="8" w:color="auto"/>
              <w:right w:val="single" w:sz="8" w:color="auto"/>
            </w:tcBorders>
            <w:shd w:val="clear" w:color="auto" w:fill="2AD2C9"/>
          </w:tcPr>
          <w:p>
            <w:pPr>
              <w:spacing w:after="0"/>
              <w:rPr>
                <w:sz w:val="21"/>
                <w:szCs w:val="21"/>
                <w:color w:val="auto"/>
              </w:rPr>
            </w:pPr>
          </w:p>
        </w:tc>
        <w:tc>
          <w:tcPr>
            <w:tcW w:w="2240" w:type="dxa"/>
            <w:vAlign w:val="bottom"/>
            <w:tcBorders>
              <w:top w:val="single" w:sz="8" w:color="auto"/>
              <w:right w:val="single" w:sz="8" w:color="auto"/>
            </w:tcBorders>
            <w:gridSpan w:val="2"/>
            <w:shd w:val="clear" w:color="auto" w:fill="2AD2C9"/>
          </w:tcPr>
          <w:p>
            <w:pPr>
              <w:ind w:left="660"/>
              <w:spacing w:after="0"/>
              <w:rPr>
                <w:sz w:val="20"/>
                <w:szCs w:val="20"/>
                <w:color w:val="auto"/>
              </w:rPr>
            </w:pPr>
            <w:r>
              <w:rPr>
                <w:rFonts w:ascii="Arial" w:cs="Arial" w:eastAsia="Arial" w:hAnsi="Arial"/>
                <w:sz w:val="20"/>
                <w:szCs w:val="20"/>
                <w:b w:val="1"/>
                <w:bCs w:val="1"/>
                <w:color w:val="FFFFFF"/>
              </w:rPr>
              <w:t>% change</w:t>
            </w:r>
          </w:p>
        </w:tc>
      </w:tr>
      <w:tr>
        <w:trPr>
          <w:trHeight w:val="190"/>
        </w:trPr>
        <w:tc>
          <w:tcPr>
            <w:tcW w:w="568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4"/>
                <w:szCs w:val="14"/>
                <w:b w:val="1"/>
                <w:bCs w:val="1"/>
                <w:color w:val="FFFFFF"/>
              </w:rPr>
              <w:t>Sep-21</w:t>
            </w:r>
          </w:p>
        </w:tc>
        <w:tc>
          <w:tcPr>
            <w:tcW w:w="114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4"/>
                <w:szCs w:val="14"/>
                <w:b w:val="1"/>
                <w:bCs w:val="1"/>
                <w:color w:val="FFFFFF"/>
              </w:rPr>
              <w:t>Jun-22</w:t>
            </w:r>
          </w:p>
        </w:tc>
        <w:tc>
          <w:tcPr>
            <w:tcW w:w="1080" w:type="dxa"/>
            <w:vAlign w:val="bottom"/>
            <w:tcBorders>
              <w:bottom w:val="single" w:sz="8" w:color="auto"/>
              <w:right w:val="single" w:sz="8" w:color="auto"/>
            </w:tcBorders>
            <w:shd w:val="clear" w:color="auto" w:fill="2AD2C9"/>
          </w:tcPr>
          <w:p>
            <w:pPr>
              <w:ind w:left="280"/>
              <w:spacing w:after="0"/>
              <w:rPr>
                <w:sz w:val="20"/>
                <w:szCs w:val="20"/>
                <w:color w:val="auto"/>
              </w:rPr>
            </w:pPr>
            <w:r>
              <w:rPr>
                <w:rFonts w:ascii="Arial" w:cs="Arial" w:eastAsia="Arial" w:hAnsi="Arial"/>
                <w:sz w:val="14"/>
                <w:szCs w:val="14"/>
                <w:b w:val="1"/>
                <w:bCs w:val="1"/>
                <w:color w:val="FFFFFF"/>
              </w:rPr>
              <w:t>Sep-22</w:t>
            </w:r>
          </w:p>
        </w:tc>
        <w:tc>
          <w:tcPr>
            <w:tcW w:w="1100" w:type="dxa"/>
            <w:vAlign w:val="bottom"/>
            <w:tcBorders>
              <w:bottom w:val="single" w:sz="8" w:color="auto"/>
            </w:tcBorders>
            <w:shd w:val="clear" w:color="auto" w:fill="2AD2C9"/>
          </w:tcPr>
          <w:p>
            <w:pPr>
              <w:ind w:left="400"/>
              <w:spacing w:after="0"/>
              <w:rPr>
                <w:sz w:val="20"/>
                <w:szCs w:val="20"/>
                <w:color w:val="auto"/>
              </w:rPr>
            </w:pPr>
            <w:r>
              <w:rPr>
                <w:rFonts w:ascii="Arial" w:cs="Arial" w:eastAsia="Arial" w:hAnsi="Arial"/>
                <w:sz w:val="14"/>
                <w:szCs w:val="14"/>
                <w:b w:val="1"/>
                <w:bCs w:val="1"/>
                <w:color w:val="FFFFFF"/>
              </w:rPr>
              <w:t>QoQ</w:t>
            </w:r>
          </w:p>
        </w:tc>
        <w:tc>
          <w:tcPr>
            <w:tcW w:w="1140" w:type="dxa"/>
            <w:vAlign w:val="bottom"/>
            <w:tcBorders>
              <w:bottom w:val="single" w:sz="8" w:color="auto"/>
              <w:right w:val="single" w:sz="8" w:color="auto"/>
            </w:tcBorders>
            <w:shd w:val="clear" w:color="auto" w:fill="2AD2C9"/>
          </w:tcPr>
          <w:p>
            <w:pPr>
              <w:ind w:left="420"/>
              <w:spacing w:after="0"/>
              <w:rPr>
                <w:sz w:val="20"/>
                <w:szCs w:val="20"/>
                <w:color w:val="auto"/>
              </w:rPr>
            </w:pPr>
            <w:r>
              <w:rPr>
                <w:rFonts w:ascii="Arial" w:cs="Arial" w:eastAsia="Arial" w:hAnsi="Arial"/>
                <w:sz w:val="14"/>
                <w:szCs w:val="14"/>
                <w:b w:val="1"/>
                <w:bCs w:val="1"/>
                <w:color w:val="FFFFFF"/>
              </w:rPr>
              <w:t>YoY</w:t>
            </w:r>
          </w:p>
        </w:tc>
      </w:tr>
      <w:tr>
        <w:trPr>
          <w:trHeight w:val="205"/>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161"/>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Cash and due from banks</w:t>
            </w: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Borders>
              <w:right w:val="single" w:sz="8" w:color="auto"/>
            </w:tcBorders>
          </w:tcPr>
          <w:p>
            <w:pPr>
              <w:spacing w:after="0"/>
              <w:rPr>
                <w:sz w:val="13"/>
                <w:szCs w:val="13"/>
                <w:color w:val="auto"/>
              </w:rPr>
            </w:pP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Non-interest bearing</w:t>
            </w:r>
          </w:p>
        </w:tc>
        <w:tc>
          <w:tcPr>
            <w:tcW w:w="1100" w:type="dxa"/>
            <w:vAlign w:val="bottom"/>
          </w:tcPr>
          <w:p>
            <w:pPr>
              <w:jc w:val="center"/>
              <w:spacing w:after="0"/>
              <w:rPr>
                <w:sz w:val="20"/>
                <w:szCs w:val="20"/>
                <w:color w:val="auto"/>
              </w:rPr>
            </w:pPr>
            <w:r>
              <w:rPr>
                <w:rFonts w:ascii="Arial" w:cs="Arial" w:eastAsia="Arial" w:hAnsi="Arial"/>
                <w:sz w:val="14"/>
                <w:szCs w:val="14"/>
                <w:color w:val="auto"/>
              </w:rPr>
              <w:t>6,157,037</w:t>
            </w:r>
          </w:p>
        </w:tc>
        <w:tc>
          <w:tcPr>
            <w:tcW w:w="1140" w:type="dxa"/>
            <w:vAlign w:val="bottom"/>
          </w:tcPr>
          <w:p>
            <w:pPr>
              <w:jc w:val="center"/>
              <w:spacing w:after="0"/>
              <w:rPr>
                <w:sz w:val="20"/>
                <w:szCs w:val="20"/>
                <w:color w:val="auto"/>
              </w:rPr>
            </w:pPr>
            <w:r>
              <w:rPr>
                <w:rFonts w:ascii="Arial" w:cs="Arial" w:eastAsia="Arial" w:hAnsi="Arial"/>
                <w:sz w:val="14"/>
                <w:szCs w:val="14"/>
                <w:color w:val="auto"/>
              </w:rPr>
              <w:t>5,236,507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5,458,040</w:t>
            </w:r>
          </w:p>
        </w:tc>
        <w:tc>
          <w:tcPr>
            <w:tcW w:w="1100" w:type="dxa"/>
            <w:vAlign w:val="bottom"/>
          </w:tcPr>
          <w:p>
            <w:pPr>
              <w:jc w:val="center"/>
              <w:spacing w:after="0"/>
              <w:rPr>
                <w:sz w:val="20"/>
                <w:szCs w:val="20"/>
                <w:color w:val="auto"/>
              </w:rPr>
            </w:pPr>
            <w:r>
              <w:rPr>
                <w:rFonts w:ascii="Arial" w:cs="Arial" w:eastAsia="Arial" w:hAnsi="Arial"/>
                <w:sz w:val="14"/>
                <w:szCs w:val="14"/>
                <w:color w:val="auto"/>
              </w:rPr>
              <w:t>4.2%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-11.4%</w:t>
            </w: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Interest bearing</w:t>
            </w:r>
          </w:p>
        </w:tc>
        <w:tc>
          <w:tcPr>
            <w:tcW w:w="1100" w:type="dxa"/>
            <w:vAlign w:val="bottom"/>
          </w:tcPr>
          <w:p>
            <w:pPr>
              <w:jc w:val="center"/>
              <w:spacing w:after="0"/>
              <w:rPr>
                <w:sz w:val="20"/>
                <w:szCs w:val="20"/>
                <w:color w:val="auto"/>
              </w:rPr>
            </w:pPr>
            <w:r>
              <w:rPr>
                <w:rFonts w:ascii="Arial" w:cs="Arial" w:eastAsia="Arial" w:hAnsi="Arial"/>
                <w:sz w:val="14"/>
                <w:szCs w:val="14"/>
                <w:color w:val="auto"/>
              </w:rPr>
              <w:t>33,783,609</w:t>
            </w:r>
          </w:p>
        </w:tc>
        <w:tc>
          <w:tcPr>
            <w:tcW w:w="1140" w:type="dxa"/>
            <w:vAlign w:val="bottom"/>
          </w:tcPr>
          <w:p>
            <w:pPr>
              <w:jc w:val="center"/>
              <w:spacing w:after="0"/>
              <w:rPr>
                <w:sz w:val="20"/>
                <w:szCs w:val="20"/>
                <w:color w:val="auto"/>
              </w:rPr>
            </w:pPr>
            <w:r>
              <w:rPr>
                <w:rFonts w:ascii="Arial" w:cs="Arial" w:eastAsia="Arial" w:hAnsi="Arial"/>
                <w:sz w:val="14"/>
                <w:szCs w:val="14"/>
                <w:color w:val="auto"/>
              </w:rPr>
              <w:t>22,383,291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28,265,953</w:t>
            </w:r>
          </w:p>
        </w:tc>
        <w:tc>
          <w:tcPr>
            <w:tcW w:w="1100" w:type="dxa"/>
            <w:vAlign w:val="bottom"/>
          </w:tcPr>
          <w:p>
            <w:pPr>
              <w:jc w:val="center"/>
              <w:spacing w:after="0"/>
              <w:rPr>
                <w:sz w:val="20"/>
                <w:szCs w:val="20"/>
                <w:color w:val="auto"/>
              </w:rPr>
            </w:pPr>
            <w:r>
              <w:rPr>
                <w:rFonts w:ascii="Arial" w:cs="Arial" w:eastAsia="Arial" w:hAnsi="Arial"/>
                <w:sz w:val="14"/>
                <w:szCs w:val="14"/>
                <w:color w:val="auto"/>
              </w:rPr>
              <w:t>26.3%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-16.3%</w:t>
            </w:r>
          </w:p>
        </w:tc>
      </w:tr>
      <w:tr>
        <w:trPr>
          <w:trHeight w:val="195"/>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Total cash and due from banks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39,940,646</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27,619,798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33,723,993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22.1%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-15.6%</w:t>
            </w:r>
          </w:p>
        </w:tc>
      </w:tr>
      <w:tr>
        <w:trPr>
          <w:trHeight w:val="348"/>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Cash collateral, reverse repurchase agreements and securities borrowing</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1,027,761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542,521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308,959</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-43.1%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-69.9%</w:t>
            </w:r>
          </w:p>
        </w:tc>
      </w:tr>
      <w:tr>
        <w:trPr>
          <w:trHeight w:val="314"/>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Fair value through profit or loss investments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1,406,424</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163,187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307,513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88.4%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-78.1%</w:t>
            </w:r>
          </w:p>
        </w:tc>
      </w:tr>
      <w:tr>
        <w:trPr>
          <w:trHeight w:val="161"/>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Fair value through other comprehensive income investments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18,167,181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9"/>
              </w:rPr>
              <w:t>17,868,118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18,277,389</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0.6%</w:t>
            </w:r>
          </w:p>
        </w:tc>
      </w:tr>
      <w:tr>
        <w:trPr>
          <w:trHeight w:val="195"/>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Amortized cost investments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7,597,755</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7,630,677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7,500,013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-1.3%</w:t>
            </w:r>
          </w:p>
        </w:tc>
      </w:tr>
      <w:tr>
        <w:trPr>
          <w:trHeight w:val="314"/>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Loans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133,369,027</w:t>
            </w: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138,012,365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138,419,933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0.3%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3.8%</w:t>
            </w: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Current</w:t>
            </w:r>
          </w:p>
        </w:tc>
        <w:tc>
          <w:tcPr>
            <w:tcW w:w="1100" w:type="dxa"/>
            <w:vAlign w:val="bottom"/>
          </w:tcPr>
          <w:p>
            <w:pPr>
              <w:jc w:val="center"/>
              <w:spacing w:after="0"/>
              <w:rPr>
                <w:sz w:val="20"/>
                <w:szCs w:val="20"/>
                <w:color w:val="auto"/>
              </w:rPr>
            </w:pPr>
            <w:r>
              <w:rPr>
                <w:rFonts w:ascii="Arial" w:cs="Arial" w:eastAsia="Arial" w:hAnsi="Arial"/>
                <w:sz w:val="14"/>
                <w:szCs w:val="14"/>
                <w:color w:val="auto"/>
              </w:rPr>
              <w:t>128,090,680</w:t>
            </w:r>
          </w:p>
        </w:tc>
        <w:tc>
          <w:tcPr>
            <w:tcW w:w="1140" w:type="dxa"/>
            <w:vAlign w:val="bottom"/>
          </w:tcPr>
          <w:p>
            <w:pPr>
              <w:jc w:val="center"/>
              <w:spacing w:after="0"/>
              <w:rPr>
                <w:sz w:val="20"/>
                <w:szCs w:val="20"/>
                <w:color w:val="auto"/>
              </w:rPr>
            </w:pPr>
            <w:r>
              <w:rPr>
                <w:rFonts w:ascii="Arial" w:cs="Arial" w:eastAsia="Arial" w:hAnsi="Arial"/>
                <w:sz w:val="14"/>
                <w:szCs w:val="14"/>
                <w:color w:val="auto"/>
              </w:rPr>
              <w:t>132,146,911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132,426,874</w:t>
            </w:r>
          </w:p>
        </w:tc>
        <w:tc>
          <w:tcPr>
            <w:tcW w:w="1100" w:type="dxa"/>
            <w:vAlign w:val="bottom"/>
          </w:tcPr>
          <w:p>
            <w:pPr>
              <w:jc w:val="center"/>
              <w:spacing w:after="0"/>
              <w:rPr>
                <w:sz w:val="20"/>
                <w:szCs w:val="20"/>
                <w:color w:val="auto"/>
              </w:rPr>
            </w:pPr>
            <w:r>
              <w:rPr>
                <w:rFonts w:ascii="Arial" w:cs="Arial" w:eastAsia="Arial" w:hAnsi="Arial"/>
                <w:sz w:val="14"/>
                <w:szCs w:val="14"/>
                <w:color w:val="auto"/>
              </w:rPr>
              <w:t>0.2%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3.4%</w:t>
            </w: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Internal overdue loans</w:t>
            </w:r>
          </w:p>
        </w:tc>
        <w:tc>
          <w:tcPr>
            <w:tcW w:w="1100" w:type="dxa"/>
            <w:vAlign w:val="bottom"/>
          </w:tcPr>
          <w:p>
            <w:pPr>
              <w:jc w:val="center"/>
              <w:spacing w:after="0"/>
              <w:rPr>
                <w:sz w:val="20"/>
                <w:szCs w:val="20"/>
                <w:color w:val="auto"/>
              </w:rPr>
            </w:pPr>
            <w:r>
              <w:rPr>
                <w:rFonts w:ascii="Arial" w:cs="Arial" w:eastAsia="Arial" w:hAnsi="Arial"/>
                <w:sz w:val="14"/>
                <w:szCs w:val="14"/>
                <w:color w:val="auto"/>
              </w:rPr>
              <w:t>5,278,347</w:t>
            </w:r>
          </w:p>
        </w:tc>
        <w:tc>
          <w:tcPr>
            <w:tcW w:w="1140" w:type="dxa"/>
            <w:vAlign w:val="bottom"/>
          </w:tcPr>
          <w:p>
            <w:pPr>
              <w:jc w:val="center"/>
              <w:spacing w:after="0"/>
              <w:rPr>
                <w:sz w:val="20"/>
                <w:szCs w:val="20"/>
                <w:color w:val="auto"/>
              </w:rPr>
            </w:pPr>
            <w:r>
              <w:rPr>
                <w:rFonts w:ascii="Arial" w:cs="Arial" w:eastAsia="Arial" w:hAnsi="Arial"/>
                <w:sz w:val="14"/>
                <w:szCs w:val="14"/>
                <w:color w:val="auto"/>
              </w:rPr>
              <w:t>5,865,454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5,993,059</w:t>
            </w:r>
          </w:p>
        </w:tc>
        <w:tc>
          <w:tcPr>
            <w:tcW w:w="1100" w:type="dxa"/>
            <w:vAlign w:val="bottom"/>
          </w:tcPr>
          <w:p>
            <w:pPr>
              <w:jc w:val="center"/>
              <w:spacing w:after="0"/>
              <w:rPr>
                <w:sz w:val="20"/>
                <w:szCs w:val="20"/>
                <w:color w:val="auto"/>
              </w:rPr>
            </w:pPr>
            <w:r>
              <w:rPr>
                <w:rFonts w:ascii="Arial" w:cs="Arial" w:eastAsia="Arial" w:hAnsi="Arial"/>
                <w:sz w:val="14"/>
                <w:szCs w:val="14"/>
                <w:color w:val="auto"/>
              </w:rPr>
              <w:t>2.2%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13.5%</w:t>
            </w: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Less - allowance for loan losses</w:t>
            </w:r>
          </w:p>
        </w:tc>
        <w:tc>
          <w:tcPr>
            <w:tcW w:w="1100" w:type="dxa"/>
            <w:vAlign w:val="bottom"/>
          </w:tcPr>
          <w:p>
            <w:pPr>
              <w:jc w:val="center"/>
              <w:spacing w:after="0"/>
              <w:rPr>
                <w:sz w:val="20"/>
                <w:szCs w:val="20"/>
                <w:color w:val="auto"/>
              </w:rPr>
            </w:pPr>
            <w:r>
              <w:rPr>
                <w:rFonts w:ascii="Arial" w:cs="Arial" w:eastAsia="Arial" w:hAnsi="Arial"/>
                <w:sz w:val="14"/>
                <w:szCs w:val="14"/>
                <w:color w:val="auto"/>
              </w:rPr>
              <w:t>(8,474,947)</w:t>
            </w:r>
          </w:p>
        </w:tc>
        <w:tc>
          <w:tcPr>
            <w:tcW w:w="1140" w:type="dxa"/>
            <w:vAlign w:val="bottom"/>
          </w:tcPr>
          <w:p>
            <w:pPr>
              <w:jc w:val="center"/>
              <w:spacing w:after="0"/>
              <w:rPr>
                <w:sz w:val="20"/>
                <w:szCs w:val="20"/>
                <w:color w:val="auto"/>
              </w:rPr>
            </w:pPr>
            <w:r>
              <w:rPr>
                <w:rFonts w:ascii="Arial" w:cs="Arial" w:eastAsia="Arial" w:hAnsi="Arial"/>
                <w:sz w:val="14"/>
                <w:szCs w:val="14"/>
                <w:color w:val="auto"/>
              </w:rPr>
              <w:t>(7,813,526)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(7,541,660)</w:t>
            </w:r>
          </w:p>
        </w:tc>
        <w:tc>
          <w:tcPr>
            <w:tcW w:w="1100" w:type="dxa"/>
            <w:vAlign w:val="bottom"/>
          </w:tcPr>
          <w:p>
            <w:pPr>
              <w:jc w:val="center"/>
              <w:spacing w:after="0"/>
              <w:rPr>
                <w:sz w:val="20"/>
                <w:szCs w:val="20"/>
                <w:color w:val="auto"/>
              </w:rPr>
            </w:pPr>
            <w:r>
              <w:rPr>
                <w:rFonts w:ascii="Arial" w:cs="Arial" w:eastAsia="Arial" w:hAnsi="Arial"/>
                <w:sz w:val="14"/>
                <w:szCs w:val="14"/>
                <w:color w:val="auto"/>
              </w:rPr>
              <w:t>-3.5%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-11.0%</w:t>
            </w:r>
          </w:p>
        </w:tc>
      </w:tr>
      <w:tr>
        <w:trPr>
          <w:trHeight w:val="195"/>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Loans, net</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124,894,080</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130,198,839</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130,878,273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0.5%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4.8%</w:t>
            </w:r>
          </w:p>
        </w:tc>
      </w:tr>
      <w:tr>
        <w:trPr>
          <w:trHeight w:val="314"/>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Property, furniture and equipment, net </w:t>
            </w:r>
            <w:r>
              <w:rPr>
                <w:rFonts w:ascii="Arial" w:cs="Arial" w:eastAsia="Arial" w:hAnsi="Arial"/>
                <w:sz w:val="23"/>
                <w:szCs w:val="23"/>
                <w:color w:val="auto"/>
                <w:vertAlign w:val="superscript"/>
              </w:rPr>
              <w:t>(1)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1,634,143</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1,558,507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1,500,806</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-3.7%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-8.2%</w:t>
            </w:r>
          </w:p>
        </w:tc>
      </w:tr>
      <w:tr>
        <w:trPr>
          <w:trHeight w:val="161"/>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Due from customers on acceptances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776,863</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743,925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697,119</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-6.3%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-10.3%</w:t>
            </w:r>
          </w:p>
        </w:tc>
      </w:tr>
      <w:tr>
        <w:trPr>
          <w:trHeight w:val="144"/>
        </w:trPr>
        <w:tc>
          <w:tcPr>
            <w:tcW w:w="568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4"/>
                <w:szCs w:val="14"/>
                <w:b w:val="1"/>
                <w:bCs w:val="1"/>
                <w:color w:val="auto"/>
              </w:rPr>
              <w:t>Investments in associates</w:t>
            </w:r>
          </w:p>
        </w:tc>
        <w:tc>
          <w:tcPr>
            <w:tcW w:w="1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23,944</w:t>
            </w:r>
          </w:p>
        </w:tc>
        <w:tc>
          <w:tcPr>
            <w:tcW w:w="11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7"/>
              </w:rPr>
              <w:t>26,411</w:t>
            </w:r>
          </w:p>
        </w:tc>
        <w:tc>
          <w:tcPr>
            <w:tcW w:w="10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7"/>
              </w:rPr>
              <w:t>29,953</w:t>
            </w:r>
          </w:p>
        </w:tc>
        <w:tc>
          <w:tcPr>
            <w:tcW w:w="1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13.4%</w:t>
            </w: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rPr>
              <w:t>25.1%</w:t>
            </w:r>
          </w:p>
        </w:tc>
      </w:tr>
      <w:tr>
        <w:trPr>
          <w:trHeight w:val="319"/>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Other assets </w:t>
            </w:r>
            <w:r>
              <w:rPr>
                <w:rFonts w:ascii="Arial" w:cs="Arial" w:eastAsia="Arial" w:hAnsi="Arial"/>
                <w:sz w:val="23"/>
                <w:szCs w:val="23"/>
                <w:color w:val="auto"/>
                <w:vertAlign w:val="superscript"/>
              </w:rPr>
              <w:t>(2)</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7,497,739</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7,018,343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6,645,503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-5.3%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-11.4%</w:t>
            </w:r>
          </w:p>
        </w:tc>
      </w:tr>
      <w:tr>
        <w:trPr>
          <w:trHeight w:val="241"/>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202,966,536</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193,370,326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199,869,521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3.4%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-1.5%</w:t>
            </w:r>
          </w:p>
        </w:tc>
      </w:tr>
      <w:tr>
        <w:trPr>
          <w:trHeight w:val="367"/>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144"/>
        </w:trPr>
        <w:tc>
          <w:tcPr>
            <w:tcW w:w="568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4"/>
                <w:szCs w:val="14"/>
                <w:b w:val="1"/>
                <w:bCs w:val="1"/>
                <w:color w:val="auto"/>
              </w:rPr>
              <w:t>Deposits and obligations</w:t>
            </w: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r>
      <w:tr>
        <w:trPr>
          <w:trHeight w:val="161"/>
        </w:trPr>
        <w:tc>
          <w:tcPr>
            <w:tcW w:w="5680" w:type="dxa"/>
            <w:vAlign w:val="bottom"/>
            <w:tcBorders>
              <w:left w:val="single" w:sz="8" w:color="auto"/>
              <w:right w:val="single" w:sz="8" w:color="auto"/>
            </w:tcBorders>
          </w:tcPr>
          <w:p>
            <w:pPr>
              <w:ind w:left="180"/>
              <w:spacing w:after="0" w:line="161" w:lineRule="exact"/>
              <w:rPr>
                <w:sz w:val="20"/>
                <w:szCs w:val="20"/>
                <w:color w:val="auto"/>
              </w:rPr>
            </w:pPr>
            <w:r>
              <w:rPr>
                <w:rFonts w:ascii="Arial" w:cs="Arial" w:eastAsia="Arial" w:hAnsi="Arial"/>
                <w:sz w:val="12"/>
                <w:szCs w:val="12"/>
                <w:color w:val="auto"/>
              </w:rPr>
              <w:t xml:space="preserve">Non-interest bearing </w:t>
            </w:r>
            <w:r>
              <w:rPr>
                <w:rFonts w:ascii="Arial" w:cs="Arial" w:eastAsia="Arial" w:hAnsi="Arial"/>
                <w:sz w:val="18"/>
                <w:szCs w:val="18"/>
                <w:color w:val="auto"/>
                <w:vertAlign w:val="superscript"/>
              </w:rPr>
              <w:t>(1)</w:t>
            </w:r>
          </w:p>
        </w:tc>
        <w:tc>
          <w:tcPr>
            <w:tcW w:w="1100" w:type="dxa"/>
            <w:vAlign w:val="bottom"/>
          </w:tcPr>
          <w:p>
            <w:pPr>
              <w:jc w:val="center"/>
              <w:spacing w:after="0"/>
              <w:rPr>
                <w:sz w:val="20"/>
                <w:szCs w:val="20"/>
                <w:color w:val="auto"/>
              </w:rPr>
            </w:pPr>
            <w:r>
              <w:rPr>
                <w:rFonts w:ascii="Arial" w:cs="Arial" w:eastAsia="Arial" w:hAnsi="Arial"/>
                <w:sz w:val="14"/>
                <w:szCs w:val="14"/>
                <w:color w:val="auto"/>
              </w:rPr>
              <w:t>47,262,689</w:t>
            </w:r>
          </w:p>
        </w:tc>
        <w:tc>
          <w:tcPr>
            <w:tcW w:w="1140" w:type="dxa"/>
            <w:vAlign w:val="bottom"/>
          </w:tcPr>
          <w:p>
            <w:pPr>
              <w:jc w:val="center"/>
              <w:spacing w:after="0"/>
              <w:rPr>
                <w:sz w:val="20"/>
                <w:szCs w:val="20"/>
                <w:color w:val="auto"/>
              </w:rPr>
            </w:pPr>
            <w:r>
              <w:rPr>
                <w:rFonts w:ascii="Arial" w:cs="Arial" w:eastAsia="Arial" w:hAnsi="Arial"/>
                <w:sz w:val="14"/>
                <w:szCs w:val="14"/>
                <w:color w:val="auto"/>
              </w:rPr>
              <w:t>40,994,205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42,200,017</w:t>
            </w:r>
          </w:p>
        </w:tc>
        <w:tc>
          <w:tcPr>
            <w:tcW w:w="1100" w:type="dxa"/>
            <w:vAlign w:val="bottom"/>
          </w:tcPr>
          <w:p>
            <w:pPr>
              <w:jc w:val="center"/>
              <w:spacing w:after="0"/>
              <w:rPr>
                <w:sz w:val="20"/>
                <w:szCs w:val="20"/>
                <w:color w:val="auto"/>
              </w:rPr>
            </w:pPr>
            <w:r>
              <w:rPr>
                <w:rFonts w:ascii="Arial" w:cs="Arial" w:eastAsia="Arial" w:hAnsi="Arial"/>
                <w:sz w:val="14"/>
                <w:szCs w:val="14"/>
                <w:color w:val="auto"/>
              </w:rPr>
              <w:t>2.9%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-10.7%</w:t>
            </w:r>
          </w:p>
        </w:tc>
      </w:tr>
      <w:tr>
        <w:trPr>
          <w:trHeight w:val="177"/>
        </w:trPr>
        <w:tc>
          <w:tcPr>
            <w:tcW w:w="5680" w:type="dxa"/>
            <w:vAlign w:val="bottom"/>
            <w:tcBorders>
              <w:left w:val="single" w:sz="8" w:color="auto"/>
              <w:right w:val="single" w:sz="8" w:color="auto"/>
            </w:tcBorders>
          </w:tcPr>
          <w:p>
            <w:pPr>
              <w:ind w:left="180"/>
              <w:spacing w:after="0" w:line="177" w:lineRule="exact"/>
              <w:rPr>
                <w:sz w:val="20"/>
                <w:szCs w:val="20"/>
                <w:color w:val="auto"/>
              </w:rPr>
            </w:pPr>
            <w:r>
              <w:rPr>
                <w:rFonts w:ascii="Arial" w:cs="Arial" w:eastAsia="Arial" w:hAnsi="Arial"/>
                <w:sz w:val="13"/>
                <w:szCs w:val="13"/>
                <w:color w:val="auto"/>
              </w:rPr>
              <w:t xml:space="preserve">Interest bearing </w:t>
            </w:r>
            <w:r>
              <w:rPr>
                <w:rFonts w:ascii="Arial" w:cs="Arial" w:eastAsia="Arial" w:hAnsi="Arial"/>
                <w:sz w:val="20"/>
                <w:szCs w:val="20"/>
                <w:color w:val="auto"/>
                <w:vertAlign w:val="superscript"/>
              </w:rPr>
              <w:t>(1)</w:t>
            </w:r>
          </w:p>
        </w:tc>
        <w:tc>
          <w:tcPr>
            <w:tcW w:w="1100" w:type="dxa"/>
            <w:vAlign w:val="bottom"/>
          </w:tcPr>
          <w:p>
            <w:pPr>
              <w:jc w:val="center"/>
              <w:spacing w:after="0"/>
              <w:rPr>
                <w:sz w:val="20"/>
                <w:szCs w:val="20"/>
                <w:color w:val="auto"/>
              </w:rPr>
            </w:pPr>
            <w:r>
              <w:rPr>
                <w:rFonts w:ascii="Arial" w:cs="Arial" w:eastAsia="Arial" w:hAnsi="Arial"/>
                <w:sz w:val="14"/>
                <w:szCs w:val="14"/>
                <w:color w:val="auto"/>
              </w:rPr>
              <w:t>86,404,649</w:t>
            </w:r>
          </w:p>
        </w:tc>
        <w:tc>
          <w:tcPr>
            <w:tcW w:w="1140" w:type="dxa"/>
            <w:vAlign w:val="bottom"/>
          </w:tcPr>
          <w:p>
            <w:pPr>
              <w:jc w:val="center"/>
              <w:spacing w:after="0"/>
              <w:rPr>
                <w:sz w:val="20"/>
                <w:szCs w:val="20"/>
                <w:color w:val="auto"/>
              </w:rPr>
            </w:pPr>
            <w:r>
              <w:rPr>
                <w:rFonts w:ascii="Arial" w:cs="Arial" w:eastAsia="Arial" w:hAnsi="Arial"/>
                <w:sz w:val="14"/>
                <w:szCs w:val="14"/>
                <w:color w:val="auto"/>
              </w:rPr>
              <w:t>88,145,130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91,406,523</w:t>
            </w:r>
          </w:p>
        </w:tc>
        <w:tc>
          <w:tcPr>
            <w:tcW w:w="1100" w:type="dxa"/>
            <w:vAlign w:val="bottom"/>
          </w:tcPr>
          <w:p>
            <w:pPr>
              <w:jc w:val="center"/>
              <w:spacing w:after="0"/>
              <w:rPr>
                <w:sz w:val="20"/>
                <w:szCs w:val="20"/>
                <w:color w:val="auto"/>
              </w:rPr>
            </w:pPr>
            <w:r>
              <w:rPr>
                <w:rFonts w:ascii="Arial" w:cs="Arial" w:eastAsia="Arial" w:hAnsi="Arial"/>
                <w:sz w:val="14"/>
                <w:szCs w:val="14"/>
                <w:color w:val="auto"/>
              </w:rPr>
              <w:t>3.7%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5.8%</w:t>
            </w:r>
          </w:p>
        </w:tc>
      </w:tr>
      <w:tr>
        <w:trPr>
          <w:trHeight w:val="195"/>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Total deposits and obligations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133,667,338</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129,139,335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133,606,540</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3.5%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0.0%</w:t>
            </w:r>
          </w:p>
        </w:tc>
      </w:tr>
      <w:tr>
        <w:trPr>
          <w:trHeight w:val="314"/>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Payables from repurchase agreements and securities lending</w:t>
            </w:r>
          </w:p>
        </w:tc>
        <w:tc>
          <w:tcPr>
            <w:tcW w:w="1100" w:type="dxa"/>
            <w:vAlign w:val="bottom"/>
          </w:tcPr>
          <w:p>
            <w:pPr>
              <w:jc w:val="center"/>
              <w:spacing w:after="0"/>
              <w:rPr>
                <w:sz w:val="20"/>
                <w:szCs w:val="20"/>
                <w:color w:val="auto"/>
              </w:rPr>
            </w:pPr>
            <w:r>
              <w:rPr>
                <w:rFonts w:ascii="Arial" w:cs="Arial" w:eastAsia="Arial" w:hAnsi="Arial"/>
                <w:sz w:val="14"/>
                <w:szCs w:val="14"/>
                <w:color w:val="auto"/>
              </w:rPr>
              <w:t>21,308,690</w:t>
            </w:r>
          </w:p>
        </w:tc>
        <w:tc>
          <w:tcPr>
            <w:tcW w:w="1140" w:type="dxa"/>
            <w:vAlign w:val="bottom"/>
          </w:tcPr>
          <w:p>
            <w:pPr>
              <w:jc w:val="center"/>
              <w:spacing w:after="0"/>
              <w:rPr>
                <w:sz w:val="20"/>
                <w:szCs w:val="20"/>
                <w:color w:val="auto"/>
              </w:rPr>
            </w:pPr>
            <w:r>
              <w:rPr>
                <w:rFonts w:ascii="Arial" w:cs="Arial" w:eastAsia="Arial" w:hAnsi="Arial"/>
                <w:sz w:val="14"/>
                <w:szCs w:val="14"/>
                <w:color w:val="auto"/>
              </w:rPr>
              <w:t>16,578,846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15,001,393</w:t>
            </w:r>
          </w:p>
        </w:tc>
        <w:tc>
          <w:tcPr>
            <w:tcW w:w="1100" w:type="dxa"/>
            <w:vAlign w:val="bottom"/>
          </w:tcPr>
          <w:p>
            <w:pPr>
              <w:jc w:val="center"/>
              <w:spacing w:after="0"/>
              <w:rPr>
                <w:sz w:val="20"/>
                <w:szCs w:val="20"/>
                <w:color w:val="auto"/>
              </w:rPr>
            </w:pPr>
            <w:r>
              <w:rPr>
                <w:rFonts w:ascii="Arial" w:cs="Arial" w:eastAsia="Arial" w:hAnsi="Arial"/>
                <w:sz w:val="14"/>
                <w:szCs w:val="14"/>
                <w:color w:val="auto"/>
              </w:rPr>
              <w:t>-9.5%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-29.6%</w:t>
            </w: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BCRP instruments</w:t>
            </w:r>
          </w:p>
        </w:tc>
        <w:tc>
          <w:tcPr>
            <w:tcW w:w="1100" w:type="dxa"/>
            <w:vAlign w:val="bottom"/>
          </w:tcPr>
          <w:p>
            <w:pPr>
              <w:jc w:val="center"/>
              <w:spacing w:after="0"/>
              <w:rPr>
                <w:sz w:val="20"/>
                <w:szCs w:val="20"/>
                <w:color w:val="auto"/>
              </w:rPr>
            </w:pPr>
            <w:r>
              <w:rPr>
                <w:rFonts w:ascii="Arial" w:cs="Arial" w:eastAsia="Arial" w:hAnsi="Arial"/>
                <w:sz w:val="14"/>
                <w:szCs w:val="14"/>
                <w:color w:val="auto"/>
              </w:rPr>
              <w:t>20,746,109</w:t>
            </w:r>
          </w:p>
        </w:tc>
        <w:tc>
          <w:tcPr>
            <w:tcW w:w="1140" w:type="dxa"/>
            <w:vAlign w:val="bottom"/>
          </w:tcPr>
          <w:p>
            <w:pPr>
              <w:jc w:val="center"/>
              <w:spacing w:after="0"/>
              <w:rPr>
                <w:sz w:val="20"/>
                <w:szCs w:val="20"/>
                <w:color w:val="auto"/>
              </w:rPr>
            </w:pPr>
            <w:r>
              <w:rPr>
                <w:rFonts w:ascii="Arial" w:cs="Arial" w:eastAsia="Arial" w:hAnsi="Arial"/>
                <w:sz w:val="14"/>
                <w:szCs w:val="14"/>
                <w:color w:val="auto"/>
              </w:rPr>
              <w:t>16,031,618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14,449,597</w:t>
            </w:r>
          </w:p>
        </w:tc>
        <w:tc>
          <w:tcPr>
            <w:tcW w:w="1100" w:type="dxa"/>
            <w:vAlign w:val="bottom"/>
          </w:tcPr>
          <w:p>
            <w:pPr>
              <w:jc w:val="center"/>
              <w:spacing w:after="0"/>
              <w:rPr>
                <w:sz w:val="20"/>
                <w:szCs w:val="20"/>
                <w:color w:val="auto"/>
              </w:rPr>
            </w:pPr>
            <w:r>
              <w:rPr>
                <w:rFonts w:ascii="Arial" w:cs="Arial" w:eastAsia="Arial" w:hAnsi="Arial"/>
                <w:sz w:val="14"/>
                <w:szCs w:val="14"/>
                <w:color w:val="auto"/>
              </w:rPr>
              <w:t>-9.9%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-30.4%</w:t>
            </w: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Repurchase agreements with third parties</w:t>
            </w:r>
          </w:p>
        </w:tc>
        <w:tc>
          <w:tcPr>
            <w:tcW w:w="1100" w:type="dxa"/>
            <w:vAlign w:val="bottom"/>
          </w:tcPr>
          <w:p>
            <w:pPr>
              <w:jc w:val="center"/>
              <w:spacing w:after="0"/>
              <w:rPr>
                <w:sz w:val="20"/>
                <w:szCs w:val="20"/>
                <w:color w:val="auto"/>
              </w:rPr>
            </w:pPr>
            <w:r>
              <w:rPr>
                <w:rFonts w:ascii="Arial" w:cs="Arial" w:eastAsia="Arial" w:hAnsi="Arial"/>
                <w:sz w:val="14"/>
                <w:szCs w:val="14"/>
                <w:color w:val="auto"/>
              </w:rPr>
              <w:t>562,581</w:t>
            </w:r>
          </w:p>
        </w:tc>
        <w:tc>
          <w:tcPr>
            <w:tcW w:w="1140" w:type="dxa"/>
            <w:vAlign w:val="bottom"/>
          </w:tcPr>
          <w:p>
            <w:pPr>
              <w:jc w:val="center"/>
              <w:spacing w:after="0"/>
              <w:rPr>
                <w:sz w:val="20"/>
                <w:szCs w:val="20"/>
                <w:color w:val="auto"/>
              </w:rPr>
            </w:pPr>
            <w:r>
              <w:rPr>
                <w:rFonts w:ascii="Arial" w:cs="Arial" w:eastAsia="Arial" w:hAnsi="Arial"/>
                <w:sz w:val="14"/>
                <w:szCs w:val="14"/>
                <w:color w:val="auto"/>
              </w:rPr>
              <w:t>547,228</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551,796</w:t>
            </w:r>
          </w:p>
        </w:tc>
        <w:tc>
          <w:tcPr>
            <w:tcW w:w="1100" w:type="dxa"/>
            <w:vAlign w:val="bottom"/>
          </w:tcPr>
          <w:p>
            <w:pPr>
              <w:jc w:val="center"/>
              <w:spacing w:after="0"/>
              <w:rPr>
                <w:sz w:val="20"/>
                <w:szCs w:val="20"/>
                <w:color w:val="auto"/>
              </w:rPr>
            </w:pPr>
            <w:r>
              <w:rPr>
                <w:rFonts w:ascii="Arial" w:cs="Arial" w:eastAsia="Arial" w:hAnsi="Arial"/>
                <w:sz w:val="14"/>
                <w:szCs w:val="14"/>
                <w:color w:val="auto"/>
              </w:rPr>
              <w:t>0.8%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-1.9%</w:t>
            </w:r>
          </w:p>
        </w:tc>
      </w:tr>
      <w:tr>
        <w:trPr>
          <w:trHeight w:val="161"/>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Due to banks and correspondents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6,973,909</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5,963,573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8,563,079</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43.6%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22.8%</w:t>
            </w:r>
          </w:p>
        </w:tc>
      </w:tr>
      <w:tr>
        <w:trPr>
          <w:trHeight w:val="161"/>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Bonds and notes issued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14,838,736</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14,093,426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14,518,870</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3.0%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-2.2%</w:t>
            </w:r>
          </w:p>
        </w:tc>
      </w:tr>
      <w:tr>
        <w:trPr>
          <w:trHeight w:val="161"/>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Banker’s acceptances outstanding</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776,863</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743,925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697,119</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-6.3%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-10.3%</w:t>
            </w:r>
          </w:p>
        </w:tc>
      </w:tr>
      <w:tr>
        <w:trPr>
          <w:trHeight w:val="144"/>
        </w:trPr>
        <w:tc>
          <w:tcPr>
            <w:tcW w:w="5680" w:type="dxa"/>
            <w:vAlign w:val="bottom"/>
            <w:tcBorders>
              <w:left w:val="single" w:sz="8" w:color="auto"/>
              <w:right w:val="single" w:sz="8" w:color="auto"/>
            </w:tcBorders>
          </w:tcPr>
          <w:p>
            <w:pPr>
              <w:ind w:left="20"/>
              <w:spacing w:after="0" w:line="144" w:lineRule="exact"/>
              <w:rPr>
                <w:sz w:val="20"/>
                <w:szCs w:val="20"/>
                <w:color w:val="auto"/>
              </w:rPr>
            </w:pPr>
            <w:r>
              <w:rPr>
                <w:rFonts w:ascii="Arial" w:cs="Arial" w:eastAsia="Arial" w:hAnsi="Arial"/>
                <w:sz w:val="14"/>
                <w:szCs w:val="14"/>
                <w:b w:val="1"/>
                <w:bCs w:val="1"/>
                <w:color w:val="auto"/>
              </w:rPr>
              <w:t>Financial liabilities at fair value through profit or loss</w:t>
            </w:r>
          </w:p>
        </w:tc>
        <w:tc>
          <w:tcPr>
            <w:tcW w:w="1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484,531</w:t>
            </w:r>
          </w:p>
        </w:tc>
        <w:tc>
          <w:tcPr>
            <w:tcW w:w="114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210,393</w:t>
            </w:r>
          </w:p>
        </w:tc>
        <w:tc>
          <w:tcPr>
            <w:tcW w:w="10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8"/>
              </w:rPr>
              <w:t>140,146</w:t>
            </w:r>
          </w:p>
        </w:tc>
        <w:tc>
          <w:tcPr>
            <w:tcW w:w="11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0.0%</w:t>
            </w:r>
          </w:p>
        </w:tc>
        <w:tc>
          <w:tcPr>
            <w:tcW w:w="114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4"/>
                <w:szCs w:val="14"/>
                <w:b w:val="1"/>
                <w:bCs w:val="1"/>
                <w:color w:val="auto"/>
                <w:w w:val="99"/>
              </w:rPr>
              <w:t>-71.1%</w:t>
            </w:r>
          </w:p>
        </w:tc>
      </w:tr>
      <w:tr>
        <w:trPr>
          <w:trHeight w:val="177"/>
        </w:trPr>
        <w:tc>
          <w:tcPr>
            <w:tcW w:w="5680" w:type="dxa"/>
            <w:vAlign w:val="bottom"/>
            <w:tcBorders>
              <w:left w:val="single" w:sz="8" w:color="auto"/>
              <w:right w:val="single" w:sz="8" w:color="auto"/>
            </w:tcBorders>
          </w:tcPr>
          <w:p>
            <w:pPr>
              <w:ind w:left="20"/>
              <w:spacing w:after="0" w:line="177" w:lineRule="exact"/>
              <w:rPr>
                <w:sz w:val="20"/>
                <w:szCs w:val="20"/>
                <w:color w:val="auto"/>
              </w:rPr>
            </w:pPr>
            <w:r>
              <w:rPr>
                <w:rFonts w:ascii="Arial" w:cs="Arial" w:eastAsia="Arial" w:hAnsi="Arial"/>
                <w:sz w:val="13"/>
                <w:szCs w:val="13"/>
                <w:b w:val="1"/>
                <w:bCs w:val="1"/>
                <w:color w:val="auto"/>
              </w:rPr>
              <w:t xml:space="preserve">Other liabilities </w:t>
            </w:r>
            <w:r>
              <w:rPr>
                <w:rFonts w:ascii="Arial" w:cs="Arial" w:eastAsia="Arial" w:hAnsi="Arial"/>
                <w:sz w:val="20"/>
                <w:szCs w:val="20"/>
                <w:color w:val="auto"/>
                <w:vertAlign w:val="superscript"/>
              </w:rPr>
              <w:t>(3)</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5,287,243</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5,512,852</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5,102,548</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-7.4%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-3.5%</w:t>
            </w:r>
          </w:p>
        </w:tc>
      </w:tr>
      <w:tr>
        <w:trPr>
          <w:trHeight w:val="195"/>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183,337,310</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172,242,350</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177,629,695</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3.1%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-3.1%</w:t>
            </w:r>
          </w:p>
        </w:tc>
      </w:tr>
      <w:tr>
        <w:trPr>
          <w:trHeight w:val="314"/>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equity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19,505,851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20,987,313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22,091,980</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5.3%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13.3%</w:t>
            </w: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Capital stock</w:t>
            </w:r>
          </w:p>
        </w:tc>
        <w:tc>
          <w:tcPr>
            <w:tcW w:w="1100" w:type="dxa"/>
            <w:vAlign w:val="bottom"/>
          </w:tcPr>
          <w:p>
            <w:pPr>
              <w:jc w:val="center"/>
              <w:spacing w:after="0"/>
              <w:rPr>
                <w:sz w:val="20"/>
                <w:szCs w:val="20"/>
                <w:color w:val="auto"/>
              </w:rPr>
            </w:pPr>
            <w:r>
              <w:rPr>
                <w:rFonts w:ascii="Arial" w:cs="Arial" w:eastAsia="Arial" w:hAnsi="Arial"/>
                <w:sz w:val="14"/>
                <w:szCs w:val="14"/>
                <w:color w:val="auto"/>
              </w:rPr>
              <w:t>11,024,006</w:t>
            </w:r>
          </w:p>
        </w:tc>
        <w:tc>
          <w:tcPr>
            <w:tcW w:w="1140" w:type="dxa"/>
            <w:vAlign w:val="bottom"/>
          </w:tcPr>
          <w:p>
            <w:pPr>
              <w:jc w:val="center"/>
              <w:spacing w:after="0"/>
              <w:rPr>
                <w:sz w:val="20"/>
                <w:szCs w:val="20"/>
                <w:color w:val="auto"/>
              </w:rPr>
            </w:pPr>
            <w:r>
              <w:rPr>
                <w:rFonts w:ascii="Arial" w:cs="Arial" w:eastAsia="Arial" w:hAnsi="Arial"/>
                <w:sz w:val="14"/>
                <w:szCs w:val="14"/>
                <w:color w:val="auto"/>
                <w:w w:val="99"/>
              </w:rPr>
              <w:t>11,882,984</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11,882,984</w:t>
            </w:r>
          </w:p>
        </w:tc>
        <w:tc>
          <w:tcPr>
            <w:tcW w:w="1100" w:type="dxa"/>
            <w:vAlign w:val="bottom"/>
          </w:tcPr>
          <w:p>
            <w:pPr>
              <w:jc w:val="center"/>
              <w:spacing w:after="0"/>
              <w:rPr>
                <w:sz w:val="20"/>
                <w:szCs w:val="20"/>
                <w:color w:val="auto"/>
              </w:rPr>
            </w:pPr>
            <w:r>
              <w:rPr>
                <w:rFonts w:ascii="Arial" w:cs="Arial" w:eastAsia="Arial" w:hAnsi="Arial"/>
                <w:sz w:val="14"/>
                <w:szCs w:val="14"/>
                <w:color w:val="auto"/>
              </w:rPr>
              <w:t>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7.8%</w:t>
            </w: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Reserves</w:t>
            </w:r>
          </w:p>
        </w:tc>
        <w:tc>
          <w:tcPr>
            <w:tcW w:w="1100" w:type="dxa"/>
            <w:vAlign w:val="bottom"/>
          </w:tcPr>
          <w:p>
            <w:pPr>
              <w:jc w:val="center"/>
              <w:spacing w:after="0"/>
              <w:rPr>
                <w:sz w:val="20"/>
                <w:szCs w:val="20"/>
                <w:color w:val="auto"/>
              </w:rPr>
            </w:pPr>
            <w:r>
              <w:rPr>
                <w:rFonts w:ascii="Arial" w:cs="Arial" w:eastAsia="Arial" w:hAnsi="Arial"/>
                <w:sz w:val="14"/>
                <w:szCs w:val="14"/>
                <w:color w:val="auto"/>
              </w:rPr>
              <w:t>6,488,969</w:t>
            </w:r>
          </w:p>
        </w:tc>
        <w:tc>
          <w:tcPr>
            <w:tcW w:w="1140" w:type="dxa"/>
            <w:vAlign w:val="bottom"/>
          </w:tcPr>
          <w:p>
            <w:pPr>
              <w:jc w:val="center"/>
              <w:spacing w:after="0"/>
              <w:rPr>
                <w:sz w:val="20"/>
                <w:szCs w:val="20"/>
                <w:color w:val="auto"/>
              </w:rPr>
            </w:pPr>
            <w:r>
              <w:rPr>
                <w:rFonts w:ascii="Arial" w:cs="Arial" w:eastAsia="Arial" w:hAnsi="Arial"/>
                <w:sz w:val="14"/>
                <w:szCs w:val="14"/>
                <w:color w:val="auto"/>
              </w:rPr>
              <w:t>7,298,035</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7,298,035</w:t>
            </w:r>
          </w:p>
        </w:tc>
        <w:tc>
          <w:tcPr>
            <w:tcW w:w="1100" w:type="dxa"/>
            <w:vAlign w:val="bottom"/>
          </w:tcPr>
          <w:p>
            <w:pPr>
              <w:jc w:val="center"/>
              <w:spacing w:after="0"/>
              <w:rPr>
                <w:sz w:val="20"/>
                <w:szCs w:val="20"/>
                <w:color w:val="auto"/>
              </w:rPr>
            </w:pPr>
            <w:r>
              <w:rPr>
                <w:rFonts w:ascii="Arial" w:cs="Arial" w:eastAsia="Arial" w:hAnsi="Arial"/>
                <w:sz w:val="14"/>
                <w:szCs w:val="14"/>
                <w:color w:val="auto"/>
              </w:rPr>
              <w:t>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12.5%</w:t>
            </w:r>
          </w:p>
        </w:tc>
      </w:tr>
      <w:tr>
        <w:trPr>
          <w:trHeight w:val="161"/>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Unrealized gains and losses</w:t>
            </w:r>
          </w:p>
        </w:tc>
        <w:tc>
          <w:tcPr>
            <w:tcW w:w="1100" w:type="dxa"/>
            <w:vAlign w:val="bottom"/>
          </w:tcPr>
          <w:p>
            <w:pPr>
              <w:jc w:val="center"/>
              <w:spacing w:after="0"/>
              <w:rPr>
                <w:sz w:val="20"/>
                <w:szCs w:val="20"/>
                <w:color w:val="auto"/>
              </w:rPr>
            </w:pPr>
            <w:r>
              <w:rPr>
                <w:rFonts w:ascii="Arial" w:cs="Arial" w:eastAsia="Arial" w:hAnsi="Arial"/>
                <w:sz w:val="14"/>
                <w:szCs w:val="14"/>
                <w:color w:val="auto"/>
              </w:rPr>
              <w:t>(583,178)</w:t>
            </w:r>
          </w:p>
        </w:tc>
        <w:tc>
          <w:tcPr>
            <w:tcW w:w="1140" w:type="dxa"/>
            <w:vAlign w:val="bottom"/>
          </w:tcPr>
          <w:p>
            <w:pPr>
              <w:jc w:val="center"/>
              <w:spacing w:after="0"/>
              <w:rPr>
                <w:sz w:val="20"/>
                <w:szCs w:val="20"/>
                <w:color w:val="auto"/>
              </w:rPr>
            </w:pPr>
            <w:r>
              <w:rPr>
                <w:rFonts w:ascii="Arial" w:cs="Arial" w:eastAsia="Arial" w:hAnsi="Arial"/>
                <w:sz w:val="14"/>
                <w:szCs w:val="14"/>
                <w:color w:val="auto"/>
              </w:rPr>
              <w:t>(1,089,747)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(1,274,918)</w:t>
            </w:r>
          </w:p>
        </w:tc>
        <w:tc>
          <w:tcPr>
            <w:tcW w:w="1100" w:type="dxa"/>
            <w:vAlign w:val="bottom"/>
          </w:tcPr>
          <w:p>
            <w:pPr>
              <w:jc w:val="center"/>
              <w:spacing w:after="0"/>
              <w:rPr>
                <w:sz w:val="20"/>
                <w:szCs w:val="20"/>
                <w:color w:val="auto"/>
              </w:rPr>
            </w:pPr>
            <w:r>
              <w:rPr>
                <w:rFonts w:ascii="Arial" w:cs="Arial" w:eastAsia="Arial" w:hAnsi="Arial"/>
                <w:sz w:val="14"/>
                <w:szCs w:val="14"/>
                <w:color w:val="auto"/>
              </w:rPr>
              <w:t>17.0%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118.6%</w:t>
            </w:r>
          </w:p>
        </w:tc>
      </w:tr>
      <w:tr>
        <w:trPr>
          <w:trHeight w:val="189"/>
        </w:trPr>
        <w:tc>
          <w:tcPr>
            <w:tcW w:w="568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Retained earnings</w:t>
            </w:r>
          </w:p>
        </w:tc>
        <w:tc>
          <w:tcPr>
            <w:tcW w:w="1100" w:type="dxa"/>
            <w:vAlign w:val="bottom"/>
          </w:tcPr>
          <w:p>
            <w:pPr>
              <w:jc w:val="center"/>
              <w:spacing w:after="0"/>
              <w:rPr>
                <w:sz w:val="20"/>
                <w:szCs w:val="20"/>
                <w:color w:val="auto"/>
              </w:rPr>
            </w:pPr>
            <w:r>
              <w:rPr>
                <w:rFonts w:ascii="Arial" w:cs="Arial" w:eastAsia="Arial" w:hAnsi="Arial"/>
                <w:sz w:val="14"/>
                <w:szCs w:val="14"/>
                <w:color w:val="auto"/>
              </w:rPr>
              <w:t>2,576,054</w:t>
            </w:r>
          </w:p>
        </w:tc>
        <w:tc>
          <w:tcPr>
            <w:tcW w:w="1140" w:type="dxa"/>
            <w:vAlign w:val="bottom"/>
          </w:tcPr>
          <w:p>
            <w:pPr>
              <w:jc w:val="center"/>
              <w:spacing w:after="0"/>
              <w:rPr>
                <w:sz w:val="20"/>
                <w:szCs w:val="20"/>
                <w:color w:val="auto"/>
              </w:rPr>
            </w:pPr>
            <w:r>
              <w:rPr>
                <w:rFonts w:ascii="Arial" w:cs="Arial" w:eastAsia="Arial" w:hAnsi="Arial"/>
                <w:sz w:val="14"/>
                <w:szCs w:val="14"/>
                <w:color w:val="auto"/>
              </w:rPr>
              <w:t>2,896,041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4,185,879</w:t>
            </w:r>
          </w:p>
        </w:tc>
        <w:tc>
          <w:tcPr>
            <w:tcW w:w="1100" w:type="dxa"/>
            <w:vAlign w:val="bottom"/>
          </w:tcPr>
          <w:p>
            <w:pPr>
              <w:jc w:val="center"/>
              <w:spacing w:after="0"/>
              <w:rPr>
                <w:sz w:val="20"/>
                <w:szCs w:val="20"/>
                <w:color w:val="auto"/>
              </w:rPr>
            </w:pPr>
            <w:r>
              <w:rPr>
                <w:rFonts w:ascii="Arial" w:cs="Arial" w:eastAsia="Arial" w:hAnsi="Arial"/>
                <w:sz w:val="14"/>
                <w:szCs w:val="14"/>
                <w:color w:val="auto"/>
              </w:rPr>
              <w:t>44.5%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62.5%</w:t>
            </w:r>
          </w:p>
        </w:tc>
      </w:tr>
      <w:tr>
        <w:trPr>
          <w:trHeight w:val="348"/>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Non-controlling interest</w:t>
            </w:r>
          </w:p>
        </w:tc>
        <w:tc>
          <w:tcPr>
            <w:tcW w:w="1100" w:type="dxa"/>
            <w:vAlign w:val="bottom"/>
          </w:tcPr>
          <w:p>
            <w:pPr>
              <w:jc w:val="center"/>
              <w:spacing w:after="0"/>
              <w:rPr>
                <w:sz w:val="20"/>
                <w:szCs w:val="20"/>
                <w:color w:val="auto"/>
              </w:rPr>
            </w:pPr>
            <w:r>
              <w:rPr>
                <w:rFonts w:ascii="Arial" w:cs="Arial" w:eastAsia="Arial" w:hAnsi="Arial"/>
                <w:sz w:val="14"/>
                <w:szCs w:val="14"/>
                <w:color w:val="auto"/>
              </w:rPr>
              <w:t>123,375</w:t>
            </w:r>
          </w:p>
        </w:tc>
        <w:tc>
          <w:tcPr>
            <w:tcW w:w="1140" w:type="dxa"/>
            <w:vAlign w:val="bottom"/>
          </w:tcPr>
          <w:p>
            <w:pPr>
              <w:jc w:val="center"/>
              <w:spacing w:after="0"/>
              <w:rPr>
                <w:sz w:val="20"/>
                <w:szCs w:val="20"/>
                <w:color w:val="auto"/>
              </w:rPr>
            </w:pPr>
            <w:r>
              <w:rPr>
                <w:rFonts w:ascii="Arial" w:cs="Arial" w:eastAsia="Arial" w:hAnsi="Arial"/>
                <w:sz w:val="14"/>
                <w:szCs w:val="14"/>
                <w:color w:val="auto"/>
              </w:rPr>
              <w:t>140,663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147,846</w:t>
            </w:r>
          </w:p>
        </w:tc>
        <w:tc>
          <w:tcPr>
            <w:tcW w:w="1100" w:type="dxa"/>
            <w:vAlign w:val="bottom"/>
          </w:tcPr>
          <w:p>
            <w:pPr>
              <w:jc w:val="center"/>
              <w:spacing w:after="0"/>
              <w:rPr>
                <w:sz w:val="20"/>
                <w:szCs w:val="20"/>
                <w:color w:val="auto"/>
              </w:rPr>
            </w:pPr>
            <w:r>
              <w:rPr>
                <w:rFonts w:ascii="Arial" w:cs="Arial" w:eastAsia="Arial" w:hAnsi="Arial"/>
                <w:sz w:val="14"/>
                <w:szCs w:val="14"/>
                <w:color w:val="auto"/>
              </w:rPr>
              <w:t>5.1%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19.8%</w:t>
            </w:r>
          </w:p>
        </w:tc>
      </w:tr>
      <w:tr>
        <w:trPr>
          <w:trHeight w:val="354"/>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Net Equity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19,629,226</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21,127,976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22,239,826</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5.3%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13.3%</w:t>
            </w:r>
          </w:p>
        </w:tc>
      </w:tr>
      <w:tr>
        <w:trPr>
          <w:trHeight w:val="348"/>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202,966,536</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193,370,326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199,869,521</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3.4%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-1.5%</w:t>
            </w:r>
          </w:p>
        </w:tc>
      </w:tr>
      <w:tr>
        <w:trPr>
          <w:trHeight w:val="314"/>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Off-balance sheet</w:t>
            </w:r>
          </w:p>
        </w:tc>
        <w:tc>
          <w:tcPr>
            <w:tcW w:w="1100" w:type="dxa"/>
            <w:vAlign w:val="bottom"/>
          </w:tcPr>
          <w:p>
            <w:pPr>
              <w:jc w:val="center"/>
              <w:spacing w:after="0"/>
              <w:rPr>
                <w:sz w:val="20"/>
                <w:szCs w:val="20"/>
                <w:color w:val="auto"/>
              </w:rPr>
            </w:pPr>
            <w:r>
              <w:rPr>
                <w:rFonts w:ascii="Arial" w:cs="Arial" w:eastAsia="Arial" w:hAnsi="Arial"/>
                <w:sz w:val="14"/>
                <w:szCs w:val="14"/>
                <w:color w:val="auto"/>
              </w:rPr>
              <w:t>139,250,038</w:t>
            </w:r>
          </w:p>
        </w:tc>
        <w:tc>
          <w:tcPr>
            <w:tcW w:w="1140" w:type="dxa"/>
            <w:vAlign w:val="bottom"/>
          </w:tcPr>
          <w:p>
            <w:pPr>
              <w:jc w:val="center"/>
              <w:spacing w:after="0"/>
              <w:rPr>
                <w:sz w:val="20"/>
                <w:szCs w:val="20"/>
                <w:color w:val="auto"/>
              </w:rPr>
            </w:pPr>
            <w:r>
              <w:rPr>
                <w:rFonts w:ascii="Arial" w:cs="Arial" w:eastAsia="Arial" w:hAnsi="Arial"/>
                <w:sz w:val="14"/>
                <w:szCs w:val="14"/>
                <w:color w:val="auto"/>
              </w:rPr>
              <w:t>130,782,706</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139,052,767</w:t>
            </w:r>
          </w:p>
        </w:tc>
        <w:tc>
          <w:tcPr>
            <w:tcW w:w="1100" w:type="dxa"/>
            <w:vAlign w:val="bottom"/>
          </w:tcPr>
          <w:p>
            <w:pPr>
              <w:jc w:val="center"/>
              <w:spacing w:after="0"/>
              <w:rPr>
                <w:sz w:val="20"/>
                <w:szCs w:val="20"/>
                <w:color w:val="auto"/>
              </w:rPr>
            </w:pPr>
            <w:r>
              <w:rPr>
                <w:rFonts w:ascii="Arial" w:cs="Arial" w:eastAsia="Arial" w:hAnsi="Arial"/>
                <w:sz w:val="14"/>
                <w:szCs w:val="14"/>
                <w:color w:val="auto"/>
              </w:rPr>
              <w:t>6.3%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-0.1%</w:t>
            </w:r>
          </w:p>
        </w:tc>
      </w:tr>
      <w:tr>
        <w:trPr>
          <w:trHeight w:val="161"/>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performance bonds, stand-by and L/Cs.</w:t>
            </w:r>
          </w:p>
        </w:tc>
        <w:tc>
          <w:tcPr>
            <w:tcW w:w="1100" w:type="dxa"/>
            <w:vAlign w:val="bottom"/>
          </w:tcPr>
          <w:p>
            <w:pPr>
              <w:jc w:val="center"/>
              <w:spacing w:after="0"/>
              <w:rPr>
                <w:sz w:val="20"/>
                <w:szCs w:val="20"/>
                <w:color w:val="auto"/>
              </w:rPr>
            </w:pPr>
            <w:r>
              <w:rPr>
                <w:rFonts w:ascii="Arial" w:cs="Arial" w:eastAsia="Arial" w:hAnsi="Arial"/>
                <w:sz w:val="14"/>
                <w:szCs w:val="14"/>
                <w:color w:val="auto"/>
              </w:rPr>
              <w:t>20,761,917</w:t>
            </w:r>
          </w:p>
        </w:tc>
        <w:tc>
          <w:tcPr>
            <w:tcW w:w="1140" w:type="dxa"/>
            <w:vAlign w:val="bottom"/>
          </w:tcPr>
          <w:p>
            <w:pPr>
              <w:jc w:val="center"/>
              <w:spacing w:after="0"/>
              <w:rPr>
                <w:sz w:val="20"/>
                <w:szCs w:val="20"/>
                <w:color w:val="auto"/>
              </w:rPr>
            </w:pPr>
            <w:r>
              <w:rPr>
                <w:rFonts w:ascii="Arial" w:cs="Arial" w:eastAsia="Arial" w:hAnsi="Arial"/>
                <w:sz w:val="14"/>
                <w:szCs w:val="14"/>
                <w:color w:val="auto"/>
              </w:rPr>
              <w:t>19,490,337</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20,443,858</w:t>
            </w:r>
          </w:p>
        </w:tc>
        <w:tc>
          <w:tcPr>
            <w:tcW w:w="1100" w:type="dxa"/>
            <w:vAlign w:val="bottom"/>
          </w:tcPr>
          <w:p>
            <w:pPr>
              <w:jc w:val="center"/>
              <w:spacing w:after="0"/>
              <w:rPr>
                <w:sz w:val="20"/>
                <w:szCs w:val="20"/>
                <w:color w:val="auto"/>
              </w:rPr>
            </w:pPr>
            <w:r>
              <w:rPr>
                <w:rFonts w:ascii="Arial" w:cs="Arial" w:eastAsia="Arial" w:hAnsi="Arial"/>
                <w:sz w:val="14"/>
                <w:szCs w:val="14"/>
                <w:color w:val="auto"/>
              </w:rPr>
              <w:t>4.9%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-1.5%</w:t>
            </w:r>
          </w:p>
        </w:tc>
      </w:tr>
      <w:tr>
        <w:trPr>
          <w:trHeight w:val="161"/>
        </w:trPr>
        <w:tc>
          <w:tcPr>
            <w:tcW w:w="5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Undrawn credit lines, advised but not committed</w:t>
            </w:r>
          </w:p>
        </w:tc>
        <w:tc>
          <w:tcPr>
            <w:tcW w:w="1100" w:type="dxa"/>
            <w:vAlign w:val="bottom"/>
          </w:tcPr>
          <w:p>
            <w:pPr>
              <w:jc w:val="center"/>
              <w:spacing w:after="0"/>
              <w:rPr>
                <w:sz w:val="20"/>
                <w:szCs w:val="20"/>
                <w:color w:val="auto"/>
              </w:rPr>
            </w:pPr>
            <w:r>
              <w:rPr>
                <w:rFonts w:ascii="Arial" w:cs="Arial" w:eastAsia="Arial" w:hAnsi="Arial"/>
                <w:sz w:val="14"/>
                <w:szCs w:val="14"/>
                <w:color w:val="auto"/>
              </w:rPr>
              <w:t>80,631,043</w:t>
            </w:r>
          </w:p>
        </w:tc>
        <w:tc>
          <w:tcPr>
            <w:tcW w:w="1140" w:type="dxa"/>
            <w:vAlign w:val="bottom"/>
          </w:tcPr>
          <w:p>
            <w:pPr>
              <w:jc w:val="center"/>
              <w:spacing w:after="0"/>
              <w:rPr>
                <w:sz w:val="20"/>
                <w:szCs w:val="20"/>
                <w:color w:val="auto"/>
              </w:rPr>
            </w:pPr>
            <w:r>
              <w:rPr>
                <w:rFonts w:ascii="Arial" w:cs="Arial" w:eastAsia="Arial" w:hAnsi="Arial"/>
                <w:sz w:val="14"/>
                <w:szCs w:val="14"/>
                <w:color w:val="auto"/>
              </w:rPr>
              <w:t>74,845,631</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76,051,652</w:t>
            </w:r>
          </w:p>
        </w:tc>
        <w:tc>
          <w:tcPr>
            <w:tcW w:w="1100" w:type="dxa"/>
            <w:vAlign w:val="bottom"/>
          </w:tcPr>
          <w:p>
            <w:pPr>
              <w:jc w:val="center"/>
              <w:spacing w:after="0"/>
              <w:rPr>
                <w:sz w:val="20"/>
                <w:szCs w:val="20"/>
                <w:color w:val="auto"/>
              </w:rPr>
            </w:pPr>
            <w:r>
              <w:rPr>
                <w:rFonts w:ascii="Arial" w:cs="Arial" w:eastAsia="Arial" w:hAnsi="Arial"/>
                <w:sz w:val="14"/>
                <w:szCs w:val="14"/>
                <w:color w:val="auto"/>
              </w:rPr>
              <w:t>1.6%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8"/>
              </w:rPr>
              <w:t>-5.7%</w:t>
            </w:r>
          </w:p>
        </w:tc>
      </w:tr>
      <w:tr>
        <w:trPr>
          <w:trHeight w:val="177"/>
        </w:trPr>
        <w:tc>
          <w:tcPr>
            <w:tcW w:w="5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derivatives (notional) and others</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37,857,078</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36,446,738</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42,557,257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12.4%</w:t>
            </w:r>
          </w:p>
        </w:tc>
      </w:tr>
    </w:tbl>
    <w:p>
      <w:pPr>
        <w:ind w:left="180" w:hanging="173"/>
        <w:spacing w:after="0"/>
        <w:tabs>
          <w:tab w:leader="none" w:pos="1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Right of use asset of lease contracts is included by application of IFRS 16.</w:t>
      </w:r>
    </w:p>
    <w:p>
      <w:pPr>
        <w:ind w:left="180" w:hanging="173"/>
        <w:spacing w:after="0" w:line="232" w:lineRule="auto"/>
        <w:tabs>
          <w:tab w:leader="none" w:pos="1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Mainly includes intangible assets, other receivable accounts and tax credit.</w:t>
      </w:r>
    </w:p>
    <w:p>
      <w:pPr>
        <w:ind w:left="180" w:hanging="173"/>
        <w:spacing w:after="0"/>
        <w:tabs>
          <w:tab w:leader="none" w:pos="18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Mainly includes other payable accounts.</w:t>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62" w:name="page63"/>
    <w:bookmarkEnd w:id="62"/>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BANCO DE CREDITO DEL PERU AND SUBSIDIARIES</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CONSOLIDATED STATEMENT OF INCOME</w:t>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(In S/ thousands, IFRS)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3560" w:type="dxa"/>
            <w:vAlign w:val="bottom"/>
            <w:tcBorders>
              <w:right w:val="single" w:sz="8" w:color="auto"/>
            </w:tcBorders>
          </w:tcPr>
          <w:p>
            <w:pPr>
              <w:spacing w:after="0"/>
              <w:rPr>
                <w:sz w:val="18"/>
                <w:szCs w:val="18"/>
                <w:color w:val="auto"/>
              </w:rPr>
            </w:pPr>
          </w:p>
        </w:tc>
        <w:tc>
          <w:tcPr>
            <w:tcW w:w="1240" w:type="dxa"/>
            <w:vAlign w:val="bottom"/>
            <w:tcBorders>
              <w:top w:val="single" w:sz="8" w:color="auto"/>
            </w:tcBorders>
            <w:shd w:val="clear" w:color="auto" w:fill="2AD2C9"/>
          </w:tcPr>
          <w:p>
            <w:pPr>
              <w:spacing w:after="0"/>
              <w:rPr>
                <w:sz w:val="18"/>
                <w:szCs w:val="18"/>
                <w:color w:val="auto"/>
              </w:rPr>
            </w:pPr>
          </w:p>
        </w:tc>
        <w:tc>
          <w:tcPr>
            <w:tcW w:w="1120" w:type="dxa"/>
            <w:vAlign w:val="bottom"/>
            <w:tcBorders>
              <w:top w:val="single" w:sz="8" w:color="auto"/>
            </w:tcBorders>
            <w:shd w:val="clear" w:color="auto" w:fill="2AD2C9"/>
          </w:tcPr>
          <w:p>
            <w:pPr>
              <w:ind w:left="120"/>
              <w:spacing w:after="0"/>
              <w:rPr>
                <w:sz w:val="20"/>
                <w:szCs w:val="20"/>
                <w:color w:val="auto"/>
              </w:rPr>
            </w:pPr>
            <w:r>
              <w:rPr>
                <w:rFonts w:ascii="Arial" w:cs="Arial" w:eastAsia="Arial" w:hAnsi="Arial"/>
                <w:sz w:val="14"/>
                <w:szCs w:val="14"/>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8"/>
                <w:szCs w:val="18"/>
                <w:color w:val="auto"/>
              </w:rPr>
            </w:pPr>
          </w:p>
        </w:tc>
        <w:tc>
          <w:tcPr>
            <w:tcW w:w="1480" w:type="dxa"/>
            <w:vAlign w:val="bottom"/>
            <w:tcBorders>
              <w:top w:val="single" w:sz="8" w:color="auto"/>
              <w:right w:val="single" w:sz="8" w:color="auto"/>
            </w:tcBorders>
            <w:gridSpan w:val="2"/>
            <w:shd w:val="clear" w:color="auto" w:fill="2AD2C9"/>
          </w:tcPr>
          <w:p>
            <w:pPr>
              <w:ind w:left="400"/>
              <w:spacing w:after="0"/>
              <w:rPr>
                <w:sz w:val="20"/>
                <w:szCs w:val="20"/>
                <w:color w:val="auto"/>
              </w:rPr>
            </w:pPr>
            <w:r>
              <w:rPr>
                <w:rFonts w:ascii="Arial" w:cs="Arial" w:eastAsia="Arial" w:hAnsi="Arial"/>
                <w:sz w:val="14"/>
                <w:szCs w:val="14"/>
                <w:b w:val="1"/>
                <w:bCs w:val="1"/>
                <w:color w:val="FFFFFF"/>
              </w:rPr>
              <w:t>% change</w:t>
            </w:r>
          </w:p>
        </w:tc>
        <w:tc>
          <w:tcPr>
            <w:tcW w:w="1720" w:type="dxa"/>
            <w:vAlign w:val="bottom"/>
            <w:tcBorders>
              <w:top w:val="single" w:sz="8" w:color="auto"/>
              <w:right w:val="single" w:sz="8" w:color="auto"/>
            </w:tcBorders>
            <w:gridSpan w:val="2"/>
            <w:shd w:val="clear" w:color="auto" w:fill="2AD2C9"/>
          </w:tcPr>
          <w:p>
            <w:pPr>
              <w:ind w:left="680"/>
              <w:spacing w:after="0"/>
              <w:rPr>
                <w:sz w:val="20"/>
                <w:szCs w:val="20"/>
                <w:color w:val="auto"/>
              </w:rPr>
            </w:pPr>
            <w:r>
              <w:rPr>
                <w:rFonts w:ascii="Arial" w:cs="Arial" w:eastAsia="Arial" w:hAnsi="Arial"/>
                <w:sz w:val="14"/>
                <w:szCs w:val="14"/>
                <w:b w:val="1"/>
                <w:bCs w:val="1"/>
                <w:color w:val="FFFFFF"/>
              </w:rPr>
              <w:t>As of</w:t>
            </w:r>
          </w:p>
        </w:tc>
        <w:tc>
          <w:tcPr>
            <w:tcW w:w="12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 change</w:t>
            </w:r>
          </w:p>
        </w:tc>
      </w:tr>
      <w:tr>
        <w:trPr>
          <w:trHeight w:val="177"/>
        </w:trPr>
        <w:tc>
          <w:tcPr>
            <w:tcW w:w="356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shd w:val="clear" w:color="auto" w:fill="2AD2C9"/>
          </w:tcPr>
          <w:p>
            <w:pPr>
              <w:jc w:val="center"/>
              <w:ind w:left="189"/>
              <w:spacing w:after="0"/>
              <w:rPr>
                <w:sz w:val="20"/>
                <w:szCs w:val="20"/>
                <w:color w:val="auto"/>
              </w:rPr>
            </w:pPr>
            <w:r>
              <w:rPr>
                <w:rFonts w:ascii="Arial" w:cs="Arial" w:eastAsia="Arial" w:hAnsi="Arial"/>
                <w:sz w:val="14"/>
                <w:szCs w:val="14"/>
                <w:b w:val="1"/>
                <w:bCs w:val="1"/>
                <w:color w:val="FFFFFF"/>
                <w:w w:val="99"/>
              </w:rPr>
              <w:t>3Q21</w:t>
            </w:r>
          </w:p>
        </w:tc>
        <w:tc>
          <w:tcPr>
            <w:tcW w:w="1120" w:type="dxa"/>
            <w:vAlign w:val="bottom"/>
            <w:tcBorders>
              <w:bottom w:val="single" w:sz="8" w:color="auto"/>
            </w:tcBorders>
            <w:shd w:val="clear" w:color="auto" w:fill="2AD2C9"/>
          </w:tcPr>
          <w:p>
            <w:pPr>
              <w:jc w:val="center"/>
              <w:ind w:left="189"/>
              <w:spacing w:after="0"/>
              <w:rPr>
                <w:sz w:val="20"/>
                <w:szCs w:val="20"/>
                <w:color w:val="auto"/>
              </w:rPr>
            </w:pPr>
            <w:r>
              <w:rPr>
                <w:rFonts w:ascii="Arial" w:cs="Arial" w:eastAsia="Arial" w:hAnsi="Arial"/>
                <w:sz w:val="14"/>
                <w:szCs w:val="14"/>
                <w:b w:val="1"/>
                <w:bCs w:val="1"/>
                <w:color w:val="FFFFFF"/>
                <w:w w:val="99"/>
              </w:rPr>
              <w:t>2Q22</w:t>
            </w:r>
          </w:p>
        </w:tc>
        <w:tc>
          <w:tcPr>
            <w:tcW w:w="8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w w:val="99"/>
              </w:rPr>
              <w:t>3Q22</w:t>
            </w:r>
          </w:p>
        </w:tc>
        <w:tc>
          <w:tcPr>
            <w:tcW w:w="72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4"/>
                <w:szCs w:val="14"/>
                <w:b w:val="1"/>
                <w:bCs w:val="1"/>
                <w:color w:val="FFFFFF"/>
              </w:rPr>
              <w:t>QoQ</w:t>
            </w:r>
          </w:p>
        </w:tc>
        <w:tc>
          <w:tcPr>
            <w:tcW w:w="760" w:type="dxa"/>
            <w:vAlign w:val="bottom"/>
            <w:tcBorders>
              <w:bottom w:val="single" w:sz="8" w:color="auto"/>
              <w:right w:val="single" w:sz="8" w:color="auto"/>
            </w:tcBorders>
            <w:shd w:val="clear" w:color="auto" w:fill="2AD2C9"/>
          </w:tcPr>
          <w:p>
            <w:pPr>
              <w:ind w:left="240"/>
              <w:spacing w:after="0"/>
              <w:rPr>
                <w:sz w:val="20"/>
                <w:szCs w:val="20"/>
                <w:color w:val="auto"/>
              </w:rPr>
            </w:pPr>
            <w:r>
              <w:rPr>
                <w:rFonts w:ascii="Arial" w:cs="Arial" w:eastAsia="Arial" w:hAnsi="Arial"/>
                <w:sz w:val="14"/>
                <w:szCs w:val="14"/>
                <w:b w:val="1"/>
                <w:bCs w:val="1"/>
                <w:color w:val="FFFFFF"/>
              </w:rPr>
              <w:t>YoY</w:t>
            </w:r>
          </w:p>
        </w:tc>
        <w:tc>
          <w:tcPr>
            <w:tcW w:w="86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4"/>
                <w:szCs w:val="14"/>
                <w:b w:val="1"/>
                <w:bCs w:val="1"/>
                <w:color w:val="FFFFFF"/>
              </w:rPr>
              <w:t>Sep 21</w:t>
            </w:r>
          </w:p>
        </w:tc>
        <w:tc>
          <w:tcPr>
            <w:tcW w:w="86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4"/>
                <w:szCs w:val="14"/>
                <w:b w:val="1"/>
                <w:bCs w:val="1"/>
                <w:color w:val="FFFFFF"/>
              </w:rPr>
              <w:t>Sep 22</w:t>
            </w:r>
          </w:p>
        </w:tc>
        <w:tc>
          <w:tcPr>
            <w:tcW w:w="12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4"/>
                <w:szCs w:val="14"/>
                <w:b w:val="1"/>
                <w:bCs w:val="1"/>
                <w:color w:val="FFFFFF"/>
              </w:rPr>
              <w:t>Sep 22 / Sep 21</w:t>
            </w:r>
          </w:p>
        </w:tc>
      </w:tr>
      <w:tr>
        <w:trPr>
          <w:trHeight w:val="178"/>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Interest income and expense</w:t>
            </w: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Interest and dividend income</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w w:val="99"/>
              </w:rPr>
              <w:t>2,542,011</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9"/>
              </w:rPr>
              <w:t>2,988,885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3,462,081</w:t>
            </w:r>
          </w:p>
        </w:tc>
        <w:tc>
          <w:tcPr>
            <w:tcW w:w="720" w:type="dxa"/>
            <w:vAlign w:val="bottom"/>
          </w:tcPr>
          <w:p>
            <w:pPr>
              <w:jc w:val="center"/>
              <w:spacing w:after="0"/>
              <w:rPr>
                <w:sz w:val="20"/>
                <w:szCs w:val="20"/>
                <w:color w:val="auto"/>
              </w:rPr>
            </w:pPr>
            <w:r>
              <w:rPr>
                <w:rFonts w:ascii="Arial" w:cs="Arial" w:eastAsia="Arial" w:hAnsi="Arial"/>
                <w:sz w:val="14"/>
                <w:szCs w:val="14"/>
                <w:color w:val="auto"/>
              </w:rPr>
              <w:t>15.8%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36.2%</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7,396,739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9,163,926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23.9%</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Interest expense</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(443,398)</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(590,599)</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(799,839)</w:t>
            </w:r>
          </w:p>
        </w:tc>
        <w:tc>
          <w:tcPr>
            <w:tcW w:w="720" w:type="dxa"/>
            <w:vAlign w:val="bottom"/>
          </w:tcPr>
          <w:p>
            <w:pPr>
              <w:jc w:val="center"/>
              <w:spacing w:after="0"/>
              <w:rPr>
                <w:sz w:val="20"/>
                <w:szCs w:val="20"/>
                <w:color w:val="auto"/>
              </w:rPr>
            </w:pPr>
            <w:r>
              <w:rPr>
                <w:rFonts w:ascii="Arial" w:cs="Arial" w:eastAsia="Arial" w:hAnsi="Arial"/>
                <w:sz w:val="14"/>
                <w:szCs w:val="14"/>
                <w:color w:val="auto"/>
              </w:rPr>
              <w:t>35.4%</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80.4%</w:t>
            </w:r>
          </w:p>
        </w:tc>
        <w:tc>
          <w:tcPr>
            <w:tcW w:w="860" w:type="dxa"/>
            <w:vAlign w:val="bottom"/>
          </w:tcPr>
          <w:p>
            <w:pPr>
              <w:jc w:val="center"/>
              <w:spacing w:after="0"/>
              <w:rPr>
                <w:sz w:val="20"/>
                <w:szCs w:val="20"/>
                <w:color w:val="auto"/>
              </w:rPr>
            </w:pPr>
            <w:r>
              <w:rPr>
                <w:rFonts w:ascii="Arial" w:cs="Arial" w:eastAsia="Arial" w:hAnsi="Arial"/>
                <w:sz w:val="14"/>
                <w:szCs w:val="14"/>
                <w:color w:val="auto"/>
              </w:rPr>
              <w:t>(1,437,349)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(1,884,473)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31.1%</w:t>
            </w:r>
          </w:p>
        </w:tc>
      </w:tr>
      <w:tr>
        <w:trPr>
          <w:trHeight w:val="187"/>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Net interest income</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w w:val="99"/>
              </w:rPr>
              <w:t>2,098,613</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9"/>
              </w:rPr>
              <w:t>2,398,286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2,662,242</w:t>
            </w:r>
          </w:p>
        </w:tc>
        <w:tc>
          <w:tcPr>
            <w:tcW w:w="720" w:type="dxa"/>
            <w:vAlign w:val="bottom"/>
          </w:tcPr>
          <w:p>
            <w:pPr>
              <w:jc w:val="center"/>
              <w:spacing w:after="0"/>
              <w:rPr>
                <w:sz w:val="20"/>
                <w:szCs w:val="20"/>
                <w:color w:val="auto"/>
              </w:rPr>
            </w:pPr>
            <w:r>
              <w:rPr>
                <w:rFonts w:ascii="Arial" w:cs="Arial" w:eastAsia="Arial" w:hAnsi="Arial"/>
                <w:sz w:val="14"/>
                <w:szCs w:val="14"/>
                <w:color w:val="auto"/>
              </w:rPr>
              <w:t>11.0%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26.9%</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5,959,390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7,279,453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22.2%</w:t>
            </w:r>
          </w:p>
        </w:tc>
      </w:tr>
      <w:tr>
        <w:trPr>
          <w:trHeight w:val="161"/>
        </w:trPr>
        <w:tc>
          <w:tcPr>
            <w:tcW w:w="3560" w:type="dxa"/>
            <w:vAlign w:val="bottom"/>
            <w:tcBorders>
              <w:left w:val="single" w:sz="8" w:color="auto"/>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spacing w:after="0"/>
              <w:rPr>
                <w:sz w:val="13"/>
                <w:szCs w:val="13"/>
                <w:color w:val="auto"/>
              </w:rPr>
            </w:pPr>
          </w:p>
        </w:tc>
      </w:tr>
      <w:tr>
        <w:trPr>
          <w:trHeight w:val="161"/>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Provision for credit losses on loan portfolio</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(249,273)</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(400,124)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(522,071)</w:t>
            </w:r>
          </w:p>
        </w:tc>
        <w:tc>
          <w:tcPr>
            <w:tcW w:w="720" w:type="dxa"/>
            <w:vAlign w:val="bottom"/>
          </w:tcPr>
          <w:p>
            <w:pPr>
              <w:jc w:val="center"/>
              <w:spacing w:after="0"/>
              <w:rPr>
                <w:sz w:val="20"/>
                <w:szCs w:val="20"/>
                <w:color w:val="auto"/>
              </w:rPr>
            </w:pPr>
            <w:r>
              <w:rPr>
                <w:rFonts w:ascii="Arial" w:cs="Arial" w:eastAsia="Arial" w:hAnsi="Arial"/>
                <w:sz w:val="14"/>
                <w:szCs w:val="14"/>
                <w:color w:val="auto"/>
              </w:rPr>
              <w:t>30.5%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109.4%</w:t>
            </w:r>
          </w:p>
        </w:tc>
        <w:tc>
          <w:tcPr>
            <w:tcW w:w="860" w:type="dxa"/>
            <w:vAlign w:val="bottom"/>
          </w:tcPr>
          <w:p>
            <w:pPr>
              <w:jc w:val="center"/>
              <w:spacing w:after="0"/>
              <w:rPr>
                <w:sz w:val="20"/>
                <w:szCs w:val="20"/>
                <w:color w:val="auto"/>
              </w:rPr>
            </w:pPr>
            <w:r>
              <w:rPr>
                <w:rFonts w:ascii="Arial" w:cs="Arial" w:eastAsia="Arial" w:hAnsi="Arial"/>
                <w:sz w:val="14"/>
                <w:szCs w:val="14"/>
                <w:color w:val="auto"/>
              </w:rPr>
              <w:t>(1,314,646)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(1,262,430)</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-4.0%</w:t>
            </w:r>
          </w:p>
        </w:tc>
      </w:tr>
      <w:tr>
        <w:trPr>
          <w:trHeight w:val="161"/>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Recoveries of written-off loans</w:t>
            </w:r>
          </w:p>
        </w:tc>
        <w:tc>
          <w:tcPr>
            <w:tcW w:w="1240" w:type="dxa"/>
            <w:vAlign w:val="bottom"/>
          </w:tcPr>
          <w:p>
            <w:pPr>
              <w:jc w:val="center"/>
              <w:ind w:left="209"/>
              <w:spacing w:after="0"/>
              <w:rPr>
                <w:sz w:val="20"/>
                <w:szCs w:val="20"/>
                <w:color w:val="auto"/>
              </w:rPr>
            </w:pPr>
            <w:r>
              <w:rPr>
                <w:rFonts w:ascii="Arial" w:cs="Arial" w:eastAsia="Arial" w:hAnsi="Arial"/>
                <w:sz w:val="14"/>
                <w:szCs w:val="14"/>
                <w:color w:val="auto"/>
              </w:rPr>
              <w:t>93,671</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7"/>
              </w:rPr>
              <w:t>77,244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78,403</w:t>
            </w:r>
          </w:p>
        </w:tc>
        <w:tc>
          <w:tcPr>
            <w:tcW w:w="720" w:type="dxa"/>
            <w:vAlign w:val="bottom"/>
          </w:tcPr>
          <w:p>
            <w:pPr>
              <w:jc w:val="center"/>
              <w:spacing w:after="0"/>
              <w:rPr>
                <w:sz w:val="20"/>
                <w:szCs w:val="20"/>
                <w:color w:val="auto"/>
              </w:rPr>
            </w:pPr>
            <w:r>
              <w:rPr>
                <w:rFonts w:ascii="Arial" w:cs="Arial" w:eastAsia="Arial" w:hAnsi="Arial"/>
                <w:sz w:val="14"/>
                <w:szCs w:val="14"/>
                <w:color w:val="auto"/>
              </w:rPr>
              <w:t>1.5%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-16.3%</w:t>
            </w:r>
          </w:p>
        </w:tc>
        <w:tc>
          <w:tcPr>
            <w:tcW w:w="860" w:type="dxa"/>
            <w:vAlign w:val="bottom"/>
          </w:tcPr>
          <w:p>
            <w:pPr>
              <w:jc w:val="center"/>
              <w:spacing w:after="0"/>
              <w:rPr>
                <w:sz w:val="20"/>
                <w:szCs w:val="20"/>
                <w:color w:val="auto"/>
              </w:rPr>
            </w:pPr>
            <w:r>
              <w:rPr>
                <w:rFonts w:ascii="Arial" w:cs="Arial" w:eastAsia="Arial" w:hAnsi="Arial"/>
                <w:sz w:val="14"/>
                <w:szCs w:val="14"/>
                <w:color w:val="auto"/>
                <w:w w:val="98"/>
              </w:rPr>
              <w:t>227,790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242,075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6.3%</w:t>
            </w:r>
          </w:p>
        </w:tc>
      </w:tr>
      <w:tr>
        <w:trPr>
          <w:trHeight w:val="187"/>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Provision for credit losses on loan portfolio, net of</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(155,602)</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(322,880)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(443,668)</w:t>
            </w:r>
          </w:p>
        </w:tc>
        <w:tc>
          <w:tcPr>
            <w:tcW w:w="720" w:type="dxa"/>
            <w:vAlign w:val="bottom"/>
          </w:tcPr>
          <w:p>
            <w:pPr>
              <w:jc w:val="center"/>
              <w:spacing w:after="0"/>
              <w:rPr>
                <w:sz w:val="20"/>
                <w:szCs w:val="20"/>
                <w:color w:val="auto"/>
              </w:rPr>
            </w:pPr>
            <w:r>
              <w:rPr>
                <w:rFonts w:ascii="Arial" w:cs="Arial" w:eastAsia="Arial" w:hAnsi="Arial"/>
                <w:sz w:val="14"/>
                <w:szCs w:val="14"/>
                <w:color w:val="auto"/>
              </w:rPr>
              <w:t>37.4%</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185.1%</w:t>
            </w:r>
          </w:p>
        </w:tc>
        <w:tc>
          <w:tcPr>
            <w:tcW w:w="860" w:type="dxa"/>
            <w:vAlign w:val="bottom"/>
          </w:tcPr>
          <w:p>
            <w:pPr>
              <w:jc w:val="center"/>
              <w:spacing w:after="0"/>
              <w:rPr>
                <w:sz w:val="20"/>
                <w:szCs w:val="20"/>
                <w:color w:val="auto"/>
              </w:rPr>
            </w:pPr>
            <w:r>
              <w:rPr>
                <w:rFonts w:ascii="Arial" w:cs="Arial" w:eastAsia="Arial" w:hAnsi="Arial"/>
                <w:sz w:val="14"/>
                <w:szCs w:val="14"/>
                <w:color w:val="auto"/>
              </w:rPr>
              <w:t>(1,086,856)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(1,020,355)</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-6.1%</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recoveries</w:t>
            </w: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spacing w:after="0"/>
              <w:rPr>
                <w:sz w:val="13"/>
                <w:szCs w:val="13"/>
                <w:color w:val="auto"/>
              </w:rPr>
            </w:pPr>
          </w:p>
        </w:tc>
      </w:tr>
      <w:tr>
        <w:trPr>
          <w:trHeight w:val="187"/>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Risk-adjusted net interest income</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w w:val="99"/>
              </w:rPr>
              <w:t>1,943,011</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9"/>
              </w:rPr>
              <w:t>2,075,406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2,218,574</w:t>
            </w:r>
          </w:p>
        </w:tc>
        <w:tc>
          <w:tcPr>
            <w:tcW w:w="720" w:type="dxa"/>
            <w:vAlign w:val="bottom"/>
          </w:tcPr>
          <w:p>
            <w:pPr>
              <w:jc w:val="center"/>
              <w:spacing w:after="0"/>
              <w:rPr>
                <w:sz w:val="20"/>
                <w:szCs w:val="20"/>
                <w:color w:val="auto"/>
              </w:rPr>
            </w:pPr>
            <w:r>
              <w:rPr>
                <w:rFonts w:ascii="Arial" w:cs="Arial" w:eastAsia="Arial" w:hAnsi="Arial"/>
                <w:sz w:val="14"/>
                <w:szCs w:val="14"/>
                <w:color w:val="auto"/>
              </w:rPr>
              <w:t>6.9%</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14.2%</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4,872,534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6,259,098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28.5%</w:t>
            </w:r>
          </w:p>
        </w:tc>
      </w:tr>
      <w:tr>
        <w:trPr>
          <w:trHeight w:val="187"/>
        </w:trPr>
        <w:tc>
          <w:tcPr>
            <w:tcW w:w="3560" w:type="dxa"/>
            <w:vAlign w:val="bottom"/>
            <w:tcBorders>
              <w:left w:val="single" w:sz="8" w:color="auto"/>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spacing w:after="0"/>
              <w:rPr>
                <w:sz w:val="16"/>
                <w:szCs w:val="16"/>
                <w:color w:val="auto"/>
              </w:rPr>
            </w:pPr>
          </w:p>
        </w:tc>
      </w:tr>
      <w:tr>
        <w:trPr>
          <w:trHeight w:val="161"/>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Non-financial income</w:t>
            </w: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spacing w:after="0"/>
              <w:rPr>
                <w:sz w:val="13"/>
                <w:szCs w:val="13"/>
                <w:color w:val="auto"/>
              </w:rPr>
            </w:pP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Fee income</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w w:val="98"/>
              </w:rPr>
              <w:t>688,357</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8"/>
              </w:rPr>
              <w:t>753,835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784,132</w:t>
            </w:r>
          </w:p>
        </w:tc>
        <w:tc>
          <w:tcPr>
            <w:tcW w:w="720" w:type="dxa"/>
            <w:vAlign w:val="bottom"/>
          </w:tcPr>
          <w:p>
            <w:pPr>
              <w:jc w:val="center"/>
              <w:spacing w:after="0"/>
              <w:rPr>
                <w:sz w:val="20"/>
                <w:szCs w:val="20"/>
                <w:color w:val="auto"/>
              </w:rPr>
            </w:pPr>
            <w:r>
              <w:rPr>
                <w:rFonts w:ascii="Arial" w:cs="Arial" w:eastAsia="Arial" w:hAnsi="Arial"/>
                <w:sz w:val="14"/>
                <w:szCs w:val="14"/>
                <w:color w:val="auto"/>
              </w:rPr>
              <w:t>4.0%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13.9%</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1,969,115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2,269,672</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15.3%</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Net gain on foreign exchange transactions</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w w:val="98"/>
              </w:rPr>
              <w:t>234,313</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8"/>
              </w:rPr>
              <w:t>243,566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246,518</w:t>
            </w:r>
          </w:p>
        </w:tc>
        <w:tc>
          <w:tcPr>
            <w:tcW w:w="720" w:type="dxa"/>
            <w:vAlign w:val="bottom"/>
          </w:tcPr>
          <w:p>
            <w:pPr>
              <w:jc w:val="center"/>
              <w:spacing w:after="0"/>
              <w:rPr>
                <w:sz w:val="20"/>
                <w:szCs w:val="20"/>
                <w:color w:val="auto"/>
              </w:rPr>
            </w:pPr>
            <w:r>
              <w:rPr>
                <w:rFonts w:ascii="Arial" w:cs="Arial" w:eastAsia="Arial" w:hAnsi="Arial"/>
                <w:sz w:val="14"/>
                <w:szCs w:val="14"/>
                <w:color w:val="auto"/>
              </w:rPr>
              <w:t>1.2%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60" w:type="dxa"/>
            <w:vAlign w:val="bottom"/>
          </w:tcPr>
          <w:p>
            <w:pPr>
              <w:jc w:val="center"/>
              <w:spacing w:after="0"/>
              <w:rPr>
                <w:sz w:val="20"/>
                <w:szCs w:val="20"/>
                <w:color w:val="auto"/>
              </w:rPr>
            </w:pPr>
            <w:r>
              <w:rPr>
                <w:rFonts w:ascii="Arial" w:cs="Arial" w:eastAsia="Arial" w:hAnsi="Arial"/>
                <w:sz w:val="14"/>
                <w:szCs w:val="14"/>
                <w:color w:val="auto"/>
                <w:w w:val="98"/>
              </w:rPr>
              <w:t>648,331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732,588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13.0%</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Net gain (loss) on securities</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(30,017)</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(2,611)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(5,587)</w:t>
            </w:r>
          </w:p>
        </w:tc>
        <w:tc>
          <w:tcPr>
            <w:tcW w:w="720" w:type="dxa"/>
            <w:vAlign w:val="bottom"/>
          </w:tcPr>
          <w:p>
            <w:pPr>
              <w:jc w:val="center"/>
              <w:spacing w:after="0"/>
              <w:rPr>
                <w:sz w:val="20"/>
                <w:szCs w:val="20"/>
                <w:color w:val="auto"/>
              </w:rPr>
            </w:pPr>
            <w:r>
              <w:rPr>
                <w:rFonts w:ascii="Arial" w:cs="Arial" w:eastAsia="Arial" w:hAnsi="Arial"/>
                <w:sz w:val="14"/>
                <w:szCs w:val="14"/>
                <w:color w:val="auto"/>
              </w:rPr>
              <w:t>114.0%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-81.4%</w:t>
            </w:r>
          </w:p>
        </w:tc>
        <w:tc>
          <w:tcPr>
            <w:tcW w:w="860" w:type="dxa"/>
            <w:vAlign w:val="bottom"/>
          </w:tcPr>
          <w:p>
            <w:pPr>
              <w:jc w:val="center"/>
              <w:spacing w:after="0"/>
              <w:rPr>
                <w:sz w:val="20"/>
                <w:szCs w:val="20"/>
                <w:color w:val="auto"/>
              </w:rPr>
            </w:pPr>
            <w:r>
              <w:rPr>
                <w:rFonts w:ascii="Arial" w:cs="Arial" w:eastAsia="Arial" w:hAnsi="Arial"/>
                <w:sz w:val="14"/>
                <w:szCs w:val="14"/>
                <w:color w:val="auto"/>
              </w:rPr>
              <w:t>(118,379)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(10,096)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-91.5%</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Net gain (loss) on derivatives held for trading</w:t>
            </w:r>
          </w:p>
        </w:tc>
        <w:tc>
          <w:tcPr>
            <w:tcW w:w="1240" w:type="dxa"/>
            <w:vAlign w:val="bottom"/>
          </w:tcPr>
          <w:p>
            <w:pPr>
              <w:jc w:val="center"/>
              <w:ind w:left="209"/>
              <w:spacing w:after="0"/>
              <w:rPr>
                <w:sz w:val="20"/>
                <w:szCs w:val="20"/>
                <w:color w:val="auto"/>
              </w:rPr>
            </w:pPr>
            <w:r>
              <w:rPr>
                <w:rFonts w:ascii="Arial" w:cs="Arial" w:eastAsia="Arial" w:hAnsi="Arial"/>
                <w:sz w:val="14"/>
                <w:szCs w:val="14"/>
                <w:color w:val="auto"/>
              </w:rPr>
              <w:t>462</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(19,037)</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17,037</w:t>
            </w:r>
          </w:p>
        </w:tc>
        <w:tc>
          <w:tcPr>
            <w:tcW w:w="720" w:type="dxa"/>
            <w:vAlign w:val="bottom"/>
          </w:tcPr>
          <w:p>
            <w:pPr>
              <w:jc w:val="center"/>
              <w:spacing w:after="0"/>
              <w:rPr>
                <w:sz w:val="20"/>
                <w:szCs w:val="20"/>
                <w:color w:val="auto"/>
              </w:rPr>
            </w:pPr>
            <w:r>
              <w:rPr>
                <w:rFonts w:ascii="Arial" w:cs="Arial" w:eastAsia="Arial" w:hAnsi="Arial"/>
                <w:sz w:val="14"/>
                <w:szCs w:val="14"/>
                <w:color w:val="auto"/>
                <w:w w:val="99"/>
              </w:rPr>
              <w:t>-189.5%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3587.7%</w:t>
            </w:r>
          </w:p>
        </w:tc>
        <w:tc>
          <w:tcPr>
            <w:tcW w:w="860" w:type="dxa"/>
            <w:vAlign w:val="bottom"/>
          </w:tcPr>
          <w:p>
            <w:pPr>
              <w:jc w:val="center"/>
              <w:spacing w:after="0"/>
              <w:rPr>
                <w:sz w:val="20"/>
                <w:szCs w:val="20"/>
                <w:color w:val="auto"/>
              </w:rPr>
            </w:pPr>
            <w:r>
              <w:rPr>
                <w:rFonts w:ascii="Arial" w:cs="Arial" w:eastAsia="Arial" w:hAnsi="Arial"/>
                <w:sz w:val="14"/>
                <w:szCs w:val="14"/>
                <w:color w:val="auto"/>
                <w:w w:val="97"/>
              </w:rPr>
              <w:t>44,626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(12,978)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-129.1%</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Net gain (loss) from exchange differences</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w w:val="97"/>
              </w:rPr>
              <w:t>11,037</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6"/>
              </w:rPr>
              <w:t>9,043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10,962</w:t>
            </w:r>
          </w:p>
        </w:tc>
        <w:tc>
          <w:tcPr>
            <w:tcW w:w="720" w:type="dxa"/>
            <w:vAlign w:val="bottom"/>
          </w:tcPr>
          <w:p>
            <w:pPr>
              <w:jc w:val="center"/>
              <w:spacing w:after="0"/>
              <w:rPr>
                <w:sz w:val="20"/>
                <w:szCs w:val="20"/>
                <w:color w:val="auto"/>
              </w:rPr>
            </w:pPr>
            <w:r>
              <w:rPr>
                <w:rFonts w:ascii="Arial" w:cs="Arial" w:eastAsia="Arial" w:hAnsi="Arial"/>
                <w:sz w:val="14"/>
                <w:szCs w:val="14"/>
                <w:color w:val="auto"/>
              </w:rPr>
              <w:t>21.2%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-0.7%</w:t>
            </w:r>
          </w:p>
        </w:tc>
        <w:tc>
          <w:tcPr>
            <w:tcW w:w="860" w:type="dxa"/>
            <w:vAlign w:val="bottom"/>
          </w:tcPr>
          <w:p>
            <w:pPr>
              <w:jc w:val="center"/>
              <w:spacing w:after="0"/>
              <w:rPr>
                <w:sz w:val="20"/>
                <w:szCs w:val="20"/>
                <w:color w:val="auto"/>
              </w:rPr>
            </w:pPr>
            <w:r>
              <w:rPr>
                <w:rFonts w:ascii="Arial" w:cs="Arial" w:eastAsia="Arial" w:hAnsi="Arial"/>
                <w:sz w:val="14"/>
                <w:szCs w:val="14"/>
                <w:color w:val="auto"/>
                <w:w w:val="97"/>
              </w:rPr>
              <w:t>65,032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2,954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-95.5%</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Others</w:t>
            </w:r>
          </w:p>
        </w:tc>
        <w:tc>
          <w:tcPr>
            <w:tcW w:w="1240" w:type="dxa"/>
            <w:vAlign w:val="bottom"/>
          </w:tcPr>
          <w:p>
            <w:pPr>
              <w:jc w:val="center"/>
              <w:ind w:left="209"/>
              <w:spacing w:after="0"/>
              <w:rPr>
                <w:sz w:val="20"/>
                <w:szCs w:val="20"/>
                <w:color w:val="auto"/>
              </w:rPr>
            </w:pPr>
            <w:r>
              <w:rPr>
                <w:rFonts w:ascii="Arial" w:cs="Arial" w:eastAsia="Arial" w:hAnsi="Arial"/>
                <w:sz w:val="14"/>
                <w:szCs w:val="14"/>
                <w:color w:val="auto"/>
              </w:rPr>
              <w:t>31,437</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7"/>
              </w:rPr>
              <w:t>46,354</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36,947</w:t>
            </w:r>
          </w:p>
        </w:tc>
        <w:tc>
          <w:tcPr>
            <w:tcW w:w="720" w:type="dxa"/>
            <w:vAlign w:val="bottom"/>
          </w:tcPr>
          <w:p>
            <w:pPr>
              <w:jc w:val="center"/>
              <w:spacing w:after="0"/>
              <w:rPr>
                <w:sz w:val="20"/>
                <w:szCs w:val="20"/>
                <w:color w:val="auto"/>
              </w:rPr>
            </w:pPr>
            <w:r>
              <w:rPr>
                <w:rFonts w:ascii="Arial" w:cs="Arial" w:eastAsia="Arial" w:hAnsi="Arial"/>
                <w:sz w:val="14"/>
                <w:szCs w:val="14"/>
                <w:color w:val="auto"/>
              </w:rPr>
              <w:t>-20.3%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17.5%</w:t>
            </w:r>
          </w:p>
        </w:tc>
        <w:tc>
          <w:tcPr>
            <w:tcW w:w="860" w:type="dxa"/>
            <w:vAlign w:val="bottom"/>
          </w:tcPr>
          <w:p>
            <w:pPr>
              <w:jc w:val="center"/>
              <w:spacing w:after="0"/>
              <w:rPr>
                <w:sz w:val="20"/>
                <w:szCs w:val="20"/>
                <w:color w:val="auto"/>
              </w:rPr>
            </w:pPr>
            <w:r>
              <w:rPr>
                <w:rFonts w:ascii="Arial" w:cs="Arial" w:eastAsia="Arial" w:hAnsi="Arial"/>
                <w:sz w:val="14"/>
                <w:szCs w:val="14"/>
                <w:color w:val="auto"/>
                <w:w w:val="98"/>
              </w:rPr>
              <w:t>131,563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203,629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54.8%</w:t>
            </w:r>
          </w:p>
        </w:tc>
      </w:tr>
      <w:tr>
        <w:trPr>
          <w:trHeight w:val="187"/>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Total other income</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w w:val="98"/>
              </w:rPr>
              <w:t>935,589</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9"/>
              </w:rPr>
              <w:t>1,031,150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1,090,009</w:t>
            </w:r>
          </w:p>
        </w:tc>
        <w:tc>
          <w:tcPr>
            <w:tcW w:w="720" w:type="dxa"/>
            <w:vAlign w:val="bottom"/>
          </w:tcPr>
          <w:p>
            <w:pPr>
              <w:jc w:val="center"/>
              <w:spacing w:after="0"/>
              <w:rPr>
                <w:sz w:val="20"/>
                <w:szCs w:val="20"/>
                <w:color w:val="auto"/>
              </w:rPr>
            </w:pPr>
            <w:r>
              <w:rPr>
                <w:rFonts w:ascii="Arial" w:cs="Arial" w:eastAsia="Arial" w:hAnsi="Arial"/>
                <w:sz w:val="14"/>
                <w:szCs w:val="14"/>
                <w:color w:val="auto"/>
              </w:rPr>
              <w:t>5.7%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16.5%</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2,740,288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3,185,769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16.3%</w:t>
            </w:r>
          </w:p>
        </w:tc>
      </w:tr>
      <w:tr>
        <w:trPr>
          <w:trHeight w:val="187"/>
        </w:trPr>
        <w:tc>
          <w:tcPr>
            <w:tcW w:w="3560" w:type="dxa"/>
            <w:vAlign w:val="bottom"/>
            <w:tcBorders>
              <w:left w:val="single" w:sz="8" w:color="auto"/>
              <w:right w:val="single" w:sz="8" w:color="auto"/>
            </w:tcBorders>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spacing w:after="0"/>
              <w:rPr>
                <w:sz w:val="16"/>
                <w:szCs w:val="16"/>
                <w:color w:val="auto"/>
              </w:rPr>
            </w:pPr>
          </w:p>
        </w:tc>
      </w:tr>
      <w:tr>
        <w:trPr>
          <w:trHeight w:val="161"/>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expenses</w:t>
            </w: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spacing w:after="0"/>
              <w:rPr>
                <w:sz w:val="13"/>
                <w:szCs w:val="13"/>
                <w:color w:val="auto"/>
              </w:rPr>
            </w:pP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Salaries and employee benefits</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(629,810)</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(688,691)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(732,377)</w:t>
            </w:r>
          </w:p>
        </w:tc>
        <w:tc>
          <w:tcPr>
            <w:tcW w:w="720" w:type="dxa"/>
            <w:vAlign w:val="bottom"/>
          </w:tcPr>
          <w:p>
            <w:pPr>
              <w:jc w:val="center"/>
              <w:spacing w:after="0"/>
              <w:rPr>
                <w:sz w:val="20"/>
                <w:szCs w:val="20"/>
                <w:color w:val="auto"/>
              </w:rPr>
            </w:pPr>
            <w:r>
              <w:rPr>
                <w:rFonts w:ascii="Arial" w:cs="Arial" w:eastAsia="Arial" w:hAnsi="Arial"/>
                <w:sz w:val="14"/>
                <w:szCs w:val="14"/>
                <w:color w:val="auto"/>
              </w:rPr>
              <w:t>6.3%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16.3%</w:t>
            </w:r>
          </w:p>
        </w:tc>
        <w:tc>
          <w:tcPr>
            <w:tcW w:w="860" w:type="dxa"/>
            <w:vAlign w:val="bottom"/>
          </w:tcPr>
          <w:p>
            <w:pPr>
              <w:jc w:val="center"/>
              <w:spacing w:after="0"/>
              <w:rPr>
                <w:sz w:val="20"/>
                <w:szCs w:val="20"/>
                <w:color w:val="auto"/>
              </w:rPr>
            </w:pPr>
            <w:r>
              <w:rPr>
                <w:rFonts w:ascii="Arial" w:cs="Arial" w:eastAsia="Arial" w:hAnsi="Arial"/>
                <w:sz w:val="14"/>
                <w:szCs w:val="14"/>
                <w:color w:val="auto"/>
              </w:rPr>
              <w:t>(1,865,621)</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(2,115,407)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13.4%</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Administrative expenses</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(634,281)</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(638,366)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(641,330)</w:t>
            </w:r>
          </w:p>
        </w:tc>
        <w:tc>
          <w:tcPr>
            <w:tcW w:w="720" w:type="dxa"/>
            <w:vAlign w:val="bottom"/>
          </w:tcPr>
          <w:p>
            <w:pPr>
              <w:jc w:val="center"/>
              <w:spacing w:after="0"/>
              <w:rPr>
                <w:sz w:val="20"/>
                <w:szCs w:val="20"/>
                <w:color w:val="auto"/>
              </w:rPr>
            </w:pPr>
            <w:r>
              <w:rPr>
                <w:rFonts w:ascii="Arial" w:cs="Arial" w:eastAsia="Arial" w:hAnsi="Arial"/>
                <w:sz w:val="14"/>
                <w:szCs w:val="14"/>
                <w:color w:val="auto"/>
              </w:rPr>
              <w:t>0.5%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1.1%</w:t>
            </w:r>
          </w:p>
        </w:tc>
        <w:tc>
          <w:tcPr>
            <w:tcW w:w="860" w:type="dxa"/>
            <w:vAlign w:val="bottom"/>
          </w:tcPr>
          <w:p>
            <w:pPr>
              <w:jc w:val="center"/>
              <w:spacing w:after="0"/>
              <w:rPr>
                <w:sz w:val="20"/>
                <w:szCs w:val="20"/>
                <w:color w:val="auto"/>
              </w:rPr>
            </w:pPr>
            <w:r>
              <w:rPr>
                <w:rFonts w:ascii="Arial" w:cs="Arial" w:eastAsia="Arial" w:hAnsi="Arial"/>
                <w:sz w:val="14"/>
                <w:szCs w:val="14"/>
                <w:color w:val="auto"/>
              </w:rPr>
              <w:t>(1,584,666)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(1,812,256)</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14.4%</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Depreciation and amortization</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(131,420)</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(130,253)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(133,638)</w:t>
            </w:r>
          </w:p>
        </w:tc>
        <w:tc>
          <w:tcPr>
            <w:tcW w:w="720" w:type="dxa"/>
            <w:vAlign w:val="bottom"/>
          </w:tcPr>
          <w:p>
            <w:pPr>
              <w:jc w:val="center"/>
              <w:spacing w:after="0"/>
              <w:rPr>
                <w:sz w:val="20"/>
                <w:szCs w:val="20"/>
                <w:color w:val="auto"/>
              </w:rPr>
            </w:pPr>
            <w:r>
              <w:rPr>
                <w:rFonts w:ascii="Arial" w:cs="Arial" w:eastAsia="Arial" w:hAnsi="Arial"/>
                <w:sz w:val="14"/>
                <w:szCs w:val="14"/>
                <w:color w:val="auto"/>
              </w:rPr>
              <w:t>2.6%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w:t>
            </w:r>
          </w:p>
        </w:tc>
        <w:tc>
          <w:tcPr>
            <w:tcW w:w="860" w:type="dxa"/>
            <w:vAlign w:val="bottom"/>
          </w:tcPr>
          <w:p>
            <w:pPr>
              <w:jc w:val="center"/>
              <w:spacing w:after="0"/>
              <w:rPr>
                <w:sz w:val="20"/>
                <w:szCs w:val="20"/>
                <w:color w:val="auto"/>
              </w:rPr>
            </w:pPr>
            <w:r>
              <w:rPr>
                <w:rFonts w:ascii="Arial" w:cs="Arial" w:eastAsia="Arial" w:hAnsi="Arial"/>
                <w:sz w:val="14"/>
                <w:szCs w:val="14"/>
                <w:color w:val="auto"/>
              </w:rPr>
              <w:t>(384,590)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(390,317)</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Other expenses</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(50,893)</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(52,035)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(48,213)</w:t>
            </w:r>
          </w:p>
        </w:tc>
        <w:tc>
          <w:tcPr>
            <w:tcW w:w="720" w:type="dxa"/>
            <w:vAlign w:val="bottom"/>
          </w:tcPr>
          <w:p>
            <w:pPr>
              <w:jc w:val="center"/>
              <w:spacing w:after="0"/>
              <w:rPr>
                <w:sz w:val="20"/>
                <w:szCs w:val="20"/>
                <w:color w:val="auto"/>
              </w:rPr>
            </w:pPr>
            <w:r>
              <w:rPr>
                <w:rFonts w:ascii="Arial" w:cs="Arial" w:eastAsia="Arial" w:hAnsi="Arial"/>
                <w:sz w:val="14"/>
                <w:szCs w:val="14"/>
                <w:color w:val="auto"/>
              </w:rPr>
              <w:t>-7.3%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60" w:type="dxa"/>
            <w:vAlign w:val="bottom"/>
          </w:tcPr>
          <w:p>
            <w:pPr>
              <w:jc w:val="center"/>
              <w:spacing w:after="0"/>
              <w:rPr>
                <w:sz w:val="20"/>
                <w:szCs w:val="20"/>
                <w:color w:val="auto"/>
              </w:rPr>
            </w:pPr>
            <w:r>
              <w:rPr>
                <w:rFonts w:ascii="Arial" w:cs="Arial" w:eastAsia="Arial" w:hAnsi="Arial"/>
                <w:sz w:val="14"/>
                <w:szCs w:val="14"/>
                <w:color w:val="auto"/>
              </w:rPr>
              <w:t>(159,163)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(149,804)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-5.9%</w:t>
            </w:r>
          </w:p>
        </w:tc>
      </w:tr>
      <w:tr>
        <w:trPr>
          <w:trHeight w:val="187"/>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b w:val="1"/>
                <w:bCs w:val="1"/>
                <w:color w:val="auto"/>
              </w:rPr>
              <w:t>Total expenses</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(1,446,404)</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(1,509,345)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(1,555,558)</w:t>
            </w: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7.5%</w:t>
            </w:r>
          </w:p>
        </w:tc>
        <w:tc>
          <w:tcPr>
            <w:tcW w:w="860" w:type="dxa"/>
            <w:vAlign w:val="bottom"/>
          </w:tcPr>
          <w:p>
            <w:pPr>
              <w:jc w:val="center"/>
              <w:spacing w:after="0"/>
              <w:rPr>
                <w:sz w:val="20"/>
                <w:szCs w:val="20"/>
                <w:color w:val="auto"/>
              </w:rPr>
            </w:pPr>
            <w:r>
              <w:rPr>
                <w:rFonts w:ascii="Arial" w:cs="Arial" w:eastAsia="Arial" w:hAnsi="Arial"/>
                <w:sz w:val="14"/>
                <w:szCs w:val="14"/>
                <w:color w:val="auto"/>
              </w:rPr>
              <w:t>(3,994,040)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(4,467,784)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11.9%</w:t>
            </w:r>
          </w:p>
        </w:tc>
      </w:tr>
      <w:tr>
        <w:trPr>
          <w:trHeight w:val="161"/>
        </w:trPr>
        <w:tc>
          <w:tcPr>
            <w:tcW w:w="3560" w:type="dxa"/>
            <w:vAlign w:val="bottom"/>
            <w:tcBorders>
              <w:left w:val="single" w:sz="8" w:color="auto"/>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spacing w:after="0"/>
              <w:rPr>
                <w:sz w:val="13"/>
                <w:szCs w:val="13"/>
                <w:color w:val="auto"/>
              </w:rPr>
            </w:pPr>
          </w:p>
        </w:tc>
      </w:tr>
      <w:tr>
        <w:trPr>
          <w:trHeight w:val="174"/>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Profit before income tax</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w w:val="99"/>
              </w:rPr>
              <w:t>1,432,196</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9"/>
              </w:rPr>
              <w:t>1,597,211</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1,753,025</w:t>
            </w:r>
          </w:p>
        </w:tc>
        <w:tc>
          <w:tcPr>
            <w:tcW w:w="720" w:type="dxa"/>
            <w:vAlign w:val="bottom"/>
          </w:tcPr>
          <w:p>
            <w:pPr>
              <w:jc w:val="center"/>
              <w:spacing w:after="0"/>
              <w:rPr>
                <w:sz w:val="20"/>
                <w:szCs w:val="20"/>
                <w:color w:val="auto"/>
              </w:rPr>
            </w:pPr>
            <w:r>
              <w:rPr>
                <w:rFonts w:ascii="Arial" w:cs="Arial" w:eastAsia="Arial" w:hAnsi="Arial"/>
                <w:sz w:val="14"/>
                <w:szCs w:val="14"/>
                <w:color w:val="auto"/>
              </w:rPr>
              <w:t>9.8%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22.4%</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3,618,782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4,977,083</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37.5%</w:t>
            </w:r>
          </w:p>
        </w:tc>
      </w:tr>
      <w:tr>
        <w:trPr>
          <w:trHeight w:val="174"/>
        </w:trPr>
        <w:tc>
          <w:tcPr>
            <w:tcW w:w="3560" w:type="dxa"/>
            <w:vAlign w:val="bottom"/>
            <w:tcBorders>
              <w:left w:val="single" w:sz="8" w:color="auto"/>
              <w:right w:val="single" w:sz="8" w:color="auto"/>
            </w:tcBorders>
          </w:tcPr>
          <w:p>
            <w:pPr>
              <w:spacing w:after="0"/>
              <w:rPr>
                <w:sz w:val="15"/>
                <w:szCs w:val="15"/>
                <w:color w:val="auto"/>
              </w:rPr>
            </w:pPr>
          </w:p>
        </w:tc>
        <w:tc>
          <w:tcPr>
            <w:tcW w:w="1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spacing w:after="0"/>
              <w:rPr>
                <w:sz w:val="15"/>
                <w:szCs w:val="15"/>
                <w:color w:val="auto"/>
              </w:rPr>
            </w:pPr>
          </w:p>
        </w:tc>
      </w:tr>
      <w:tr>
        <w:trPr>
          <w:trHeight w:val="187"/>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Income tax</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(371,383)</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(434,823)</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(455,802)</w:t>
            </w:r>
          </w:p>
        </w:tc>
        <w:tc>
          <w:tcPr>
            <w:tcW w:w="720" w:type="dxa"/>
            <w:vAlign w:val="bottom"/>
          </w:tcPr>
          <w:p>
            <w:pPr>
              <w:jc w:val="center"/>
              <w:spacing w:after="0"/>
              <w:rPr>
                <w:sz w:val="20"/>
                <w:szCs w:val="20"/>
                <w:color w:val="auto"/>
              </w:rPr>
            </w:pPr>
            <w:r>
              <w:rPr>
                <w:rFonts w:ascii="Arial" w:cs="Arial" w:eastAsia="Arial" w:hAnsi="Arial"/>
                <w:sz w:val="14"/>
                <w:szCs w:val="14"/>
                <w:color w:val="auto"/>
              </w:rPr>
              <w:t>4.8%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22.7%</w:t>
            </w:r>
          </w:p>
        </w:tc>
        <w:tc>
          <w:tcPr>
            <w:tcW w:w="860" w:type="dxa"/>
            <w:vAlign w:val="bottom"/>
          </w:tcPr>
          <w:p>
            <w:pPr>
              <w:jc w:val="center"/>
              <w:spacing w:after="0"/>
              <w:rPr>
                <w:sz w:val="20"/>
                <w:szCs w:val="20"/>
                <w:color w:val="auto"/>
              </w:rPr>
            </w:pPr>
            <w:r>
              <w:rPr>
                <w:rFonts w:ascii="Arial" w:cs="Arial" w:eastAsia="Arial" w:hAnsi="Arial"/>
                <w:sz w:val="14"/>
                <w:szCs w:val="14"/>
                <w:color w:val="auto"/>
              </w:rPr>
              <w:t>(1,002,375)</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(1,357,319)</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35.4%</w:t>
            </w:r>
          </w:p>
        </w:tc>
      </w:tr>
      <w:tr>
        <w:trPr>
          <w:trHeight w:val="161"/>
        </w:trPr>
        <w:tc>
          <w:tcPr>
            <w:tcW w:w="3560" w:type="dxa"/>
            <w:vAlign w:val="bottom"/>
            <w:tcBorders>
              <w:left w:val="single" w:sz="8" w:color="auto"/>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240" w:type="dxa"/>
            <w:vAlign w:val="bottom"/>
            <w:tcBorders>
              <w:right w:val="single" w:sz="8" w:color="auto"/>
            </w:tcBorders>
          </w:tcPr>
          <w:p>
            <w:pPr>
              <w:spacing w:after="0"/>
              <w:rPr>
                <w:sz w:val="13"/>
                <w:szCs w:val="13"/>
                <w:color w:val="auto"/>
              </w:rPr>
            </w:pPr>
          </w:p>
        </w:tc>
      </w:tr>
      <w:tr>
        <w:trPr>
          <w:trHeight w:val="161"/>
        </w:trPr>
        <w:tc>
          <w:tcPr>
            <w:tcW w:w="3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profit</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w w:val="99"/>
              </w:rPr>
              <w:t>1,060,813</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w w:val="99"/>
              </w:rPr>
              <w:t>1,162,388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1,297,223</w:t>
            </w:r>
          </w:p>
        </w:tc>
        <w:tc>
          <w:tcPr>
            <w:tcW w:w="720" w:type="dxa"/>
            <w:vAlign w:val="bottom"/>
          </w:tcPr>
          <w:p>
            <w:pPr>
              <w:jc w:val="center"/>
              <w:spacing w:after="0"/>
              <w:rPr>
                <w:sz w:val="20"/>
                <w:szCs w:val="20"/>
                <w:color w:val="auto"/>
              </w:rPr>
            </w:pPr>
            <w:r>
              <w:rPr>
                <w:rFonts w:ascii="Arial" w:cs="Arial" w:eastAsia="Arial" w:hAnsi="Arial"/>
                <w:sz w:val="14"/>
                <w:szCs w:val="14"/>
                <w:color w:val="auto"/>
              </w:rPr>
              <w:t>11.6%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22.3%</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2,616,407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3,619,764</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38.3%</w:t>
            </w:r>
          </w:p>
        </w:tc>
      </w:tr>
      <w:tr>
        <w:trPr>
          <w:trHeight w:val="161"/>
        </w:trPr>
        <w:tc>
          <w:tcPr>
            <w:tcW w:w="356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Non-controlling interest</w:t>
            </w:r>
          </w:p>
        </w:tc>
        <w:tc>
          <w:tcPr>
            <w:tcW w:w="1240" w:type="dxa"/>
            <w:vAlign w:val="bottom"/>
          </w:tcPr>
          <w:p>
            <w:pPr>
              <w:jc w:val="center"/>
              <w:ind w:left="189"/>
              <w:spacing w:after="0"/>
              <w:rPr>
                <w:sz w:val="20"/>
                <w:szCs w:val="20"/>
                <w:color w:val="auto"/>
              </w:rPr>
            </w:pPr>
            <w:r>
              <w:rPr>
                <w:rFonts w:ascii="Arial" w:cs="Arial" w:eastAsia="Arial" w:hAnsi="Arial"/>
                <w:sz w:val="14"/>
                <w:szCs w:val="14"/>
                <w:color w:val="auto"/>
              </w:rPr>
              <w:t>(3,838)</w:t>
            </w:r>
          </w:p>
        </w:tc>
        <w:tc>
          <w:tcPr>
            <w:tcW w:w="1120" w:type="dxa"/>
            <w:vAlign w:val="bottom"/>
          </w:tcPr>
          <w:p>
            <w:pPr>
              <w:jc w:val="center"/>
              <w:ind w:left="189"/>
              <w:spacing w:after="0"/>
              <w:rPr>
                <w:sz w:val="20"/>
                <w:szCs w:val="20"/>
                <w:color w:val="auto"/>
              </w:rPr>
            </w:pPr>
            <w:r>
              <w:rPr>
                <w:rFonts w:ascii="Arial" w:cs="Arial" w:eastAsia="Arial" w:hAnsi="Arial"/>
                <w:sz w:val="14"/>
                <w:szCs w:val="14"/>
                <w:color w:val="auto"/>
              </w:rPr>
              <w:t>(6,426)</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(7,385)</w:t>
            </w:r>
          </w:p>
        </w:tc>
        <w:tc>
          <w:tcPr>
            <w:tcW w:w="720" w:type="dxa"/>
            <w:vAlign w:val="bottom"/>
          </w:tcPr>
          <w:p>
            <w:pPr>
              <w:jc w:val="center"/>
              <w:spacing w:after="0"/>
              <w:rPr>
                <w:sz w:val="20"/>
                <w:szCs w:val="20"/>
                <w:color w:val="auto"/>
              </w:rPr>
            </w:pPr>
            <w:r>
              <w:rPr>
                <w:rFonts w:ascii="Arial" w:cs="Arial" w:eastAsia="Arial" w:hAnsi="Arial"/>
                <w:sz w:val="14"/>
                <w:szCs w:val="14"/>
                <w:color w:val="auto"/>
              </w:rPr>
              <w:t>14.9%</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92.4%</w:t>
            </w:r>
          </w:p>
        </w:tc>
        <w:tc>
          <w:tcPr>
            <w:tcW w:w="860" w:type="dxa"/>
            <w:vAlign w:val="bottom"/>
          </w:tcPr>
          <w:p>
            <w:pPr>
              <w:jc w:val="center"/>
              <w:spacing w:after="0"/>
              <w:rPr>
                <w:sz w:val="20"/>
                <w:szCs w:val="20"/>
                <w:color w:val="auto"/>
              </w:rPr>
            </w:pPr>
            <w:r>
              <w:rPr>
                <w:rFonts w:ascii="Arial" w:cs="Arial" w:eastAsia="Arial" w:hAnsi="Arial"/>
                <w:sz w:val="14"/>
                <w:szCs w:val="14"/>
                <w:color w:val="auto"/>
              </w:rPr>
              <w:t>(7,160)</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9"/>
              </w:rPr>
              <w:t>(18,968)</w:t>
            </w: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164.9%</w:t>
            </w:r>
          </w:p>
        </w:tc>
      </w:tr>
      <w:tr>
        <w:trPr>
          <w:trHeight w:val="177"/>
        </w:trPr>
        <w:tc>
          <w:tcPr>
            <w:tcW w:w="3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profit attributable to BCP Consolidated</w:t>
            </w:r>
          </w:p>
        </w:tc>
        <w:tc>
          <w:tcPr>
            <w:tcW w:w="124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w w:val="99"/>
              </w:rPr>
              <w:t>1,056,975</w:t>
            </w:r>
          </w:p>
        </w:tc>
        <w:tc>
          <w:tcPr>
            <w:tcW w:w="1120" w:type="dxa"/>
            <w:vAlign w:val="bottom"/>
            <w:tcBorders>
              <w:bottom w:val="single" w:sz="8" w:color="auto"/>
            </w:tcBorders>
          </w:tcPr>
          <w:p>
            <w:pPr>
              <w:jc w:val="center"/>
              <w:ind w:left="189"/>
              <w:spacing w:after="0"/>
              <w:rPr>
                <w:sz w:val="20"/>
                <w:szCs w:val="20"/>
                <w:color w:val="auto"/>
              </w:rPr>
            </w:pPr>
            <w:r>
              <w:rPr>
                <w:rFonts w:ascii="Arial" w:cs="Arial" w:eastAsia="Arial" w:hAnsi="Arial"/>
                <w:sz w:val="14"/>
                <w:szCs w:val="14"/>
                <w:color w:val="auto"/>
                <w:w w:val="99"/>
              </w:rPr>
              <w:t>1,155,962</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1,289,838</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11.6%</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22.0%</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2,609,247</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3,600,796</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38.0%</w:t>
            </w:r>
          </w:p>
        </w:tc>
      </w:tr>
    </w:tbl>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63" w:name="page64"/>
    <w:bookmarkEnd w:id="63"/>
    <w:p>
      <w:pPr>
        <w:ind w:left="2980"/>
        <w:spacing w:after="0"/>
        <w:tabs>
          <w:tab w:leader="none" w:pos="758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1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-151765</wp:posOffset>
            </wp:positionV>
            <wp:extent cx="7065645" cy="1873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065645" cy="187325"/>
                    </a:xfrm>
                    <a:prstGeom prst="rect">
                      <a:avLst/>
                    </a:prstGeom>
                    <a:noFill/>
                  </pic:spPr>
                </pic:pic>
              </a:graphicData>
            </a:graphic>
          </wp:anchor>
        </w:drawing>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BANCO DE CREDITO DEL PERU AND SUBSIDIARIES</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SELECTED FINANCIAL INDICATORS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640" w:type="dxa"/>
            <w:vAlign w:val="bottom"/>
            <w:tcBorders>
              <w:right w:val="single" w:sz="8" w:color="auto"/>
            </w:tcBorders>
          </w:tcPr>
          <w:p>
            <w:pPr>
              <w:spacing w:after="0"/>
              <w:rPr>
                <w:sz w:val="18"/>
                <w:szCs w:val="18"/>
                <w:color w:val="auto"/>
              </w:rPr>
            </w:pPr>
          </w:p>
        </w:tc>
        <w:tc>
          <w:tcPr>
            <w:tcW w:w="1100" w:type="dxa"/>
            <w:vAlign w:val="bottom"/>
            <w:tcBorders>
              <w:top w:val="single" w:sz="8" w:color="auto"/>
            </w:tcBorders>
            <w:shd w:val="clear" w:color="auto" w:fill="2AD2C9"/>
          </w:tcPr>
          <w:p>
            <w:pPr>
              <w:spacing w:after="0"/>
              <w:rPr>
                <w:sz w:val="18"/>
                <w:szCs w:val="18"/>
                <w:color w:val="auto"/>
              </w:rPr>
            </w:pPr>
          </w:p>
        </w:tc>
        <w:tc>
          <w:tcPr>
            <w:tcW w:w="1140" w:type="dxa"/>
            <w:vAlign w:val="bottom"/>
            <w:tcBorders>
              <w:top w:val="single" w:sz="8" w:color="auto"/>
            </w:tcBorders>
            <w:shd w:val="clear" w:color="auto" w:fill="2AD2C9"/>
          </w:tcPr>
          <w:p>
            <w:pPr>
              <w:ind w:left="260"/>
              <w:spacing w:after="0"/>
              <w:rPr>
                <w:sz w:val="20"/>
                <w:szCs w:val="20"/>
                <w:color w:val="auto"/>
              </w:rPr>
            </w:pPr>
            <w:r>
              <w:rPr>
                <w:rFonts w:ascii="Arial" w:cs="Arial" w:eastAsia="Arial" w:hAnsi="Arial"/>
                <w:sz w:val="18"/>
                <w:szCs w:val="18"/>
                <w:b w:val="1"/>
                <w:bCs w:val="1"/>
                <w:color w:val="FFFFFF"/>
              </w:rPr>
              <w:t>Quarter</w:t>
            </w:r>
          </w:p>
        </w:tc>
        <w:tc>
          <w:tcPr>
            <w:tcW w:w="1140" w:type="dxa"/>
            <w:vAlign w:val="bottom"/>
            <w:tcBorders>
              <w:top w:val="single" w:sz="8" w:color="auto"/>
              <w:right w:val="single" w:sz="8" w:color="auto"/>
            </w:tcBorders>
            <w:shd w:val="clear" w:color="auto" w:fill="2AD2C9"/>
          </w:tcPr>
          <w:p>
            <w:pPr>
              <w:spacing w:after="0"/>
              <w:rPr>
                <w:sz w:val="18"/>
                <w:szCs w:val="18"/>
                <w:color w:val="auto"/>
              </w:rPr>
            </w:pPr>
          </w:p>
        </w:tc>
        <w:tc>
          <w:tcPr>
            <w:tcW w:w="1340" w:type="dxa"/>
            <w:vAlign w:val="bottom"/>
            <w:tcBorders>
              <w:top w:val="single" w:sz="8" w:color="auto"/>
            </w:tcBorders>
            <w:shd w:val="clear" w:color="auto" w:fill="2AD2C9"/>
          </w:tcPr>
          <w:p>
            <w:pPr>
              <w:jc w:val="right"/>
              <w:spacing w:after="0"/>
              <w:rPr>
                <w:sz w:val="20"/>
                <w:szCs w:val="20"/>
                <w:color w:val="auto"/>
              </w:rPr>
            </w:pPr>
            <w:r>
              <w:rPr>
                <w:rFonts w:ascii="Arial" w:cs="Arial" w:eastAsia="Arial" w:hAnsi="Arial"/>
                <w:sz w:val="18"/>
                <w:szCs w:val="18"/>
                <w:b w:val="1"/>
                <w:bCs w:val="1"/>
                <w:color w:val="FFFFFF"/>
              </w:rPr>
              <w:t>As of</w:t>
            </w:r>
          </w:p>
        </w:tc>
        <w:tc>
          <w:tcPr>
            <w:tcW w:w="880" w:type="dxa"/>
            <w:vAlign w:val="bottom"/>
            <w:tcBorders>
              <w:top w:val="single" w:sz="8" w:color="auto"/>
              <w:right w:val="single" w:sz="8" w:color="auto"/>
            </w:tcBorders>
            <w:shd w:val="clear" w:color="auto" w:fill="2AD2C9"/>
          </w:tcPr>
          <w:p>
            <w:pPr>
              <w:spacing w:after="0"/>
              <w:rPr>
                <w:sz w:val="18"/>
                <w:szCs w:val="18"/>
                <w:color w:val="auto"/>
              </w:rPr>
            </w:pPr>
          </w:p>
        </w:tc>
      </w:tr>
      <w:tr>
        <w:trPr>
          <w:trHeight w:val="226"/>
        </w:trPr>
        <w:tc>
          <w:tcPr>
            <w:tcW w:w="5640" w:type="dxa"/>
            <w:vAlign w:val="bottom"/>
            <w:tcBorders>
              <w:bottom w:val="single" w:sz="8" w:color="auto"/>
              <w:right w:val="single" w:sz="8" w:color="auto"/>
            </w:tcBorders>
          </w:tcPr>
          <w:p>
            <w:pPr>
              <w:spacing w:after="0"/>
              <w:rPr>
                <w:sz w:val="19"/>
                <w:szCs w:val="19"/>
                <w:color w:val="auto"/>
              </w:rPr>
            </w:pPr>
          </w:p>
        </w:tc>
        <w:tc>
          <w:tcPr>
            <w:tcW w:w="11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11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2Q22</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3Q22</w:t>
            </w:r>
          </w:p>
        </w:tc>
        <w:tc>
          <w:tcPr>
            <w:tcW w:w="1340" w:type="dxa"/>
            <w:vAlign w:val="bottom"/>
            <w:tcBorders>
              <w:bottom w:val="single" w:sz="8" w:color="auto"/>
            </w:tcBorders>
            <w:shd w:val="clear" w:color="auto" w:fill="2AD2C9"/>
          </w:tcPr>
          <w:p>
            <w:pPr>
              <w:jc w:val="right"/>
              <w:ind w:right="411"/>
              <w:spacing w:after="0"/>
              <w:rPr>
                <w:sz w:val="20"/>
                <w:szCs w:val="20"/>
                <w:color w:val="auto"/>
              </w:rPr>
            </w:pPr>
            <w:r>
              <w:rPr>
                <w:rFonts w:ascii="Arial" w:cs="Arial" w:eastAsia="Arial" w:hAnsi="Arial"/>
                <w:sz w:val="18"/>
                <w:szCs w:val="18"/>
                <w:b w:val="1"/>
                <w:bCs w:val="1"/>
                <w:color w:val="FFFFFF"/>
              </w:rPr>
              <w:t>Sep 21</w:t>
            </w:r>
          </w:p>
        </w:tc>
        <w:tc>
          <w:tcPr>
            <w:tcW w:w="880" w:type="dxa"/>
            <w:vAlign w:val="bottom"/>
            <w:tcBorders>
              <w:bottom w:val="single" w:sz="8" w:color="auto"/>
              <w:right w:val="single" w:sz="8" w:color="auto"/>
            </w:tcBorders>
            <w:shd w:val="clear" w:color="auto" w:fill="2AD2C9"/>
          </w:tcPr>
          <w:p>
            <w:pPr>
              <w:jc w:val="right"/>
              <w:ind w:right="191"/>
              <w:spacing w:after="0"/>
              <w:rPr>
                <w:sz w:val="20"/>
                <w:szCs w:val="20"/>
                <w:color w:val="auto"/>
              </w:rPr>
            </w:pPr>
            <w:r>
              <w:rPr>
                <w:rFonts w:ascii="Arial" w:cs="Arial" w:eastAsia="Arial" w:hAnsi="Arial"/>
                <w:sz w:val="18"/>
                <w:szCs w:val="18"/>
                <w:b w:val="1"/>
                <w:bCs w:val="1"/>
                <w:color w:val="FFFFFF"/>
                <w:w w:val="99"/>
              </w:rPr>
              <w:t>Sep 22</w:t>
            </w:r>
          </w:p>
        </w:tc>
      </w:tr>
      <w:tr>
        <w:trPr>
          <w:trHeight w:val="173"/>
        </w:trPr>
        <w:tc>
          <w:tcPr>
            <w:tcW w:w="564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8"/>
                <w:szCs w:val="18"/>
                <w:b w:val="1"/>
                <w:bCs w:val="1"/>
                <w:color w:val="auto"/>
              </w:rPr>
              <w:t>Profitability</w:t>
            </w:r>
          </w:p>
        </w:tc>
        <w:tc>
          <w:tcPr>
            <w:tcW w:w="1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3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color w:val="auto"/>
              </w:rPr>
              <w:t xml:space="preserve">Earnings per share </w:t>
            </w:r>
            <w:r>
              <w:rPr>
                <w:rFonts w:ascii="Arial" w:cs="Arial" w:eastAsia="Arial" w:hAnsi="Arial"/>
                <w:sz w:val="23"/>
                <w:szCs w:val="23"/>
                <w:color w:val="auto"/>
                <w:vertAlign w:val="superscript"/>
              </w:rPr>
              <w:t>(1)</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7"/>
              </w:rPr>
              <w:t>0.087</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7"/>
              </w:rPr>
              <w:t>0.095</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0.106</w:t>
            </w:r>
          </w:p>
        </w:tc>
        <w:tc>
          <w:tcPr>
            <w:tcW w:w="1340" w:type="dxa"/>
            <w:vAlign w:val="bottom"/>
          </w:tcPr>
          <w:p>
            <w:pPr>
              <w:jc w:val="center"/>
              <w:ind w:right="151"/>
              <w:spacing w:after="0" w:line="201" w:lineRule="exact"/>
              <w:rPr>
                <w:sz w:val="20"/>
                <w:szCs w:val="20"/>
                <w:color w:val="auto"/>
              </w:rPr>
            </w:pPr>
            <w:r>
              <w:rPr>
                <w:rFonts w:ascii="Arial" w:cs="Arial" w:eastAsia="Arial" w:hAnsi="Arial"/>
                <w:sz w:val="18"/>
                <w:szCs w:val="18"/>
                <w:color w:val="auto"/>
              </w:rPr>
              <w:t>0.214</w:t>
            </w:r>
          </w:p>
        </w:tc>
        <w:tc>
          <w:tcPr>
            <w:tcW w:w="880" w:type="dxa"/>
            <w:vAlign w:val="bottom"/>
            <w:tcBorders>
              <w:right w:val="single" w:sz="8" w:color="auto"/>
            </w:tcBorders>
          </w:tcPr>
          <w:p>
            <w:pPr>
              <w:jc w:val="center"/>
              <w:ind w:right="191"/>
              <w:spacing w:after="0" w:line="201" w:lineRule="exact"/>
              <w:rPr>
                <w:sz w:val="20"/>
                <w:szCs w:val="20"/>
                <w:color w:val="auto"/>
              </w:rPr>
            </w:pPr>
            <w:r>
              <w:rPr>
                <w:rFonts w:ascii="Arial" w:cs="Arial" w:eastAsia="Arial" w:hAnsi="Arial"/>
                <w:sz w:val="18"/>
                <w:szCs w:val="18"/>
                <w:color w:val="auto"/>
                <w:w w:val="97"/>
              </w:rPr>
              <w:t>0.296</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23"/>
                <w:szCs w:val="23"/>
                <w:color w:val="auto"/>
                <w:vertAlign w:val="subscript"/>
              </w:rPr>
              <w:t>ROAA</w:t>
            </w:r>
            <w:r>
              <w:rPr>
                <w:rFonts w:ascii="Arial" w:cs="Arial" w:eastAsia="Arial" w:hAnsi="Arial"/>
                <w:sz w:val="12"/>
                <w:szCs w:val="12"/>
                <w:color w:val="auto"/>
              </w:rPr>
              <w:t xml:space="preserve"> (2)(3)</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7"/>
              </w:rPr>
              <w:t>2.1%</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7"/>
              </w:rPr>
              <w:t>2.4%</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2.6%</w:t>
            </w:r>
          </w:p>
        </w:tc>
        <w:tc>
          <w:tcPr>
            <w:tcW w:w="1340" w:type="dxa"/>
            <w:vAlign w:val="bottom"/>
          </w:tcPr>
          <w:p>
            <w:pPr>
              <w:jc w:val="center"/>
              <w:ind w:right="151"/>
              <w:spacing w:after="0" w:line="201" w:lineRule="exact"/>
              <w:rPr>
                <w:sz w:val="20"/>
                <w:szCs w:val="20"/>
                <w:color w:val="auto"/>
              </w:rPr>
            </w:pPr>
            <w:r>
              <w:rPr>
                <w:rFonts w:ascii="Arial" w:cs="Arial" w:eastAsia="Arial" w:hAnsi="Arial"/>
                <w:sz w:val="18"/>
                <w:szCs w:val="18"/>
                <w:color w:val="auto"/>
              </w:rPr>
              <w:t>1.7%</w:t>
            </w:r>
          </w:p>
        </w:tc>
        <w:tc>
          <w:tcPr>
            <w:tcW w:w="880" w:type="dxa"/>
            <w:vAlign w:val="bottom"/>
            <w:tcBorders>
              <w:right w:val="single" w:sz="8" w:color="auto"/>
            </w:tcBorders>
          </w:tcPr>
          <w:p>
            <w:pPr>
              <w:jc w:val="center"/>
              <w:ind w:right="191"/>
              <w:spacing w:after="0" w:line="201" w:lineRule="exact"/>
              <w:rPr>
                <w:sz w:val="20"/>
                <w:szCs w:val="20"/>
                <w:color w:val="auto"/>
              </w:rPr>
            </w:pPr>
            <w:r>
              <w:rPr>
                <w:rFonts w:ascii="Arial" w:cs="Arial" w:eastAsia="Arial" w:hAnsi="Arial"/>
                <w:sz w:val="18"/>
                <w:szCs w:val="18"/>
                <w:color w:val="auto"/>
                <w:w w:val="97"/>
              </w:rPr>
              <w:t>2.4%</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23"/>
                <w:szCs w:val="23"/>
                <w:color w:val="auto"/>
                <w:vertAlign w:val="subscript"/>
              </w:rPr>
              <w:t>ROAE</w:t>
            </w:r>
            <w:r>
              <w:rPr>
                <w:rFonts w:ascii="Arial" w:cs="Arial" w:eastAsia="Arial" w:hAnsi="Arial"/>
                <w:sz w:val="12"/>
                <w:szCs w:val="12"/>
                <w:color w:val="auto"/>
              </w:rPr>
              <w:t xml:space="preserve"> (2)(3)</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22.0%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rPr>
              <w:t>22.5%</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24.0%</w:t>
            </w:r>
          </w:p>
        </w:tc>
        <w:tc>
          <w:tcPr>
            <w:tcW w:w="1340" w:type="dxa"/>
            <w:vAlign w:val="bottom"/>
          </w:tcPr>
          <w:p>
            <w:pPr>
              <w:jc w:val="center"/>
              <w:ind w:right="151"/>
              <w:spacing w:after="0" w:line="201" w:lineRule="exact"/>
              <w:rPr>
                <w:sz w:val="20"/>
                <w:szCs w:val="20"/>
                <w:color w:val="auto"/>
              </w:rPr>
            </w:pPr>
            <w:r>
              <w:rPr>
                <w:rFonts w:ascii="Arial" w:cs="Arial" w:eastAsia="Arial" w:hAnsi="Arial"/>
                <w:sz w:val="18"/>
                <w:szCs w:val="18"/>
                <w:color w:val="auto"/>
                <w:w w:val="97"/>
              </w:rPr>
              <w:t>18.4%</w:t>
            </w:r>
          </w:p>
        </w:tc>
        <w:tc>
          <w:tcPr>
            <w:tcW w:w="880" w:type="dxa"/>
            <w:vAlign w:val="bottom"/>
            <w:tcBorders>
              <w:right w:val="single" w:sz="8" w:color="auto"/>
            </w:tcBorders>
          </w:tcPr>
          <w:p>
            <w:pPr>
              <w:jc w:val="center"/>
              <w:ind w:right="171"/>
              <w:spacing w:after="0" w:line="201" w:lineRule="exact"/>
              <w:rPr>
                <w:sz w:val="20"/>
                <w:szCs w:val="20"/>
                <w:color w:val="auto"/>
              </w:rPr>
            </w:pPr>
            <w:r>
              <w:rPr>
                <w:rFonts w:ascii="Arial" w:cs="Arial" w:eastAsia="Arial" w:hAnsi="Arial"/>
                <w:sz w:val="18"/>
                <w:szCs w:val="18"/>
                <w:color w:val="auto"/>
                <w:w w:val="97"/>
              </w:rPr>
              <w:t>22.3%</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color w:val="auto"/>
              </w:rPr>
              <w:t xml:space="preserve">Net interest margin </w:t>
            </w:r>
            <w:r>
              <w:rPr>
                <w:rFonts w:ascii="Arial" w:cs="Arial" w:eastAsia="Arial" w:hAnsi="Arial"/>
                <w:sz w:val="23"/>
                <w:szCs w:val="23"/>
                <w:color w:val="auto"/>
                <w:vertAlign w:val="superscript"/>
              </w:rPr>
              <w:t>(2)(3)</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4.32%</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rPr>
              <w:t>5.10%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5.61%</w:t>
            </w:r>
          </w:p>
        </w:tc>
        <w:tc>
          <w:tcPr>
            <w:tcW w:w="1340" w:type="dxa"/>
            <w:vAlign w:val="bottom"/>
          </w:tcPr>
          <w:p>
            <w:pPr>
              <w:jc w:val="center"/>
              <w:ind w:right="151"/>
              <w:spacing w:after="0" w:line="201" w:lineRule="exact"/>
              <w:rPr>
                <w:sz w:val="20"/>
                <w:szCs w:val="20"/>
                <w:color w:val="auto"/>
              </w:rPr>
            </w:pPr>
            <w:r>
              <w:rPr>
                <w:rFonts w:ascii="Arial" w:cs="Arial" w:eastAsia="Arial" w:hAnsi="Arial"/>
                <w:sz w:val="18"/>
                <w:szCs w:val="18"/>
                <w:color w:val="auto"/>
                <w:w w:val="97"/>
              </w:rPr>
              <w:t>4.11%</w:t>
            </w:r>
          </w:p>
        </w:tc>
        <w:tc>
          <w:tcPr>
            <w:tcW w:w="880" w:type="dxa"/>
            <w:vAlign w:val="bottom"/>
            <w:tcBorders>
              <w:right w:val="single" w:sz="8" w:color="auto"/>
            </w:tcBorders>
          </w:tcPr>
          <w:p>
            <w:pPr>
              <w:jc w:val="center"/>
              <w:ind w:right="171"/>
              <w:spacing w:after="0" w:line="201" w:lineRule="exact"/>
              <w:rPr>
                <w:sz w:val="20"/>
                <w:szCs w:val="20"/>
                <w:color w:val="auto"/>
              </w:rPr>
            </w:pPr>
            <w:r>
              <w:rPr>
                <w:rFonts w:ascii="Arial" w:cs="Arial" w:eastAsia="Arial" w:hAnsi="Arial"/>
                <w:sz w:val="18"/>
                <w:szCs w:val="18"/>
                <w:color w:val="auto"/>
                <w:w w:val="97"/>
              </w:rPr>
              <w:t>5.11%</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color w:val="auto"/>
              </w:rPr>
              <w:t xml:space="preserve">Risk adjusted NIM </w:t>
            </w:r>
            <w:r>
              <w:rPr>
                <w:rFonts w:ascii="Arial" w:cs="Arial" w:eastAsia="Arial" w:hAnsi="Arial"/>
                <w:sz w:val="23"/>
                <w:szCs w:val="23"/>
                <w:color w:val="auto"/>
                <w:vertAlign w:val="superscript"/>
              </w:rPr>
              <w:t>(2)(3)</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4.00%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rPr>
              <w:t>4.41%</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4.67%</w:t>
            </w:r>
          </w:p>
        </w:tc>
        <w:tc>
          <w:tcPr>
            <w:tcW w:w="1340" w:type="dxa"/>
            <w:vAlign w:val="bottom"/>
          </w:tcPr>
          <w:p>
            <w:pPr>
              <w:jc w:val="center"/>
              <w:ind w:right="151"/>
              <w:spacing w:after="0" w:line="201" w:lineRule="exact"/>
              <w:rPr>
                <w:sz w:val="20"/>
                <w:szCs w:val="20"/>
                <w:color w:val="auto"/>
              </w:rPr>
            </w:pPr>
            <w:r>
              <w:rPr>
                <w:rFonts w:ascii="Arial" w:cs="Arial" w:eastAsia="Arial" w:hAnsi="Arial"/>
                <w:sz w:val="18"/>
                <w:szCs w:val="18"/>
                <w:color w:val="auto"/>
                <w:w w:val="97"/>
              </w:rPr>
              <w:t>3.36%</w:t>
            </w:r>
          </w:p>
        </w:tc>
        <w:tc>
          <w:tcPr>
            <w:tcW w:w="880" w:type="dxa"/>
            <w:vAlign w:val="bottom"/>
            <w:tcBorders>
              <w:right w:val="single" w:sz="8" w:color="auto"/>
            </w:tcBorders>
          </w:tcPr>
          <w:p>
            <w:pPr>
              <w:jc w:val="center"/>
              <w:ind w:right="171"/>
              <w:spacing w:after="0" w:line="201" w:lineRule="exact"/>
              <w:rPr>
                <w:sz w:val="20"/>
                <w:szCs w:val="20"/>
                <w:color w:val="auto"/>
              </w:rPr>
            </w:pPr>
            <w:r>
              <w:rPr>
                <w:rFonts w:ascii="Arial" w:cs="Arial" w:eastAsia="Arial" w:hAnsi="Arial"/>
                <w:sz w:val="18"/>
                <w:szCs w:val="18"/>
                <w:color w:val="auto"/>
                <w:w w:val="97"/>
              </w:rPr>
              <w:t>4.40%</w:t>
            </w:r>
          </w:p>
        </w:tc>
      </w:tr>
      <w:tr>
        <w:trPr>
          <w:trHeight w:val="399"/>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1100" w:type="dxa"/>
            <w:vAlign w:val="bottom"/>
          </w:tcPr>
          <w:p>
            <w:pPr>
              <w:jc w:val="center"/>
              <w:spacing w:after="0"/>
              <w:rPr>
                <w:sz w:val="20"/>
                <w:szCs w:val="20"/>
                <w:color w:val="auto"/>
              </w:rPr>
            </w:pPr>
            <w:r>
              <w:rPr>
                <w:rFonts w:ascii="Arial" w:cs="Arial" w:eastAsia="Arial" w:hAnsi="Arial"/>
                <w:sz w:val="18"/>
                <w:szCs w:val="18"/>
                <w:color w:val="auto"/>
              </w:rPr>
              <w:t>1.00%</w:t>
            </w:r>
          </w:p>
        </w:tc>
        <w:tc>
          <w:tcPr>
            <w:tcW w:w="1140" w:type="dxa"/>
            <w:vAlign w:val="bottom"/>
          </w:tcPr>
          <w:p>
            <w:pPr>
              <w:jc w:val="center"/>
              <w:spacing w:after="0"/>
              <w:rPr>
                <w:sz w:val="20"/>
                <w:szCs w:val="20"/>
                <w:color w:val="auto"/>
              </w:rPr>
            </w:pPr>
            <w:r>
              <w:rPr>
                <w:rFonts w:ascii="Arial" w:cs="Arial" w:eastAsia="Arial" w:hAnsi="Arial"/>
                <w:sz w:val="18"/>
                <w:szCs w:val="18"/>
                <w:color w:val="auto"/>
              </w:rPr>
              <w:t>1.42%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1.90%</w:t>
            </w:r>
          </w:p>
        </w:tc>
        <w:tc>
          <w:tcPr>
            <w:tcW w:w="1340" w:type="dxa"/>
            <w:vAlign w:val="bottom"/>
          </w:tcPr>
          <w:p>
            <w:pPr>
              <w:jc w:val="center"/>
              <w:ind w:right="151"/>
              <w:spacing w:after="0"/>
              <w:rPr>
                <w:sz w:val="20"/>
                <w:szCs w:val="20"/>
                <w:color w:val="auto"/>
              </w:rPr>
            </w:pPr>
            <w:r>
              <w:rPr>
                <w:rFonts w:ascii="Arial" w:cs="Arial" w:eastAsia="Arial" w:hAnsi="Arial"/>
                <w:sz w:val="18"/>
                <w:szCs w:val="18"/>
                <w:color w:val="auto"/>
                <w:w w:val="97"/>
              </w:rPr>
              <w:t>1.10%</w:t>
            </w:r>
          </w:p>
        </w:tc>
        <w:tc>
          <w:tcPr>
            <w:tcW w:w="880" w:type="dxa"/>
            <w:vAlign w:val="bottom"/>
            <w:tcBorders>
              <w:right w:val="single" w:sz="8" w:color="auto"/>
            </w:tcBorders>
          </w:tcPr>
          <w:p>
            <w:pPr>
              <w:jc w:val="center"/>
              <w:ind w:right="171"/>
              <w:spacing w:after="0"/>
              <w:rPr>
                <w:sz w:val="20"/>
                <w:szCs w:val="20"/>
                <w:color w:val="auto"/>
              </w:rPr>
            </w:pPr>
            <w:r>
              <w:rPr>
                <w:rFonts w:ascii="Arial" w:cs="Arial" w:eastAsia="Arial" w:hAnsi="Arial"/>
                <w:sz w:val="18"/>
                <w:szCs w:val="18"/>
                <w:color w:val="auto"/>
                <w:w w:val="97"/>
              </w:rPr>
              <w:t>1.49%</w:t>
            </w:r>
          </w:p>
        </w:tc>
      </w:tr>
      <w:tr>
        <w:trPr>
          <w:trHeight w:val="213"/>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Quality of loan portfolio</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IOL ratio</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3.96%</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rPr>
              <w:t>4.25%</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4.33%</w:t>
            </w:r>
          </w:p>
        </w:tc>
        <w:tc>
          <w:tcPr>
            <w:tcW w:w="1340" w:type="dxa"/>
            <w:vAlign w:val="bottom"/>
          </w:tcPr>
          <w:p>
            <w:pPr>
              <w:jc w:val="center"/>
              <w:ind w:right="151"/>
              <w:spacing w:after="0" w:line="201" w:lineRule="exact"/>
              <w:rPr>
                <w:sz w:val="20"/>
                <w:szCs w:val="20"/>
                <w:color w:val="auto"/>
              </w:rPr>
            </w:pPr>
            <w:r>
              <w:rPr>
                <w:rFonts w:ascii="Arial" w:cs="Arial" w:eastAsia="Arial" w:hAnsi="Arial"/>
                <w:sz w:val="18"/>
                <w:szCs w:val="18"/>
                <w:color w:val="auto"/>
                <w:w w:val="97"/>
              </w:rPr>
              <w:t>3.96%</w:t>
            </w:r>
          </w:p>
        </w:tc>
        <w:tc>
          <w:tcPr>
            <w:tcW w:w="880" w:type="dxa"/>
            <w:vAlign w:val="bottom"/>
            <w:tcBorders>
              <w:right w:val="single" w:sz="8" w:color="auto"/>
            </w:tcBorders>
          </w:tcPr>
          <w:p>
            <w:pPr>
              <w:jc w:val="center"/>
              <w:ind w:right="171"/>
              <w:spacing w:after="0" w:line="201" w:lineRule="exact"/>
              <w:rPr>
                <w:sz w:val="20"/>
                <w:szCs w:val="20"/>
                <w:color w:val="auto"/>
              </w:rPr>
            </w:pPr>
            <w:r>
              <w:rPr>
                <w:rFonts w:ascii="Arial" w:cs="Arial" w:eastAsia="Arial" w:hAnsi="Arial"/>
                <w:sz w:val="18"/>
                <w:szCs w:val="18"/>
                <w:color w:val="auto"/>
                <w:w w:val="97"/>
              </w:rPr>
              <w:t>4.33%</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NPL ratio</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5.27%</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rPr>
              <w:t>5.44%</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5.61%</w:t>
            </w:r>
          </w:p>
        </w:tc>
        <w:tc>
          <w:tcPr>
            <w:tcW w:w="1340" w:type="dxa"/>
            <w:vAlign w:val="bottom"/>
          </w:tcPr>
          <w:p>
            <w:pPr>
              <w:jc w:val="center"/>
              <w:ind w:right="151"/>
              <w:spacing w:after="0" w:line="201" w:lineRule="exact"/>
              <w:rPr>
                <w:sz w:val="20"/>
                <w:szCs w:val="20"/>
                <w:color w:val="auto"/>
              </w:rPr>
            </w:pPr>
            <w:r>
              <w:rPr>
                <w:rFonts w:ascii="Arial" w:cs="Arial" w:eastAsia="Arial" w:hAnsi="Arial"/>
                <w:sz w:val="18"/>
                <w:szCs w:val="18"/>
                <w:color w:val="auto"/>
                <w:w w:val="97"/>
              </w:rPr>
              <w:t>5.27%</w:t>
            </w:r>
          </w:p>
        </w:tc>
        <w:tc>
          <w:tcPr>
            <w:tcW w:w="880" w:type="dxa"/>
            <w:vAlign w:val="bottom"/>
            <w:tcBorders>
              <w:right w:val="single" w:sz="8" w:color="auto"/>
            </w:tcBorders>
          </w:tcPr>
          <w:p>
            <w:pPr>
              <w:jc w:val="center"/>
              <w:ind w:right="171"/>
              <w:spacing w:after="0" w:line="201" w:lineRule="exact"/>
              <w:rPr>
                <w:sz w:val="20"/>
                <w:szCs w:val="20"/>
                <w:color w:val="auto"/>
              </w:rPr>
            </w:pPr>
            <w:r>
              <w:rPr>
                <w:rFonts w:ascii="Arial" w:cs="Arial" w:eastAsia="Arial" w:hAnsi="Arial"/>
                <w:sz w:val="18"/>
                <w:szCs w:val="18"/>
                <w:color w:val="auto"/>
                <w:w w:val="97"/>
              </w:rPr>
              <w:t>5.61%</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Coverage of IOLs</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8"/>
              </w:rPr>
              <w:t>160.6%</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98"/>
              </w:rPr>
              <w:t>133.2%</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125.8%</w:t>
            </w:r>
          </w:p>
        </w:tc>
        <w:tc>
          <w:tcPr>
            <w:tcW w:w="1340" w:type="dxa"/>
            <w:vAlign w:val="bottom"/>
          </w:tcPr>
          <w:p>
            <w:pPr>
              <w:jc w:val="center"/>
              <w:ind w:right="171"/>
              <w:spacing w:after="0" w:line="201" w:lineRule="exact"/>
              <w:rPr>
                <w:sz w:val="20"/>
                <w:szCs w:val="20"/>
                <w:color w:val="auto"/>
              </w:rPr>
            </w:pPr>
            <w:r>
              <w:rPr>
                <w:rFonts w:ascii="Arial" w:cs="Arial" w:eastAsia="Arial" w:hAnsi="Arial"/>
                <w:sz w:val="18"/>
                <w:szCs w:val="18"/>
                <w:color w:val="auto"/>
                <w:w w:val="98"/>
              </w:rPr>
              <w:t>160.6%</w:t>
            </w:r>
          </w:p>
        </w:tc>
        <w:tc>
          <w:tcPr>
            <w:tcW w:w="880" w:type="dxa"/>
            <w:vAlign w:val="bottom"/>
            <w:tcBorders>
              <w:right w:val="single" w:sz="8" w:color="auto"/>
            </w:tcBorders>
          </w:tcPr>
          <w:p>
            <w:pPr>
              <w:jc w:val="center"/>
              <w:ind w:right="191"/>
              <w:spacing w:after="0" w:line="201" w:lineRule="exact"/>
              <w:rPr>
                <w:sz w:val="20"/>
                <w:szCs w:val="20"/>
                <w:color w:val="auto"/>
              </w:rPr>
            </w:pPr>
            <w:r>
              <w:rPr>
                <w:rFonts w:ascii="Arial" w:cs="Arial" w:eastAsia="Arial" w:hAnsi="Arial"/>
                <w:sz w:val="18"/>
                <w:szCs w:val="18"/>
                <w:color w:val="auto"/>
                <w:w w:val="98"/>
              </w:rPr>
              <w:t>125.8%</w:t>
            </w:r>
          </w:p>
        </w:tc>
      </w:tr>
      <w:tr>
        <w:trPr>
          <w:trHeight w:val="192"/>
        </w:trPr>
        <w:tc>
          <w:tcPr>
            <w:tcW w:w="5640" w:type="dxa"/>
            <w:vAlign w:val="bottom"/>
            <w:tcBorders>
              <w:left w:val="single" w:sz="8" w:color="auto"/>
              <w:right w:val="single" w:sz="8" w:color="auto"/>
            </w:tcBorders>
          </w:tcPr>
          <w:p>
            <w:pPr>
              <w:ind w:left="20"/>
              <w:spacing w:after="0" w:line="192" w:lineRule="exact"/>
              <w:rPr>
                <w:sz w:val="20"/>
                <w:szCs w:val="20"/>
                <w:color w:val="auto"/>
              </w:rPr>
            </w:pPr>
            <w:r>
              <w:rPr>
                <w:rFonts w:ascii="Arial" w:cs="Arial" w:eastAsia="Arial" w:hAnsi="Arial"/>
                <w:sz w:val="18"/>
                <w:szCs w:val="18"/>
                <w:color w:val="auto"/>
              </w:rPr>
              <w:t>Coverage of NPLs</w:t>
            </w:r>
          </w:p>
        </w:tc>
        <w:tc>
          <w:tcPr>
            <w:tcW w:w="1100" w:type="dxa"/>
            <w:vAlign w:val="bottom"/>
          </w:tcPr>
          <w:p>
            <w:pPr>
              <w:jc w:val="center"/>
              <w:spacing w:after="0" w:line="192" w:lineRule="exact"/>
              <w:rPr>
                <w:sz w:val="20"/>
                <w:szCs w:val="20"/>
                <w:color w:val="auto"/>
              </w:rPr>
            </w:pPr>
            <w:r>
              <w:rPr>
                <w:rFonts w:ascii="Arial" w:cs="Arial" w:eastAsia="Arial" w:hAnsi="Arial"/>
                <w:sz w:val="18"/>
                <w:szCs w:val="18"/>
                <w:color w:val="auto"/>
                <w:w w:val="98"/>
              </w:rPr>
              <w:t>120.6%</w:t>
            </w:r>
          </w:p>
        </w:tc>
        <w:tc>
          <w:tcPr>
            <w:tcW w:w="1140" w:type="dxa"/>
            <w:vAlign w:val="bottom"/>
          </w:tcPr>
          <w:p>
            <w:pPr>
              <w:jc w:val="center"/>
              <w:spacing w:after="0" w:line="192" w:lineRule="exact"/>
              <w:rPr>
                <w:sz w:val="20"/>
                <w:szCs w:val="20"/>
                <w:color w:val="auto"/>
              </w:rPr>
            </w:pPr>
            <w:r>
              <w:rPr>
                <w:rFonts w:ascii="Arial" w:cs="Arial" w:eastAsia="Arial" w:hAnsi="Arial"/>
                <w:sz w:val="18"/>
                <w:szCs w:val="18"/>
                <w:color w:val="auto"/>
                <w:w w:val="98"/>
              </w:rPr>
              <w:t>104.0%</w:t>
            </w:r>
          </w:p>
        </w:tc>
        <w:tc>
          <w:tcPr>
            <w:tcW w:w="11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7"/>
              </w:rPr>
              <w:t>97.2%</w:t>
            </w:r>
          </w:p>
        </w:tc>
        <w:tc>
          <w:tcPr>
            <w:tcW w:w="1340" w:type="dxa"/>
            <w:vAlign w:val="bottom"/>
          </w:tcPr>
          <w:p>
            <w:pPr>
              <w:jc w:val="center"/>
              <w:ind w:right="171"/>
              <w:spacing w:after="0" w:line="192" w:lineRule="exact"/>
              <w:rPr>
                <w:sz w:val="20"/>
                <w:szCs w:val="20"/>
                <w:color w:val="auto"/>
              </w:rPr>
            </w:pPr>
            <w:r>
              <w:rPr>
                <w:rFonts w:ascii="Arial" w:cs="Arial" w:eastAsia="Arial" w:hAnsi="Arial"/>
                <w:sz w:val="18"/>
                <w:szCs w:val="18"/>
                <w:color w:val="auto"/>
                <w:w w:val="98"/>
              </w:rPr>
              <w:t>120.6%</w:t>
            </w:r>
          </w:p>
        </w:tc>
        <w:tc>
          <w:tcPr>
            <w:tcW w:w="880" w:type="dxa"/>
            <w:vAlign w:val="bottom"/>
            <w:tcBorders>
              <w:right w:val="single" w:sz="8" w:color="auto"/>
            </w:tcBorders>
          </w:tcPr>
          <w:p>
            <w:pPr>
              <w:jc w:val="center"/>
              <w:ind w:right="171"/>
              <w:spacing w:after="0" w:line="192" w:lineRule="exact"/>
              <w:rPr>
                <w:sz w:val="20"/>
                <w:szCs w:val="20"/>
                <w:color w:val="auto"/>
              </w:rPr>
            </w:pPr>
            <w:r>
              <w:rPr>
                <w:rFonts w:ascii="Arial" w:cs="Arial" w:eastAsia="Arial" w:hAnsi="Arial"/>
                <w:sz w:val="18"/>
                <w:szCs w:val="18"/>
                <w:color w:val="auto"/>
                <w:w w:val="97"/>
              </w:rPr>
              <w:t>97.2%</w:t>
            </w:r>
          </w:p>
        </w:tc>
      </w:tr>
      <w:tr>
        <w:trPr>
          <w:trHeight w:val="399"/>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1100" w:type="dxa"/>
            <w:vAlign w:val="bottom"/>
          </w:tcPr>
          <w:p>
            <w:pPr>
              <w:jc w:val="center"/>
              <w:spacing w:after="0"/>
              <w:rPr>
                <w:sz w:val="20"/>
                <w:szCs w:val="20"/>
                <w:color w:val="auto"/>
              </w:rPr>
            </w:pPr>
            <w:r>
              <w:rPr>
                <w:rFonts w:ascii="Arial" w:cs="Arial" w:eastAsia="Arial" w:hAnsi="Arial"/>
                <w:sz w:val="18"/>
                <w:szCs w:val="18"/>
                <w:color w:val="auto"/>
              </w:rPr>
              <w:t>0.47%</w:t>
            </w:r>
          </w:p>
        </w:tc>
        <w:tc>
          <w:tcPr>
            <w:tcW w:w="1140" w:type="dxa"/>
            <w:vAlign w:val="bottom"/>
          </w:tcPr>
          <w:p>
            <w:pPr>
              <w:jc w:val="center"/>
              <w:spacing w:after="0"/>
              <w:rPr>
                <w:sz w:val="20"/>
                <w:szCs w:val="20"/>
                <w:color w:val="auto"/>
              </w:rPr>
            </w:pPr>
            <w:r>
              <w:rPr>
                <w:rFonts w:ascii="Arial" w:cs="Arial" w:eastAsia="Arial" w:hAnsi="Arial"/>
                <w:sz w:val="18"/>
                <w:szCs w:val="18"/>
                <w:color w:val="auto"/>
              </w:rPr>
              <w:t>0.94%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1.28%</w:t>
            </w:r>
          </w:p>
        </w:tc>
        <w:tc>
          <w:tcPr>
            <w:tcW w:w="1340" w:type="dxa"/>
            <w:vAlign w:val="bottom"/>
          </w:tcPr>
          <w:p>
            <w:pPr>
              <w:jc w:val="center"/>
              <w:ind w:right="151"/>
              <w:spacing w:after="0"/>
              <w:rPr>
                <w:sz w:val="20"/>
                <w:szCs w:val="20"/>
                <w:color w:val="auto"/>
              </w:rPr>
            </w:pPr>
            <w:r>
              <w:rPr>
                <w:rFonts w:ascii="Arial" w:cs="Arial" w:eastAsia="Arial" w:hAnsi="Arial"/>
                <w:sz w:val="18"/>
                <w:szCs w:val="18"/>
                <w:color w:val="auto"/>
                <w:w w:val="97"/>
              </w:rPr>
              <w:t>1.09%</w:t>
            </w:r>
          </w:p>
        </w:tc>
        <w:tc>
          <w:tcPr>
            <w:tcW w:w="880" w:type="dxa"/>
            <w:vAlign w:val="bottom"/>
            <w:tcBorders>
              <w:right w:val="single" w:sz="8" w:color="auto"/>
            </w:tcBorders>
          </w:tcPr>
          <w:p>
            <w:pPr>
              <w:jc w:val="center"/>
              <w:ind w:right="171"/>
              <w:spacing w:after="0"/>
              <w:rPr>
                <w:sz w:val="20"/>
                <w:szCs w:val="20"/>
                <w:color w:val="auto"/>
              </w:rPr>
            </w:pPr>
            <w:r>
              <w:rPr>
                <w:rFonts w:ascii="Arial" w:cs="Arial" w:eastAsia="Arial" w:hAnsi="Arial"/>
                <w:sz w:val="18"/>
                <w:szCs w:val="18"/>
                <w:color w:val="auto"/>
                <w:w w:val="97"/>
              </w:rPr>
              <w:t>0.98%</w:t>
            </w:r>
          </w:p>
        </w:tc>
      </w:tr>
      <w:tr>
        <w:trPr>
          <w:trHeight w:val="204"/>
        </w:trPr>
        <w:tc>
          <w:tcPr>
            <w:tcW w:w="5640" w:type="dxa"/>
            <w:vAlign w:val="bottom"/>
            <w:tcBorders>
              <w:left w:val="single" w:sz="8" w:color="auto"/>
              <w:right w:val="single" w:sz="8" w:color="auto"/>
            </w:tcBorders>
          </w:tcPr>
          <w:p>
            <w:pPr>
              <w:ind w:left="20"/>
              <w:spacing w:after="0" w:line="204" w:lineRule="exact"/>
              <w:rPr>
                <w:sz w:val="20"/>
                <w:szCs w:val="20"/>
                <w:color w:val="auto"/>
              </w:rPr>
            </w:pPr>
            <w:r>
              <w:rPr>
                <w:rFonts w:ascii="Arial" w:cs="Arial" w:eastAsia="Arial" w:hAnsi="Arial"/>
                <w:sz w:val="18"/>
                <w:szCs w:val="18"/>
                <w:b w:val="1"/>
                <w:bCs w:val="1"/>
                <w:color w:val="auto"/>
              </w:rPr>
              <w:t>Operating efficiency</w:t>
            </w:r>
          </w:p>
        </w:tc>
        <w:tc>
          <w:tcPr>
            <w:tcW w:w="1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34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color w:val="auto"/>
              </w:rPr>
              <w:t xml:space="preserve">Oper. expenses as a percent. of total income - reported </w:t>
            </w:r>
            <w:r>
              <w:rPr>
                <w:rFonts w:ascii="Arial" w:cs="Arial" w:eastAsia="Arial" w:hAnsi="Arial"/>
                <w:sz w:val="23"/>
                <w:szCs w:val="23"/>
                <w:color w:val="auto"/>
                <w:vertAlign w:val="superscript"/>
              </w:rPr>
              <w:t>(6)</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rPr>
              <w:t>46.0%</w:t>
            </w: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rPr>
              <w:t>43.0%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40.5%</w:t>
            </w:r>
          </w:p>
        </w:tc>
        <w:tc>
          <w:tcPr>
            <w:tcW w:w="1340" w:type="dxa"/>
            <w:vAlign w:val="bottom"/>
          </w:tcPr>
          <w:p>
            <w:pPr>
              <w:jc w:val="center"/>
              <w:ind w:right="151"/>
              <w:spacing w:after="0" w:line="201" w:lineRule="exact"/>
              <w:rPr>
                <w:sz w:val="20"/>
                <w:szCs w:val="20"/>
                <w:color w:val="auto"/>
              </w:rPr>
            </w:pPr>
            <w:r>
              <w:rPr>
                <w:rFonts w:ascii="Arial" w:cs="Arial" w:eastAsia="Arial" w:hAnsi="Arial"/>
                <w:sz w:val="18"/>
                <w:szCs w:val="18"/>
                <w:color w:val="auto"/>
                <w:w w:val="97"/>
              </w:rPr>
              <w:t>44.1%</w:t>
            </w:r>
          </w:p>
        </w:tc>
        <w:tc>
          <w:tcPr>
            <w:tcW w:w="880" w:type="dxa"/>
            <w:vAlign w:val="bottom"/>
            <w:tcBorders>
              <w:right w:val="single" w:sz="8" w:color="auto"/>
            </w:tcBorders>
          </w:tcPr>
          <w:p>
            <w:pPr>
              <w:jc w:val="center"/>
              <w:ind w:right="171"/>
              <w:spacing w:after="0" w:line="201" w:lineRule="exact"/>
              <w:rPr>
                <w:sz w:val="20"/>
                <w:szCs w:val="20"/>
                <w:color w:val="auto"/>
              </w:rPr>
            </w:pPr>
            <w:r>
              <w:rPr>
                <w:rFonts w:ascii="Arial" w:cs="Arial" w:eastAsia="Arial" w:hAnsi="Arial"/>
                <w:sz w:val="18"/>
                <w:szCs w:val="18"/>
                <w:color w:val="auto"/>
                <w:w w:val="97"/>
              </w:rPr>
              <w:t>42.0%</w:t>
            </w:r>
          </w:p>
        </w:tc>
      </w:tr>
      <w:tr>
        <w:trPr>
          <w:trHeight w:val="399"/>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xml:space="preserve">Oper. expenses as a percent. of av. tot. assets </w:t>
            </w:r>
            <w:r>
              <w:rPr>
                <w:rFonts w:ascii="Arial" w:cs="Arial" w:eastAsia="Arial" w:hAnsi="Arial"/>
                <w:sz w:val="29"/>
                <w:szCs w:val="29"/>
                <w:color w:val="auto"/>
                <w:vertAlign w:val="superscript"/>
              </w:rPr>
              <w:t>(2)(3)(6)</w:t>
            </w:r>
          </w:p>
        </w:tc>
        <w:tc>
          <w:tcPr>
            <w:tcW w:w="1100" w:type="dxa"/>
            <w:vAlign w:val="bottom"/>
          </w:tcPr>
          <w:p>
            <w:pPr>
              <w:jc w:val="center"/>
              <w:spacing w:after="0"/>
              <w:rPr>
                <w:sz w:val="20"/>
                <w:szCs w:val="20"/>
                <w:color w:val="auto"/>
              </w:rPr>
            </w:pPr>
            <w:r>
              <w:rPr>
                <w:rFonts w:ascii="Arial" w:cs="Arial" w:eastAsia="Arial" w:hAnsi="Arial"/>
                <w:sz w:val="18"/>
                <w:szCs w:val="18"/>
                <w:color w:val="auto"/>
              </w:rPr>
              <w:t>2.77%</w:t>
            </w:r>
          </w:p>
        </w:tc>
        <w:tc>
          <w:tcPr>
            <w:tcW w:w="1140" w:type="dxa"/>
            <w:vAlign w:val="bottom"/>
          </w:tcPr>
          <w:p>
            <w:pPr>
              <w:jc w:val="center"/>
              <w:spacing w:after="0"/>
              <w:rPr>
                <w:sz w:val="20"/>
                <w:szCs w:val="20"/>
                <w:color w:val="auto"/>
              </w:rPr>
            </w:pPr>
            <w:r>
              <w:rPr>
                <w:rFonts w:ascii="Arial" w:cs="Arial" w:eastAsia="Arial" w:hAnsi="Arial"/>
                <w:sz w:val="18"/>
                <w:szCs w:val="18"/>
                <w:color w:val="auto"/>
              </w:rPr>
              <w:t>3.00%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3.07%</w:t>
            </w:r>
          </w:p>
        </w:tc>
        <w:tc>
          <w:tcPr>
            <w:tcW w:w="1340" w:type="dxa"/>
            <w:vAlign w:val="bottom"/>
          </w:tcPr>
          <w:p>
            <w:pPr>
              <w:jc w:val="center"/>
              <w:ind w:right="151"/>
              <w:spacing w:after="0"/>
              <w:rPr>
                <w:sz w:val="20"/>
                <w:szCs w:val="20"/>
                <w:color w:val="auto"/>
              </w:rPr>
            </w:pPr>
            <w:r>
              <w:rPr>
                <w:rFonts w:ascii="Arial" w:cs="Arial" w:eastAsia="Arial" w:hAnsi="Arial"/>
                <w:sz w:val="18"/>
                <w:szCs w:val="18"/>
                <w:color w:val="auto"/>
              </w:rPr>
              <w:t>2.6%</w:t>
            </w:r>
          </w:p>
        </w:tc>
        <w:tc>
          <w:tcPr>
            <w:tcW w:w="880" w:type="dxa"/>
            <w:vAlign w:val="bottom"/>
            <w:tcBorders>
              <w:right w:val="single" w:sz="8" w:color="auto"/>
            </w:tcBorders>
          </w:tcPr>
          <w:p>
            <w:pPr>
              <w:jc w:val="center"/>
              <w:ind w:right="191"/>
              <w:spacing w:after="0"/>
              <w:rPr>
                <w:sz w:val="20"/>
                <w:szCs w:val="20"/>
                <w:color w:val="auto"/>
              </w:rPr>
            </w:pPr>
            <w:r>
              <w:rPr>
                <w:rFonts w:ascii="Arial" w:cs="Arial" w:eastAsia="Arial" w:hAnsi="Arial"/>
                <w:sz w:val="18"/>
                <w:szCs w:val="18"/>
                <w:color w:val="auto"/>
                <w:w w:val="97"/>
              </w:rPr>
              <w:t>2.9%</w:t>
            </w:r>
          </w:p>
        </w:tc>
      </w:tr>
      <w:tr>
        <w:trPr>
          <w:trHeight w:val="213"/>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Share Information</w:t>
            </w: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Borders>
              <w:right w:val="single" w:sz="8" w:color="auto"/>
            </w:tcBorders>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r>
      <w:tr>
        <w:trPr>
          <w:trHeight w:val="226"/>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 of outstanding shares (Million)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12,176</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12,176</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12,176</w:t>
            </w:r>
          </w:p>
        </w:tc>
        <w:tc>
          <w:tcPr>
            <w:tcW w:w="134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12,176</w:t>
            </w:r>
          </w:p>
        </w:tc>
        <w:tc>
          <w:tcPr>
            <w:tcW w:w="88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12,176</w:t>
            </w:r>
          </w:p>
        </w:tc>
      </w:tr>
    </w:tbl>
    <w:p>
      <w:pPr>
        <w:spacing w:after="0" w:line="233" w:lineRule="exact"/>
        <w:rPr>
          <w:sz w:val="20"/>
          <w:szCs w:val="20"/>
          <w:color w:val="auto"/>
        </w:rPr>
      </w:pPr>
    </w:p>
    <w:p>
      <w:pPr>
        <w:ind w:left="180" w:hanging="173"/>
        <w:spacing w:after="0"/>
        <w:tabs>
          <w:tab w:leader="none" w:pos="1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outstanding of 12,176 million is used for all periods since shares have been issued only for capitalization of profits.</w:t>
      </w:r>
    </w:p>
    <w:p>
      <w:pPr>
        <w:spacing w:after="0" w:line="7"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Ratios are annualized.</w:t>
      </w:r>
    </w:p>
    <w:p>
      <w:pPr>
        <w:ind w:left="180" w:hanging="173"/>
        <w:spacing w:after="0" w:line="232" w:lineRule="auto"/>
        <w:tabs>
          <w:tab w:leader="none" w:pos="1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Averages are determined as the average of period-beginning and period-ending balances.</w:t>
      </w:r>
    </w:p>
    <w:p>
      <w:pPr>
        <w:ind w:right="20" w:firstLine="7"/>
        <w:spacing w:after="0" w:line="232" w:lineRule="auto"/>
        <w:tabs>
          <w:tab w:leader="none" w:pos="164"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funding costs differs from previously reported due to a methodoloy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risk: Annualized provision for loan losses / Total loans.</w:t>
      </w:r>
    </w:p>
    <w:p>
      <w:pPr>
        <w:ind w:right="80" w:firstLine="7"/>
        <w:spacing w:after="0" w:line="235" w:lineRule="auto"/>
        <w:tabs>
          <w:tab w:leader="none" w:pos="164"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7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64" w:name="page65"/>
    <w:bookmarkEnd w:id="64"/>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12.5.4. BCP Stand-alone</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BANCO DE CREDITO DEL PERU</w:t>
      </w:r>
    </w:p>
    <w:p>
      <w:pPr>
        <w:jc w:val="center"/>
        <w:ind w:right="-99"/>
        <w:spacing w:after="0" w:line="237" w:lineRule="auto"/>
        <w:rPr>
          <w:sz w:val="20"/>
          <w:szCs w:val="20"/>
          <w:color w:val="auto"/>
        </w:rPr>
      </w:pPr>
      <w:r>
        <w:rPr>
          <w:rFonts w:ascii="Times New Roman" w:cs="Times New Roman" w:eastAsia="Times New Roman" w:hAnsi="Times New Roman"/>
          <w:sz w:val="20"/>
          <w:szCs w:val="20"/>
          <w:b w:val="1"/>
          <w:bCs w:val="1"/>
          <w:color w:val="auto"/>
        </w:rPr>
        <w:t>STATEMENT OF FINANCIAL POSITION</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 thousands, IFRS)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5640" w:type="dxa"/>
            <w:vAlign w:val="bottom"/>
            <w:tcBorders>
              <w:right w:val="single" w:sz="8" w:color="auto"/>
            </w:tcBorders>
          </w:tcPr>
          <w:p>
            <w:pPr>
              <w:spacing w:after="0"/>
              <w:rPr>
                <w:sz w:val="18"/>
                <w:szCs w:val="18"/>
                <w:color w:val="auto"/>
              </w:rPr>
            </w:pPr>
          </w:p>
        </w:tc>
        <w:tc>
          <w:tcPr>
            <w:tcW w:w="1120" w:type="dxa"/>
            <w:vAlign w:val="bottom"/>
            <w:tcBorders>
              <w:top w:val="single" w:sz="8" w:color="auto"/>
            </w:tcBorders>
            <w:shd w:val="clear" w:color="auto" w:fill="2AD2C9"/>
          </w:tcPr>
          <w:p>
            <w:pPr>
              <w:spacing w:after="0"/>
              <w:rPr>
                <w:sz w:val="18"/>
                <w:szCs w:val="18"/>
                <w:color w:val="auto"/>
              </w:rPr>
            </w:pPr>
          </w:p>
        </w:tc>
        <w:tc>
          <w:tcPr>
            <w:tcW w:w="1120" w:type="dxa"/>
            <w:vAlign w:val="bottom"/>
            <w:tcBorders>
              <w:top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As of</w:t>
            </w:r>
          </w:p>
        </w:tc>
        <w:tc>
          <w:tcPr>
            <w:tcW w:w="1140" w:type="dxa"/>
            <w:vAlign w:val="bottom"/>
            <w:tcBorders>
              <w:top w:val="single" w:sz="8" w:color="auto"/>
              <w:right w:val="single" w:sz="8" w:color="auto"/>
            </w:tcBorders>
            <w:shd w:val="clear" w:color="auto" w:fill="2AD2C9"/>
          </w:tcPr>
          <w:p>
            <w:pPr>
              <w:spacing w:after="0"/>
              <w:rPr>
                <w:sz w:val="18"/>
                <w:szCs w:val="18"/>
                <w:color w:val="auto"/>
              </w:rPr>
            </w:pPr>
          </w:p>
        </w:tc>
        <w:tc>
          <w:tcPr>
            <w:tcW w:w="2220" w:type="dxa"/>
            <w:vAlign w:val="bottom"/>
            <w:tcBorders>
              <w:top w:val="single" w:sz="8" w:color="auto"/>
              <w:right w:val="single" w:sz="8" w:color="auto"/>
            </w:tcBorders>
            <w:gridSpan w:val="2"/>
            <w:shd w:val="clear" w:color="auto" w:fill="2AD2C9"/>
          </w:tcPr>
          <w:p>
            <w:pPr>
              <w:ind w:left="680"/>
              <w:spacing w:after="0"/>
              <w:rPr>
                <w:sz w:val="20"/>
                <w:szCs w:val="20"/>
                <w:color w:val="auto"/>
              </w:rPr>
            </w:pPr>
            <w:r>
              <w:rPr>
                <w:rFonts w:ascii="Arial" w:cs="Arial" w:eastAsia="Arial" w:hAnsi="Arial"/>
                <w:sz w:val="18"/>
                <w:szCs w:val="18"/>
                <w:b w:val="1"/>
                <w:bCs w:val="1"/>
                <w:color w:val="FFFFFF"/>
              </w:rPr>
              <w:t>% change</w:t>
            </w:r>
          </w:p>
        </w:tc>
      </w:tr>
      <w:tr>
        <w:trPr>
          <w:trHeight w:val="226"/>
        </w:trPr>
        <w:tc>
          <w:tcPr>
            <w:tcW w:w="564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tcBorders>
            <w:shd w:val="clear" w:color="auto" w:fill="2AD2C9"/>
          </w:tcPr>
          <w:p>
            <w:pPr>
              <w:ind w:left="280"/>
              <w:spacing w:after="0"/>
              <w:rPr>
                <w:sz w:val="20"/>
                <w:szCs w:val="20"/>
                <w:color w:val="auto"/>
              </w:rPr>
            </w:pPr>
            <w:r>
              <w:rPr>
                <w:rFonts w:ascii="Arial" w:cs="Arial" w:eastAsia="Arial" w:hAnsi="Arial"/>
                <w:sz w:val="18"/>
                <w:szCs w:val="18"/>
                <w:b w:val="1"/>
                <w:bCs w:val="1"/>
                <w:color w:val="FFFFFF"/>
              </w:rPr>
              <w:t>Sep 21</w:t>
            </w: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8"/>
              </w:rPr>
              <w:t>Jun 22</w:t>
            </w:r>
          </w:p>
        </w:tc>
        <w:tc>
          <w:tcPr>
            <w:tcW w:w="114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8"/>
                <w:szCs w:val="18"/>
                <w:b w:val="1"/>
                <w:bCs w:val="1"/>
                <w:color w:val="FFFFFF"/>
              </w:rPr>
              <w:t>Sep 22</w:t>
            </w:r>
          </w:p>
        </w:tc>
        <w:tc>
          <w:tcPr>
            <w:tcW w:w="1080" w:type="dxa"/>
            <w:vAlign w:val="bottom"/>
            <w:tcBorders>
              <w:bottom w:val="single" w:sz="8" w:color="auto"/>
            </w:tcBorders>
            <w:shd w:val="clear" w:color="auto" w:fill="2AD2C9"/>
          </w:tcPr>
          <w:p>
            <w:pPr>
              <w:ind w:left="360"/>
              <w:spacing w:after="0"/>
              <w:rPr>
                <w:sz w:val="20"/>
                <w:szCs w:val="20"/>
                <w:color w:val="auto"/>
              </w:rPr>
            </w:pPr>
            <w:r>
              <w:rPr>
                <w:rFonts w:ascii="Arial" w:cs="Arial" w:eastAsia="Arial" w:hAnsi="Arial"/>
                <w:sz w:val="18"/>
                <w:szCs w:val="18"/>
                <w:b w:val="1"/>
                <w:bCs w:val="1"/>
                <w:color w:val="FFFFFF"/>
              </w:rPr>
              <w:t>QoQ</w:t>
            </w:r>
          </w:p>
        </w:tc>
        <w:tc>
          <w:tcPr>
            <w:tcW w:w="114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8"/>
                <w:szCs w:val="18"/>
                <w:b w:val="1"/>
                <w:bCs w:val="1"/>
                <w:color w:val="FFFFFF"/>
              </w:rPr>
              <w:t>YoY</w:t>
            </w:r>
          </w:p>
        </w:tc>
      </w:tr>
      <w:tr>
        <w:trPr>
          <w:trHeight w:val="182"/>
        </w:trPr>
        <w:tc>
          <w:tcPr>
            <w:tcW w:w="564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b w:val="1"/>
                <w:bCs w:val="1"/>
                <w:color w:val="auto"/>
              </w:rPr>
              <w:t>ASSETS</w:t>
            </w: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Borders>
              <w:right w:val="single" w:sz="8" w:color="auto"/>
            </w:tcBorders>
          </w:tcPr>
          <w:p>
            <w:pPr>
              <w:spacing w:after="0"/>
              <w:rPr>
                <w:sz w:val="15"/>
                <w:szCs w:val="15"/>
                <w:color w:val="auto"/>
              </w:rPr>
            </w:pP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Cash and due from banks</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Non-interest bearing</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5,666,863</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4,596,609</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4,880,450</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6.2%</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-13.9%</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Interest bearing</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32,819,306</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21,860,250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27,042,976</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7"/>
              </w:rPr>
              <w:t>23.7%</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-17.6%</w:t>
            </w:r>
          </w:p>
        </w:tc>
      </w:tr>
      <w:tr>
        <w:trPr>
          <w:trHeight w:val="246"/>
        </w:trPr>
        <w:tc>
          <w:tcPr>
            <w:tcW w:w="5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Total cash and due from banks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38,486,169</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26,456,859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31,923,426</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20.7%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-17.1%</w:t>
            </w:r>
          </w:p>
        </w:tc>
      </w:tr>
      <w:tr>
        <w:trPr>
          <w:trHeight w:val="34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Cash collateral, reverse repurchase agreements and securities</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46"/>
        </w:trPr>
        <w:tc>
          <w:tcPr>
            <w:tcW w:w="5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borrowing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1,027,761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542,521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308,959</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-43.1%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-69.9%</w:t>
            </w:r>
          </w:p>
        </w:tc>
      </w:tr>
      <w:tr>
        <w:trPr>
          <w:trHeight w:val="34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Fair value through profit or loss investments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1,406,424</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8"/>
              </w:rPr>
              <w:t>163,187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307,513</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88.4%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-78.1%</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Fair value through other comprehensive income investments</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16,931,666</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16,569,716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16,799,789</w:t>
            </w: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1.4%</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-0.8%</w:t>
            </w:r>
          </w:p>
        </w:tc>
      </w:tr>
      <w:tr>
        <w:trPr>
          <w:trHeight w:val="246"/>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Amortized cost investments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7,307,678</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7,331,851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7,206,315</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-1.7%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-1.4%</w:t>
            </w:r>
          </w:p>
        </w:tc>
      </w:tr>
      <w:tr>
        <w:trPr>
          <w:trHeight w:val="34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Loans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121,459,651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125,535,209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126,176,601</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0.5%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3.9%</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Current</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5"/>
              </w:rPr>
              <w:t>117,256,286</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120,657,794</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121,124,754</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0.4%</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3.3%</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Internal overdue loans</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4,203,365</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4,877,415</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5,051,847</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3.6%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20.2%</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Less - allowance for loan losses</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(6,976,762)</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(6,636,936)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(6,450,828)</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7"/>
              </w:rPr>
              <w:t>-2.8%</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-7.5%</w:t>
            </w:r>
          </w:p>
        </w:tc>
      </w:tr>
      <w:tr>
        <w:trPr>
          <w:trHeight w:val="246"/>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Loans, net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114,482,889</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118,898,273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119,725,773</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0.7%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4.6%</w:t>
            </w:r>
          </w:p>
        </w:tc>
      </w:tr>
      <w:tr>
        <w:trPr>
          <w:trHeight w:val="34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Property, furniture and equipment, net </w:t>
            </w:r>
            <w:r>
              <w:rPr>
                <w:rFonts w:ascii="Arial" w:cs="Arial" w:eastAsia="Arial" w:hAnsi="Arial"/>
                <w:sz w:val="29"/>
                <w:szCs w:val="29"/>
                <w:b w:val="1"/>
                <w:bCs w:val="1"/>
                <w:color w:val="auto"/>
                <w:vertAlign w:val="superscript"/>
              </w:rPr>
              <w:t>(1)</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1,328,385</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1,291,209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1,241,975</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-3.8%</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-6.5%</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Due from customers on acceptances</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776,863</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743,925</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697,119</w:t>
            </w: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-6.3%</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-10.3%</w:t>
            </w:r>
          </w:p>
        </w:tc>
      </w:tr>
      <w:tr>
        <w:trPr>
          <w:trHeight w:val="192"/>
        </w:trPr>
        <w:tc>
          <w:tcPr>
            <w:tcW w:w="5640" w:type="dxa"/>
            <w:vAlign w:val="bottom"/>
            <w:tcBorders>
              <w:left w:val="single" w:sz="8" w:color="auto"/>
              <w:right w:val="single" w:sz="8" w:color="auto"/>
            </w:tcBorders>
          </w:tcPr>
          <w:p>
            <w:pPr>
              <w:ind w:left="20"/>
              <w:spacing w:after="0" w:line="192" w:lineRule="exact"/>
              <w:rPr>
                <w:sz w:val="20"/>
                <w:szCs w:val="20"/>
                <w:color w:val="auto"/>
              </w:rPr>
            </w:pPr>
            <w:r>
              <w:rPr>
                <w:rFonts w:ascii="Arial" w:cs="Arial" w:eastAsia="Arial" w:hAnsi="Arial"/>
                <w:sz w:val="18"/>
                <w:szCs w:val="18"/>
                <w:b w:val="1"/>
                <w:bCs w:val="1"/>
                <w:color w:val="auto"/>
              </w:rPr>
              <w:t>Investments in associates</w:t>
            </w:r>
          </w:p>
        </w:tc>
        <w:tc>
          <w:tcPr>
            <w:tcW w:w="112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99"/>
              </w:rPr>
              <w:t>2,214,558</w:t>
            </w:r>
          </w:p>
        </w:tc>
        <w:tc>
          <w:tcPr>
            <w:tcW w:w="112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99"/>
              </w:rPr>
              <w:t>2,541,615</w:t>
            </w:r>
          </w:p>
        </w:tc>
        <w:tc>
          <w:tcPr>
            <w:tcW w:w="11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9"/>
              </w:rPr>
              <w:t>2,683,038</w:t>
            </w:r>
          </w:p>
        </w:tc>
        <w:tc>
          <w:tcPr>
            <w:tcW w:w="108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rPr>
              <w:t>5.6%</w:t>
            </w:r>
          </w:p>
        </w:tc>
        <w:tc>
          <w:tcPr>
            <w:tcW w:w="11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7"/>
              </w:rPr>
              <w:t>21.2%</w:t>
            </w:r>
          </w:p>
        </w:tc>
      </w:tr>
      <w:tr>
        <w:trPr>
          <w:trHeight w:val="398"/>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Other assets </w:t>
            </w:r>
            <w:r>
              <w:rPr>
                <w:rFonts w:ascii="Arial" w:cs="Arial" w:eastAsia="Arial" w:hAnsi="Arial"/>
                <w:sz w:val="29"/>
                <w:szCs w:val="29"/>
                <w:color w:val="auto"/>
                <w:vertAlign w:val="superscript"/>
              </w:rPr>
              <w:t>(2)</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6,576,750</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6,295,694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6,044,500</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-4.0%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-8.1%</w:t>
            </w:r>
          </w:p>
        </w:tc>
      </w:tr>
      <w:tr>
        <w:trPr>
          <w:trHeight w:val="246"/>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190,539,143</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180,834,850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186,938,407</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3.4%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-1.9%</w:t>
            </w:r>
          </w:p>
        </w:tc>
      </w:tr>
      <w:tr>
        <w:trPr>
          <w:trHeight w:val="34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Deposits and obligations</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Non-interest bearing</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47,272,754</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40,978,979</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42,188,122</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3.0%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-10.8%</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Interest bearing</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77,851,798</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79,282,172</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82,294,328</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3.8%</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5.7%</w:t>
            </w:r>
          </w:p>
        </w:tc>
      </w:tr>
      <w:tr>
        <w:trPr>
          <w:trHeight w:val="246"/>
        </w:trPr>
        <w:tc>
          <w:tcPr>
            <w:tcW w:w="5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Total deposits and obligations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125,124,552</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120,261,151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124,482,450</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3.5%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-0.5%</w:t>
            </w:r>
          </w:p>
        </w:tc>
      </w:tr>
      <w:tr>
        <w:trPr>
          <w:trHeight w:val="34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Payables from repurchase agreements and securities lending</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19,109,582</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14,886,829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13,608,037</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-8.6%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-28.8%</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BCRP instruments</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18,547,001</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14,339,601</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13,056,240</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7"/>
              </w:rPr>
              <w:t>-8.9%</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-29.6%</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Repurchase agreements with third parties</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562,581</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547,228</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551,797</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0.8%</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-1.9%</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Due to banks and correspondents</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6,191,543</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9"/>
              </w:rPr>
              <w:t>4,946,046</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7,270,985</w:t>
            </w: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47.0%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17.4%</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Bonds and notes issued</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14,652,059</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13,833,991</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9"/>
              </w:rPr>
              <w:t>14,066,770</w:t>
            </w: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rPr>
              <w:t>1.7%</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-4.0%</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Banker’s acceptances outstanding</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776,863</w:t>
            </w:r>
          </w:p>
        </w:tc>
        <w:tc>
          <w:tcPr>
            <w:tcW w:w="11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743,925</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697,119</w:t>
            </w:r>
          </w:p>
        </w:tc>
        <w:tc>
          <w:tcPr>
            <w:tcW w:w="10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-6.3%</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-10.3%</w:t>
            </w:r>
          </w:p>
        </w:tc>
      </w:tr>
      <w:tr>
        <w:trPr>
          <w:trHeight w:val="192"/>
        </w:trPr>
        <w:tc>
          <w:tcPr>
            <w:tcW w:w="5640" w:type="dxa"/>
            <w:vAlign w:val="bottom"/>
            <w:tcBorders>
              <w:left w:val="single" w:sz="8" w:color="auto"/>
              <w:right w:val="single" w:sz="8" w:color="auto"/>
            </w:tcBorders>
          </w:tcPr>
          <w:p>
            <w:pPr>
              <w:ind w:left="20"/>
              <w:spacing w:after="0" w:line="192" w:lineRule="exact"/>
              <w:rPr>
                <w:sz w:val="20"/>
                <w:szCs w:val="20"/>
                <w:color w:val="auto"/>
              </w:rPr>
            </w:pPr>
            <w:r>
              <w:rPr>
                <w:rFonts w:ascii="Arial" w:cs="Arial" w:eastAsia="Arial" w:hAnsi="Arial"/>
                <w:sz w:val="18"/>
                <w:szCs w:val="18"/>
                <w:b w:val="1"/>
                <w:bCs w:val="1"/>
                <w:color w:val="auto"/>
              </w:rPr>
              <w:t>Financial liabilities at fair value through profit or loss</w:t>
            </w:r>
          </w:p>
        </w:tc>
        <w:tc>
          <w:tcPr>
            <w:tcW w:w="112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98"/>
              </w:rPr>
              <w:t>484,531</w:t>
            </w:r>
          </w:p>
        </w:tc>
        <w:tc>
          <w:tcPr>
            <w:tcW w:w="112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w w:val="98"/>
              </w:rPr>
              <w:t>210,393</w:t>
            </w:r>
          </w:p>
        </w:tc>
        <w:tc>
          <w:tcPr>
            <w:tcW w:w="11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8"/>
              </w:rPr>
              <w:t>140,146</w:t>
            </w:r>
          </w:p>
        </w:tc>
        <w:tc>
          <w:tcPr>
            <w:tcW w:w="1080" w:type="dxa"/>
            <w:vAlign w:val="bottom"/>
          </w:tcPr>
          <w:p>
            <w:pPr>
              <w:jc w:val="center"/>
              <w:spacing w:after="0" w:line="192" w:lineRule="exact"/>
              <w:rPr>
                <w:sz w:val="20"/>
                <w:szCs w:val="20"/>
                <w:color w:val="auto"/>
              </w:rPr>
            </w:pPr>
            <w:r>
              <w:rPr>
                <w:rFonts w:ascii="Arial" w:cs="Arial" w:eastAsia="Arial" w:hAnsi="Arial"/>
                <w:sz w:val="18"/>
                <w:szCs w:val="18"/>
                <w:b w:val="1"/>
                <w:bCs w:val="1"/>
                <w:color w:val="auto"/>
              </w:rPr>
              <w:t>-33.4%</w:t>
            </w:r>
          </w:p>
        </w:tc>
        <w:tc>
          <w:tcPr>
            <w:tcW w:w="11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b w:val="1"/>
                <w:bCs w:val="1"/>
                <w:color w:val="auto"/>
                <w:w w:val="98"/>
              </w:rPr>
              <w:t>-71.1%</w:t>
            </w:r>
          </w:p>
        </w:tc>
      </w:tr>
      <w:tr>
        <w:trPr>
          <w:trHeight w:val="210"/>
        </w:trPr>
        <w:tc>
          <w:tcPr>
            <w:tcW w:w="5640" w:type="dxa"/>
            <w:vAlign w:val="bottom"/>
            <w:tcBorders>
              <w:left w:val="single" w:sz="8" w:color="auto"/>
              <w:right w:val="single" w:sz="8" w:color="auto"/>
            </w:tcBorders>
          </w:tcPr>
          <w:p>
            <w:pPr>
              <w:ind w:left="20"/>
              <w:spacing w:after="0" w:line="210" w:lineRule="exact"/>
              <w:rPr>
                <w:sz w:val="20"/>
                <w:szCs w:val="20"/>
                <w:color w:val="auto"/>
              </w:rPr>
            </w:pPr>
            <w:r>
              <w:rPr>
                <w:rFonts w:ascii="Arial" w:cs="Arial" w:eastAsia="Arial" w:hAnsi="Arial"/>
                <w:sz w:val="15"/>
                <w:szCs w:val="15"/>
                <w:b w:val="1"/>
                <w:bCs w:val="1"/>
                <w:color w:val="auto"/>
              </w:rPr>
              <w:t xml:space="preserve">Other liabilities </w:t>
            </w:r>
            <w:r>
              <w:rPr>
                <w:rFonts w:ascii="Arial" w:cs="Arial" w:eastAsia="Arial" w:hAnsi="Arial"/>
                <w:sz w:val="24"/>
                <w:szCs w:val="24"/>
                <w:color w:val="auto"/>
                <w:vertAlign w:val="superscript"/>
              </w:rPr>
              <w:t>(3)</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4,690,015</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4,963,871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4,579,331</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7"/>
              </w:rPr>
              <w:t>-7.7%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-2.4%</w:t>
            </w:r>
          </w:p>
        </w:tc>
      </w:tr>
      <w:tr>
        <w:trPr>
          <w:trHeight w:val="246"/>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171,029,145</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159,846,206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164,844,838</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3.1%</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-3.6%</w:t>
            </w:r>
          </w:p>
        </w:tc>
      </w:tr>
      <w:tr>
        <w:trPr>
          <w:trHeight w:val="34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equity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19,509,998</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20,988,644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22,093,569</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5.3%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13.2%</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Capital stock</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11,024,006</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11,882,984</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11,882,984</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0.0%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7.8%</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Reserves</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6,488,968</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7,298,035</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7,298,035</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0.0%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12.5%</w:t>
            </w:r>
          </w:p>
        </w:tc>
      </w:tr>
      <w:tr>
        <w:trPr>
          <w:trHeight w:val="201"/>
        </w:trPr>
        <w:tc>
          <w:tcPr>
            <w:tcW w:w="564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color w:val="auto"/>
              </w:rPr>
              <w:t>Unrealized gains and losses</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8"/>
              </w:rPr>
              <w:t>(583,178)</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(1,089,747)</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(1,274,918)</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7"/>
              </w:rPr>
              <w:t>17.0%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118.6%</w:t>
            </w:r>
          </w:p>
        </w:tc>
      </w:tr>
      <w:tr>
        <w:trPr>
          <w:trHeight w:val="236"/>
        </w:trPr>
        <w:tc>
          <w:tcPr>
            <w:tcW w:w="564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Retained earnings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2,580,202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2,897,372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4,187,468</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44.5%</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62.3%</w:t>
            </w:r>
          </w:p>
        </w:tc>
      </w:tr>
      <w:tr>
        <w:trPr>
          <w:trHeight w:val="398"/>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Net Equity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19,509,998</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20,988,644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22,093,569</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5.3%</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13.2%</w:t>
            </w:r>
          </w:p>
        </w:tc>
      </w:tr>
      <w:tr>
        <w:trPr>
          <w:trHeight w:val="388"/>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190,539,143</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180,834,850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186,938,407</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3.4%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-1.9%</w:t>
            </w:r>
          </w:p>
        </w:tc>
      </w:tr>
      <w:tr>
        <w:trPr>
          <w:trHeight w:val="34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Off-balance sheet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135,953,567</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131,117,219</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135,853,514</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rPr>
              <w:t>3.6%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-0.1%</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Total performance bonds, stand-by and L/Cs.</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20,762,191</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19,490,337</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20,443,858</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4.9%</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-1.5%</w:t>
            </w:r>
          </w:p>
        </w:tc>
      </w:tr>
      <w:tr>
        <w:trPr>
          <w:trHeight w:val="201"/>
        </w:trPr>
        <w:tc>
          <w:tcPr>
            <w:tcW w:w="564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Undrawn credit lines, advised but not committed</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79,357,524</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7"/>
              </w:rPr>
              <w:t>71,528,880</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73,712,295</w:t>
            </w: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rPr>
              <w:t>3.1%</w:t>
            </w:r>
          </w:p>
        </w:tc>
        <w:tc>
          <w:tcPr>
            <w:tcW w:w="11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-7.1%</w:t>
            </w:r>
          </w:p>
        </w:tc>
      </w:tr>
      <w:tr>
        <w:trPr>
          <w:trHeight w:val="226"/>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Total derivatives (notional) and others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35,833,852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40,098,002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41,697,361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4.0%</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16.4%</w:t>
            </w:r>
          </w:p>
        </w:tc>
      </w:tr>
    </w:tbl>
    <w:p>
      <w:pPr>
        <w:ind w:left="180" w:hanging="173"/>
        <w:spacing w:after="0"/>
        <w:tabs>
          <w:tab w:leader="none" w:pos="1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Mainly includes intangible assets, other receivable accounts and tax credit.</w:t>
      </w:r>
    </w:p>
    <w:p>
      <w:pPr>
        <w:ind w:left="180" w:hanging="173"/>
        <w:spacing w:after="0"/>
        <w:tabs>
          <w:tab w:leader="none" w:pos="180"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Mainly includes other payable accounts.</w:t>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093" w:gutter="0" w:footer="0" w:header="0"/>
        </w:sectPr>
      </w:pPr>
    </w:p>
    <w:bookmarkStart w:id="65" w:name="page66"/>
    <w:bookmarkEnd w:id="65"/>
    <w:p>
      <w:pPr>
        <w:ind w:left="2980"/>
        <w:spacing w:after="0"/>
        <w:tabs>
          <w:tab w:leader="none" w:pos="758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BANCO DE CREDITO DEL PERU</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STATEMENT OF INCOME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 thousands, IFRS)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920" w:type="dxa"/>
            <w:vAlign w:val="bottom"/>
            <w:tcBorders>
              <w:top w:val="single" w:sz="8" w:color="auto"/>
            </w:tcBorders>
            <w:shd w:val="clear" w:color="auto" w:fill="2AD2C9"/>
          </w:tcPr>
          <w:p>
            <w:pPr>
              <w:spacing w:after="0"/>
              <w:rPr>
                <w:sz w:val="18"/>
                <w:szCs w:val="18"/>
                <w:color w:val="auto"/>
              </w:rPr>
            </w:pPr>
          </w:p>
        </w:tc>
        <w:tc>
          <w:tcPr>
            <w:tcW w:w="940" w:type="dxa"/>
            <w:vAlign w:val="bottom"/>
            <w:tcBorders>
              <w:top w:val="single" w:sz="8" w:color="auto"/>
            </w:tcBorders>
            <w:shd w:val="clear" w:color="auto" w:fill="2AD2C9"/>
          </w:tcPr>
          <w:p>
            <w:pPr>
              <w:ind w:left="140"/>
              <w:spacing w:after="0"/>
              <w:rPr>
                <w:sz w:val="20"/>
                <w:szCs w:val="20"/>
                <w:color w:val="auto"/>
              </w:rPr>
            </w:pPr>
            <w:r>
              <w:rPr>
                <w:rFonts w:ascii="Arial" w:cs="Arial" w:eastAsia="Arial" w:hAnsi="Arial"/>
                <w:sz w:val="18"/>
                <w:szCs w:val="18"/>
                <w:b w:val="1"/>
                <w:bCs w:val="1"/>
                <w:color w:val="FFFFFF"/>
              </w:rPr>
              <w:t>Quarter</w:t>
            </w:r>
          </w:p>
        </w:tc>
        <w:tc>
          <w:tcPr>
            <w:tcW w:w="120" w:type="dxa"/>
            <w:vAlign w:val="bottom"/>
            <w:tcBorders>
              <w:top w:val="single" w:sz="8" w:color="auto"/>
              <w:right w:val="single" w:sz="8" w:color="2AD2C9"/>
            </w:tcBorders>
            <w:shd w:val="clear" w:color="auto" w:fill="2AD2C9"/>
          </w:tcPr>
          <w:p>
            <w:pPr>
              <w:spacing w:after="0"/>
              <w:rPr>
                <w:sz w:val="18"/>
                <w:szCs w:val="18"/>
                <w:color w:val="auto"/>
              </w:rPr>
            </w:pPr>
          </w:p>
        </w:tc>
        <w:tc>
          <w:tcPr>
            <w:tcW w:w="820" w:type="dxa"/>
            <w:vAlign w:val="bottom"/>
            <w:tcBorders>
              <w:top w:val="single" w:sz="8" w:color="auto"/>
              <w:right w:val="single" w:sz="8" w:color="auto"/>
            </w:tcBorders>
            <w:shd w:val="clear" w:color="auto" w:fill="2AD2C9"/>
          </w:tcPr>
          <w:p>
            <w:pPr>
              <w:spacing w:after="0"/>
              <w:rPr>
                <w:sz w:val="18"/>
                <w:szCs w:val="18"/>
                <w:color w:val="auto"/>
              </w:rPr>
            </w:pPr>
          </w:p>
        </w:tc>
        <w:tc>
          <w:tcPr>
            <w:tcW w:w="1360" w:type="dxa"/>
            <w:vAlign w:val="bottom"/>
            <w:tcBorders>
              <w:top w:val="single" w:sz="8" w:color="auto"/>
              <w:right w:val="single" w:sz="8" w:color="auto"/>
            </w:tcBorders>
            <w:gridSpan w:val="3"/>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 change</w:t>
            </w:r>
          </w:p>
        </w:tc>
        <w:tc>
          <w:tcPr>
            <w:tcW w:w="200" w:type="dxa"/>
            <w:vAlign w:val="bottom"/>
            <w:tcBorders>
              <w:top w:val="single" w:sz="8" w:color="auto"/>
            </w:tcBorders>
            <w:shd w:val="clear" w:color="auto" w:fill="2AD2C9"/>
          </w:tcPr>
          <w:p>
            <w:pPr>
              <w:spacing w:after="0"/>
              <w:rPr>
                <w:sz w:val="18"/>
                <w:szCs w:val="18"/>
                <w:color w:val="auto"/>
              </w:rPr>
            </w:pPr>
          </w:p>
        </w:tc>
        <w:tc>
          <w:tcPr>
            <w:tcW w:w="120" w:type="dxa"/>
            <w:vAlign w:val="bottom"/>
            <w:tcBorders>
              <w:top w:val="single" w:sz="8" w:color="auto"/>
              <w:right w:val="single" w:sz="8" w:color="2AD2C9"/>
            </w:tcBorders>
            <w:shd w:val="clear" w:color="auto" w:fill="2AD2C9"/>
          </w:tcPr>
          <w:p>
            <w:pPr>
              <w:spacing w:after="0"/>
              <w:rPr>
                <w:sz w:val="18"/>
                <w:szCs w:val="18"/>
                <w:color w:val="auto"/>
              </w:rPr>
            </w:pPr>
          </w:p>
        </w:tc>
        <w:tc>
          <w:tcPr>
            <w:tcW w:w="1560" w:type="dxa"/>
            <w:vAlign w:val="bottom"/>
            <w:tcBorders>
              <w:top w:val="single" w:sz="8" w:color="auto"/>
              <w:right w:val="single" w:sz="8" w:color="auto"/>
            </w:tcBorders>
            <w:gridSpan w:val="3"/>
            <w:shd w:val="clear" w:color="auto" w:fill="2AD2C9"/>
          </w:tcPr>
          <w:p>
            <w:pPr>
              <w:jc w:val="right"/>
              <w:ind w:right="631"/>
              <w:spacing w:after="0"/>
              <w:rPr>
                <w:sz w:val="20"/>
                <w:szCs w:val="20"/>
                <w:color w:val="auto"/>
              </w:rPr>
            </w:pPr>
            <w:r>
              <w:rPr>
                <w:rFonts w:ascii="Arial" w:cs="Arial" w:eastAsia="Arial" w:hAnsi="Arial"/>
                <w:sz w:val="18"/>
                <w:szCs w:val="18"/>
                <w:b w:val="1"/>
                <w:bCs w:val="1"/>
                <w:color w:val="FFFFFF"/>
              </w:rPr>
              <w:t>As of</w:t>
            </w:r>
          </w:p>
        </w:tc>
        <w:tc>
          <w:tcPr>
            <w:tcW w:w="140" w:type="dxa"/>
            <w:vAlign w:val="bottom"/>
            <w:tcBorders>
              <w:top w:val="single" w:sz="8" w:color="auto"/>
              <w:right w:val="single" w:sz="8" w:color="2AD2C9"/>
            </w:tcBorders>
            <w:shd w:val="clear" w:color="auto" w:fill="2AD2C9"/>
          </w:tcPr>
          <w:p>
            <w:pPr>
              <w:spacing w:after="0"/>
              <w:rPr>
                <w:sz w:val="18"/>
                <w:szCs w:val="18"/>
                <w:color w:val="auto"/>
              </w:rPr>
            </w:pPr>
          </w:p>
        </w:tc>
        <w:tc>
          <w:tcPr>
            <w:tcW w:w="1200" w:type="dxa"/>
            <w:vAlign w:val="bottom"/>
            <w:tcBorders>
              <w:top w:val="single" w:sz="8" w:color="auto"/>
              <w:right w:val="single" w:sz="8" w:color="auto"/>
            </w:tcBorders>
            <w:shd w:val="clear" w:color="auto" w:fill="2AD2C9"/>
          </w:tcPr>
          <w:p>
            <w:pPr>
              <w:jc w:val="center"/>
              <w:ind w:right="71"/>
              <w:spacing w:after="0"/>
              <w:rPr>
                <w:sz w:val="20"/>
                <w:szCs w:val="20"/>
                <w:color w:val="auto"/>
              </w:rPr>
            </w:pPr>
            <w:r>
              <w:rPr>
                <w:rFonts w:ascii="Arial" w:cs="Arial" w:eastAsia="Arial" w:hAnsi="Arial"/>
                <w:sz w:val="18"/>
                <w:szCs w:val="18"/>
                <w:b w:val="1"/>
                <w:bCs w:val="1"/>
                <w:color w:val="FFFFFF"/>
                <w:w w:val="99"/>
              </w:rPr>
              <w:t>% change</w:t>
            </w:r>
          </w:p>
        </w:tc>
      </w:tr>
      <w:tr>
        <w:trPr>
          <w:trHeight w:val="226"/>
        </w:trPr>
        <w:tc>
          <w:tcPr>
            <w:tcW w:w="1140" w:type="dxa"/>
            <w:vAlign w:val="bottom"/>
            <w:tcBorders>
              <w:bottom w:val="single" w:sz="8" w:color="auto"/>
            </w:tcBorders>
          </w:tcPr>
          <w:p>
            <w:pPr>
              <w:spacing w:after="0"/>
              <w:rPr>
                <w:sz w:val="19"/>
                <w:szCs w:val="19"/>
                <w:color w:val="auto"/>
              </w:rPr>
            </w:pPr>
          </w:p>
        </w:tc>
        <w:tc>
          <w:tcPr>
            <w:tcW w:w="280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5"/>
              </w:rPr>
              <w:t>2Q22</w:t>
            </w:r>
          </w:p>
        </w:tc>
        <w:tc>
          <w:tcPr>
            <w:tcW w:w="120" w:type="dxa"/>
            <w:vAlign w:val="bottom"/>
            <w:tcBorders>
              <w:bottom w:val="single" w:sz="8" w:color="auto"/>
              <w:right w:val="single" w:sz="8" w:color="2AD2C9"/>
            </w:tcBorders>
            <w:shd w:val="clear" w:color="auto" w:fill="2AD2C9"/>
          </w:tcPr>
          <w:p>
            <w:pPr>
              <w:spacing w:after="0"/>
              <w:rPr>
                <w:sz w:val="19"/>
                <w:szCs w:val="19"/>
                <w:color w:val="auto"/>
              </w:rPr>
            </w:pPr>
          </w:p>
        </w:tc>
        <w:tc>
          <w:tcPr>
            <w:tcW w:w="820" w:type="dxa"/>
            <w:vAlign w:val="bottom"/>
            <w:tcBorders>
              <w:bottom w:val="single" w:sz="8" w:color="auto"/>
              <w:right w:val="single" w:sz="8" w:color="auto"/>
            </w:tcBorders>
            <w:shd w:val="clear" w:color="auto" w:fill="2AD2C9"/>
          </w:tcPr>
          <w:p>
            <w:pPr>
              <w:jc w:val="center"/>
              <w:ind w:right="51"/>
              <w:spacing w:after="0"/>
              <w:rPr>
                <w:sz w:val="20"/>
                <w:szCs w:val="20"/>
                <w:color w:val="auto"/>
              </w:rPr>
            </w:pPr>
            <w:r>
              <w:rPr>
                <w:rFonts w:ascii="Arial" w:cs="Arial" w:eastAsia="Arial" w:hAnsi="Arial"/>
                <w:sz w:val="18"/>
                <w:szCs w:val="18"/>
                <w:b w:val="1"/>
                <w:bCs w:val="1"/>
                <w:color w:val="FFFFFF"/>
                <w:w w:val="99"/>
              </w:rPr>
              <w:t>3Q22</w:t>
            </w:r>
          </w:p>
        </w:tc>
        <w:tc>
          <w:tcPr>
            <w:tcW w:w="680" w:type="dxa"/>
            <w:vAlign w:val="bottom"/>
            <w:tcBorders>
              <w:bottom w:val="single" w:sz="8" w:color="auto"/>
            </w:tcBorders>
            <w:shd w:val="clear" w:color="auto" w:fill="2AD2C9"/>
          </w:tcPr>
          <w:p>
            <w:pPr>
              <w:ind w:left="140"/>
              <w:spacing w:after="0"/>
              <w:rPr>
                <w:sz w:val="20"/>
                <w:szCs w:val="20"/>
                <w:color w:val="auto"/>
              </w:rPr>
            </w:pPr>
            <w:r>
              <w:rPr>
                <w:rFonts w:ascii="Arial" w:cs="Arial" w:eastAsia="Arial" w:hAnsi="Arial"/>
                <w:sz w:val="18"/>
                <w:szCs w:val="18"/>
                <w:b w:val="1"/>
                <w:bCs w:val="1"/>
                <w:color w:val="FFFFFF"/>
              </w:rPr>
              <w:t>QoQ</w:t>
            </w:r>
          </w:p>
        </w:tc>
        <w:tc>
          <w:tcPr>
            <w:tcW w:w="40" w:type="dxa"/>
            <w:vAlign w:val="bottom"/>
            <w:tcBorders>
              <w:bottom w:val="single" w:sz="8" w:color="auto"/>
            </w:tcBorders>
            <w:shd w:val="clear" w:color="auto" w:fill="2AD2C9"/>
          </w:tcPr>
          <w:p>
            <w:pPr>
              <w:spacing w:after="0"/>
              <w:rPr>
                <w:sz w:val="19"/>
                <w:szCs w:val="19"/>
                <w:color w:val="auto"/>
              </w:rPr>
            </w:pPr>
          </w:p>
        </w:tc>
        <w:tc>
          <w:tcPr>
            <w:tcW w:w="640" w:type="dxa"/>
            <w:vAlign w:val="bottom"/>
            <w:tcBorders>
              <w:bottom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8"/>
                <w:szCs w:val="18"/>
                <w:b w:val="1"/>
                <w:bCs w:val="1"/>
                <w:color w:val="FFFFFF"/>
              </w:rPr>
              <w:t>YoY</w:t>
            </w:r>
          </w:p>
        </w:tc>
        <w:tc>
          <w:tcPr>
            <w:tcW w:w="1000" w:type="dxa"/>
            <w:vAlign w:val="bottom"/>
            <w:tcBorders>
              <w:bottom w:val="single" w:sz="8" w:color="auto"/>
            </w:tcBorders>
            <w:gridSpan w:val="3"/>
            <w:shd w:val="clear" w:color="auto" w:fill="2AD2C9"/>
          </w:tcPr>
          <w:p>
            <w:pPr>
              <w:ind w:left="180"/>
              <w:spacing w:after="0"/>
              <w:rPr>
                <w:sz w:val="20"/>
                <w:szCs w:val="20"/>
                <w:color w:val="auto"/>
              </w:rPr>
            </w:pPr>
            <w:r>
              <w:rPr>
                <w:rFonts w:ascii="Arial" w:cs="Arial" w:eastAsia="Arial" w:hAnsi="Arial"/>
                <w:sz w:val="18"/>
                <w:szCs w:val="18"/>
                <w:b w:val="1"/>
                <w:bCs w:val="1"/>
                <w:color w:val="FFFFFF"/>
              </w:rPr>
              <w:t>Sep 21</w:t>
            </w:r>
          </w:p>
        </w:tc>
        <w:tc>
          <w:tcPr>
            <w:tcW w:w="60" w:type="dxa"/>
            <w:vAlign w:val="bottom"/>
            <w:tcBorders>
              <w:bottom w:val="single" w:sz="8" w:color="auto"/>
            </w:tcBorders>
            <w:shd w:val="clear" w:color="auto" w:fill="2AD2C9"/>
          </w:tcPr>
          <w:p>
            <w:pPr>
              <w:spacing w:after="0"/>
              <w:rPr>
                <w:sz w:val="19"/>
                <w:szCs w:val="19"/>
                <w:color w:val="auto"/>
              </w:rPr>
            </w:pPr>
          </w:p>
        </w:tc>
        <w:tc>
          <w:tcPr>
            <w:tcW w:w="820" w:type="dxa"/>
            <w:vAlign w:val="bottom"/>
            <w:tcBorders>
              <w:bottom w:val="single" w:sz="8" w:color="auto"/>
              <w:right w:val="single" w:sz="8" w:color="auto"/>
            </w:tcBorders>
            <w:shd w:val="clear" w:color="auto" w:fill="2AD2C9"/>
          </w:tcPr>
          <w:p>
            <w:pPr>
              <w:jc w:val="right"/>
              <w:ind w:right="111"/>
              <w:spacing w:after="0"/>
              <w:rPr>
                <w:sz w:val="20"/>
                <w:szCs w:val="20"/>
                <w:color w:val="auto"/>
              </w:rPr>
            </w:pPr>
            <w:r>
              <w:rPr>
                <w:rFonts w:ascii="Arial" w:cs="Arial" w:eastAsia="Arial" w:hAnsi="Arial"/>
                <w:sz w:val="18"/>
                <w:szCs w:val="18"/>
                <w:b w:val="1"/>
                <w:bCs w:val="1"/>
                <w:color w:val="FFFFFF"/>
              </w:rPr>
              <w:t>Sep 22</w:t>
            </w:r>
          </w:p>
        </w:tc>
        <w:tc>
          <w:tcPr>
            <w:tcW w:w="1340" w:type="dxa"/>
            <w:vAlign w:val="bottom"/>
            <w:tcBorders>
              <w:bottom w:val="single" w:sz="8" w:color="auto"/>
              <w:right w:val="single" w:sz="8" w:color="auto"/>
            </w:tcBorders>
            <w:gridSpan w:val="2"/>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r>
      <w:tr>
        <w:trPr>
          <w:trHeight w:val="182"/>
        </w:trPr>
        <w:tc>
          <w:tcPr>
            <w:tcW w:w="3940" w:type="dxa"/>
            <w:vAlign w:val="bottom"/>
            <w:tcBorders>
              <w:left w:val="single" w:sz="8" w:color="auto"/>
              <w:right w:val="single" w:sz="8" w:color="auto"/>
            </w:tcBorders>
            <w:gridSpan w:val="2"/>
          </w:tcPr>
          <w:p>
            <w:pPr>
              <w:ind w:left="20"/>
              <w:spacing w:after="0" w:line="182" w:lineRule="exact"/>
              <w:rPr>
                <w:sz w:val="20"/>
                <w:szCs w:val="20"/>
                <w:color w:val="auto"/>
              </w:rPr>
            </w:pPr>
            <w:r>
              <w:rPr>
                <w:rFonts w:ascii="Arial" w:cs="Arial" w:eastAsia="Arial" w:hAnsi="Arial"/>
                <w:sz w:val="18"/>
                <w:szCs w:val="18"/>
                <w:b w:val="1"/>
                <w:bCs w:val="1"/>
                <w:color w:val="auto"/>
              </w:rPr>
              <w:t>Interest income and expense</w:t>
            </w: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r>
      <w:tr>
        <w:trPr>
          <w:trHeight w:val="192"/>
        </w:trPr>
        <w:tc>
          <w:tcPr>
            <w:tcW w:w="3940" w:type="dxa"/>
            <w:vAlign w:val="bottom"/>
            <w:tcBorders>
              <w:left w:val="single" w:sz="8" w:color="auto"/>
              <w:right w:val="single" w:sz="8" w:color="auto"/>
            </w:tcBorders>
            <w:gridSpan w:val="2"/>
          </w:tcPr>
          <w:p>
            <w:pPr>
              <w:ind w:left="180"/>
              <w:spacing w:after="0" w:line="192" w:lineRule="exact"/>
              <w:rPr>
                <w:sz w:val="20"/>
                <w:szCs w:val="20"/>
                <w:color w:val="auto"/>
              </w:rPr>
            </w:pPr>
            <w:r>
              <w:rPr>
                <w:rFonts w:ascii="Arial" w:cs="Arial" w:eastAsia="Arial" w:hAnsi="Arial"/>
                <w:sz w:val="18"/>
                <w:szCs w:val="18"/>
                <w:color w:val="auto"/>
              </w:rPr>
              <w:t>Interest and dividend income</w:t>
            </w:r>
          </w:p>
        </w:tc>
        <w:tc>
          <w:tcPr>
            <w:tcW w:w="920" w:type="dxa"/>
            <w:vAlign w:val="bottom"/>
          </w:tcPr>
          <w:p>
            <w:pPr>
              <w:jc w:val="center"/>
              <w:spacing w:after="0" w:line="192" w:lineRule="exact"/>
              <w:rPr>
                <w:sz w:val="20"/>
                <w:szCs w:val="20"/>
                <w:color w:val="auto"/>
              </w:rPr>
            </w:pPr>
            <w:r>
              <w:rPr>
                <w:rFonts w:ascii="Arial" w:cs="Arial" w:eastAsia="Arial" w:hAnsi="Arial"/>
                <w:sz w:val="18"/>
                <w:szCs w:val="18"/>
                <w:color w:val="auto"/>
                <w:w w:val="99"/>
              </w:rPr>
              <w:t>1,996,856</w:t>
            </w:r>
          </w:p>
        </w:tc>
        <w:tc>
          <w:tcPr>
            <w:tcW w:w="940" w:type="dxa"/>
            <w:vAlign w:val="bottom"/>
          </w:tcPr>
          <w:p>
            <w:pPr>
              <w:jc w:val="center"/>
              <w:spacing w:after="0" w:line="192" w:lineRule="exact"/>
              <w:rPr>
                <w:sz w:val="20"/>
                <w:szCs w:val="20"/>
                <w:color w:val="auto"/>
              </w:rPr>
            </w:pPr>
            <w:r>
              <w:rPr>
                <w:rFonts w:ascii="Arial" w:cs="Arial" w:eastAsia="Arial" w:hAnsi="Arial"/>
                <w:sz w:val="18"/>
                <w:szCs w:val="18"/>
                <w:color w:val="auto"/>
                <w:w w:val="97"/>
              </w:rPr>
              <w:t>2,340,804</w:t>
            </w:r>
          </w:p>
        </w:tc>
        <w:tc>
          <w:tcPr>
            <w:tcW w:w="940" w:type="dxa"/>
            <w:vAlign w:val="bottom"/>
            <w:tcBorders>
              <w:right w:val="single" w:sz="8" w:color="auto"/>
            </w:tcBorders>
            <w:gridSpan w:val="2"/>
          </w:tcPr>
          <w:p>
            <w:pPr>
              <w:jc w:val="center"/>
              <w:spacing w:after="0" w:line="192" w:lineRule="exact"/>
              <w:rPr>
                <w:sz w:val="20"/>
                <w:szCs w:val="20"/>
                <w:color w:val="auto"/>
              </w:rPr>
            </w:pPr>
            <w:r>
              <w:rPr>
                <w:rFonts w:ascii="Arial" w:cs="Arial" w:eastAsia="Arial" w:hAnsi="Arial"/>
                <w:sz w:val="18"/>
                <w:szCs w:val="18"/>
                <w:color w:val="auto"/>
                <w:w w:val="99"/>
              </w:rPr>
              <w:t>2,772,379</w:t>
            </w:r>
          </w:p>
        </w:tc>
        <w:tc>
          <w:tcPr>
            <w:tcW w:w="680" w:type="dxa"/>
            <w:vAlign w:val="bottom"/>
          </w:tcPr>
          <w:p>
            <w:pPr>
              <w:jc w:val="center"/>
              <w:spacing w:after="0" w:line="192" w:lineRule="exact"/>
              <w:rPr>
                <w:sz w:val="20"/>
                <w:szCs w:val="20"/>
                <w:color w:val="auto"/>
              </w:rPr>
            </w:pPr>
            <w:r>
              <w:rPr>
                <w:rFonts w:ascii="Arial" w:cs="Arial" w:eastAsia="Arial" w:hAnsi="Arial"/>
                <w:sz w:val="18"/>
                <w:szCs w:val="18"/>
                <w:color w:val="auto"/>
                <w:w w:val="97"/>
              </w:rPr>
              <w:t>18.4%</w:t>
            </w:r>
          </w:p>
        </w:tc>
        <w:tc>
          <w:tcPr>
            <w:tcW w:w="40" w:type="dxa"/>
            <w:vAlign w:val="bottom"/>
          </w:tcPr>
          <w:p>
            <w:pPr>
              <w:spacing w:after="0"/>
              <w:rPr>
                <w:sz w:val="16"/>
                <w:szCs w:val="16"/>
                <w:color w:val="auto"/>
              </w:rPr>
            </w:pPr>
          </w:p>
        </w:tc>
        <w:tc>
          <w:tcPr>
            <w:tcW w:w="6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7"/>
              </w:rPr>
              <w:t>38.8%</w:t>
            </w:r>
          </w:p>
        </w:tc>
        <w:tc>
          <w:tcPr>
            <w:tcW w:w="1000" w:type="dxa"/>
            <w:vAlign w:val="bottom"/>
            <w:gridSpan w:val="3"/>
          </w:tcPr>
          <w:p>
            <w:pPr>
              <w:jc w:val="center"/>
              <w:spacing w:after="0" w:line="192" w:lineRule="exact"/>
              <w:rPr>
                <w:sz w:val="20"/>
                <w:szCs w:val="20"/>
                <w:color w:val="auto"/>
              </w:rPr>
            </w:pPr>
            <w:r>
              <w:rPr>
                <w:rFonts w:ascii="Arial" w:cs="Arial" w:eastAsia="Arial" w:hAnsi="Arial"/>
                <w:sz w:val="18"/>
                <w:szCs w:val="18"/>
                <w:color w:val="auto"/>
                <w:w w:val="97"/>
              </w:rPr>
              <w:t>5,866,826</w:t>
            </w:r>
          </w:p>
        </w:tc>
        <w:tc>
          <w:tcPr>
            <w:tcW w:w="880" w:type="dxa"/>
            <w:vAlign w:val="bottom"/>
            <w:tcBorders>
              <w:right w:val="single" w:sz="8" w:color="auto"/>
            </w:tcBorders>
            <w:gridSpan w:val="2"/>
          </w:tcPr>
          <w:p>
            <w:pPr>
              <w:jc w:val="center"/>
              <w:spacing w:after="0" w:line="192" w:lineRule="exact"/>
              <w:rPr>
                <w:sz w:val="20"/>
                <w:szCs w:val="20"/>
                <w:color w:val="auto"/>
              </w:rPr>
            </w:pPr>
            <w:r>
              <w:rPr>
                <w:rFonts w:ascii="Arial" w:cs="Arial" w:eastAsia="Arial" w:hAnsi="Arial"/>
                <w:sz w:val="18"/>
                <w:szCs w:val="18"/>
                <w:color w:val="auto"/>
                <w:w w:val="99"/>
              </w:rPr>
              <w:t>7,233,399</w:t>
            </w:r>
          </w:p>
        </w:tc>
        <w:tc>
          <w:tcPr>
            <w:tcW w:w="1340" w:type="dxa"/>
            <w:vAlign w:val="bottom"/>
            <w:tcBorders>
              <w:right w:val="single" w:sz="8" w:color="auto"/>
            </w:tcBorders>
            <w:gridSpan w:val="2"/>
          </w:tcPr>
          <w:p>
            <w:pPr>
              <w:jc w:val="center"/>
              <w:spacing w:after="0" w:line="192" w:lineRule="exact"/>
              <w:rPr>
                <w:sz w:val="20"/>
                <w:szCs w:val="20"/>
                <w:color w:val="auto"/>
              </w:rPr>
            </w:pPr>
            <w:r>
              <w:rPr>
                <w:rFonts w:ascii="Arial" w:cs="Arial" w:eastAsia="Arial" w:hAnsi="Arial"/>
                <w:sz w:val="18"/>
                <w:szCs w:val="18"/>
                <w:color w:val="auto"/>
              </w:rPr>
              <w:t>23.3%</w:t>
            </w:r>
          </w:p>
        </w:tc>
      </w:tr>
      <w:tr>
        <w:trPr>
          <w:trHeight w:val="210"/>
        </w:trPr>
        <w:tc>
          <w:tcPr>
            <w:tcW w:w="3940" w:type="dxa"/>
            <w:vAlign w:val="bottom"/>
            <w:tcBorders>
              <w:left w:val="single" w:sz="8" w:color="auto"/>
              <w:right w:val="single" w:sz="8" w:color="auto"/>
            </w:tcBorders>
            <w:gridSpan w:val="2"/>
          </w:tcPr>
          <w:p>
            <w:pPr>
              <w:ind w:left="180"/>
              <w:spacing w:after="0" w:line="210"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4"/>
                <w:szCs w:val="24"/>
                <w:color w:val="auto"/>
                <w:vertAlign w:val="superscript"/>
              </w:rPr>
              <w:t>(1)</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(393,036)</w:t>
            </w:r>
          </w:p>
        </w:tc>
        <w:tc>
          <w:tcPr>
            <w:tcW w:w="940" w:type="dxa"/>
            <w:vAlign w:val="bottom"/>
          </w:tcPr>
          <w:p>
            <w:pPr>
              <w:jc w:val="center"/>
              <w:spacing w:after="0"/>
              <w:rPr>
                <w:sz w:val="20"/>
                <w:szCs w:val="20"/>
                <w:color w:val="auto"/>
              </w:rPr>
            </w:pPr>
            <w:r>
              <w:rPr>
                <w:rFonts w:ascii="Arial" w:cs="Arial" w:eastAsia="Arial" w:hAnsi="Arial"/>
                <w:sz w:val="18"/>
                <w:szCs w:val="18"/>
                <w:color w:val="auto"/>
              </w:rPr>
              <w:t>(481,139)</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(661,526)</w:t>
            </w: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37.5%</w:t>
            </w:r>
          </w:p>
        </w:tc>
        <w:tc>
          <w:tcPr>
            <w:tcW w:w="40" w:type="dxa"/>
            <w:vAlign w:val="bottom"/>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68.3%</w:t>
            </w:r>
          </w:p>
        </w:tc>
        <w:tc>
          <w:tcPr>
            <w:tcW w:w="1880" w:type="dxa"/>
            <w:vAlign w:val="bottom"/>
            <w:tcBorders>
              <w:right w:val="single" w:sz="8" w:color="auto"/>
            </w:tcBorders>
            <w:gridSpan w:val="5"/>
          </w:tcPr>
          <w:p>
            <w:pPr>
              <w:jc w:val="right"/>
              <w:spacing w:after="0"/>
              <w:rPr>
                <w:sz w:val="20"/>
                <w:szCs w:val="20"/>
                <w:color w:val="auto"/>
              </w:rPr>
            </w:pPr>
            <w:r>
              <w:rPr>
                <w:rFonts w:ascii="Arial" w:cs="Arial" w:eastAsia="Arial" w:hAnsi="Arial"/>
                <w:sz w:val="18"/>
                <w:szCs w:val="18"/>
                <w:color w:val="auto"/>
                <w:w w:val="99"/>
              </w:rPr>
              <w:t>(1,268,129)(1,557,528)</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22.8%</w:t>
            </w:r>
          </w:p>
        </w:tc>
      </w:tr>
      <w:tr>
        <w:trPr>
          <w:trHeight w:val="246"/>
        </w:trPr>
        <w:tc>
          <w:tcPr>
            <w:tcW w:w="3940" w:type="dxa"/>
            <w:vAlign w:val="bottom"/>
            <w:tcBorders>
              <w:left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Net interest income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1,603,820</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1,859,665</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2,110,853</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13.5%</w:t>
            </w:r>
          </w:p>
        </w:tc>
        <w:tc>
          <w:tcPr>
            <w:tcW w:w="40" w:type="dxa"/>
            <w:vAlign w:val="bottom"/>
          </w:tcPr>
          <w:p>
            <w:pPr>
              <w:spacing w:after="0"/>
              <w:rPr>
                <w:sz w:val="21"/>
                <w:szCs w:val="21"/>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31.6%</w:t>
            </w: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4,598,697</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5,675,871</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23.4%</w:t>
            </w:r>
          </w:p>
        </w:tc>
      </w:tr>
      <w:tr>
        <w:trPr>
          <w:trHeight w:val="344"/>
        </w:trPr>
        <w:tc>
          <w:tcPr>
            <w:tcW w:w="39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Provision for credit losses on loan portfolio</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(103,385)</w:t>
            </w:r>
          </w:p>
        </w:tc>
        <w:tc>
          <w:tcPr>
            <w:tcW w:w="940" w:type="dxa"/>
            <w:vAlign w:val="bottom"/>
          </w:tcPr>
          <w:p>
            <w:pPr>
              <w:jc w:val="center"/>
              <w:spacing w:after="0"/>
              <w:rPr>
                <w:sz w:val="20"/>
                <w:szCs w:val="20"/>
                <w:color w:val="auto"/>
              </w:rPr>
            </w:pPr>
            <w:r>
              <w:rPr>
                <w:rFonts w:ascii="Arial" w:cs="Arial" w:eastAsia="Arial" w:hAnsi="Arial"/>
                <w:sz w:val="18"/>
                <w:szCs w:val="18"/>
                <w:color w:val="auto"/>
              </w:rPr>
              <w:t>(268,439)</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(412,876)</w:t>
            </w: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53.8%</w:t>
            </w:r>
          </w:p>
        </w:tc>
        <w:tc>
          <w:tcPr>
            <w:tcW w:w="6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299.4%</w:t>
            </w: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rPr>
              <w:t>(876,431)</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(884,083)</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0.9%</w:t>
            </w:r>
          </w:p>
        </w:tc>
      </w:tr>
      <w:tr>
        <w:trPr>
          <w:trHeight w:val="201"/>
        </w:trPr>
        <w:tc>
          <w:tcPr>
            <w:tcW w:w="3940" w:type="dxa"/>
            <w:vAlign w:val="bottom"/>
            <w:tcBorders>
              <w:left w:val="single" w:sz="8" w:color="auto"/>
              <w:right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Recoveries of written-off loans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70,441</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51,155</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53,547</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7"/>
              </w:rPr>
              <w:t>4.7%</w:t>
            </w:r>
          </w:p>
        </w:tc>
        <w:tc>
          <w:tcPr>
            <w:tcW w:w="4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-24.0%</w:t>
            </w:r>
          </w:p>
        </w:tc>
        <w:tc>
          <w:tcPr>
            <w:tcW w:w="1000" w:type="dxa"/>
            <w:vAlign w:val="bottom"/>
            <w:gridSpan w:val="3"/>
          </w:tcPr>
          <w:p>
            <w:pPr>
              <w:jc w:val="center"/>
              <w:spacing w:after="0" w:line="201" w:lineRule="exact"/>
              <w:rPr>
                <w:sz w:val="20"/>
                <w:szCs w:val="20"/>
                <w:color w:val="auto"/>
              </w:rPr>
            </w:pPr>
            <w:r>
              <w:rPr>
                <w:rFonts w:ascii="Arial" w:cs="Arial" w:eastAsia="Arial" w:hAnsi="Arial"/>
                <w:sz w:val="18"/>
                <w:szCs w:val="18"/>
                <w:color w:val="auto"/>
              </w:rPr>
              <w:t>176,274</w:t>
            </w:r>
          </w:p>
        </w:tc>
        <w:tc>
          <w:tcPr>
            <w:tcW w:w="60" w:type="dxa"/>
            <w:vAlign w:val="bottom"/>
          </w:tcPr>
          <w:p>
            <w:pPr>
              <w:spacing w:after="0"/>
              <w:rPr>
                <w:sz w:val="17"/>
                <w:szCs w:val="17"/>
                <w:color w:val="auto"/>
              </w:rPr>
            </w:pPr>
          </w:p>
        </w:tc>
        <w:tc>
          <w:tcPr>
            <w:tcW w:w="820" w:type="dxa"/>
            <w:vAlign w:val="bottom"/>
            <w:tcBorders>
              <w:righ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160,827</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-8.8%</w:t>
            </w:r>
          </w:p>
        </w:tc>
      </w:tr>
      <w:tr>
        <w:trPr>
          <w:trHeight w:val="201"/>
        </w:trPr>
        <w:tc>
          <w:tcPr>
            <w:tcW w:w="3940" w:type="dxa"/>
            <w:vAlign w:val="bottom"/>
            <w:tcBorders>
              <w:left w:val="single" w:sz="8" w:color="auto"/>
              <w:right w:val="single" w:sz="8" w:color="auto"/>
            </w:tcBorders>
            <w:gridSpan w:val="2"/>
          </w:tcPr>
          <w:p>
            <w:pPr>
              <w:ind w:left="20"/>
              <w:spacing w:after="0" w:line="201" w:lineRule="exact"/>
              <w:rPr>
                <w:sz w:val="20"/>
                <w:szCs w:val="20"/>
                <w:color w:val="auto"/>
              </w:rPr>
            </w:pPr>
            <w:r>
              <w:rPr>
                <w:rFonts w:ascii="Arial" w:cs="Arial" w:eastAsia="Arial" w:hAnsi="Arial"/>
                <w:sz w:val="18"/>
                <w:szCs w:val="18"/>
                <w:b w:val="1"/>
                <w:bCs w:val="1"/>
                <w:color w:val="auto"/>
              </w:rPr>
              <w:t>Provision for credit losses on loan portfolio,</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46"/>
        </w:trPr>
        <w:tc>
          <w:tcPr>
            <w:tcW w:w="3940" w:type="dxa"/>
            <w:vAlign w:val="bottom"/>
            <w:tcBorders>
              <w:left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net of recoveries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(32,944)</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rPr>
              <w:t>(217,284)</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(359,329)</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65.4%</w:t>
            </w:r>
          </w:p>
        </w:tc>
        <w:tc>
          <w:tcPr>
            <w:tcW w:w="6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990.7%</w:t>
            </w: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rPr>
              <w:t>(700,157)</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(723,256)</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3.3%</w:t>
            </w:r>
          </w:p>
        </w:tc>
      </w:tr>
      <w:tr>
        <w:trPr>
          <w:trHeight w:val="388"/>
        </w:trPr>
        <w:tc>
          <w:tcPr>
            <w:tcW w:w="39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Risk-adjusted net interest income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1,570,876</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1,642,381</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1,751,524</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6.6%</w:t>
            </w:r>
          </w:p>
        </w:tc>
        <w:tc>
          <w:tcPr>
            <w:tcW w:w="40" w:type="dxa"/>
            <w:vAlign w:val="bottom"/>
          </w:tcPr>
          <w:p>
            <w:pPr>
              <w:spacing w:after="0"/>
              <w:rPr>
                <w:sz w:val="24"/>
                <w:szCs w:val="24"/>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11.5%</w:t>
            </w: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3,898,540</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4,952,615</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27.0%</w:t>
            </w:r>
          </w:p>
        </w:tc>
      </w:tr>
      <w:tr>
        <w:trPr>
          <w:trHeight w:val="344"/>
        </w:trPr>
        <w:tc>
          <w:tcPr>
            <w:tcW w:w="39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Other income</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201"/>
        </w:trPr>
        <w:tc>
          <w:tcPr>
            <w:tcW w:w="3940" w:type="dxa"/>
            <w:vAlign w:val="bottom"/>
            <w:tcBorders>
              <w:left w:val="single" w:sz="8" w:color="auto"/>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Fee income</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669,583</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727,644</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761,968</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7"/>
              </w:rPr>
              <w:t>4.7%</w:t>
            </w:r>
          </w:p>
        </w:tc>
        <w:tc>
          <w:tcPr>
            <w:tcW w:w="4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13.8%</w:t>
            </w:r>
          </w:p>
        </w:tc>
        <w:tc>
          <w:tcPr>
            <w:tcW w:w="10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7"/>
              </w:rPr>
              <w:t>1,921,827</w:t>
            </w:r>
          </w:p>
        </w:tc>
        <w:tc>
          <w:tcPr>
            <w:tcW w:w="88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9"/>
              </w:rPr>
              <w:t>2,196,473</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14.3%</w:t>
            </w:r>
          </w:p>
        </w:tc>
      </w:tr>
      <w:tr>
        <w:trPr>
          <w:trHeight w:val="201"/>
        </w:trPr>
        <w:tc>
          <w:tcPr>
            <w:tcW w:w="3940" w:type="dxa"/>
            <w:vAlign w:val="bottom"/>
            <w:tcBorders>
              <w:left w:val="single" w:sz="8" w:color="auto"/>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Net gain on foreign exchange transactions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231,547</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240,387</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242,395</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7"/>
              </w:rPr>
              <w:t>0.8%</w:t>
            </w:r>
          </w:p>
        </w:tc>
        <w:tc>
          <w:tcPr>
            <w:tcW w:w="4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4.7%</w:t>
            </w:r>
          </w:p>
        </w:tc>
        <w:tc>
          <w:tcPr>
            <w:tcW w:w="1000" w:type="dxa"/>
            <w:vAlign w:val="bottom"/>
            <w:gridSpan w:val="3"/>
          </w:tcPr>
          <w:p>
            <w:pPr>
              <w:jc w:val="center"/>
              <w:spacing w:after="0" w:line="201" w:lineRule="exact"/>
              <w:rPr>
                <w:sz w:val="20"/>
                <w:szCs w:val="20"/>
                <w:color w:val="auto"/>
              </w:rPr>
            </w:pPr>
            <w:r>
              <w:rPr>
                <w:rFonts w:ascii="Arial" w:cs="Arial" w:eastAsia="Arial" w:hAnsi="Arial"/>
                <w:sz w:val="18"/>
                <w:szCs w:val="18"/>
                <w:color w:val="auto"/>
              </w:rPr>
              <w:t>642,810</w:t>
            </w:r>
          </w:p>
        </w:tc>
        <w:tc>
          <w:tcPr>
            <w:tcW w:w="60" w:type="dxa"/>
            <w:vAlign w:val="bottom"/>
          </w:tcPr>
          <w:p>
            <w:pPr>
              <w:spacing w:after="0"/>
              <w:rPr>
                <w:sz w:val="17"/>
                <w:szCs w:val="17"/>
                <w:color w:val="auto"/>
              </w:rPr>
            </w:pPr>
          </w:p>
        </w:tc>
        <w:tc>
          <w:tcPr>
            <w:tcW w:w="820" w:type="dxa"/>
            <w:vAlign w:val="bottom"/>
            <w:tcBorders>
              <w:righ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721,520</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12.2%</w:t>
            </w:r>
          </w:p>
        </w:tc>
      </w:tr>
      <w:tr>
        <w:trPr>
          <w:trHeight w:val="201"/>
        </w:trPr>
        <w:tc>
          <w:tcPr>
            <w:tcW w:w="3940" w:type="dxa"/>
            <w:vAlign w:val="bottom"/>
            <w:tcBorders>
              <w:left w:val="single" w:sz="8" w:color="auto"/>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Net gain (losses) on securities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(30,044)</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5"/>
              </w:rPr>
              <w:t>112,761</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132,170</w:t>
            </w:r>
          </w:p>
        </w:tc>
        <w:tc>
          <w:tcPr>
            <w:tcW w:w="1360" w:type="dxa"/>
            <w:vAlign w:val="bottom"/>
            <w:tcBorders>
              <w:right w:val="single" w:sz="8" w:color="auto"/>
            </w:tcBorders>
            <w:gridSpan w:val="3"/>
          </w:tcPr>
          <w:p>
            <w:pPr>
              <w:ind w:left="80"/>
              <w:spacing w:after="0" w:line="201" w:lineRule="exact"/>
              <w:rPr>
                <w:sz w:val="20"/>
                <w:szCs w:val="20"/>
                <w:color w:val="auto"/>
              </w:rPr>
            </w:pPr>
            <w:r>
              <w:rPr>
                <w:rFonts w:ascii="Arial" w:cs="Arial" w:eastAsia="Arial" w:hAnsi="Arial"/>
                <w:sz w:val="18"/>
                <w:szCs w:val="18"/>
                <w:color w:val="auto"/>
              </w:rPr>
              <w:t>17.2% -539.9%</w:t>
            </w:r>
          </w:p>
        </w:tc>
        <w:tc>
          <w:tcPr>
            <w:tcW w:w="100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95"/>
              </w:rPr>
              <w:t>(118,568)</w:t>
            </w:r>
          </w:p>
        </w:tc>
        <w:tc>
          <w:tcPr>
            <w:tcW w:w="60" w:type="dxa"/>
            <w:vAlign w:val="bottom"/>
          </w:tcPr>
          <w:p>
            <w:pPr>
              <w:spacing w:after="0"/>
              <w:rPr>
                <w:sz w:val="17"/>
                <w:szCs w:val="17"/>
                <w:color w:val="auto"/>
              </w:rPr>
            </w:pPr>
          </w:p>
        </w:tc>
        <w:tc>
          <w:tcPr>
            <w:tcW w:w="820" w:type="dxa"/>
            <w:vAlign w:val="bottom"/>
            <w:tcBorders>
              <w:righ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335,394</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-382.9%</w:t>
            </w:r>
          </w:p>
        </w:tc>
      </w:tr>
      <w:tr>
        <w:trPr>
          <w:trHeight w:val="201"/>
        </w:trPr>
        <w:tc>
          <w:tcPr>
            <w:tcW w:w="3940" w:type="dxa"/>
            <w:vAlign w:val="bottom"/>
            <w:tcBorders>
              <w:left w:val="single" w:sz="8" w:color="auto"/>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Net gain from associates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73,843</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7,421</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7"/>
              </w:rPr>
              <w:t>2,958</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8"/>
              </w:rPr>
              <w:t>-60.1%</w:t>
            </w:r>
          </w:p>
        </w:tc>
        <w:tc>
          <w:tcPr>
            <w:tcW w:w="4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-96.0%</w:t>
            </w:r>
          </w:p>
        </w:tc>
        <w:tc>
          <w:tcPr>
            <w:tcW w:w="1000" w:type="dxa"/>
            <w:vAlign w:val="bottom"/>
            <w:gridSpan w:val="3"/>
          </w:tcPr>
          <w:p>
            <w:pPr>
              <w:jc w:val="center"/>
              <w:spacing w:after="0" w:line="201" w:lineRule="exact"/>
              <w:rPr>
                <w:sz w:val="20"/>
                <w:szCs w:val="20"/>
                <w:color w:val="auto"/>
              </w:rPr>
            </w:pPr>
            <w:r>
              <w:rPr>
                <w:rFonts w:ascii="Arial" w:cs="Arial" w:eastAsia="Arial" w:hAnsi="Arial"/>
                <w:sz w:val="18"/>
                <w:szCs w:val="18"/>
                <w:color w:val="auto"/>
              </w:rPr>
              <w:t>140,762</w:t>
            </w:r>
          </w:p>
        </w:tc>
        <w:tc>
          <w:tcPr>
            <w:tcW w:w="60" w:type="dxa"/>
            <w:vAlign w:val="bottom"/>
          </w:tcPr>
          <w:p>
            <w:pPr>
              <w:spacing w:after="0"/>
              <w:rPr>
                <w:sz w:val="17"/>
                <w:szCs w:val="17"/>
                <w:color w:val="auto"/>
              </w:rPr>
            </w:pPr>
          </w:p>
        </w:tc>
        <w:tc>
          <w:tcPr>
            <w:tcW w:w="820" w:type="dxa"/>
            <w:vAlign w:val="bottom"/>
            <w:tcBorders>
              <w:righ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8"/>
              </w:rPr>
              <w:t>16,080</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-88.6%</w:t>
            </w:r>
          </w:p>
        </w:tc>
      </w:tr>
      <w:tr>
        <w:trPr>
          <w:trHeight w:val="201"/>
        </w:trPr>
        <w:tc>
          <w:tcPr>
            <w:tcW w:w="3940" w:type="dxa"/>
            <w:vAlign w:val="bottom"/>
            <w:tcBorders>
              <w:left w:val="single" w:sz="8" w:color="auto"/>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w w:val="98"/>
              </w:rPr>
              <w:t>Net gain (losses) on derivatives held for trading</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7"/>
              </w:rPr>
              <w:t>4,260</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(16,568)</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15,290</w:t>
            </w:r>
          </w:p>
        </w:tc>
        <w:tc>
          <w:tcPr>
            <w:tcW w:w="1360" w:type="dxa"/>
            <w:vAlign w:val="bottom"/>
            <w:tcBorders>
              <w:right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w w:val="96"/>
              </w:rPr>
              <w:t>-192.3% 258.9%</w:t>
            </w:r>
          </w:p>
        </w:tc>
        <w:tc>
          <w:tcPr>
            <w:tcW w:w="200" w:type="dxa"/>
            <w:vAlign w:val="bottom"/>
          </w:tcPr>
          <w:p>
            <w:pPr>
              <w:spacing w:after="0"/>
              <w:rPr>
                <w:sz w:val="17"/>
                <w:szCs w:val="17"/>
                <w:color w:val="auto"/>
              </w:rPr>
            </w:pPr>
          </w:p>
        </w:tc>
        <w:tc>
          <w:tcPr>
            <w:tcW w:w="800" w:type="dxa"/>
            <w:vAlign w:val="bottom"/>
            <w:gridSpan w:val="2"/>
          </w:tcPr>
          <w:p>
            <w:pPr>
              <w:jc w:val="center"/>
              <w:ind w:right="171"/>
              <w:spacing w:after="0" w:line="201" w:lineRule="exact"/>
              <w:rPr>
                <w:sz w:val="20"/>
                <w:szCs w:val="20"/>
                <w:color w:val="auto"/>
              </w:rPr>
            </w:pPr>
            <w:r>
              <w:rPr>
                <w:rFonts w:ascii="Arial" w:cs="Arial" w:eastAsia="Arial" w:hAnsi="Arial"/>
                <w:sz w:val="18"/>
                <w:szCs w:val="18"/>
                <w:color w:val="auto"/>
                <w:w w:val="98"/>
              </w:rPr>
              <w:t>47,164</w:t>
            </w:r>
          </w:p>
        </w:tc>
        <w:tc>
          <w:tcPr>
            <w:tcW w:w="60" w:type="dxa"/>
            <w:vAlign w:val="bottom"/>
          </w:tcPr>
          <w:p>
            <w:pPr>
              <w:spacing w:after="0"/>
              <w:rPr>
                <w:sz w:val="17"/>
                <w:szCs w:val="17"/>
                <w:color w:val="auto"/>
              </w:rPr>
            </w:pPr>
          </w:p>
        </w:tc>
        <w:tc>
          <w:tcPr>
            <w:tcW w:w="820" w:type="dxa"/>
            <w:vAlign w:val="bottom"/>
            <w:tcBorders>
              <w:righ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8"/>
              </w:rPr>
              <w:t>(11,254)</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-123.9%</w:t>
            </w:r>
          </w:p>
        </w:tc>
      </w:tr>
      <w:tr>
        <w:trPr>
          <w:trHeight w:val="201"/>
        </w:trPr>
        <w:tc>
          <w:tcPr>
            <w:tcW w:w="3940" w:type="dxa"/>
            <w:vAlign w:val="bottom"/>
            <w:tcBorders>
              <w:left w:val="single" w:sz="8" w:color="auto"/>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Net gain (losses) from exchange differences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7"/>
              </w:rPr>
              <w:t>7,277</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7,249</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10,109</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7"/>
              </w:rPr>
              <w:t>39.5%</w:t>
            </w:r>
          </w:p>
        </w:tc>
        <w:tc>
          <w:tcPr>
            <w:tcW w:w="4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38.9%</w:t>
            </w:r>
          </w:p>
        </w:tc>
        <w:tc>
          <w:tcPr>
            <w:tcW w:w="200" w:type="dxa"/>
            <w:vAlign w:val="bottom"/>
          </w:tcPr>
          <w:p>
            <w:pPr>
              <w:spacing w:after="0"/>
              <w:rPr>
                <w:sz w:val="17"/>
                <w:szCs w:val="17"/>
                <w:color w:val="auto"/>
              </w:rPr>
            </w:pPr>
          </w:p>
        </w:tc>
        <w:tc>
          <w:tcPr>
            <w:tcW w:w="800" w:type="dxa"/>
            <w:vAlign w:val="bottom"/>
            <w:gridSpan w:val="2"/>
          </w:tcPr>
          <w:p>
            <w:pPr>
              <w:jc w:val="center"/>
              <w:ind w:right="171"/>
              <w:spacing w:after="0" w:line="201" w:lineRule="exact"/>
              <w:rPr>
                <w:sz w:val="20"/>
                <w:szCs w:val="20"/>
                <w:color w:val="auto"/>
              </w:rPr>
            </w:pPr>
            <w:r>
              <w:rPr>
                <w:rFonts w:ascii="Arial" w:cs="Arial" w:eastAsia="Arial" w:hAnsi="Arial"/>
                <w:sz w:val="18"/>
                <w:szCs w:val="18"/>
                <w:color w:val="auto"/>
                <w:w w:val="98"/>
              </w:rPr>
              <w:t>59,444</w:t>
            </w:r>
          </w:p>
        </w:tc>
        <w:tc>
          <w:tcPr>
            <w:tcW w:w="60" w:type="dxa"/>
            <w:vAlign w:val="bottom"/>
          </w:tcPr>
          <w:p>
            <w:pPr>
              <w:spacing w:after="0"/>
              <w:rPr>
                <w:sz w:val="17"/>
                <w:szCs w:val="17"/>
                <w:color w:val="auto"/>
              </w:rPr>
            </w:pPr>
          </w:p>
        </w:tc>
        <w:tc>
          <w:tcPr>
            <w:tcW w:w="820" w:type="dxa"/>
            <w:vAlign w:val="bottom"/>
            <w:tcBorders>
              <w:righ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7"/>
              </w:rPr>
              <w:t>7,341</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-87.7%</w:t>
            </w:r>
          </w:p>
        </w:tc>
      </w:tr>
      <w:tr>
        <w:trPr>
          <w:trHeight w:val="201"/>
        </w:trPr>
        <w:tc>
          <w:tcPr>
            <w:tcW w:w="3940" w:type="dxa"/>
            <w:vAlign w:val="bottom"/>
            <w:tcBorders>
              <w:left w:val="single" w:sz="8" w:color="auto"/>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Others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32,642</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45,276</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36,792</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8"/>
              </w:rPr>
              <w:t>-18.7%</w:t>
            </w:r>
          </w:p>
        </w:tc>
        <w:tc>
          <w:tcPr>
            <w:tcW w:w="4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12.7%</w:t>
            </w:r>
          </w:p>
        </w:tc>
        <w:tc>
          <w:tcPr>
            <w:tcW w:w="1000" w:type="dxa"/>
            <w:vAlign w:val="bottom"/>
            <w:gridSpan w:val="3"/>
          </w:tcPr>
          <w:p>
            <w:pPr>
              <w:jc w:val="center"/>
              <w:spacing w:after="0" w:line="201" w:lineRule="exact"/>
              <w:rPr>
                <w:sz w:val="20"/>
                <w:szCs w:val="20"/>
                <w:color w:val="auto"/>
              </w:rPr>
            </w:pPr>
            <w:r>
              <w:rPr>
                <w:rFonts w:ascii="Arial" w:cs="Arial" w:eastAsia="Arial" w:hAnsi="Arial"/>
                <w:sz w:val="18"/>
                <w:szCs w:val="18"/>
                <w:color w:val="auto"/>
              </w:rPr>
              <w:t>123,716</w:t>
            </w:r>
          </w:p>
        </w:tc>
        <w:tc>
          <w:tcPr>
            <w:tcW w:w="60" w:type="dxa"/>
            <w:vAlign w:val="bottom"/>
          </w:tcPr>
          <w:p>
            <w:pPr>
              <w:spacing w:after="0"/>
              <w:rPr>
                <w:sz w:val="17"/>
                <w:szCs w:val="17"/>
                <w:color w:val="auto"/>
              </w:rPr>
            </w:pPr>
          </w:p>
        </w:tc>
        <w:tc>
          <w:tcPr>
            <w:tcW w:w="820" w:type="dxa"/>
            <w:vAlign w:val="bottom"/>
            <w:tcBorders>
              <w:right w:val="single" w:sz="8" w:color="auto"/>
            </w:tcBorders>
          </w:tcPr>
          <w:p>
            <w:pPr>
              <w:jc w:val="center"/>
              <w:ind w:right="51"/>
              <w:spacing w:after="0" w:line="201" w:lineRule="exact"/>
              <w:rPr>
                <w:sz w:val="20"/>
                <w:szCs w:val="20"/>
                <w:color w:val="auto"/>
              </w:rPr>
            </w:pPr>
            <w:r>
              <w:rPr>
                <w:rFonts w:ascii="Arial" w:cs="Arial" w:eastAsia="Arial" w:hAnsi="Arial"/>
                <w:sz w:val="18"/>
                <w:szCs w:val="18"/>
                <w:color w:val="auto"/>
                <w:w w:val="98"/>
              </w:rPr>
              <w:t>192,818</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55.9%</w:t>
            </w:r>
          </w:p>
        </w:tc>
      </w:tr>
      <w:tr>
        <w:trPr>
          <w:trHeight w:val="246"/>
        </w:trPr>
        <w:tc>
          <w:tcPr>
            <w:tcW w:w="3940" w:type="dxa"/>
            <w:vAlign w:val="bottom"/>
            <w:tcBorders>
              <w:left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Total other income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8"/>
              </w:rPr>
              <w:t>989,108</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1,124,170</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1,201,682</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6.9%</w:t>
            </w:r>
          </w:p>
        </w:tc>
        <w:tc>
          <w:tcPr>
            <w:tcW w:w="40" w:type="dxa"/>
            <w:vAlign w:val="bottom"/>
          </w:tcPr>
          <w:p>
            <w:pPr>
              <w:spacing w:after="0"/>
              <w:rPr>
                <w:sz w:val="21"/>
                <w:szCs w:val="21"/>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21.5%</w:t>
            </w: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2,817,155</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3,458,372</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22.8%</w:t>
            </w:r>
          </w:p>
        </w:tc>
      </w:tr>
      <w:tr>
        <w:trPr>
          <w:trHeight w:val="344"/>
        </w:trPr>
        <w:tc>
          <w:tcPr>
            <w:tcW w:w="39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 expenses</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r>
      <w:tr>
        <w:trPr>
          <w:trHeight w:val="201"/>
        </w:trPr>
        <w:tc>
          <w:tcPr>
            <w:tcW w:w="3940" w:type="dxa"/>
            <w:vAlign w:val="bottom"/>
            <w:tcBorders>
              <w:left w:val="single" w:sz="8" w:color="auto"/>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Salaries and employee benefits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(449,094)</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(487,698)</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(536,526)</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7"/>
              </w:rPr>
              <w:t>10.0%</w:t>
            </w:r>
          </w:p>
        </w:tc>
        <w:tc>
          <w:tcPr>
            <w:tcW w:w="4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19.5%</w:t>
            </w:r>
          </w:p>
        </w:tc>
        <w:tc>
          <w:tcPr>
            <w:tcW w:w="1880" w:type="dxa"/>
            <w:vAlign w:val="bottom"/>
            <w:tcBorders>
              <w:right w:val="single" w:sz="8" w:color="auto"/>
            </w:tcBorders>
            <w:gridSpan w:val="5"/>
          </w:tcPr>
          <w:p>
            <w:pPr>
              <w:jc w:val="right"/>
              <w:spacing w:after="0" w:line="201" w:lineRule="exact"/>
              <w:rPr>
                <w:sz w:val="20"/>
                <w:szCs w:val="20"/>
                <w:color w:val="auto"/>
              </w:rPr>
            </w:pPr>
            <w:r>
              <w:rPr>
                <w:rFonts w:ascii="Arial" w:cs="Arial" w:eastAsia="Arial" w:hAnsi="Arial"/>
                <w:sz w:val="18"/>
                <w:szCs w:val="18"/>
                <w:color w:val="auto"/>
                <w:w w:val="99"/>
              </w:rPr>
              <w:t>(1,312,078)(1,525,437)</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16.3%</w:t>
            </w:r>
          </w:p>
        </w:tc>
      </w:tr>
      <w:tr>
        <w:trPr>
          <w:trHeight w:val="192"/>
        </w:trPr>
        <w:tc>
          <w:tcPr>
            <w:tcW w:w="3940" w:type="dxa"/>
            <w:vAlign w:val="bottom"/>
            <w:tcBorders>
              <w:left w:val="single" w:sz="8" w:color="auto"/>
              <w:right w:val="single" w:sz="8" w:color="auto"/>
            </w:tcBorders>
            <w:gridSpan w:val="2"/>
          </w:tcPr>
          <w:p>
            <w:pPr>
              <w:ind w:left="180"/>
              <w:spacing w:after="0" w:line="192" w:lineRule="exact"/>
              <w:rPr>
                <w:sz w:val="20"/>
                <w:szCs w:val="20"/>
                <w:color w:val="auto"/>
              </w:rPr>
            </w:pPr>
            <w:r>
              <w:rPr>
                <w:rFonts w:ascii="Arial" w:cs="Arial" w:eastAsia="Arial" w:hAnsi="Arial"/>
                <w:sz w:val="18"/>
                <w:szCs w:val="18"/>
                <w:color w:val="auto"/>
              </w:rPr>
              <w:t>Administrative expenses</w:t>
            </w:r>
          </w:p>
        </w:tc>
        <w:tc>
          <w:tcPr>
            <w:tcW w:w="920" w:type="dxa"/>
            <w:vAlign w:val="bottom"/>
          </w:tcPr>
          <w:p>
            <w:pPr>
              <w:jc w:val="center"/>
              <w:spacing w:after="0" w:line="192" w:lineRule="exact"/>
              <w:rPr>
                <w:sz w:val="20"/>
                <w:szCs w:val="20"/>
                <w:color w:val="auto"/>
              </w:rPr>
            </w:pPr>
            <w:r>
              <w:rPr>
                <w:rFonts w:ascii="Arial" w:cs="Arial" w:eastAsia="Arial" w:hAnsi="Arial"/>
                <w:sz w:val="18"/>
                <w:szCs w:val="18"/>
                <w:color w:val="auto"/>
                <w:w w:val="98"/>
              </w:rPr>
              <w:t>(580,194)</w:t>
            </w:r>
          </w:p>
        </w:tc>
        <w:tc>
          <w:tcPr>
            <w:tcW w:w="940" w:type="dxa"/>
            <w:vAlign w:val="bottom"/>
          </w:tcPr>
          <w:p>
            <w:pPr>
              <w:jc w:val="center"/>
              <w:spacing w:after="0" w:line="192" w:lineRule="exact"/>
              <w:rPr>
                <w:sz w:val="20"/>
                <w:szCs w:val="20"/>
                <w:color w:val="auto"/>
              </w:rPr>
            </w:pPr>
            <w:r>
              <w:rPr>
                <w:rFonts w:ascii="Arial" w:cs="Arial" w:eastAsia="Arial" w:hAnsi="Arial"/>
                <w:sz w:val="18"/>
                <w:szCs w:val="18"/>
                <w:color w:val="auto"/>
              </w:rPr>
              <w:t>(575,071)</w:t>
            </w:r>
          </w:p>
        </w:tc>
        <w:tc>
          <w:tcPr>
            <w:tcW w:w="940" w:type="dxa"/>
            <w:vAlign w:val="bottom"/>
            <w:tcBorders>
              <w:right w:val="single" w:sz="8" w:color="auto"/>
            </w:tcBorders>
            <w:gridSpan w:val="2"/>
          </w:tcPr>
          <w:p>
            <w:pPr>
              <w:jc w:val="center"/>
              <w:spacing w:after="0" w:line="192" w:lineRule="exact"/>
              <w:rPr>
                <w:sz w:val="20"/>
                <w:szCs w:val="20"/>
                <w:color w:val="auto"/>
              </w:rPr>
            </w:pPr>
            <w:r>
              <w:rPr>
                <w:rFonts w:ascii="Arial" w:cs="Arial" w:eastAsia="Arial" w:hAnsi="Arial"/>
                <w:sz w:val="18"/>
                <w:szCs w:val="18"/>
                <w:color w:val="auto"/>
                <w:w w:val="98"/>
              </w:rPr>
              <w:t>(571,621)</w:t>
            </w:r>
          </w:p>
        </w:tc>
        <w:tc>
          <w:tcPr>
            <w:tcW w:w="680" w:type="dxa"/>
            <w:vAlign w:val="bottom"/>
          </w:tcPr>
          <w:p>
            <w:pPr>
              <w:jc w:val="center"/>
              <w:spacing w:after="0" w:line="192" w:lineRule="exact"/>
              <w:rPr>
                <w:sz w:val="20"/>
                <w:szCs w:val="20"/>
                <w:color w:val="auto"/>
              </w:rPr>
            </w:pPr>
            <w:r>
              <w:rPr>
                <w:rFonts w:ascii="Arial" w:cs="Arial" w:eastAsia="Arial" w:hAnsi="Arial"/>
                <w:sz w:val="18"/>
                <w:szCs w:val="18"/>
                <w:color w:val="auto"/>
                <w:w w:val="97"/>
              </w:rPr>
              <w:t>-0.6%</w:t>
            </w:r>
          </w:p>
        </w:tc>
        <w:tc>
          <w:tcPr>
            <w:tcW w:w="40" w:type="dxa"/>
            <w:vAlign w:val="bottom"/>
          </w:tcPr>
          <w:p>
            <w:pPr>
              <w:spacing w:after="0"/>
              <w:rPr>
                <w:sz w:val="16"/>
                <w:szCs w:val="16"/>
                <w:color w:val="auto"/>
              </w:rPr>
            </w:pPr>
          </w:p>
        </w:tc>
        <w:tc>
          <w:tcPr>
            <w:tcW w:w="640" w:type="dxa"/>
            <w:vAlign w:val="bottom"/>
            <w:tcBorders>
              <w:right w:val="single" w:sz="8" w:color="auto"/>
            </w:tcBorders>
          </w:tcPr>
          <w:p>
            <w:pPr>
              <w:jc w:val="center"/>
              <w:spacing w:after="0" w:line="192" w:lineRule="exact"/>
              <w:rPr>
                <w:sz w:val="20"/>
                <w:szCs w:val="20"/>
                <w:color w:val="auto"/>
              </w:rPr>
            </w:pPr>
            <w:r>
              <w:rPr>
                <w:rFonts w:ascii="Arial" w:cs="Arial" w:eastAsia="Arial" w:hAnsi="Arial"/>
                <w:sz w:val="18"/>
                <w:szCs w:val="18"/>
                <w:color w:val="auto"/>
                <w:w w:val="97"/>
              </w:rPr>
              <w:t>-1.5%</w:t>
            </w:r>
          </w:p>
        </w:tc>
        <w:tc>
          <w:tcPr>
            <w:tcW w:w="1880" w:type="dxa"/>
            <w:vAlign w:val="bottom"/>
            <w:tcBorders>
              <w:right w:val="single" w:sz="8" w:color="auto"/>
            </w:tcBorders>
            <w:gridSpan w:val="5"/>
          </w:tcPr>
          <w:p>
            <w:pPr>
              <w:jc w:val="right"/>
              <w:spacing w:after="0" w:line="192" w:lineRule="exact"/>
              <w:rPr>
                <w:sz w:val="20"/>
                <w:szCs w:val="20"/>
                <w:color w:val="auto"/>
              </w:rPr>
            </w:pPr>
            <w:r>
              <w:rPr>
                <w:rFonts w:ascii="Arial" w:cs="Arial" w:eastAsia="Arial" w:hAnsi="Arial"/>
                <w:sz w:val="18"/>
                <w:szCs w:val="18"/>
                <w:color w:val="auto"/>
                <w:w w:val="99"/>
              </w:rPr>
              <w:t>(1,421,692)(1,610,619)</w:t>
            </w:r>
          </w:p>
        </w:tc>
        <w:tc>
          <w:tcPr>
            <w:tcW w:w="1340" w:type="dxa"/>
            <w:vAlign w:val="bottom"/>
            <w:tcBorders>
              <w:right w:val="single" w:sz="8" w:color="auto"/>
            </w:tcBorders>
            <w:gridSpan w:val="2"/>
          </w:tcPr>
          <w:p>
            <w:pPr>
              <w:jc w:val="center"/>
              <w:spacing w:after="0" w:line="192" w:lineRule="exact"/>
              <w:rPr>
                <w:sz w:val="20"/>
                <w:szCs w:val="20"/>
                <w:color w:val="auto"/>
              </w:rPr>
            </w:pPr>
            <w:r>
              <w:rPr>
                <w:rFonts w:ascii="Arial" w:cs="Arial" w:eastAsia="Arial" w:hAnsi="Arial"/>
                <w:sz w:val="18"/>
                <w:szCs w:val="18"/>
                <w:color w:val="auto"/>
              </w:rPr>
              <w:t>13.3%</w:t>
            </w:r>
          </w:p>
        </w:tc>
      </w:tr>
      <w:tr>
        <w:trPr>
          <w:trHeight w:val="210"/>
        </w:trPr>
        <w:tc>
          <w:tcPr>
            <w:tcW w:w="3940" w:type="dxa"/>
            <w:vAlign w:val="bottom"/>
            <w:tcBorders>
              <w:left w:val="single" w:sz="8" w:color="auto"/>
              <w:right w:val="single" w:sz="8" w:color="auto"/>
            </w:tcBorders>
            <w:gridSpan w:val="2"/>
          </w:tcPr>
          <w:p>
            <w:pPr>
              <w:ind w:left="180"/>
              <w:spacing w:after="0" w:line="210"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4"/>
                <w:szCs w:val="24"/>
                <w:color w:val="auto"/>
                <w:vertAlign w:val="superscript"/>
              </w:rPr>
              <w:t>(2)</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(111,360)</w:t>
            </w:r>
          </w:p>
        </w:tc>
        <w:tc>
          <w:tcPr>
            <w:tcW w:w="940" w:type="dxa"/>
            <w:vAlign w:val="bottom"/>
          </w:tcPr>
          <w:p>
            <w:pPr>
              <w:jc w:val="center"/>
              <w:spacing w:after="0"/>
              <w:rPr>
                <w:sz w:val="20"/>
                <w:szCs w:val="20"/>
                <w:color w:val="auto"/>
              </w:rPr>
            </w:pPr>
            <w:r>
              <w:rPr>
                <w:rFonts w:ascii="Arial" w:cs="Arial" w:eastAsia="Arial" w:hAnsi="Arial"/>
                <w:sz w:val="18"/>
                <w:szCs w:val="18"/>
                <w:color w:val="auto"/>
              </w:rPr>
              <w:t>(109,824)</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(113,129)</w:t>
            </w: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3.0%</w:t>
            </w:r>
          </w:p>
        </w:tc>
        <w:tc>
          <w:tcPr>
            <w:tcW w:w="40" w:type="dxa"/>
            <w:vAlign w:val="bottom"/>
          </w:tcPr>
          <w:p>
            <w:pPr>
              <w:spacing w:after="0"/>
              <w:rPr>
                <w:sz w:val="18"/>
                <w:szCs w:val="18"/>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1.6%</w:t>
            </w: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rPr>
              <w:t>(319,816)</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(328,812)</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7"/>
              </w:rPr>
              <w:t>2.8%</w:t>
            </w:r>
          </w:p>
        </w:tc>
      </w:tr>
      <w:tr>
        <w:trPr>
          <w:trHeight w:val="201"/>
        </w:trPr>
        <w:tc>
          <w:tcPr>
            <w:tcW w:w="3940" w:type="dxa"/>
            <w:vAlign w:val="bottom"/>
            <w:tcBorders>
              <w:left w:val="single" w:sz="8" w:color="auto"/>
              <w:righ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Other expenses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(37,124)</w:t>
            </w: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(46,381)</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(43,590)</w:t>
            </w:r>
          </w:p>
        </w:tc>
        <w:tc>
          <w:tcPr>
            <w:tcW w:w="680" w:type="dxa"/>
            <w:vAlign w:val="bottom"/>
          </w:tcPr>
          <w:p>
            <w:pPr>
              <w:jc w:val="center"/>
              <w:spacing w:after="0" w:line="201" w:lineRule="exact"/>
              <w:rPr>
                <w:sz w:val="20"/>
                <w:szCs w:val="20"/>
                <w:color w:val="auto"/>
              </w:rPr>
            </w:pPr>
            <w:r>
              <w:rPr>
                <w:rFonts w:ascii="Arial" w:cs="Arial" w:eastAsia="Arial" w:hAnsi="Arial"/>
                <w:sz w:val="18"/>
                <w:szCs w:val="18"/>
                <w:color w:val="auto"/>
                <w:w w:val="97"/>
              </w:rPr>
              <w:t>-6.0%</w:t>
            </w:r>
          </w:p>
        </w:tc>
        <w:tc>
          <w:tcPr>
            <w:tcW w:w="40" w:type="dxa"/>
            <w:vAlign w:val="bottom"/>
          </w:tcPr>
          <w:p>
            <w:pPr>
              <w:spacing w:after="0"/>
              <w:rPr>
                <w:sz w:val="17"/>
                <w:szCs w:val="17"/>
                <w:color w:val="auto"/>
              </w:rPr>
            </w:pPr>
          </w:p>
        </w:tc>
        <w:tc>
          <w:tcPr>
            <w:tcW w:w="64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17.4%</w:t>
            </w:r>
          </w:p>
        </w:tc>
        <w:tc>
          <w:tcPr>
            <w:tcW w:w="1000" w:type="dxa"/>
            <w:vAlign w:val="bottom"/>
            <w:gridSpan w:val="3"/>
          </w:tcPr>
          <w:p>
            <w:pPr>
              <w:jc w:val="center"/>
              <w:spacing w:after="0" w:line="201" w:lineRule="exact"/>
              <w:rPr>
                <w:sz w:val="20"/>
                <w:szCs w:val="20"/>
                <w:color w:val="auto"/>
              </w:rPr>
            </w:pPr>
            <w:r>
              <w:rPr>
                <w:rFonts w:ascii="Arial" w:cs="Arial" w:eastAsia="Arial" w:hAnsi="Arial"/>
                <w:sz w:val="18"/>
                <w:szCs w:val="18"/>
                <w:color w:val="auto"/>
              </w:rPr>
              <w:t>(130,081)</w:t>
            </w:r>
          </w:p>
        </w:tc>
        <w:tc>
          <w:tcPr>
            <w:tcW w:w="88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(133,657)</w:t>
            </w:r>
          </w:p>
        </w:tc>
        <w:tc>
          <w:tcPr>
            <w:tcW w:w="13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7"/>
              </w:rPr>
              <w:t>2.7%</w:t>
            </w:r>
          </w:p>
        </w:tc>
      </w:tr>
      <w:tr>
        <w:trPr>
          <w:trHeight w:val="246"/>
        </w:trPr>
        <w:tc>
          <w:tcPr>
            <w:tcW w:w="3940" w:type="dxa"/>
            <w:vAlign w:val="bottom"/>
            <w:tcBorders>
              <w:left w:val="single" w:sz="8" w:color="auto"/>
              <w:right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Total expenses</w:t>
            </w:r>
          </w:p>
        </w:tc>
        <w:tc>
          <w:tcPr>
            <w:tcW w:w="280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(1,177,772)(1,218,974)(1,264,866)</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3.8%</w:t>
            </w:r>
          </w:p>
        </w:tc>
        <w:tc>
          <w:tcPr>
            <w:tcW w:w="40" w:type="dxa"/>
            <w:vAlign w:val="bottom"/>
          </w:tcPr>
          <w:p>
            <w:pPr>
              <w:spacing w:after="0"/>
              <w:rPr>
                <w:sz w:val="21"/>
                <w:szCs w:val="21"/>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7.4%</w:t>
            </w:r>
          </w:p>
        </w:tc>
        <w:tc>
          <w:tcPr>
            <w:tcW w:w="1880" w:type="dxa"/>
            <w:vAlign w:val="bottom"/>
            <w:tcBorders>
              <w:right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9"/>
              </w:rPr>
              <w:t>(3,183,667)(3,598,525)</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13.0%</w:t>
            </w:r>
          </w:p>
        </w:tc>
      </w:tr>
      <w:tr>
        <w:trPr>
          <w:trHeight w:val="344"/>
        </w:trPr>
        <w:tc>
          <w:tcPr>
            <w:tcW w:w="39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Profit before income tax</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1,382,212</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1,547,577</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1,688,340</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7"/>
              </w:rPr>
              <w:t>9.1%</w:t>
            </w:r>
          </w:p>
        </w:tc>
        <w:tc>
          <w:tcPr>
            <w:tcW w:w="40" w:type="dxa"/>
            <w:vAlign w:val="bottom"/>
          </w:tcPr>
          <w:p>
            <w:pPr>
              <w:spacing w:after="0"/>
              <w:rPr>
                <w:sz w:val="24"/>
                <w:szCs w:val="24"/>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22.1%</w:t>
            </w:r>
          </w:p>
        </w:tc>
        <w:tc>
          <w:tcPr>
            <w:tcW w:w="10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7"/>
              </w:rPr>
              <w:t>3,532,028</w:t>
            </w:r>
          </w:p>
        </w:tc>
        <w:tc>
          <w:tcPr>
            <w:tcW w:w="88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4,716,298</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33.5%</w:t>
            </w:r>
          </w:p>
        </w:tc>
      </w:tr>
      <w:tr>
        <w:trPr>
          <w:trHeight w:val="201"/>
        </w:trPr>
        <w:tc>
          <w:tcPr>
            <w:tcW w:w="1140" w:type="dxa"/>
            <w:vAlign w:val="bottom"/>
            <w:tcBorders>
              <w:lef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Borders>
              <w:right w:val="single" w:sz="8" w:color="auto"/>
            </w:tcBorders>
          </w:tcPr>
          <w:p>
            <w:pPr>
              <w:jc w:val="center"/>
              <w:ind w:right="71"/>
              <w:spacing w:after="0" w:line="201"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r>
      <w:tr>
        <w:trPr>
          <w:trHeight w:val="236"/>
        </w:trPr>
        <w:tc>
          <w:tcPr>
            <w:tcW w:w="3940" w:type="dxa"/>
            <w:vAlign w:val="bottom"/>
            <w:tcBorders>
              <w:left w:val="single" w:sz="8" w:color="auto"/>
              <w:right w:val="single" w:sz="8" w:color="auto"/>
            </w:tcBorders>
            <w:gridSpan w:val="2"/>
          </w:tcPr>
          <w:p>
            <w:pPr>
              <w:ind w:left="180"/>
              <w:spacing w:after="0"/>
              <w:rPr>
                <w:sz w:val="20"/>
                <w:szCs w:val="20"/>
                <w:color w:val="auto"/>
              </w:rPr>
            </w:pPr>
            <w:r>
              <w:rPr>
                <w:rFonts w:ascii="Arial" w:cs="Arial" w:eastAsia="Arial" w:hAnsi="Arial"/>
                <w:sz w:val="18"/>
                <w:szCs w:val="18"/>
                <w:color w:val="auto"/>
              </w:rPr>
              <w:t>Income tax</w:t>
            </w:r>
          </w:p>
        </w:tc>
        <w:tc>
          <w:tcPr>
            <w:tcW w:w="920" w:type="dxa"/>
            <w:vAlign w:val="bottom"/>
          </w:tcPr>
          <w:p>
            <w:pPr>
              <w:jc w:val="center"/>
              <w:spacing w:after="0"/>
              <w:rPr>
                <w:sz w:val="20"/>
                <w:szCs w:val="20"/>
                <w:color w:val="auto"/>
              </w:rPr>
            </w:pPr>
            <w:r>
              <w:rPr>
                <w:rFonts w:ascii="Arial" w:cs="Arial" w:eastAsia="Arial" w:hAnsi="Arial"/>
                <w:sz w:val="18"/>
                <w:szCs w:val="18"/>
                <w:color w:val="auto"/>
                <w:w w:val="98"/>
              </w:rPr>
              <w:t>(324,697)</w:t>
            </w:r>
          </w:p>
        </w:tc>
        <w:tc>
          <w:tcPr>
            <w:tcW w:w="940" w:type="dxa"/>
            <w:vAlign w:val="bottom"/>
          </w:tcPr>
          <w:p>
            <w:pPr>
              <w:jc w:val="center"/>
              <w:spacing w:after="0"/>
              <w:rPr>
                <w:sz w:val="20"/>
                <w:szCs w:val="20"/>
                <w:color w:val="auto"/>
              </w:rPr>
            </w:pPr>
            <w:r>
              <w:rPr>
                <w:rFonts w:ascii="Arial" w:cs="Arial" w:eastAsia="Arial" w:hAnsi="Arial"/>
                <w:sz w:val="18"/>
                <w:szCs w:val="18"/>
                <w:color w:val="auto"/>
              </w:rPr>
              <w:t>(391,499)</w:t>
            </w:r>
          </w:p>
        </w:tc>
        <w:tc>
          <w:tcPr>
            <w:tcW w:w="9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8"/>
              </w:rPr>
              <w:t>(398,244)</w:t>
            </w:r>
          </w:p>
        </w:tc>
        <w:tc>
          <w:tcPr>
            <w:tcW w:w="680" w:type="dxa"/>
            <w:vAlign w:val="bottom"/>
          </w:tcPr>
          <w:p>
            <w:pPr>
              <w:jc w:val="center"/>
              <w:spacing w:after="0"/>
              <w:rPr>
                <w:sz w:val="20"/>
                <w:szCs w:val="20"/>
                <w:color w:val="auto"/>
              </w:rPr>
            </w:pPr>
            <w:r>
              <w:rPr>
                <w:rFonts w:ascii="Arial" w:cs="Arial" w:eastAsia="Arial" w:hAnsi="Arial"/>
                <w:sz w:val="18"/>
                <w:szCs w:val="18"/>
                <w:color w:val="auto"/>
                <w:w w:val="97"/>
              </w:rPr>
              <w:t>1.7%</w:t>
            </w:r>
          </w:p>
        </w:tc>
        <w:tc>
          <w:tcPr>
            <w:tcW w:w="40" w:type="dxa"/>
            <w:vAlign w:val="bottom"/>
          </w:tcPr>
          <w:p>
            <w:pPr>
              <w:spacing w:after="0"/>
              <w:rPr>
                <w:sz w:val="20"/>
                <w:szCs w:val="20"/>
                <w:color w:val="auto"/>
              </w:rPr>
            </w:pP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22.7%</w:t>
            </w:r>
          </w:p>
        </w:tc>
        <w:tc>
          <w:tcPr>
            <w:tcW w:w="1880" w:type="dxa"/>
            <w:vAlign w:val="bottom"/>
            <w:tcBorders>
              <w:right w:val="single" w:sz="8" w:color="auto"/>
            </w:tcBorders>
            <w:gridSpan w:val="5"/>
          </w:tcPr>
          <w:p>
            <w:pPr>
              <w:jc w:val="right"/>
              <w:spacing w:after="0"/>
              <w:rPr>
                <w:sz w:val="20"/>
                <w:szCs w:val="20"/>
                <w:color w:val="auto"/>
              </w:rPr>
            </w:pPr>
            <w:r>
              <w:rPr>
                <w:rFonts w:ascii="Arial" w:cs="Arial" w:eastAsia="Arial" w:hAnsi="Arial"/>
                <w:sz w:val="18"/>
                <w:szCs w:val="18"/>
                <w:color w:val="auto"/>
              </w:rPr>
              <w:t>(921,234) (1,209,863)</w:t>
            </w:r>
          </w:p>
        </w:tc>
        <w:tc>
          <w:tcPr>
            <w:tcW w:w="13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rPr>
              <w:t>31.3%</w:t>
            </w:r>
          </w:p>
        </w:tc>
      </w:tr>
      <w:tr>
        <w:trPr>
          <w:trHeight w:val="379"/>
        </w:trPr>
        <w:tc>
          <w:tcPr>
            <w:tcW w:w="39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Net profit attributable to BCP Stand-alone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1,057,515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1,156,078</w:t>
            </w:r>
          </w:p>
        </w:tc>
        <w:tc>
          <w:tcPr>
            <w:tcW w:w="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1,290,096</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11.6%</w:t>
            </w: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22.0%</w:t>
            </w:r>
          </w:p>
        </w:tc>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2,610,794</w:t>
            </w:r>
          </w:p>
        </w:tc>
        <w:tc>
          <w:tcPr>
            <w:tcW w:w="8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3,506,435</w:t>
            </w:r>
          </w:p>
        </w:tc>
        <w:tc>
          <w:tcPr>
            <w:tcW w:w="13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34.3%</w:t>
            </w:r>
          </w:p>
        </w:tc>
      </w:tr>
      <w:tr>
        <w:trPr>
          <w:trHeight w:val="433"/>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4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BANCO DE CREDITO DEL PERU</w:t>
            </w: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7"/>
        </w:trPr>
        <w:tc>
          <w:tcPr>
            <w:tcW w:w="11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4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SELECTED FINANCIAL INDICATORS</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3"/>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Pr>
          <w:p>
            <w:pPr>
              <w:spacing w:after="0"/>
              <w:rPr>
                <w:sz w:val="21"/>
                <w:szCs w:val="21"/>
                <w:color w:val="auto"/>
              </w:rPr>
            </w:pPr>
          </w:p>
        </w:tc>
      </w:tr>
      <w:tr>
        <w:trPr>
          <w:trHeight w:val="182"/>
        </w:trPr>
        <w:tc>
          <w:tcPr>
            <w:tcW w:w="1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20" w:type="dxa"/>
            <w:vAlign w:val="bottom"/>
            <w:tcBorders>
              <w:right w:val="single" w:sz="8" w:color="2AD2C9"/>
            </w:tcBorders>
            <w:shd w:val="clear" w:color="auto" w:fill="2AD2C9"/>
          </w:tcPr>
          <w:p>
            <w:pPr>
              <w:spacing w:after="0"/>
              <w:rPr>
                <w:sz w:val="15"/>
                <w:szCs w:val="15"/>
                <w:color w:val="auto"/>
              </w:rPr>
            </w:pPr>
          </w:p>
        </w:tc>
        <w:tc>
          <w:tcPr>
            <w:tcW w:w="1360" w:type="dxa"/>
            <w:vAlign w:val="bottom"/>
            <w:tcBorders>
              <w:right w:val="single" w:sz="8" w:color="2AD2C9"/>
            </w:tcBorders>
            <w:gridSpan w:val="3"/>
            <w:shd w:val="clear" w:color="auto" w:fill="2AD2C9"/>
          </w:tcPr>
          <w:p>
            <w:pPr>
              <w:ind w:left="100"/>
              <w:spacing w:after="0" w:line="182" w:lineRule="exact"/>
              <w:rPr>
                <w:sz w:val="20"/>
                <w:szCs w:val="20"/>
                <w:color w:val="auto"/>
              </w:rPr>
            </w:pPr>
            <w:r>
              <w:rPr>
                <w:rFonts w:ascii="Arial" w:cs="Arial" w:eastAsia="Arial" w:hAnsi="Arial"/>
                <w:sz w:val="18"/>
                <w:szCs w:val="18"/>
                <w:b w:val="1"/>
                <w:bCs w:val="1"/>
                <w:color w:val="FFFFFF"/>
              </w:rPr>
              <w:t>Quarter</w:t>
            </w:r>
          </w:p>
        </w:tc>
        <w:tc>
          <w:tcPr>
            <w:tcW w:w="200" w:type="dxa"/>
            <w:vAlign w:val="bottom"/>
            <w:shd w:val="clear" w:color="auto" w:fill="2AD2C9"/>
          </w:tcPr>
          <w:p>
            <w:pPr>
              <w:spacing w:after="0"/>
              <w:rPr>
                <w:sz w:val="15"/>
                <w:szCs w:val="15"/>
                <w:color w:val="auto"/>
              </w:rPr>
            </w:pPr>
          </w:p>
        </w:tc>
        <w:tc>
          <w:tcPr>
            <w:tcW w:w="120" w:type="dxa"/>
            <w:vAlign w:val="bottom"/>
            <w:tcBorders>
              <w:right w:val="single" w:sz="8" w:color="auto"/>
            </w:tcBorders>
            <w:shd w:val="clear" w:color="auto" w:fill="2AD2C9"/>
          </w:tcPr>
          <w:p>
            <w:pPr>
              <w:spacing w:after="0"/>
              <w:rPr>
                <w:sz w:val="15"/>
                <w:szCs w:val="15"/>
                <w:color w:val="auto"/>
              </w:rPr>
            </w:pPr>
          </w:p>
        </w:tc>
        <w:tc>
          <w:tcPr>
            <w:tcW w:w="1560" w:type="dxa"/>
            <w:vAlign w:val="bottom"/>
            <w:tcBorders>
              <w:right w:val="single" w:sz="8" w:color="2AD2C9"/>
            </w:tcBorders>
            <w:gridSpan w:val="3"/>
            <w:shd w:val="clear" w:color="auto" w:fill="2AD2C9"/>
          </w:tcPr>
          <w:p>
            <w:pPr>
              <w:jc w:val="right"/>
              <w:ind w:right="391"/>
              <w:spacing w:after="0" w:line="182" w:lineRule="exact"/>
              <w:rPr>
                <w:sz w:val="20"/>
                <w:szCs w:val="20"/>
                <w:color w:val="auto"/>
              </w:rPr>
            </w:pPr>
            <w:r>
              <w:rPr>
                <w:rFonts w:ascii="Arial" w:cs="Arial" w:eastAsia="Arial" w:hAnsi="Arial"/>
                <w:sz w:val="18"/>
                <w:szCs w:val="18"/>
                <w:b w:val="1"/>
                <w:bCs w:val="1"/>
                <w:color w:val="FFFFFF"/>
              </w:rPr>
              <w:t>As od</w:t>
            </w:r>
          </w:p>
        </w:tc>
        <w:tc>
          <w:tcPr>
            <w:tcW w:w="140" w:type="dxa"/>
            <w:vAlign w:val="bottom"/>
            <w:tcBorders>
              <w:right w:val="single" w:sz="8" w:color="auto"/>
            </w:tcBorders>
            <w:shd w:val="clear" w:color="auto" w:fill="2AD2C9"/>
          </w:tcPr>
          <w:p>
            <w:pPr>
              <w:spacing w:after="0"/>
              <w:rPr>
                <w:sz w:val="15"/>
                <w:szCs w:val="15"/>
                <w:color w:val="auto"/>
              </w:rPr>
            </w:pPr>
          </w:p>
        </w:tc>
        <w:tc>
          <w:tcPr>
            <w:tcW w:w="1200" w:type="dxa"/>
            <w:vAlign w:val="bottom"/>
          </w:tcPr>
          <w:p>
            <w:pPr>
              <w:spacing w:after="0"/>
              <w:rPr>
                <w:sz w:val="15"/>
                <w:szCs w:val="15"/>
                <w:color w:val="auto"/>
              </w:rPr>
            </w:pPr>
          </w:p>
        </w:tc>
      </w:tr>
      <w:tr>
        <w:trPr>
          <w:trHeight w:val="226"/>
        </w:trPr>
        <w:tc>
          <w:tcPr>
            <w:tcW w:w="1140" w:type="dxa"/>
            <w:vAlign w:val="bottom"/>
          </w:tcPr>
          <w:p>
            <w:pPr>
              <w:spacing w:after="0"/>
              <w:rPr>
                <w:sz w:val="19"/>
                <w:szCs w:val="19"/>
                <w:color w:val="auto"/>
              </w:rPr>
            </w:pPr>
          </w:p>
        </w:tc>
        <w:tc>
          <w:tcPr>
            <w:tcW w:w="28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2AD2C9"/>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680" w:type="dxa"/>
            <w:vAlign w:val="bottom"/>
            <w:tcBorders>
              <w:bottom w:val="single" w:sz="8" w:color="auto"/>
            </w:tcBorders>
            <w:shd w:val="clear" w:color="auto" w:fill="2AD2C9"/>
          </w:tcPr>
          <w:p>
            <w:pPr>
              <w:jc w:val="center"/>
              <w:ind w:left="51"/>
              <w:spacing w:after="0"/>
              <w:rPr>
                <w:sz w:val="20"/>
                <w:szCs w:val="20"/>
                <w:color w:val="auto"/>
              </w:rPr>
            </w:pPr>
            <w:r>
              <w:rPr>
                <w:rFonts w:ascii="Arial" w:cs="Arial" w:eastAsia="Arial" w:hAnsi="Arial"/>
                <w:sz w:val="18"/>
                <w:szCs w:val="18"/>
                <w:b w:val="1"/>
                <w:bCs w:val="1"/>
                <w:color w:val="FFFFFF"/>
                <w:w w:val="95"/>
              </w:rPr>
              <w:t>2Q22</w:t>
            </w:r>
          </w:p>
        </w:tc>
        <w:tc>
          <w:tcPr>
            <w:tcW w:w="40" w:type="dxa"/>
            <w:vAlign w:val="bottom"/>
            <w:tcBorders>
              <w:bottom w:val="single" w:sz="8" w:color="auto"/>
            </w:tcBorders>
            <w:shd w:val="clear" w:color="auto" w:fill="2AD2C9"/>
          </w:tcPr>
          <w:p>
            <w:pPr>
              <w:spacing w:after="0"/>
              <w:rPr>
                <w:sz w:val="19"/>
                <w:szCs w:val="19"/>
                <w:color w:val="auto"/>
              </w:rPr>
            </w:pPr>
          </w:p>
        </w:tc>
        <w:tc>
          <w:tcPr>
            <w:tcW w:w="840" w:type="dxa"/>
            <w:vAlign w:val="bottom"/>
            <w:tcBorders>
              <w:bottom w:val="single" w:sz="8" w:color="auto"/>
            </w:tcBorders>
            <w:gridSpan w:val="2"/>
            <w:shd w:val="clear" w:color="auto" w:fill="2AD2C9"/>
          </w:tcPr>
          <w:p>
            <w:pPr>
              <w:jc w:val="center"/>
              <w:ind w:left="111"/>
              <w:spacing w:after="0"/>
              <w:rPr>
                <w:sz w:val="20"/>
                <w:szCs w:val="20"/>
                <w:color w:val="auto"/>
              </w:rPr>
            </w:pPr>
            <w:r>
              <w:rPr>
                <w:rFonts w:ascii="Arial" w:cs="Arial" w:eastAsia="Arial" w:hAnsi="Arial"/>
                <w:sz w:val="18"/>
                <w:szCs w:val="18"/>
                <w:b w:val="1"/>
                <w:bCs w:val="1"/>
                <w:color w:val="FFFFFF"/>
                <w:w w:val="99"/>
              </w:rPr>
              <w:t>3Q22</w:t>
            </w:r>
          </w:p>
        </w:tc>
        <w:tc>
          <w:tcPr>
            <w:tcW w:w="120" w:type="dxa"/>
            <w:vAlign w:val="bottom"/>
            <w:tcBorders>
              <w:bottom w:val="single" w:sz="8" w:color="auto"/>
              <w:right w:val="single" w:sz="8" w:color="auto"/>
            </w:tcBorders>
            <w:shd w:val="clear" w:color="auto" w:fill="2AD2C9"/>
          </w:tcPr>
          <w:p>
            <w:pPr>
              <w:spacing w:after="0"/>
              <w:rPr>
                <w:sz w:val="19"/>
                <w:szCs w:val="19"/>
                <w:color w:val="auto"/>
              </w:rPr>
            </w:pPr>
          </w:p>
        </w:tc>
        <w:tc>
          <w:tcPr>
            <w:tcW w:w="740" w:type="dxa"/>
            <w:vAlign w:val="bottom"/>
            <w:tcBorders>
              <w:bottom w:val="single" w:sz="8" w:color="auto"/>
            </w:tcBorders>
            <w:gridSpan w:val="2"/>
            <w:shd w:val="clear" w:color="auto" w:fill="2AD2C9"/>
          </w:tcPr>
          <w:p>
            <w:pPr>
              <w:ind w:left="140"/>
              <w:spacing w:after="0"/>
              <w:rPr>
                <w:sz w:val="20"/>
                <w:szCs w:val="20"/>
                <w:color w:val="auto"/>
              </w:rPr>
            </w:pPr>
            <w:r>
              <w:rPr>
                <w:rFonts w:ascii="Arial" w:cs="Arial" w:eastAsia="Arial" w:hAnsi="Arial"/>
                <w:sz w:val="18"/>
                <w:szCs w:val="18"/>
                <w:b w:val="1"/>
                <w:bCs w:val="1"/>
                <w:color w:val="FFFFFF"/>
                <w:w w:val="99"/>
              </w:rPr>
              <w:t>Sep 21</w:t>
            </w:r>
          </w:p>
        </w:tc>
        <w:tc>
          <w:tcPr>
            <w:tcW w:w="820" w:type="dxa"/>
            <w:vAlign w:val="bottom"/>
            <w:tcBorders>
              <w:bottom w:val="single" w:sz="8" w:color="auto"/>
              <w:right w:val="single" w:sz="8" w:color="2AD2C9"/>
            </w:tcBorders>
            <w:shd w:val="clear" w:color="auto" w:fill="2AD2C9"/>
          </w:tcPr>
          <w:p>
            <w:pPr>
              <w:jc w:val="right"/>
              <w:spacing w:after="0"/>
              <w:rPr>
                <w:sz w:val="20"/>
                <w:szCs w:val="20"/>
                <w:color w:val="auto"/>
              </w:rPr>
            </w:pPr>
            <w:r>
              <w:rPr>
                <w:rFonts w:ascii="Arial" w:cs="Arial" w:eastAsia="Arial" w:hAnsi="Arial"/>
                <w:sz w:val="18"/>
                <w:szCs w:val="18"/>
                <w:b w:val="1"/>
                <w:bCs w:val="1"/>
                <w:color w:val="FFFFFF"/>
              </w:rPr>
              <w:t>Sep 22</w:t>
            </w:r>
          </w:p>
        </w:tc>
        <w:tc>
          <w:tcPr>
            <w:tcW w:w="140" w:type="dxa"/>
            <w:vAlign w:val="bottom"/>
            <w:tcBorders>
              <w:bottom w:val="single" w:sz="8" w:color="auto"/>
              <w:right w:val="single" w:sz="8" w:color="auto"/>
            </w:tcBorders>
            <w:shd w:val="clear" w:color="auto" w:fill="2AD2C9"/>
          </w:tcPr>
          <w:p>
            <w:pPr>
              <w:spacing w:after="0"/>
              <w:rPr>
                <w:sz w:val="19"/>
                <w:szCs w:val="19"/>
                <w:color w:val="auto"/>
              </w:rPr>
            </w:pPr>
          </w:p>
        </w:tc>
        <w:tc>
          <w:tcPr>
            <w:tcW w:w="1200" w:type="dxa"/>
            <w:vAlign w:val="bottom"/>
          </w:tcPr>
          <w:p>
            <w:pPr>
              <w:spacing w:after="0"/>
              <w:rPr>
                <w:sz w:val="19"/>
                <w:szCs w:val="19"/>
                <w:color w:val="auto"/>
              </w:rPr>
            </w:pPr>
          </w:p>
        </w:tc>
      </w:tr>
      <w:tr>
        <w:trPr>
          <w:trHeight w:val="173"/>
        </w:trPr>
        <w:tc>
          <w:tcPr>
            <w:tcW w:w="1140" w:type="dxa"/>
            <w:vAlign w:val="bottom"/>
            <w:tcBorders>
              <w:right w:val="single" w:sz="8" w:color="auto"/>
            </w:tcBorders>
          </w:tcPr>
          <w:p>
            <w:pPr>
              <w:spacing w:after="0"/>
              <w:rPr>
                <w:sz w:val="15"/>
                <w:szCs w:val="15"/>
                <w:color w:val="auto"/>
              </w:rPr>
            </w:pPr>
          </w:p>
        </w:tc>
        <w:tc>
          <w:tcPr>
            <w:tcW w:w="2800" w:type="dxa"/>
            <w:vAlign w:val="bottom"/>
          </w:tcPr>
          <w:p>
            <w:pPr>
              <w:spacing w:after="0" w:line="173" w:lineRule="exact"/>
              <w:rPr>
                <w:sz w:val="20"/>
                <w:szCs w:val="20"/>
                <w:color w:val="auto"/>
              </w:rPr>
            </w:pPr>
            <w:r>
              <w:rPr>
                <w:rFonts w:ascii="Arial" w:cs="Arial" w:eastAsia="Arial" w:hAnsi="Arial"/>
                <w:sz w:val="18"/>
                <w:szCs w:val="18"/>
                <w:b w:val="1"/>
                <w:bCs w:val="1"/>
                <w:color w:val="auto"/>
              </w:rPr>
              <w:t>Profitability</w:t>
            </w: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200" w:type="dxa"/>
            <w:vAlign w:val="bottom"/>
          </w:tcPr>
          <w:p>
            <w:pPr>
              <w:spacing w:after="0"/>
              <w:rPr>
                <w:sz w:val="15"/>
                <w:szCs w:val="15"/>
                <w:color w:val="auto"/>
              </w:rPr>
            </w:pPr>
          </w:p>
        </w:tc>
      </w:tr>
      <w:tr>
        <w:trPr>
          <w:trHeight w:val="201"/>
        </w:trPr>
        <w:tc>
          <w:tcPr>
            <w:tcW w:w="1140" w:type="dxa"/>
            <w:vAlign w:val="bottom"/>
            <w:tcBorders>
              <w:right w:val="single" w:sz="8" w:color="auto"/>
            </w:tcBorders>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23"/>
                <w:szCs w:val="23"/>
                <w:color w:val="auto"/>
                <w:vertAlign w:val="subscript"/>
              </w:rPr>
              <w:t>ROAA</w:t>
            </w:r>
            <w:r>
              <w:rPr>
                <w:rFonts w:ascii="Arial" w:cs="Arial" w:eastAsia="Arial" w:hAnsi="Arial"/>
                <w:sz w:val="12"/>
                <w:szCs w:val="12"/>
                <w:color w:val="auto"/>
              </w:rPr>
              <w:t xml:space="preserve"> (2)(3)</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7"/>
              </w:rPr>
              <w:t>2.2%</w:t>
            </w:r>
          </w:p>
        </w:tc>
        <w:tc>
          <w:tcPr>
            <w:tcW w:w="680" w:type="dxa"/>
            <w:vAlign w:val="bottom"/>
          </w:tcPr>
          <w:p>
            <w:pPr>
              <w:jc w:val="center"/>
              <w:ind w:left="51"/>
              <w:spacing w:after="0" w:line="201" w:lineRule="exact"/>
              <w:rPr>
                <w:sz w:val="20"/>
                <w:szCs w:val="20"/>
                <w:color w:val="auto"/>
              </w:rPr>
            </w:pPr>
            <w:r>
              <w:rPr>
                <w:rFonts w:ascii="Arial" w:cs="Arial" w:eastAsia="Arial" w:hAnsi="Arial"/>
                <w:sz w:val="18"/>
                <w:szCs w:val="18"/>
                <w:color w:val="auto"/>
              </w:rPr>
              <w:t>2.5%</w:t>
            </w:r>
          </w:p>
        </w:tc>
        <w:tc>
          <w:tcPr>
            <w:tcW w:w="40" w:type="dxa"/>
            <w:vAlign w:val="bottom"/>
          </w:tcPr>
          <w:p>
            <w:pPr>
              <w:spacing w:after="0"/>
              <w:rPr>
                <w:sz w:val="17"/>
                <w:szCs w:val="17"/>
                <w:color w:val="auto"/>
              </w:rPr>
            </w:pPr>
          </w:p>
        </w:tc>
        <w:tc>
          <w:tcPr>
            <w:tcW w:w="840" w:type="dxa"/>
            <w:vAlign w:val="bottom"/>
            <w:gridSpan w:val="2"/>
          </w:tcPr>
          <w:p>
            <w:pPr>
              <w:jc w:val="center"/>
              <w:ind w:left="131"/>
              <w:spacing w:after="0" w:line="201" w:lineRule="exact"/>
              <w:rPr>
                <w:sz w:val="20"/>
                <w:szCs w:val="20"/>
                <w:color w:val="auto"/>
              </w:rPr>
            </w:pPr>
            <w:r>
              <w:rPr>
                <w:rFonts w:ascii="Arial" w:cs="Arial" w:eastAsia="Arial" w:hAnsi="Arial"/>
                <w:sz w:val="18"/>
                <w:szCs w:val="18"/>
                <w:color w:val="auto"/>
              </w:rPr>
              <w:t>2.8%</w:t>
            </w:r>
          </w:p>
        </w:tc>
        <w:tc>
          <w:tcPr>
            <w:tcW w:w="120" w:type="dxa"/>
            <w:vAlign w:val="bottom"/>
            <w:tcBorders>
              <w:right w:val="single" w:sz="8" w:color="auto"/>
            </w:tcBorders>
          </w:tcPr>
          <w:p>
            <w:pPr>
              <w:spacing w:after="0"/>
              <w:rPr>
                <w:sz w:val="17"/>
                <w:szCs w:val="17"/>
                <w:color w:val="auto"/>
              </w:rPr>
            </w:pPr>
          </w:p>
        </w:tc>
        <w:tc>
          <w:tcPr>
            <w:tcW w:w="680" w:type="dxa"/>
            <w:vAlign w:val="bottom"/>
          </w:tcPr>
          <w:p>
            <w:pPr>
              <w:jc w:val="center"/>
              <w:ind w:left="71"/>
              <w:spacing w:after="0" w:line="201" w:lineRule="exact"/>
              <w:rPr>
                <w:sz w:val="20"/>
                <w:szCs w:val="20"/>
                <w:color w:val="auto"/>
              </w:rPr>
            </w:pPr>
            <w:r>
              <w:rPr>
                <w:rFonts w:ascii="Arial" w:cs="Arial" w:eastAsia="Arial" w:hAnsi="Arial"/>
                <w:sz w:val="18"/>
                <w:szCs w:val="18"/>
                <w:color w:val="auto"/>
                <w:w w:val="97"/>
              </w:rPr>
              <w:t>1.9%</w:t>
            </w:r>
          </w:p>
        </w:tc>
        <w:tc>
          <w:tcPr>
            <w:tcW w:w="60" w:type="dxa"/>
            <w:vAlign w:val="bottom"/>
          </w:tcPr>
          <w:p>
            <w:pPr>
              <w:spacing w:after="0"/>
              <w:rPr>
                <w:sz w:val="17"/>
                <w:szCs w:val="17"/>
                <w:color w:val="auto"/>
              </w:rPr>
            </w:pPr>
          </w:p>
        </w:tc>
        <w:tc>
          <w:tcPr>
            <w:tcW w:w="820" w:type="dxa"/>
            <w:vAlign w:val="bottom"/>
          </w:tcPr>
          <w:p>
            <w:pPr>
              <w:jc w:val="center"/>
              <w:ind w:left="131"/>
              <w:spacing w:after="0" w:line="201" w:lineRule="exact"/>
              <w:rPr>
                <w:sz w:val="20"/>
                <w:szCs w:val="20"/>
                <w:color w:val="auto"/>
              </w:rPr>
            </w:pPr>
            <w:r>
              <w:rPr>
                <w:rFonts w:ascii="Arial" w:cs="Arial" w:eastAsia="Arial" w:hAnsi="Arial"/>
                <w:sz w:val="18"/>
                <w:szCs w:val="18"/>
                <w:color w:val="auto"/>
                <w:w w:val="97"/>
              </w:rPr>
              <w:t>2.5%</w:t>
            </w:r>
          </w:p>
        </w:tc>
        <w:tc>
          <w:tcPr>
            <w:tcW w:w="14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140" w:type="dxa"/>
            <w:vAlign w:val="bottom"/>
            <w:tcBorders>
              <w:right w:val="single" w:sz="8" w:color="auto"/>
            </w:tcBorders>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23"/>
                <w:szCs w:val="23"/>
                <w:color w:val="auto"/>
                <w:vertAlign w:val="subscript"/>
              </w:rPr>
              <w:t>ROAE</w:t>
            </w:r>
            <w:r>
              <w:rPr>
                <w:rFonts w:ascii="Arial" w:cs="Arial" w:eastAsia="Arial" w:hAnsi="Arial"/>
                <w:sz w:val="12"/>
                <w:szCs w:val="12"/>
                <w:color w:val="auto"/>
              </w:rPr>
              <w:t xml:space="preserve"> (2)(3)</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22.0%</w:t>
            </w:r>
          </w:p>
        </w:tc>
        <w:tc>
          <w:tcPr>
            <w:tcW w:w="680" w:type="dxa"/>
            <w:vAlign w:val="bottom"/>
          </w:tcPr>
          <w:p>
            <w:pPr>
              <w:jc w:val="center"/>
              <w:ind w:left="51"/>
              <w:spacing w:after="0" w:line="201" w:lineRule="exact"/>
              <w:rPr>
                <w:sz w:val="20"/>
                <w:szCs w:val="20"/>
                <w:color w:val="auto"/>
              </w:rPr>
            </w:pPr>
            <w:r>
              <w:rPr>
                <w:rFonts w:ascii="Arial" w:cs="Arial" w:eastAsia="Arial" w:hAnsi="Arial"/>
                <w:sz w:val="18"/>
                <w:szCs w:val="18"/>
                <w:color w:val="auto"/>
                <w:w w:val="97"/>
              </w:rPr>
              <w:t>22.5%</w:t>
            </w:r>
          </w:p>
        </w:tc>
        <w:tc>
          <w:tcPr>
            <w:tcW w:w="40" w:type="dxa"/>
            <w:vAlign w:val="bottom"/>
          </w:tcPr>
          <w:p>
            <w:pPr>
              <w:spacing w:after="0"/>
              <w:rPr>
                <w:sz w:val="17"/>
                <w:szCs w:val="17"/>
                <w:color w:val="auto"/>
              </w:rPr>
            </w:pPr>
          </w:p>
        </w:tc>
        <w:tc>
          <w:tcPr>
            <w:tcW w:w="840" w:type="dxa"/>
            <w:vAlign w:val="bottom"/>
            <w:gridSpan w:val="2"/>
          </w:tcPr>
          <w:p>
            <w:pPr>
              <w:jc w:val="center"/>
              <w:ind w:left="131"/>
              <w:spacing w:after="0" w:line="201" w:lineRule="exact"/>
              <w:rPr>
                <w:sz w:val="20"/>
                <w:szCs w:val="20"/>
                <w:color w:val="auto"/>
              </w:rPr>
            </w:pPr>
            <w:r>
              <w:rPr>
                <w:rFonts w:ascii="Arial" w:cs="Arial" w:eastAsia="Arial" w:hAnsi="Arial"/>
                <w:sz w:val="18"/>
                <w:szCs w:val="18"/>
                <w:color w:val="auto"/>
                <w:w w:val="97"/>
              </w:rPr>
              <w:t>24.0%</w:t>
            </w:r>
          </w:p>
        </w:tc>
        <w:tc>
          <w:tcPr>
            <w:tcW w:w="120" w:type="dxa"/>
            <w:vAlign w:val="bottom"/>
            <w:tcBorders>
              <w:right w:val="single" w:sz="8" w:color="auto"/>
            </w:tcBorders>
          </w:tcPr>
          <w:p>
            <w:pPr>
              <w:spacing w:after="0"/>
              <w:rPr>
                <w:sz w:val="17"/>
                <w:szCs w:val="17"/>
                <w:color w:val="auto"/>
              </w:rPr>
            </w:pPr>
          </w:p>
        </w:tc>
        <w:tc>
          <w:tcPr>
            <w:tcW w:w="680" w:type="dxa"/>
            <w:vAlign w:val="bottom"/>
          </w:tcPr>
          <w:p>
            <w:pPr>
              <w:jc w:val="center"/>
              <w:ind w:left="91"/>
              <w:spacing w:after="0" w:line="201" w:lineRule="exact"/>
              <w:rPr>
                <w:sz w:val="20"/>
                <w:szCs w:val="20"/>
                <w:color w:val="auto"/>
              </w:rPr>
            </w:pPr>
            <w:r>
              <w:rPr>
                <w:rFonts w:ascii="Arial" w:cs="Arial" w:eastAsia="Arial" w:hAnsi="Arial"/>
                <w:sz w:val="18"/>
                <w:szCs w:val="18"/>
                <w:color w:val="auto"/>
                <w:w w:val="97"/>
              </w:rPr>
              <w:t>18.5%</w:t>
            </w:r>
          </w:p>
        </w:tc>
        <w:tc>
          <w:tcPr>
            <w:tcW w:w="60" w:type="dxa"/>
            <w:vAlign w:val="bottom"/>
          </w:tcPr>
          <w:p>
            <w:pPr>
              <w:spacing w:after="0"/>
              <w:rPr>
                <w:sz w:val="17"/>
                <w:szCs w:val="17"/>
                <w:color w:val="auto"/>
              </w:rPr>
            </w:pPr>
          </w:p>
        </w:tc>
        <w:tc>
          <w:tcPr>
            <w:tcW w:w="820" w:type="dxa"/>
            <w:vAlign w:val="bottom"/>
          </w:tcPr>
          <w:p>
            <w:pPr>
              <w:jc w:val="center"/>
              <w:ind w:left="111"/>
              <w:spacing w:after="0" w:line="201" w:lineRule="exact"/>
              <w:rPr>
                <w:sz w:val="20"/>
                <w:szCs w:val="20"/>
                <w:color w:val="auto"/>
              </w:rPr>
            </w:pPr>
            <w:r>
              <w:rPr>
                <w:rFonts w:ascii="Arial" w:cs="Arial" w:eastAsia="Arial" w:hAnsi="Arial"/>
                <w:sz w:val="18"/>
                <w:szCs w:val="18"/>
                <w:color w:val="auto"/>
                <w:w w:val="97"/>
              </w:rPr>
              <w:t>21.7%</w:t>
            </w:r>
          </w:p>
        </w:tc>
        <w:tc>
          <w:tcPr>
            <w:tcW w:w="14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140" w:type="dxa"/>
            <w:vAlign w:val="bottom"/>
            <w:tcBorders>
              <w:right w:val="single" w:sz="8" w:color="auto"/>
            </w:tcBorders>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5"/>
                <w:szCs w:val="15"/>
                <w:color w:val="auto"/>
              </w:rPr>
              <w:t xml:space="preserve">Net interest margin </w:t>
            </w:r>
            <w:r>
              <w:rPr>
                <w:rFonts w:ascii="Arial" w:cs="Arial" w:eastAsia="Arial" w:hAnsi="Arial"/>
                <w:sz w:val="23"/>
                <w:szCs w:val="23"/>
                <w:color w:val="auto"/>
                <w:vertAlign w:val="superscript"/>
              </w:rPr>
              <w:t>(2)(3)</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3.57%</w:t>
            </w:r>
          </w:p>
        </w:tc>
        <w:tc>
          <w:tcPr>
            <w:tcW w:w="680" w:type="dxa"/>
            <w:vAlign w:val="bottom"/>
          </w:tcPr>
          <w:p>
            <w:pPr>
              <w:jc w:val="center"/>
              <w:ind w:left="51"/>
              <w:spacing w:after="0" w:line="201" w:lineRule="exact"/>
              <w:rPr>
                <w:sz w:val="20"/>
                <w:szCs w:val="20"/>
                <w:color w:val="auto"/>
              </w:rPr>
            </w:pPr>
            <w:r>
              <w:rPr>
                <w:rFonts w:ascii="Arial" w:cs="Arial" w:eastAsia="Arial" w:hAnsi="Arial"/>
                <w:sz w:val="18"/>
                <w:szCs w:val="18"/>
                <w:color w:val="auto"/>
                <w:w w:val="97"/>
              </w:rPr>
              <w:t>4.29%</w:t>
            </w:r>
          </w:p>
        </w:tc>
        <w:tc>
          <w:tcPr>
            <w:tcW w:w="40" w:type="dxa"/>
            <w:vAlign w:val="bottom"/>
          </w:tcPr>
          <w:p>
            <w:pPr>
              <w:spacing w:after="0"/>
              <w:rPr>
                <w:sz w:val="17"/>
                <w:szCs w:val="17"/>
                <w:color w:val="auto"/>
              </w:rPr>
            </w:pPr>
          </w:p>
        </w:tc>
        <w:tc>
          <w:tcPr>
            <w:tcW w:w="840" w:type="dxa"/>
            <w:vAlign w:val="bottom"/>
            <w:gridSpan w:val="2"/>
          </w:tcPr>
          <w:p>
            <w:pPr>
              <w:jc w:val="center"/>
              <w:ind w:left="131"/>
              <w:spacing w:after="0" w:line="201" w:lineRule="exact"/>
              <w:rPr>
                <w:sz w:val="20"/>
                <w:szCs w:val="20"/>
                <w:color w:val="auto"/>
              </w:rPr>
            </w:pPr>
            <w:r>
              <w:rPr>
                <w:rFonts w:ascii="Arial" w:cs="Arial" w:eastAsia="Arial" w:hAnsi="Arial"/>
                <w:sz w:val="18"/>
                <w:szCs w:val="18"/>
                <w:color w:val="auto"/>
                <w:w w:val="97"/>
              </w:rPr>
              <w:t>4.83%</w:t>
            </w:r>
          </w:p>
        </w:tc>
        <w:tc>
          <w:tcPr>
            <w:tcW w:w="120" w:type="dxa"/>
            <w:vAlign w:val="bottom"/>
            <w:tcBorders>
              <w:right w:val="single" w:sz="8" w:color="auto"/>
            </w:tcBorders>
          </w:tcPr>
          <w:p>
            <w:pPr>
              <w:spacing w:after="0"/>
              <w:rPr>
                <w:sz w:val="17"/>
                <w:szCs w:val="17"/>
                <w:color w:val="auto"/>
              </w:rPr>
            </w:pPr>
          </w:p>
        </w:tc>
        <w:tc>
          <w:tcPr>
            <w:tcW w:w="680" w:type="dxa"/>
            <w:vAlign w:val="bottom"/>
          </w:tcPr>
          <w:p>
            <w:pPr>
              <w:jc w:val="center"/>
              <w:ind w:left="91"/>
              <w:spacing w:after="0" w:line="201" w:lineRule="exact"/>
              <w:rPr>
                <w:sz w:val="20"/>
                <w:szCs w:val="20"/>
                <w:color w:val="auto"/>
              </w:rPr>
            </w:pPr>
            <w:r>
              <w:rPr>
                <w:rFonts w:ascii="Arial" w:cs="Arial" w:eastAsia="Arial" w:hAnsi="Arial"/>
                <w:sz w:val="18"/>
                <w:szCs w:val="18"/>
                <w:color w:val="auto"/>
                <w:w w:val="97"/>
              </w:rPr>
              <w:t>3.44%</w:t>
            </w:r>
          </w:p>
        </w:tc>
        <w:tc>
          <w:tcPr>
            <w:tcW w:w="60" w:type="dxa"/>
            <w:vAlign w:val="bottom"/>
          </w:tcPr>
          <w:p>
            <w:pPr>
              <w:spacing w:after="0"/>
              <w:rPr>
                <w:sz w:val="17"/>
                <w:szCs w:val="17"/>
                <w:color w:val="auto"/>
              </w:rPr>
            </w:pPr>
          </w:p>
        </w:tc>
        <w:tc>
          <w:tcPr>
            <w:tcW w:w="820" w:type="dxa"/>
            <w:vAlign w:val="bottom"/>
          </w:tcPr>
          <w:p>
            <w:pPr>
              <w:jc w:val="center"/>
              <w:ind w:left="111"/>
              <w:spacing w:after="0" w:line="201" w:lineRule="exact"/>
              <w:rPr>
                <w:sz w:val="20"/>
                <w:szCs w:val="20"/>
                <w:color w:val="auto"/>
              </w:rPr>
            </w:pPr>
            <w:r>
              <w:rPr>
                <w:rFonts w:ascii="Arial" w:cs="Arial" w:eastAsia="Arial" w:hAnsi="Arial"/>
                <w:sz w:val="18"/>
                <w:szCs w:val="18"/>
                <w:color w:val="auto"/>
                <w:w w:val="97"/>
              </w:rPr>
              <w:t>4.33%</w:t>
            </w:r>
          </w:p>
        </w:tc>
        <w:tc>
          <w:tcPr>
            <w:tcW w:w="14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140" w:type="dxa"/>
            <w:vAlign w:val="bottom"/>
            <w:tcBorders>
              <w:right w:val="single" w:sz="8" w:color="auto"/>
            </w:tcBorders>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5"/>
                <w:szCs w:val="15"/>
                <w:color w:val="auto"/>
              </w:rPr>
              <w:t xml:space="preserve">Risk adjusted NIM </w:t>
            </w:r>
            <w:r>
              <w:rPr>
                <w:rFonts w:ascii="Arial" w:cs="Arial" w:eastAsia="Arial" w:hAnsi="Arial"/>
                <w:sz w:val="23"/>
                <w:szCs w:val="23"/>
                <w:color w:val="auto"/>
                <w:vertAlign w:val="superscript"/>
              </w:rPr>
              <w:t>(2)(3)</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3.49%</w:t>
            </w:r>
          </w:p>
        </w:tc>
        <w:tc>
          <w:tcPr>
            <w:tcW w:w="680" w:type="dxa"/>
            <w:vAlign w:val="bottom"/>
          </w:tcPr>
          <w:p>
            <w:pPr>
              <w:jc w:val="center"/>
              <w:ind w:left="51"/>
              <w:spacing w:after="0" w:line="201" w:lineRule="exact"/>
              <w:rPr>
                <w:sz w:val="20"/>
                <w:szCs w:val="20"/>
                <w:color w:val="auto"/>
              </w:rPr>
            </w:pPr>
            <w:r>
              <w:rPr>
                <w:rFonts w:ascii="Arial" w:cs="Arial" w:eastAsia="Arial" w:hAnsi="Arial"/>
                <w:sz w:val="18"/>
                <w:szCs w:val="18"/>
                <w:color w:val="auto"/>
                <w:w w:val="97"/>
              </w:rPr>
              <w:t>3.79%</w:t>
            </w:r>
          </w:p>
        </w:tc>
        <w:tc>
          <w:tcPr>
            <w:tcW w:w="40" w:type="dxa"/>
            <w:vAlign w:val="bottom"/>
          </w:tcPr>
          <w:p>
            <w:pPr>
              <w:spacing w:after="0"/>
              <w:rPr>
                <w:sz w:val="17"/>
                <w:szCs w:val="17"/>
                <w:color w:val="auto"/>
              </w:rPr>
            </w:pPr>
          </w:p>
        </w:tc>
        <w:tc>
          <w:tcPr>
            <w:tcW w:w="840" w:type="dxa"/>
            <w:vAlign w:val="bottom"/>
            <w:gridSpan w:val="2"/>
          </w:tcPr>
          <w:p>
            <w:pPr>
              <w:jc w:val="center"/>
              <w:ind w:left="131"/>
              <w:spacing w:after="0" w:line="201" w:lineRule="exact"/>
              <w:rPr>
                <w:sz w:val="20"/>
                <w:szCs w:val="20"/>
                <w:color w:val="auto"/>
              </w:rPr>
            </w:pPr>
            <w:r>
              <w:rPr>
                <w:rFonts w:ascii="Arial" w:cs="Arial" w:eastAsia="Arial" w:hAnsi="Arial"/>
                <w:sz w:val="18"/>
                <w:szCs w:val="18"/>
                <w:color w:val="auto"/>
                <w:w w:val="97"/>
              </w:rPr>
              <w:t>4.01%</w:t>
            </w:r>
          </w:p>
        </w:tc>
        <w:tc>
          <w:tcPr>
            <w:tcW w:w="120" w:type="dxa"/>
            <w:vAlign w:val="bottom"/>
            <w:tcBorders>
              <w:right w:val="single" w:sz="8" w:color="auto"/>
            </w:tcBorders>
          </w:tcPr>
          <w:p>
            <w:pPr>
              <w:spacing w:after="0"/>
              <w:rPr>
                <w:sz w:val="17"/>
                <w:szCs w:val="17"/>
                <w:color w:val="auto"/>
              </w:rPr>
            </w:pPr>
          </w:p>
        </w:tc>
        <w:tc>
          <w:tcPr>
            <w:tcW w:w="680" w:type="dxa"/>
            <w:vAlign w:val="bottom"/>
          </w:tcPr>
          <w:p>
            <w:pPr>
              <w:jc w:val="center"/>
              <w:ind w:left="91"/>
              <w:spacing w:after="0" w:line="201" w:lineRule="exact"/>
              <w:rPr>
                <w:sz w:val="20"/>
                <w:szCs w:val="20"/>
                <w:color w:val="auto"/>
              </w:rPr>
            </w:pPr>
            <w:r>
              <w:rPr>
                <w:rFonts w:ascii="Arial" w:cs="Arial" w:eastAsia="Arial" w:hAnsi="Arial"/>
                <w:sz w:val="18"/>
                <w:szCs w:val="18"/>
                <w:color w:val="auto"/>
                <w:w w:val="97"/>
              </w:rPr>
              <w:t>2.91%</w:t>
            </w:r>
          </w:p>
        </w:tc>
        <w:tc>
          <w:tcPr>
            <w:tcW w:w="60" w:type="dxa"/>
            <w:vAlign w:val="bottom"/>
          </w:tcPr>
          <w:p>
            <w:pPr>
              <w:spacing w:after="0"/>
              <w:rPr>
                <w:sz w:val="17"/>
                <w:szCs w:val="17"/>
                <w:color w:val="auto"/>
              </w:rPr>
            </w:pPr>
          </w:p>
        </w:tc>
        <w:tc>
          <w:tcPr>
            <w:tcW w:w="820" w:type="dxa"/>
            <w:vAlign w:val="bottom"/>
          </w:tcPr>
          <w:p>
            <w:pPr>
              <w:jc w:val="center"/>
              <w:ind w:left="111"/>
              <w:spacing w:after="0" w:line="201" w:lineRule="exact"/>
              <w:rPr>
                <w:sz w:val="20"/>
                <w:szCs w:val="20"/>
                <w:color w:val="auto"/>
              </w:rPr>
            </w:pPr>
            <w:r>
              <w:rPr>
                <w:rFonts w:ascii="Arial" w:cs="Arial" w:eastAsia="Arial" w:hAnsi="Arial"/>
                <w:sz w:val="18"/>
                <w:szCs w:val="18"/>
                <w:color w:val="auto"/>
                <w:w w:val="97"/>
              </w:rPr>
              <w:t>3.78%</w:t>
            </w:r>
          </w:p>
        </w:tc>
        <w:tc>
          <w:tcPr>
            <w:tcW w:w="14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398"/>
        </w:trPr>
        <w:tc>
          <w:tcPr>
            <w:tcW w:w="1140" w:type="dxa"/>
            <w:vAlign w:val="bottom"/>
            <w:tcBorders>
              <w:right w:val="single" w:sz="8" w:color="auto"/>
            </w:tcBorders>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 xml:space="preserve">Funding Cost </w:t>
            </w:r>
            <w:r>
              <w:rPr>
                <w:rFonts w:ascii="Arial" w:cs="Arial" w:eastAsia="Arial" w:hAnsi="Arial"/>
                <w:sz w:val="29"/>
                <w:szCs w:val="29"/>
                <w:color w:val="auto"/>
                <w:vertAlign w:val="superscript"/>
              </w:rPr>
              <w:t>(2)(3)(4)</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0.95%</w:t>
            </w: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7"/>
              </w:rPr>
              <w:t>1.24%</w:t>
            </w:r>
          </w:p>
        </w:tc>
        <w:tc>
          <w:tcPr>
            <w:tcW w:w="40" w:type="dxa"/>
            <w:vAlign w:val="bottom"/>
          </w:tcPr>
          <w:p>
            <w:pPr>
              <w:spacing w:after="0"/>
              <w:rPr>
                <w:sz w:val="24"/>
                <w:szCs w:val="24"/>
                <w:color w:val="auto"/>
              </w:rPr>
            </w:pPr>
          </w:p>
        </w:tc>
        <w:tc>
          <w:tcPr>
            <w:tcW w:w="840" w:type="dxa"/>
            <w:vAlign w:val="bottom"/>
            <w:gridSpan w:val="2"/>
          </w:tcPr>
          <w:p>
            <w:pPr>
              <w:jc w:val="center"/>
              <w:ind w:left="131"/>
              <w:spacing w:after="0"/>
              <w:rPr>
                <w:sz w:val="20"/>
                <w:szCs w:val="20"/>
                <w:color w:val="auto"/>
              </w:rPr>
            </w:pPr>
            <w:r>
              <w:rPr>
                <w:rFonts w:ascii="Arial" w:cs="Arial" w:eastAsia="Arial" w:hAnsi="Arial"/>
                <w:sz w:val="18"/>
                <w:szCs w:val="18"/>
                <w:color w:val="auto"/>
                <w:w w:val="97"/>
              </w:rPr>
              <w:t>1.69%</w:t>
            </w:r>
          </w:p>
        </w:tc>
        <w:tc>
          <w:tcPr>
            <w:tcW w:w="120" w:type="dxa"/>
            <w:vAlign w:val="bottom"/>
            <w:tcBorders>
              <w:right w:val="single" w:sz="8" w:color="auto"/>
            </w:tcBorders>
          </w:tcPr>
          <w:p>
            <w:pPr>
              <w:spacing w:after="0"/>
              <w:rPr>
                <w:sz w:val="24"/>
                <w:szCs w:val="24"/>
                <w:color w:val="auto"/>
              </w:rPr>
            </w:pPr>
          </w:p>
        </w:tc>
        <w:tc>
          <w:tcPr>
            <w:tcW w:w="680" w:type="dxa"/>
            <w:vAlign w:val="bottom"/>
          </w:tcPr>
          <w:p>
            <w:pPr>
              <w:jc w:val="center"/>
              <w:ind w:left="91"/>
              <w:spacing w:after="0"/>
              <w:rPr>
                <w:sz w:val="20"/>
                <w:szCs w:val="20"/>
                <w:color w:val="auto"/>
              </w:rPr>
            </w:pPr>
            <w:r>
              <w:rPr>
                <w:rFonts w:ascii="Arial" w:cs="Arial" w:eastAsia="Arial" w:hAnsi="Arial"/>
                <w:sz w:val="18"/>
                <w:szCs w:val="18"/>
                <w:color w:val="auto"/>
                <w:w w:val="97"/>
              </w:rPr>
              <w:t>1.04%</w:t>
            </w:r>
          </w:p>
        </w:tc>
        <w:tc>
          <w:tcPr>
            <w:tcW w:w="60" w:type="dxa"/>
            <w:vAlign w:val="bottom"/>
          </w:tcPr>
          <w:p>
            <w:pPr>
              <w:spacing w:after="0"/>
              <w:rPr>
                <w:sz w:val="24"/>
                <w:szCs w:val="24"/>
                <w:color w:val="auto"/>
              </w:rPr>
            </w:pP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7"/>
              </w:rPr>
              <w:t>1.33%</w:t>
            </w:r>
          </w:p>
        </w:tc>
        <w:tc>
          <w:tcPr>
            <w:tcW w:w="14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201"/>
        </w:trPr>
        <w:tc>
          <w:tcPr>
            <w:tcW w:w="1140" w:type="dxa"/>
            <w:vAlign w:val="bottom"/>
            <w:tcBorders>
              <w:right w:val="single" w:sz="8" w:color="auto"/>
            </w:tcBorders>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b w:val="1"/>
                <w:bCs w:val="1"/>
                <w:color w:val="auto"/>
              </w:rPr>
              <w:t>Quality of loan portfolio</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140" w:type="dxa"/>
            <w:vAlign w:val="bottom"/>
            <w:tcBorders>
              <w:right w:val="single" w:sz="8" w:color="auto"/>
            </w:tcBorders>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IOL ratio</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3.46%</w:t>
            </w:r>
          </w:p>
        </w:tc>
        <w:tc>
          <w:tcPr>
            <w:tcW w:w="680" w:type="dxa"/>
            <w:vAlign w:val="bottom"/>
          </w:tcPr>
          <w:p>
            <w:pPr>
              <w:jc w:val="center"/>
              <w:ind w:left="51"/>
              <w:spacing w:after="0" w:line="201" w:lineRule="exact"/>
              <w:rPr>
                <w:sz w:val="20"/>
                <w:szCs w:val="20"/>
                <w:color w:val="auto"/>
              </w:rPr>
            </w:pPr>
            <w:r>
              <w:rPr>
                <w:rFonts w:ascii="Arial" w:cs="Arial" w:eastAsia="Arial" w:hAnsi="Arial"/>
                <w:sz w:val="18"/>
                <w:szCs w:val="18"/>
                <w:color w:val="auto"/>
                <w:w w:val="97"/>
              </w:rPr>
              <w:t>3.89%</w:t>
            </w:r>
          </w:p>
        </w:tc>
        <w:tc>
          <w:tcPr>
            <w:tcW w:w="40" w:type="dxa"/>
            <w:vAlign w:val="bottom"/>
          </w:tcPr>
          <w:p>
            <w:pPr>
              <w:spacing w:after="0"/>
              <w:rPr>
                <w:sz w:val="17"/>
                <w:szCs w:val="17"/>
                <w:color w:val="auto"/>
              </w:rPr>
            </w:pPr>
          </w:p>
        </w:tc>
        <w:tc>
          <w:tcPr>
            <w:tcW w:w="840" w:type="dxa"/>
            <w:vAlign w:val="bottom"/>
            <w:gridSpan w:val="2"/>
          </w:tcPr>
          <w:p>
            <w:pPr>
              <w:jc w:val="center"/>
              <w:ind w:left="131"/>
              <w:spacing w:after="0" w:line="201" w:lineRule="exact"/>
              <w:rPr>
                <w:sz w:val="20"/>
                <w:szCs w:val="20"/>
                <w:color w:val="auto"/>
              </w:rPr>
            </w:pPr>
            <w:r>
              <w:rPr>
                <w:rFonts w:ascii="Arial" w:cs="Arial" w:eastAsia="Arial" w:hAnsi="Arial"/>
                <w:sz w:val="18"/>
                <w:szCs w:val="18"/>
                <w:color w:val="auto"/>
                <w:w w:val="97"/>
              </w:rPr>
              <w:t>4.00%</w:t>
            </w:r>
          </w:p>
        </w:tc>
        <w:tc>
          <w:tcPr>
            <w:tcW w:w="120" w:type="dxa"/>
            <w:vAlign w:val="bottom"/>
            <w:tcBorders>
              <w:right w:val="single" w:sz="8" w:color="auto"/>
            </w:tcBorders>
          </w:tcPr>
          <w:p>
            <w:pPr>
              <w:spacing w:after="0"/>
              <w:rPr>
                <w:sz w:val="17"/>
                <w:szCs w:val="17"/>
                <w:color w:val="auto"/>
              </w:rPr>
            </w:pPr>
          </w:p>
        </w:tc>
        <w:tc>
          <w:tcPr>
            <w:tcW w:w="680" w:type="dxa"/>
            <w:vAlign w:val="bottom"/>
          </w:tcPr>
          <w:p>
            <w:pPr>
              <w:jc w:val="center"/>
              <w:ind w:left="91"/>
              <w:spacing w:after="0" w:line="201" w:lineRule="exact"/>
              <w:rPr>
                <w:sz w:val="20"/>
                <w:szCs w:val="20"/>
                <w:color w:val="auto"/>
              </w:rPr>
            </w:pPr>
            <w:r>
              <w:rPr>
                <w:rFonts w:ascii="Arial" w:cs="Arial" w:eastAsia="Arial" w:hAnsi="Arial"/>
                <w:sz w:val="18"/>
                <w:szCs w:val="18"/>
                <w:color w:val="auto"/>
                <w:w w:val="97"/>
              </w:rPr>
              <w:t>3.46%</w:t>
            </w:r>
          </w:p>
        </w:tc>
        <w:tc>
          <w:tcPr>
            <w:tcW w:w="60" w:type="dxa"/>
            <w:vAlign w:val="bottom"/>
          </w:tcPr>
          <w:p>
            <w:pPr>
              <w:spacing w:after="0"/>
              <w:rPr>
                <w:sz w:val="17"/>
                <w:szCs w:val="17"/>
                <w:color w:val="auto"/>
              </w:rPr>
            </w:pPr>
          </w:p>
        </w:tc>
        <w:tc>
          <w:tcPr>
            <w:tcW w:w="820" w:type="dxa"/>
            <w:vAlign w:val="bottom"/>
          </w:tcPr>
          <w:p>
            <w:pPr>
              <w:jc w:val="center"/>
              <w:ind w:left="111"/>
              <w:spacing w:after="0" w:line="201" w:lineRule="exact"/>
              <w:rPr>
                <w:sz w:val="20"/>
                <w:szCs w:val="20"/>
                <w:color w:val="auto"/>
              </w:rPr>
            </w:pPr>
            <w:r>
              <w:rPr>
                <w:rFonts w:ascii="Arial" w:cs="Arial" w:eastAsia="Arial" w:hAnsi="Arial"/>
                <w:sz w:val="18"/>
                <w:szCs w:val="18"/>
                <w:color w:val="auto"/>
                <w:w w:val="97"/>
              </w:rPr>
              <w:t>4.00%</w:t>
            </w:r>
          </w:p>
        </w:tc>
        <w:tc>
          <w:tcPr>
            <w:tcW w:w="14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140" w:type="dxa"/>
            <w:vAlign w:val="bottom"/>
            <w:tcBorders>
              <w:right w:val="single" w:sz="8" w:color="auto"/>
            </w:tcBorders>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NPL ratio</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4.86%</w:t>
            </w:r>
          </w:p>
        </w:tc>
        <w:tc>
          <w:tcPr>
            <w:tcW w:w="680" w:type="dxa"/>
            <w:vAlign w:val="bottom"/>
          </w:tcPr>
          <w:p>
            <w:pPr>
              <w:jc w:val="center"/>
              <w:ind w:left="51"/>
              <w:spacing w:after="0" w:line="201" w:lineRule="exact"/>
              <w:rPr>
                <w:sz w:val="20"/>
                <w:szCs w:val="20"/>
                <w:color w:val="auto"/>
              </w:rPr>
            </w:pPr>
            <w:r>
              <w:rPr>
                <w:rFonts w:ascii="Arial" w:cs="Arial" w:eastAsia="Arial" w:hAnsi="Arial"/>
                <w:sz w:val="18"/>
                <w:szCs w:val="18"/>
                <w:color w:val="auto"/>
                <w:w w:val="97"/>
              </w:rPr>
              <w:t>5.13%</w:t>
            </w:r>
          </w:p>
        </w:tc>
        <w:tc>
          <w:tcPr>
            <w:tcW w:w="40" w:type="dxa"/>
            <w:vAlign w:val="bottom"/>
          </w:tcPr>
          <w:p>
            <w:pPr>
              <w:spacing w:after="0"/>
              <w:rPr>
                <w:sz w:val="17"/>
                <w:szCs w:val="17"/>
                <w:color w:val="auto"/>
              </w:rPr>
            </w:pPr>
          </w:p>
        </w:tc>
        <w:tc>
          <w:tcPr>
            <w:tcW w:w="840" w:type="dxa"/>
            <w:vAlign w:val="bottom"/>
            <w:gridSpan w:val="2"/>
          </w:tcPr>
          <w:p>
            <w:pPr>
              <w:jc w:val="center"/>
              <w:ind w:left="131"/>
              <w:spacing w:after="0" w:line="201" w:lineRule="exact"/>
              <w:rPr>
                <w:sz w:val="20"/>
                <w:szCs w:val="20"/>
                <w:color w:val="auto"/>
              </w:rPr>
            </w:pPr>
            <w:r>
              <w:rPr>
                <w:rFonts w:ascii="Arial" w:cs="Arial" w:eastAsia="Arial" w:hAnsi="Arial"/>
                <w:sz w:val="18"/>
                <w:szCs w:val="18"/>
                <w:color w:val="auto"/>
                <w:w w:val="97"/>
              </w:rPr>
              <w:t>5.34%</w:t>
            </w:r>
          </w:p>
        </w:tc>
        <w:tc>
          <w:tcPr>
            <w:tcW w:w="120" w:type="dxa"/>
            <w:vAlign w:val="bottom"/>
            <w:tcBorders>
              <w:right w:val="single" w:sz="8" w:color="auto"/>
            </w:tcBorders>
          </w:tcPr>
          <w:p>
            <w:pPr>
              <w:spacing w:after="0"/>
              <w:rPr>
                <w:sz w:val="17"/>
                <w:szCs w:val="17"/>
                <w:color w:val="auto"/>
              </w:rPr>
            </w:pPr>
          </w:p>
        </w:tc>
        <w:tc>
          <w:tcPr>
            <w:tcW w:w="680" w:type="dxa"/>
            <w:vAlign w:val="bottom"/>
          </w:tcPr>
          <w:p>
            <w:pPr>
              <w:jc w:val="center"/>
              <w:ind w:left="91"/>
              <w:spacing w:after="0" w:line="201" w:lineRule="exact"/>
              <w:rPr>
                <w:sz w:val="20"/>
                <w:szCs w:val="20"/>
                <w:color w:val="auto"/>
              </w:rPr>
            </w:pPr>
            <w:r>
              <w:rPr>
                <w:rFonts w:ascii="Arial" w:cs="Arial" w:eastAsia="Arial" w:hAnsi="Arial"/>
                <w:sz w:val="18"/>
                <w:szCs w:val="18"/>
                <w:color w:val="auto"/>
                <w:w w:val="97"/>
              </w:rPr>
              <w:t>4.86%</w:t>
            </w:r>
          </w:p>
        </w:tc>
        <w:tc>
          <w:tcPr>
            <w:tcW w:w="60" w:type="dxa"/>
            <w:vAlign w:val="bottom"/>
          </w:tcPr>
          <w:p>
            <w:pPr>
              <w:spacing w:after="0"/>
              <w:rPr>
                <w:sz w:val="17"/>
                <w:szCs w:val="17"/>
                <w:color w:val="auto"/>
              </w:rPr>
            </w:pPr>
          </w:p>
        </w:tc>
        <w:tc>
          <w:tcPr>
            <w:tcW w:w="820" w:type="dxa"/>
            <w:vAlign w:val="bottom"/>
          </w:tcPr>
          <w:p>
            <w:pPr>
              <w:jc w:val="center"/>
              <w:ind w:left="111"/>
              <w:spacing w:after="0" w:line="201" w:lineRule="exact"/>
              <w:rPr>
                <w:sz w:val="20"/>
                <w:szCs w:val="20"/>
                <w:color w:val="auto"/>
              </w:rPr>
            </w:pPr>
            <w:r>
              <w:rPr>
                <w:rFonts w:ascii="Arial" w:cs="Arial" w:eastAsia="Arial" w:hAnsi="Arial"/>
                <w:sz w:val="18"/>
                <w:szCs w:val="18"/>
                <w:color w:val="auto"/>
                <w:w w:val="97"/>
              </w:rPr>
              <w:t>5.34%</w:t>
            </w:r>
          </w:p>
        </w:tc>
        <w:tc>
          <w:tcPr>
            <w:tcW w:w="14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201"/>
        </w:trPr>
        <w:tc>
          <w:tcPr>
            <w:tcW w:w="1140" w:type="dxa"/>
            <w:vAlign w:val="bottom"/>
            <w:tcBorders>
              <w:right w:val="single" w:sz="8" w:color="auto"/>
            </w:tcBorders>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Coverage of IOLs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w w:val="98"/>
              </w:rPr>
              <w:t>166.0%</w:t>
            </w:r>
          </w:p>
        </w:tc>
        <w:tc>
          <w:tcPr>
            <w:tcW w:w="72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rPr>
              <w:t>136.1%</w:t>
            </w:r>
          </w:p>
        </w:tc>
        <w:tc>
          <w:tcPr>
            <w:tcW w:w="840" w:type="dxa"/>
            <w:vAlign w:val="bottom"/>
            <w:gridSpan w:val="2"/>
          </w:tcPr>
          <w:p>
            <w:pPr>
              <w:jc w:val="center"/>
              <w:ind w:left="111"/>
              <w:spacing w:after="0" w:line="201" w:lineRule="exact"/>
              <w:rPr>
                <w:sz w:val="20"/>
                <w:szCs w:val="20"/>
                <w:color w:val="auto"/>
              </w:rPr>
            </w:pPr>
            <w:r>
              <w:rPr>
                <w:rFonts w:ascii="Arial" w:cs="Arial" w:eastAsia="Arial" w:hAnsi="Arial"/>
                <w:sz w:val="18"/>
                <w:szCs w:val="18"/>
                <w:color w:val="auto"/>
                <w:w w:val="98"/>
              </w:rPr>
              <w:t>127.7%</w:t>
            </w:r>
          </w:p>
        </w:tc>
        <w:tc>
          <w:tcPr>
            <w:tcW w:w="120" w:type="dxa"/>
            <w:vAlign w:val="bottom"/>
            <w:tcBorders>
              <w:right w:val="single" w:sz="8" w:color="auto"/>
            </w:tcBorders>
          </w:tcPr>
          <w:p>
            <w:pPr>
              <w:spacing w:after="0"/>
              <w:rPr>
                <w:sz w:val="17"/>
                <w:szCs w:val="17"/>
                <w:color w:val="auto"/>
              </w:rPr>
            </w:pPr>
          </w:p>
        </w:tc>
        <w:tc>
          <w:tcPr>
            <w:tcW w:w="74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98"/>
              </w:rPr>
              <w:t>166.0%</w:t>
            </w:r>
          </w:p>
        </w:tc>
        <w:tc>
          <w:tcPr>
            <w:tcW w:w="820" w:type="dxa"/>
            <w:vAlign w:val="bottom"/>
          </w:tcPr>
          <w:p>
            <w:pPr>
              <w:jc w:val="center"/>
              <w:ind w:left="131"/>
              <w:spacing w:after="0" w:line="201" w:lineRule="exact"/>
              <w:rPr>
                <w:sz w:val="20"/>
                <w:szCs w:val="20"/>
                <w:color w:val="auto"/>
              </w:rPr>
            </w:pPr>
            <w:r>
              <w:rPr>
                <w:rFonts w:ascii="Arial" w:cs="Arial" w:eastAsia="Arial" w:hAnsi="Arial"/>
                <w:sz w:val="18"/>
                <w:szCs w:val="18"/>
                <w:color w:val="auto"/>
                <w:w w:val="98"/>
              </w:rPr>
              <w:t>127.7%</w:t>
            </w:r>
          </w:p>
        </w:tc>
        <w:tc>
          <w:tcPr>
            <w:tcW w:w="14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192"/>
        </w:trPr>
        <w:tc>
          <w:tcPr>
            <w:tcW w:w="1140" w:type="dxa"/>
            <w:vAlign w:val="bottom"/>
            <w:tcBorders>
              <w:right w:val="single" w:sz="8" w:color="auto"/>
            </w:tcBorders>
          </w:tcPr>
          <w:p>
            <w:pPr>
              <w:spacing w:after="0"/>
              <w:rPr>
                <w:sz w:val="16"/>
                <w:szCs w:val="16"/>
                <w:color w:val="auto"/>
              </w:rPr>
            </w:pPr>
          </w:p>
        </w:tc>
        <w:tc>
          <w:tcPr>
            <w:tcW w:w="2800" w:type="dxa"/>
            <w:vAlign w:val="bottom"/>
          </w:tcPr>
          <w:p>
            <w:pPr>
              <w:spacing w:after="0" w:line="192" w:lineRule="exact"/>
              <w:rPr>
                <w:sz w:val="20"/>
                <w:szCs w:val="20"/>
                <w:color w:val="auto"/>
              </w:rPr>
            </w:pPr>
            <w:r>
              <w:rPr>
                <w:rFonts w:ascii="Arial" w:cs="Arial" w:eastAsia="Arial" w:hAnsi="Arial"/>
                <w:sz w:val="18"/>
                <w:szCs w:val="18"/>
                <w:color w:val="auto"/>
              </w:rPr>
              <w:t>Coverage of NPLs</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20" w:type="dxa"/>
            <w:vAlign w:val="bottom"/>
          </w:tcPr>
          <w:p>
            <w:pPr>
              <w:jc w:val="center"/>
              <w:spacing w:after="0" w:line="192" w:lineRule="exact"/>
              <w:rPr>
                <w:sz w:val="20"/>
                <w:szCs w:val="20"/>
                <w:color w:val="auto"/>
              </w:rPr>
            </w:pPr>
            <w:r>
              <w:rPr>
                <w:rFonts w:ascii="Arial" w:cs="Arial" w:eastAsia="Arial" w:hAnsi="Arial"/>
                <w:sz w:val="18"/>
                <w:szCs w:val="18"/>
                <w:color w:val="auto"/>
                <w:w w:val="98"/>
              </w:rPr>
              <w:t>118.3%</w:t>
            </w:r>
          </w:p>
        </w:tc>
        <w:tc>
          <w:tcPr>
            <w:tcW w:w="720" w:type="dxa"/>
            <w:vAlign w:val="bottom"/>
            <w:gridSpan w:val="2"/>
          </w:tcPr>
          <w:p>
            <w:pPr>
              <w:jc w:val="center"/>
              <w:ind w:left="11"/>
              <w:spacing w:after="0" w:line="192" w:lineRule="exact"/>
              <w:rPr>
                <w:sz w:val="20"/>
                <w:szCs w:val="20"/>
                <w:color w:val="auto"/>
              </w:rPr>
            </w:pPr>
            <w:r>
              <w:rPr>
                <w:rFonts w:ascii="Arial" w:cs="Arial" w:eastAsia="Arial" w:hAnsi="Arial"/>
                <w:sz w:val="18"/>
                <w:szCs w:val="18"/>
                <w:color w:val="auto"/>
              </w:rPr>
              <w:t>103.0%</w:t>
            </w:r>
          </w:p>
        </w:tc>
        <w:tc>
          <w:tcPr>
            <w:tcW w:w="840" w:type="dxa"/>
            <w:vAlign w:val="bottom"/>
            <w:gridSpan w:val="2"/>
          </w:tcPr>
          <w:p>
            <w:pPr>
              <w:jc w:val="center"/>
              <w:ind w:left="131"/>
              <w:spacing w:after="0" w:line="192" w:lineRule="exact"/>
              <w:rPr>
                <w:sz w:val="20"/>
                <w:szCs w:val="20"/>
                <w:color w:val="auto"/>
              </w:rPr>
            </w:pPr>
            <w:r>
              <w:rPr>
                <w:rFonts w:ascii="Arial" w:cs="Arial" w:eastAsia="Arial" w:hAnsi="Arial"/>
                <w:sz w:val="18"/>
                <w:szCs w:val="18"/>
                <w:color w:val="auto"/>
                <w:w w:val="97"/>
              </w:rPr>
              <w:t>95.7%</w:t>
            </w:r>
          </w:p>
        </w:tc>
        <w:tc>
          <w:tcPr>
            <w:tcW w:w="120" w:type="dxa"/>
            <w:vAlign w:val="bottom"/>
            <w:tcBorders>
              <w:right w:val="single" w:sz="8" w:color="auto"/>
            </w:tcBorders>
          </w:tcPr>
          <w:p>
            <w:pPr>
              <w:spacing w:after="0"/>
              <w:rPr>
                <w:sz w:val="16"/>
                <w:szCs w:val="16"/>
                <w:color w:val="auto"/>
              </w:rPr>
            </w:pPr>
          </w:p>
        </w:tc>
        <w:tc>
          <w:tcPr>
            <w:tcW w:w="740" w:type="dxa"/>
            <w:vAlign w:val="bottom"/>
            <w:gridSpan w:val="2"/>
          </w:tcPr>
          <w:p>
            <w:pPr>
              <w:jc w:val="center"/>
              <w:ind w:left="11"/>
              <w:spacing w:after="0" w:line="192" w:lineRule="exact"/>
              <w:rPr>
                <w:sz w:val="20"/>
                <w:szCs w:val="20"/>
                <w:color w:val="auto"/>
              </w:rPr>
            </w:pPr>
            <w:r>
              <w:rPr>
                <w:rFonts w:ascii="Arial" w:cs="Arial" w:eastAsia="Arial" w:hAnsi="Arial"/>
                <w:sz w:val="18"/>
                <w:szCs w:val="18"/>
                <w:color w:val="auto"/>
                <w:w w:val="98"/>
              </w:rPr>
              <w:t>118.3%</w:t>
            </w:r>
          </w:p>
        </w:tc>
        <w:tc>
          <w:tcPr>
            <w:tcW w:w="820" w:type="dxa"/>
            <w:vAlign w:val="bottom"/>
          </w:tcPr>
          <w:p>
            <w:pPr>
              <w:jc w:val="center"/>
              <w:ind w:left="111"/>
              <w:spacing w:after="0" w:line="192" w:lineRule="exact"/>
              <w:rPr>
                <w:sz w:val="20"/>
                <w:szCs w:val="20"/>
                <w:color w:val="auto"/>
              </w:rPr>
            </w:pPr>
            <w:r>
              <w:rPr>
                <w:rFonts w:ascii="Arial" w:cs="Arial" w:eastAsia="Arial" w:hAnsi="Arial"/>
                <w:sz w:val="18"/>
                <w:szCs w:val="18"/>
                <w:color w:val="auto"/>
                <w:w w:val="97"/>
              </w:rPr>
              <w:t>95.7%</w:t>
            </w:r>
          </w:p>
        </w:tc>
        <w:tc>
          <w:tcPr>
            <w:tcW w:w="140" w:type="dxa"/>
            <w:vAlign w:val="bottom"/>
            <w:tcBorders>
              <w:right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398"/>
        </w:trPr>
        <w:tc>
          <w:tcPr>
            <w:tcW w:w="1140" w:type="dxa"/>
            <w:vAlign w:val="bottom"/>
            <w:tcBorders>
              <w:right w:val="single" w:sz="8" w:color="auto"/>
            </w:tcBorders>
          </w:tcPr>
          <w:p>
            <w:pPr>
              <w:spacing w:after="0"/>
              <w:rPr>
                <w:sz w:val="24"/>
                <w:szCs w:val="24"/>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 xml:space="preserve">Cost of risk </w:t>
            </w:r>
            <w:r>
              <w:rPr>
                <w:rFonts w:ascii="Arial" w:cs="Arial" w:eastAsia="Arial" w:hAnsi="Arial"/>
                <w:sz w:val="29"/>
                <w:szCs w:val="29"/>
                <w:color w:val="auto"/>
                <w:vertAlign w:val="superscript"/>
              </w:rPr>
              <w:t>(5)</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0.11%</w:t>
            </w:r>
          </w:p>
        </w:tc>
        <w:tc>
          <w:tcPr>
            <w:tcW w:w="680" w:type="dxa"/>
            <w:vAlign w:val="bottom"/>
          </w:tcPr>
          <w:p>
            <w:pPr>
              <w:jc w:val="center"/>
              <w:ind w:left="51"/>
              <w:spacing w:after="0"/>
              <w:rPr>
                <w:sz w:val="20"/>
                <w:szCs w:val="20"/>
                <w:color w:val="auto"/>
              </w:rPr>
            </w:pPr>
            <w:r>
              <w:rPr>
                <w:rFonts w:ascii="Arial" w:cs="Arial" w:eastAsia="Arial" w:hAnsi="Arial"/>
                <w:sz w:val="18"/>
                <w:szCs w:val="18"/>
                <w:color w:val="auto"/>
                <w:w w:val="97"/>
              </w:rPr>
              <w:t>0.69%</w:t>
            </w:r>
          </w:p>
        </w:tc>
        <w:tc>
          <w:tcPr>
            <w:tcW w:w="40" w:type="dxa"/>
            <w:vAlign w:val="bottom"/>
          </w:tcPr>
          <w:p>
            <w:pPr>
              <w:spacing w:after="0"/>
              <w:rPr>
                <w:sz w:val="24"/>
                <w:szCs w:val="24"/>
                <w:color w:val="auto"/>
              </w:rPr>
            </w:pPr>
          </w:p>
        </w:tc>
        <w:tc>
          <w:tcPr>
            <w:tcW w:w="840" w:type="dxa"/>
            <w:vAlign w:val="bottom"/>
            <w:gridSpan w:val="2"/>
          </w:tcPr>
          <w:p>
            <w:pPr>
              <w:jc w:val="center"/>
              <w:ind w:left="131"/>
              <w:spacing w:after="0"/>
              <w:rPr>
                <w:sz w:val="20"/>
                <w:szCs w:val="20"/>
                <w:color w:val="auto"/>
              </w:rPr>
            </w:pPr>
            <w:r>
              <w:rPr>
                <w:rFonts w:ascii="Arial" w:cs="Arial" w:eastAsia="Arial" w:hAnsi="Arial"/>
                <w:sz w:val="18"/>
                <w:szCs w:val="18"/>
                <w:color w:val="auto"/>
                <w:w w:val="97"/>
              </w:rPr>
              <w:t>1.14%</w:t>
            </w:r>
          </w:p>
        </w:tc>
        <w:tc>
          <w:tcPr>
            <w:tcW w:w="120" w:type="dxa"/>
            <w:vAlign w:val="bottom"/>
            <w:tcBorders>
              <w:right w:val="single" w:sz="8" w:color="auto"/>
            </w:tcBorders>
          </w:tcPr>
          <w:p>
            <w:pPr>
              <w:spacing w:after="0"/>
              <w:rPr>
                <w:sz w:val="24"/>
                <w:szCs w:val="24"/>
                <w:color w:val="auto"/>
              </w:rPr>
            </w:pPr>
          </w:p>
        </w:tc>
        <w:tc>
          <w:tcPr>
            <w:tcW w:w="680" w:type="dxa"/>
            <w:vAlign w:val="bottom"/>
          </w:tcPr>
          <w:p>
            <w:pPr>
              <w:jc w:val="center"/>
              <w:ind w:left="91"/>
              <w:spacing w:after="0"/>
              <w:rPr>
                <w:sz w:val="20"/>
                <w:szCs w:val="20"/>
                <w:color w:val="auto"/>
              </w:rPr>
            </w:pPr>
            <w:r>
              <w:rPr>
                <w:rFonts w:ascii="Arial" w:cs="Arial" w:eastAsia="Arial" w:hAnsi="Arial"/>
                <w:sz w:val="18"/>
                <w:szCs w:val="18"/>
                <w:color w:val="auto"/>
                <w:w w:val="97"/>
              </w:rPr>
              <w:t>0.77%</w:t>
            </w:r>
          </w:p>
        </w:tc>
        <w:tc>
          <w:tcPr>
            <w:tcW w:w="60" w:type="dxa"/>
            <w:vAlign w:val="bottom"/>
          </w:tcPr>
          <w:p>
            <w:pPr>
              <w:spacing w:after="0"/>
              <w:rPr>
                <w:sz w:val="24"/>
                <w:szCs w:val="24"/>
                <w:color w:val="auto"/>
              </w:rPr>
            </w:pP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7"/>
              </w:rPr>
              <w:t>0.76%</w:t>
            </w:r>
          </w:p>
        </w:tc>
        <w:tc>
          <w:tcPr>
            <w:tcW w:w="140" w:type="dxa"/>
            <w:vAlign w:val="bottom"/>
            <w:tcBorders>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r>
      <w:tr>
        <w:trPr>
          <w:trHeight w:val="192"/>
        </w:trPr>
        <w:tc>
          <w:tcPr>
            <w:tcW w:w="1140" w:type="dxa"/>
            <w:vAlign w:val="bottom"/>
            <w:tcBorders>
              <w:right w:val="single" w:sz="8" w:color="auto"/>
            </w:tcBorders>
          </w:tcPr>
          <w:p>
            <w:pPr>
              <w:spacing w:after="0"/>
              <w:rPr>
                <w:sz w:val="16"/>
                <w:szCs w:val="16"/>
                <w:color w:val="auto"/>
              </w:rPr>
            </w:pPr>
          </w:p>
        </w:tc>
        <w:tc>
          <w:tcPr>
            <w:tcW w:w="2800" w:type="dxa"/>
            <w:vAlign w:val="bottom"/>
          </w:tcPr>
          <w:p>
            <w:pPr>
              <w:spacing w:after="0" w:line="192" w:lineRule="exact"/>
              <w:rPr>
                <w:sz w:val="20"/>
                <w:szCs w:val="20"/>
                <w:color w:val="auto"/>
              </w:rPr>
            </w:pPr>
            <w:r>
              <w:rPr>
                <w:rFonts w:ascii="Arial" w:cs="Arial" w:eastAsia="Arial" w:hAnsi="Arial"/>
                <w:sz w:val="18"/>
                <w:szCs w:val="18"/>
                <w:b w:val="1"/>
                <w:bCs w:val="1"/>
                <w:color w:val="auto"/>
              </w:rPr>
              <w:t>Operating efficiency</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201"/>
        </w:trPr>
        <w:tc>
          <w:tcPr>
            <w:tcW w:w="1140" w:type="dxa"/>
            <w:vAlign w:val="bottom"/>
            <w:tcBorders>
              <w:right w:val="single" w:sz="8" w:color="auto"/>
            </w:tcBorders>
          </w:tcPr>
          <w:p>
            <w:pPr>
              <w:spacing w:after="0"/>
              <w:rPr>
                <w:sz w:val="17"/>
                <w:szCs w:val="17"/>
                <w:color w:val="auto"/>
              </w:rPr>
            </w:pPr>
          </w:p>
        </w:tc>
        <w:tc>
          <w:tcPr>
            <w:tcW w:w="4660" w:type="dxa"/>
            <w:vAlign w:val="bottom"/>
            <w:gridSpan w:val="3"/>
          </w:tcPr>
          <w:p>
            <w:pPr>
              <w:spacing w:after="0" w:line="201" w:lineRule="exact"/>
              <w:rPr>
                <w:sz w:val="20"/>
                <w:szCs w:val="20"/>
                <w:color w:val="auto"/>
              </w:rPr>
            </w:pPr>
            <w:r>
              <w:rPr>
                <w:rFonts w:ascii="Arial" w:cs="Arial" w:eastAsia="Arial" w:hAnsi="Arial"/>
                <w:sz w:val="15"/>
                <w:szCs w:val="15"/>
                <w:color w:val="auto"/>
              </w:rPr>
              <w:t xml:space="preserve">Oper. expenses as a percent. of total income - reported </w:t>
            </w:r>
            <w:r>
              <w:rPr>
                <w:rFonts w:ascii="Arial" w:cs="Arial" w:eastAsia="Arial" w:hAnsi="Arial"/>
                <w:sz w:val="23"/>
                <w:szCs w:val="23"/>
                <w:color w:val="auto"/>
                <w:vertAlign w:val="superscript"/>
              </w:rPr>
              <w:t>(6)</w:t>
            </w:r>
          </w:p>
        </w:tc>
        <w:tc>
          <w:tcPr>
            <w:tcW w:w="120" w:type="dxa"/>
            <w:vAlign w:val="bottom"/>
            <w:tcBorders>
              <w:right w:val="single" w:sz="8" w:color="auto"/>
            </w:tcBorders>
          </w:tcPr>
          <w:p>
            <w:pPr>
              <w:spacing w:after="0"/>
              <w:rPr>
                <w:sz w:val="17"/>
                <w:szCs w:val="17"/>
                <w:color w:val="auto"/>
              </w:rPr>
            </w:pPr>
          </w:p>
        </w:tc>
        <w:tc>
          <w:tcPr>
            <w:tcW w:w="820" w:type="dxa"/>
            <w:vAlign w:val="bottom"/>
          </w:tcPr>
          <w:p>
            <w:pPr>
              <w:jc w:val="center"/>
              <w:spacing w:after="0" w:line="201" w:lineRule="exact"/>
              <w:rPr>
                <w:sz w:val="20"/>
                <w:szCs w:val="20"/>
                <w:color w:val="auto"/>
              </w:rPr>
            </w:pPr>
            <w:r>
              <w:rPr>
                <w:rFonts w:ascii="Arial" w:cs="Arial" w:eastAsia="Arial" w:hAnsi="Arial"/>
                <w:sz w:val="18"/>
                <w:szCs w:val="18"/>
                <w:color w:val="auto"/>
              </w:rPr>
              <w:t>45.3%</w:t>
            </w:r>
          </w:p>
        </w:tc>
        <w:tc>
          <w:tcPr>
            <w:tcW w:w="680" w:type="dxa"/>
            <w:vAlign w:val="bottom"/>
          </w:tcPr>
          <w:p>
            <w:pPr>
              <w:jc w:val="center"/>
              <w:ind w:left="51"/>
              <w:spacing w:after="0" w:line="201" w:lineRule="exact"/>
              <w:rPr>
                <w:sz w:val="20"/>
                <w:szCs w:val="20"/>
                <w:color w:val="auto"/>
              </w:rPr>
            </w:pPr>
            <w:r>
              <w:rPr>
                <w:rFonts w:ascii="Arial" w:cs="Arial" w:eastAsia="Arial" w:hAnsi="Arial"/>
                <w:sz w:val="18"/>
                <w:szCs w:val="18"/>
                <w:color w:val="auto"/>
                <w:w w:val="97"/>
              </w:rPr>
              <w:t>41.6%</w:t>
            </w:r>
          </w:p>
        </w:tc>
        <w:tc>
          <w:tcPr>
            <w:tcW w:w="40" w:type="dxa"/>
            <w:vAlign w:val="bottom"/>
          </w:tcPr>
          <w:p>
            <w:pPr>
              <w:spacing w:after="0"/>
              <w:rPr>
                <w:sz w:val="17"/>
                <w:szCs w:val="17"/>
                <w:color w:val="auto"/>
              </w:rPr>
            </w:pPr>
          </w:p>
        </w:tc>
        <w:tc>
          <w:tcPr>
            <w:tcW w:w="840" w:type="dxa"/>
            <w:vAlign w:val="bottom"/>
            <w:gridSpan w:val="2"/>
          </w:tcPr>
          <w:p>
            <w:pPr>
              <w:jc w:val="center"/>
              <w:ind w:left="131"/>
              <w:spacing w:after="0" w:line="201" w:lineRule="exact"/>
              <w:rPr>
                <w:sz w:val="20"/>
                <w:szCs w:val="20"/>
                <w:color w:val="auto"/>
              </w:rPr>
            </w:pPr>
            <w:r>
              <w:rPr>
                <w:rFonts w:ascii="Arial" w:cs="Arial" w:eastAsia="Arial" w:hAnsi="Arial"/>
                <w:sz w:val="18"/>
                <w:szCs w:val="18"/>
                <w:color w:val="auto"/>
                <w:w w:val="97"/>
              </w:rPr>
              <w:t>38.9%</w:t>
            </w:r>
          </w:p>
        </w:tc>
        <w:tc>
          <w:tcPr>
            <w:tcW w:w="120" w:type="dxa"/>
            <w:vAlign w:val="bottom"/>
            <w:tcBorders>
              <w:right w:val="single" w:sz="8" w:color="auto"/>
            </w:tcBorders>
          </w:tcPr>
          <w:p>
            <w:pPr>
              <w:spacing w:after="0"/>
              <w:rPr>
                <w:sz w:val="17"/>
                <w:szCs w:val="17"/>
                <w:color w:val="auto"/>
              </w:rPr>
            </w:pPr>
          </w:p>
        </w:tc>
        <w:tc>
          <w:tcPr>
            <w:tcW w:w="680" w:type="dxa"/>
            <w:vAlign w:val="bottom"/>
          </w:tcPr>
          <w:p>
            <w:pPr>
              <w:jc w:val="center"/>
              <w:ind w:left="91"/>
              <w:spacing w:after="0" w:line="201" w:lineRule="exact"/>
              <w:rPr>
                <w:sz w:val="20"/>
                <w:szCs w:val="20"/>
                <w:color w:val="auto"/>
              </w:rPr>
            </w:pPr>
            <w:r>
              <w:rPr>
                <w:rFonts w:ascii="Arial" w:cs="Arial" w:eastAsia="Arial" w:hAnsi="Arial"/>
                <w:sz w:val="18"/>
                <w:szCs w:val="18"/>
                <w:color w:val="auto"/>
                <w:w w:val="97"/>
              </w:rPr>
              <w:t>42.0%</w:t>
            </w:r>
          </w:p>
        </w:tc>
        <w:tc>
          <w:tcPr>
            <w:tcW w:w="60" w:type="dxa"/>
            <w:vAlign w:val="bottom"/>
          </w:tcPr>
          <w:p>
            <w:pPr>
              <w:spacing w:after="0"/>
              <w:rPr>
                <w:sz w:val="17"/>
                <w:szCs w:val="17"/>
                <w:color w:val="auto"/>
              </w:rPr>
            </w:pPr>
          </w:p>
        </w:tc>
        <w:tc>
          <w:tcPr>
            <w:tcW w:w="820" w:type="dxa"/>
            <w:vAlign w:val="bottom"/>
          </w:tcPr>
          <w:p>
            <w:pPr>
              <w:jc w:val="center"/>
              <w:ind w:left="111"/>
              <w:spacing w:after="0" w:line="201" w:lineRule="exact"/>
              <w:rPr>
                <w:sz w:val="20"/>
                <w:szCs w:val="20"/>
                <w:color w:val="auto"/>
              </w:rPr>
            </w:pPr>
            <w:r>
              <w:rPr>
                <w:rFonts w:ascii="Arial" w:cs="Arial" w:eastAsia="Arial" w:hAnsi="Arial"/>
                <w:sz w:val="18"/>
                <w:szCs w:val="18"/>
                <w:color w:val="auto"/>
                <w:w w:val="97"/>
              </w:rPr>
              <w:t>40.3%</w:t>
            </w:r>
          </w:p>
        </w:tc>
        <w:tc>
          <w:tcPr>
            <w:tcW w:w="140" w:type="dxa"/>
            <w:vAlign w:val="bottom"/>
            <w:tcBorders>
              <w:right w:val="single" w:sz="8" w:color="auto"/>
            </w:tcBorders>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1140" w:type="dxa"/>
            <w:vAlign w:val="bottom"/>
            <w:tcBorders>
              <w:right w:val="single" w:sz="8" w:color="auto"/>
            </w:tcBorders>
          </w:tcPr>
          <w:p>
            <w:pPr>
              <w:spacing w:after="0"/>
              <w:rPr>
                <w:sz w:val="20"/>
                <w:szCs w:val="20"/>
                <w:color w:val="auto"/>
              </w:rPr>
            </w:pPr>
          </w:p>
        </w:tc>
        <w:tc>
          <w:tcPr>
            <w:tcW w:w="4660" w:type="dxa"/>
            <w:vAlign w:val="bottom"/>
            <w:tcBorders>
              <w:bottom w:val="single" w:sz="8" w:color="auto"/>
            </w:tcBorders>
            <w:gridSpan w:val="3"/>
          </w:tcPr>
          <w:p>
            <w:pPr>
              <w:spacing w:after="0" w:line="228" w:lineRule="exact"/>
              <w:rPr>
                <w:sz w:val="20"/>
                <w:szCs w:val="20"/>
                <w:color w:val="auto"/>
              </w:rPr>
            </w:pPr>
            <w:r>
              <w:rPr>
                <w:rFonts w:ascii="Arial" w:cs="Arial" w:eastAsia="Arial" w:hAnsi="Arial"/>
                <w:sz w:val="16"/>
                <w:szCs w:val="16"/>
                <w:color w:val="auto"/>
              </w:rPr>
              <w:t xml:space="preserve">Oper. expenses as a percent. of av. tot. assets </w:t>
            </w:r>
            <w:r>
              <w:rPr>
                <w:rFonts w:ascii="Arial" w:cs="Arial" w:eastAsia="Arial" w:hAnsi="Arial"/>
                <w:sz w:val="26"/>
                <w:szCs w:val="26"/>
                <w:color w:val="auto"/>
                <w:vertAlign w:val="superscript"/>
              </w:rPr>
              <w:t>(2)(3)(6)</w:t>
            </w:r>
          </w:p>
        </w:tc>
        <w:tc>
          <w:tcPr>
            <w:tcW w:w="1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2.41%</w:t>
            </w:r>
          </w:p>
        </w:tc>
        <w:tc>
          <w:tcPr>
            <w:tcW w:w="680" w:type="dxa"/>
            <w:vAlign w:val="bottom"/>
            <w:tcBorders>
              <w:bottom w:val="single" w:sz="8" w:color="auto"/>
            </w:tcBorders>
          </w:tcPr>
          <w:p>
            <w:pPr>
              <w:jc w:val="center"/>
              <w:ind w:left="51"/>
              <w:spacing w:after="0"/>
              <w:rPr>
                <w:sz w:val="20"/>
                <w:szCs w:val="20"/>
                <w:color w:val="auto"/>
              </w:rPr>
            </w:pPr>
            <w:r>
              <w:rPr>
                <w:rFonts w:ascii="Arial" w:cs="Arial" w:eastAsia="Arial" w:hAnsi="Arial"/>
                <w:sz w:val="18"/>
                <w:szCs w:val="18"/>
                <w:color w:val="auto"/>
                <w:w w:val="97"/>
              </w:rPr>
              <w:t>2.58%</w:t>
            </w:r>
          </w:p>
        </w:tc>
        <w:tc>
          <w:tcPr>
            <w:tcW w:w="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center"/>
              <w:ind w:left="131"/>
              <w:spacing w:after="0"/>
              <w:rPr>
                <w:sz w:val="20"/>
                <w:szCs w:val="20"/>
                <w:color w:val="auto"/>
              </w:rPr>
            </w:pPr>
            <w:r>
              <w:rPr>
                <w:rFonts w:ascii="Arial" w:cs="Arial" w:eastAsia="Arial" w:hAnsi="Arial"/>
                <w:sz w:val="18"/>
                <w:szCs w:val="18"/>
                <w:color w:val="auto"/>
                <w:w w:val="97"/>
              </w:rPr>
              <w:t>2.66%</w:t>
            </w:r>
          </w:p>
        </w:tc>
        <w:tc>
          <w:tcPr>
            <w:tcW w:w="120" w:type="dxa"/>
            <w:vAlign w:val="bottom"/>
            <w:tcBorders>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jc w:val="center"/>
              <w:ind w:left="91"/>
              <w:spacing w:after="0"/>
              <w:rPr>
                <w:sz w:val="20"/>
                <w:szCs w:val="20"/>
                <w:color w:val="auto"/>
              </w:rPr>
            </w:pPr>
            <w:r>
              <w:rPr>
                <w:rFonts w:ascii="Arial" w:cs="Arial" w:eastAsia="Arial" w:hAnsi="Arial"/>
                <w:sz w:val="18"/>
                <w:szCs w:val="18"/>
                <w:color w:val="auto"/>
                <w:w w:val="97"/>
              </w:rPr>
              <w:t>2.18%</w:t>
            </w: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left="111"/>
              <w:spacing w:after="0"/>
              <w:rPr>
                <w:sz w:val="20"/>
                <w:szCs w:val="20"/>
                <w:color w:val="auto"/>
              </w:rPr>
            </w:pPr>
            <w:r>
              <w:rPr>
                <w:rFonts w:ascii="Arial" w:cs="Arial" w:eastAsia="Arial" w:hAnsi="Arial"/>
                <w:sz w:val="18"/>
                <w:szCs w:val="18"/>
                <w:color w:val="auto"/>
                <w:w w:val="97"/>
              </w:rPr>
              <w:t>2.51%</w:t>
            </w:r>
          </w:p>
        </w:tc>
        <w:tc>
          <w:tcPr>
            <w:tcW w:w="140" w:type="dxa"/>
            <w:vAlign w:val="bottom"/>
            <w:tcBorders>
              <w:bottom w:val="single" w:sz="8" w:color="auto"/>
              <w:right w:val="single" w:sz="8" w:color="auto"/>
            </w:tcBorders>
          </w:tcPr>
          <w:p>
            <w:pPr>
              <w:spacing w:after="0"/>
              <w:rPr>
                <w:sz w:val="20"/>
                <w:szCs w:val="20"/>
                <w:color w:val="auto"/>
              </w:rPr>
            </w:pPr>
          </w:p>
        </w:tc>
        <w:tc>
          <w:tcPr>
            <w:tcW w:w="1200" w:type="dxa"/>
            <w:vAlign w:val="bottom"/>
          </w:tcPr>
          <w:p>
            <w:pPr>
              <w:spacing w:after="0"/>
              <w:rPr>
                <w:sz w:val="20"/>
                <w:szCs w:val="20"/>
                <w:color w:val="auto"/>
              </w:rPr>
            </w:pPr>
          </w:p>
        </w:tc>
      </w:tr>
    </w:tbl>
    <w:p>
      <w:pPr>
        <w:spacing w:after="0" w:line="233" w:lineRule="exact"/>
        <w:rPr>
          <w:sz w:val="20"/>
          <w:szCs w:val="20"/>
          <w:color w:val="auto"/>
        </w:rPr>
      </w:pPr>
    </w:p>
    <w:p>
      <w:pPr>
        <w:ind w:left="980" w:hanging="170"/>
        <w:spacing w:after="0"/>
        <w:tabs>
          <w:tab w:leader="none" w:pos="9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outstanding of 12,176 million is used for all periods since shares have been issued only for capitalization of profits.</w:t>
      </w:r>
    </w:p>
    <w:p>
      <w:pPr>
        <w:spacing w:after="0" w:line="7" w:lineRule="exact"/>
        <w:rPr>
          <w:rFonts w:ascii="Times New Roman" w:cs="Times New Roman" w:eastAsia="Times New Roman" w:hAnsi="Times New Roman"/>
          <w:sz w:val="12"/>
          <w:szCs w:val="12"/>
          <w:color w:val="auto"/>
        </w:rPr>
      </w:pPr>
    </w:p>
    <w:p>
      <w:pPr>
        <w:ind w:left="980" w:hanging="170"/>
        <w:spacing w:after="0" w:line="232" w:lineRule="auto"/>
        <w:tabs>
          <w:tab w:leader="none" w:pos="9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Ratios are annualized.</w:t>
      </w:r>
    </w:p>
    <w:p>
      <w:pPr>
        <w:ind w:left="980" w:hanging="170"/>
        <w:spacing w:after="0" w:line="232" w:lineRule="auto"/>
        <w:tabs>
          <w:tab w:leader="none" w:pos="9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Averages are determined as the average of period-beginning and period-ending balances.</w:t>
      </w:r>
    </w:p>
    <w:p>
      <w:pPr>
        <w:ind w:left="820" w:right="220" w:hanging="10"/>
        <w:spacing w:after="0" w:line="232" w:lineRule="auto"/>
        <w:tabs>
          <w:tab w:leader="none" w:pos="984"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spacing w:after="0" w:line="1" w:lineRule="exact"/>
        <w:rPr>
          <w:rFonts w:ascii="Times New Roman" w:cs="Times New Roman" w:eastAsia="Times New Roman" w:hAnsi="Times New Roman"/>
          <w:sz w:val="12"/>
          <w:szCs w:val="12"/>
          <w:color w:val="auto"/>
        </w:rPr>
      </w:pPr>
    </w:p>
    <w:p>
      <w:pPr>
        <w:ind w:left="980" w:hanging="170"/>
        <w:spacing w:after="0" w:line="232" w:lineRule="auto"/>
        <w:tabs>
          <w:tab w:leader="none" w:pos="980"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risk: Annualized provision for loan losses / Total loans.</w:t>
      </w:r>
    </w:p>
    <w:p>
      <w:pPr>
        <w:ind w:left="820" w:right="460" w:hanging="10"/>
        <w:spacing w:after="0" w:line="235" w:lineRule="auto"/>
        <w:tabs>
          <w:tab w:leader="none" w:pos="984"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7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320"/>
          </w:cols>
          <w:pgMar w:left="320" w:top="451" w:right="259" w:bottom="0" w:gutter="0" w:footer="0" w:header="0"/>
        </w:sectPr>
      </w:pPr>
    </w:p>
    <w:bookmarkStart w:id="66" w:name="page67"/>
    <w:bookmarkEnd w:id="66"/>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12.5.5. BCP Bolivia</w:t>
      </w: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BCP BOLIVIA</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 thousands, IFRS)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shd w:val="clear" w:color="auto" w:fill="2AD2C9"/>
          </w:tcPr>
          <w:p>
            <w:pPr>
              <w:spacing w:after="0"/>
              <w:rPr>
                <w:sz w:val="18"/>
                <w:szCs w:val="18"/>
                <w:color w:val="auto"/>
              </w:rPr>
            </w:pPr>
          </w:p>
        </w:tc>
        <w:tc>
          <w:tcPr>
            <w:tcW w:w="1040" w:type="dxa"/>
            <w:vAlign w:val="bottom"/>
            <w:tcBorders>
              <w:top w:val="single" w:sz="8" w:color="auto"/>
            </w:tcBorders>
            <w:gridSpan w:val="2"/>
            <w:vMerge w:val="restart"/>
            <w:shd w:val="clear" w:color="auto" w:fill="2AD2C9"/>
          </w:tcPr>
          <w:p>
            <w:pPr>
              <w:ind w:left="100"/>
              <w:spacing w:after="0"/>
              <w:rPr>
                <w:sz w:val="20"/>
                <w:szCs w:val="20"/>
                <w:color w:val="auto"/>
              </w:rPr>
            </w:pPr>
            <w:r>
              <w:rPr>
                <w:rFonts w:ascii="Arial" w:cs="Arial" w:eastAsia="Arial" w:hAnsi="Arial"/>
                <w:sz w:val="20"/>
                <w:szCs w:val="20"/>
                <w:b w:val="1"/>
                <w:bCs w:val="1"/>
                <w:color w:val="FFFFFF"/>
              </w:rPr>
              <w:t>Sep 21</w:t>
            </w:r>
          </w:p>
        </w:tc>
        <w:tc>
          <w:tcPr>
            <w:tcW w:w="1100" w:type="dxa"/>
            <w:vAlign w:val="bottom"/>
            <w:tcBorders>
              <w:top w:val="single" w:sz="8" w:color="auto"/>
              <w:right w:val="single" w:sz="8" w:color="2AD2C9"/>
            </w:tcBorders>
            <w:shd w:val="clear" w:color="auto" w:fill="2AD2C9"/>
          </w:tcPr>
          <w:p>
            <w:pPr>
              <w:jc w:val="center"/>
              <w:ind w:right="6"/>
              <w:spacing w:after="0" w:line="217" w:lineRule="exact"/>
              <w:rPr>
                <w:sz w:val="20"/>
                <w:szCs w:val="20"/>
                <w:color w:val="auto"/>
              </w:rPr>
            </w:pPr>
            <w:r>
              <w:rPr>
                <w:rFonts w:ascii="Arial" w:cs="Arial" w:eastAsia="Arial" w:hAnsi="Arial"/>
                <w:sz w:val="20"/>
                <w:szCs w:val="20"/>
                <w:b w:val="1"/>
                <w:bCs w:val="1"/>
                <w:color w:val="FFFFFF"/>
                <w:w w:val="95"/>
              </w:rPr>
              <w:t>As of</w:t>
            </w:r>
          </w:p>
        </w:tc>
        <w:tc>
          <w:tcPr>
            <w:tcW w:w="1100" w:type="dxa"/>
            <w:vAlign w:val="bottom"/>
            <w:tcBorders>
              <w:top w:val="single" w:sz="8" w:color="auto"/>
              <w:right w:val="single" w:sz="8" w:color="auto"/>
            </w:tcBorders>
            <w:vMerge w:val="restart"/>
            <w:shd w:val="clear" w:color="auto" w:fill="2AD2C9"/>
          </w:tcPr>
          <w:p>
            <w:pPr>
              <w:ind w:left="200"/>
              <w:spacing w:after="0"/>
              <w:rPr>
                <w:sz w:val="20"/>
                <w:szCs w:val="20"/>
                <w:color w:val="auto"/>
              </w:rPr>
            </w:pPr>
            <w:r>
              <w:rPr>
                <w:rFonts w:ascii="Arial" w:cs="Arial" w:eastAsia="Arial" w:hAnsi="Arial"/>
                <w:sz w:val="20"/>
                <w:szCs w:val="20"/>
                <w:b w:val="1"/>
                <w:bCs w:val="1"/>
                <w:color w:val="FFFFFF"/>
              </w:rPr>
              <w:t>Sep 22</w:t>
            </w:r>
          </w:p>
        </w:tc>
        <w:tc>
          <w:tcPr>
            <w:tcW w:w="2220" w:type="dxa"/>
            <w:vAlign w:val="bottom"/>
            <w:tcBorders>
              <w:top w:val="single" w:sz="8" w:color="auto"/>
              <w:right w:val="single" w:sz="8" w:color="auto"/>
            </w:tcBorders>
            <w:gridSpan w:val="2"/>
            <w:shd w:val="clear" w:color="auto" w:fill="2AD2C9"/>
          </w:tcPr>
          <w:p>
            <w:pPr>
              <w:jc w:val="right"/>
              <w:ind w:right="566"/>
              <w:spacing w:after="0" w:line="217" w:lineRule="exact"/>
              <w:rPr>
                <w:sz w:val="20"/>
                <w:szCs w:val="20"/>
                <w:color w:val="auto"/>
              </w:rPr>
            </w:pPr>
            <w:r>
              <w:rPr>
                <w:rFonts w:ascii="Arial" w:cs="Arial" w:eastAsia="Arial" w:hAnsi="Arial"/>
                <w:sz w:val="20"/>
                <w:szCs w:val="20"/>
                <w:b w:val="1"/>
                <w:bCs w:val="1"/>
                <w:color w:val="FFFFFF"/>
              </w:rPr>
              <w:t>% change</w:t>
            </w:r>
          </w:p>
        </w:tc>
        <w:tc>
          <w:tcPr>
            <w:tcW w:w="0" w:type="dxa"/>
            <w:vAlign w:val="bottom"/>
          </w:tcPr>
          <w:p>
            <w:pPr>
              <w:spacing w:after="0"/>
              <w:rPr>
                <w:sz w:val="1"/>
                <w:szCs w:val="1"/>
                <w:color w:val="auto"/>
              </w:rPr>
            </w:pPr>
          </w:p>
        </w:tc>
      </w:tr>
      <w:tr>
        <w:trPr>
          <w:trHeight w:val="245"/>
        </w:trPr>
        <w:tc>
          <w:tcPr>
            <w:tcW w:w="3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shd w:val="clear" w:color="auto" w:fill="2AD2C9"/>
          </w:tcPr>
          <w:p>
            <w:pPr>
              <w:spacing w:after="0"/>
              <w:rPr>
                <w:sz w:val="21"/>
                <w:szCs w:val="21"/>
                <w:color w:val="auto"/>
              </w:rPr>
            </w:pPr>
          </w:p>
        </w:tc>
        <w:tc>
          <w:tcPr>
            <w:tcW w:w="1040" w:type="dxa"/>
            <w:vAlign w:val="bottom"/>
            <w:tcBorders>
              <w:bottom w:val="single" w:sz="8" w:color="auto"/>
            </w:tcBorders>
            <w:gridSpan w:val="2"/>
            <w:vMerge w:val="continue"/>
            <w:shd w:val="clear" w:color="auto" w:fill="2AD2C9"/>
          </w:tcPr>
          <w:p>
            <w:pPr>
              <w:spacing w:after="0"/>
              <w:rPr>
                <w:sz w:val="21"/>
                <w:szCs w:val="21"/>
                <w:color w:val="auto"/>
              </w:rPr>
            </w:pPr>
          </w:p>
        </w:tc>
        <w:tc>
          <w:tcPr>
            <w:tcW w:w="1100" w:type="dxa"/>
            <w:vAlign w:val="bottom"/>
            <w:tcBorders>
              <w:bottom w:val="single" w:sz="8" w:color="auto"/>
              <w:right w:val="single" w:sz="8" w:color="2AD2C9"/>
            </w:tcBorders>
            <w:shd w:val="clear" w:color="auto" w:fill="2AD2C9"/>
          </w:tcPr>
          <w:p>
            <w:pPr>
              <w:jc w:val="center"/>
              <w:ind w:right="26"/>
              <w:spacing w:after="0"/>
              <w:rPr>
                <w:sz w:val="20"/>
                <w:szCs w:val="20"/>
                <w:color w:val="auto"/>
              </w:rPr>
            </w:pPr>
            <w:r>
              <w:rPr>
                <w:rFonts w:ascii="Arial" w:cs="Arial" w:eastAsia="Arial" w:hAnsi="Arial"/>
                <w:sz w:val="20"/>
                <w:szCs w:val="20"/>
                <w:b w:val="1"/>
                <w:bCs w:val="1"/>
                <w:color w:val="FFFFFF"/>
                <w:w w:val="97"/>
              </w:rPr>
              <w:t>Jun 22</w:t>
            </w:r>
          </w:p>
        </w:tc>
        <w:tc>
          <w:tcPr>
            <w:tcW w:w="1100" w:type="dxa"/>
            <w:vAlign w:val="bottom"/>
            <w:tcBorders>
              <w:bottom w:val="single" w:sz="8" w:color="auto"/>
              <w:right w:val="single" w:sz="8" w:color="auto"/>
            </w:tcBorders>
            <w:vMerge w:val="continue"/>
            <w:shd w:val="clear" w:color="auto" w:fill="2AD2C9"/>
          </w:tcPr>
          <w:p>
            <w:pPr>
              <w:spacing w:after="0"/>
              <w:rPr>
                <w:sz w:val="21"/>
                <w:szCs w:val="21"/>
                <w:color w:val="auto"/>
              </w:rPr>
            </w:pPr>
          </w:p>
        </w:tc>
        <w:tc>
          <w:tcPr>
            <w:tcW w:w="880" w:type="dxa"/>
            <w:vAlign w:val="bottom"/>
            <w:tcBorders>
              <w:bottom w:val="single" w:sz="8" w:color="auto"/>
              <w:right w:val="single" w:sz="8" w:color="2AD2C9"/>
            </w:tcBorders>
            <w:shd w:val="clear" w:color="auto" w:fill="2AD2C9"/>
          </w:tcPr>
          <w:p>
            <w:pPr>
              <w:ind w:left="340"/>
              <w:spacing w:after="0"/>
              <w:rPr>
                <w:sz w:val="20"/>
                <w:szCs w:val="20"/>
                <w:color w:val="auto"/>
              </w:rPr>
            </w:pPr>
            <w:r>
              <w:rPr>
                <w:rFonts w:ascii="Arial" w:cs="Arial" w:eastAsia="Arial" w:hAnsi="Arial"/>
                <w:sz w:val="20"/>
                <w:szCs w:val="20"/>
                <w:b w:val="1"/>
                <w:bCs w:val="1"/>
                <w:color w:val="FFFFFF"/>
              </w:rPr>
              <w:t>QoQ</w:t>
            </w:r>
          </w:p>
        </w:tc>
        <w:tc>
          <w:tcPr>
            <w:tcW w:w="1340" w:type="dxa"/>
            <w:vAlign w:val="bottom"/>
            <w:tcBorders>
              <w:bottom w:val="single" w:sz="8" w:color="auto"/>
              <w:right w:val="single" w:sz="8" w:color="auto"/>
            </w:tcBorders>
            <w:shd w:val="clear" w:color="auto" w:fill="2AD2C9"/>
          </w:tcPr>
          <w:p>
            <w:pPr>
              <w:jc w:val="right"/>
              <w:ind w:right="306"/>
              <w:spacing w:after="0"/>
              <w:rPr>
                <w:sz w:val="20"/>
                <w:szCs w:val="20"/>
                <w:color w:val="auto"/>
              </w:rPr>
            </w:pPr>
            <w:r>
              <w:rPr>
                <w:rFonts w:ascii="Arial" w:cs="Arial" w:eastAsia="Arial" w:hAnsi="Arial"/>
                <w:sz w:val="20"/>
                <w:szCs w:val="20"/>
                <w:b w:val="1"/>
                <w:bCs w:val="1"/>
                <w:color w:val="FFFFFF"/>
              </w:rPr>
              <w:t>YoY</w:t>
            </w:r>
          </w:p>
        </w:tc>
        <w:tc>
          <w:tcPr>
            <w:tcW w:w="0" w:type="dxa"/>
            <w:vAlign w:val="bottom"/>
          </w:tcPr>
          <w:p>
            <w:pPr>
              <w:spacing w:after="0"/>
              <w:rPr>
                <w:sz w:val="1"/>
                <w:szCs w:val="1"/>
                <w:color w:val="auto"/>
              </w:rPr>
            </w:pPr>
          </w:p>
        </w:tc>
      </w:tr>
      <w:tr>
        <w:trPr>
          <w:trHeight w:val="193"/>
        </w:trPr>
        <w:tc>
          <w:tcPr>
            <w:tcW w:w="3080" w:type="dxa"/>
            <w:vAlign w:val="bottom"/>
            <w:tcBorders>
              <w:left w:val="single" w:sz="8" w:color="auto"/>
            </w:tcBorders>
            <w:gridSpan w:val="2"/>
          </w:tcPr>
          <w:p>
            <w:pPr>
              <w:ind w:left="20"/>
              <w:spacing w:after="0" w:line="193" w:lineRule="exact"/>
              <w:rPr>
                <w:sz w:val="20"/>
                <w:szCs w:val="20"/>
                <w:color w:val="auto"/>
              </w:rPr>
            </w:pPr>
            <w:r>
              <w:rPr>
                <w:rFonts w:ascii="Arial" w:cs="Arial" w:eastAsia="Arial" w:hAnsi="Arial"/>
                <w:sz w:val="20"/>
                <w:szCs w:val="20"/>
                <w:b w:val="1"/>
                <w:bCs w:val="1"/>
                <w:color w:val="auto"/>
              </w:rPr>
              <w:t>ASSETS</w:t>
            </w:r>
          </w:p>
        </w:tc>
        <w:tc>
          <w:tcPr>
            <w:tcW w:w="8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80" w:type="dxa"/>
            <w:vAlign w:val="bottom"/>
            <w:tcBorders>
              <w:left w:val="single" w:sz="8" w:color="auto"/>
            </w:tcBorders>
            <w:gridSpan w:val="2"/>
          </w:tcPr>
          <w:p>
            <w:pPr>
              <w:ind w:left="20"/>
              <w:spacing w:after="0" w:line="214" w:lineRule="exact"/>
              <w:rPr>
                <w:sz w:val="20"/>
                <w:szCs w:val="20"/>
                <w:color w:val="auto"/>
              </w:rPr>
            </w:pPr>
            <w:r>
              <w:rPr>
                <w:rFonts w:ascii="Arial" w:cs="Arial" w:eastAsia="Arial" w:hAnsi="Arial"/>
                <w:sz w:val="20"/>
                <w:szCs w:val="20"/>
                <w:color w:val="auto"/>
              </w:rPr>
              <w:t>Cash and due from banks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gridSpan w:val="3"/>
          </w:tcPr>
          <w:p>
            <w:pPr>
              <w:jc w:val="center"/>
              <w:ind w:right="31"/>
              <w:spacing w:after="0" w:line="214" w:lineRule="exact"/>
              <w:rPr>
                <w:sz w:val="20"/>
                <w:szCs w:val="20"/>
                <w:color w:val="auto"/>
              </w:rPr>
            </w:pPr>
            <w:r>
              <w:rPr>
                <w:rFonts w:ascii="Arial" w:cs="Arial" w:eastAsia="Arial" w:hAnsi="Arial"/>
                <w:sz w:val="20"/>
                <w:szCs w:val="20"/>
                <w:color w:val="auto"/>
                <w:w w:val="98"/>
              </w:rPr>
              <w:t>2,625,523</w:t>
            </w:r>
          </w:p>
        </w:tc>
        <w:tc>
          <w:tcPr>
            <w:tcW w:w="1100" w:type="dxa"/>
            <w:vAlign w:val="bottom"/>
          </w:tcPr>
          <w:p>
            <w:pPr>
              <w:jc w:val="center"/>
              <w:ind w:right="6"/>
              <w:spacing w:after="0" w:line="214" w:lineRule="exact"/>
              <w:rPr>
                <w:sz w:val="20"/>
                <w:szCs w:val="20"/>
                <w:color w:val="auto"/>
              </w:rPr>
            </w:pPr>
            <w:r>
              <w:rPr>
                <w:rFonts w:ascii="Arial" w:cs="Arial" w:eastAsia="Arial" w:hAnsi="Arial"/>
                <w:sz w:val="20"/>
                <w:szCs w:val="20"/>
                <w:color w:val="auto"/>
                <w:w w:val="98"/>
              </w:rPr>
              <w:t>2,308,217</w:t>
            </w:r>
          </w:p>
        </w:tc>
        <w:tc>
          <w:tcPr>
            <w:tcW w:w="11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1,984,367</w:t>
            </w:r>
          </w:p>
        </w:tc>
        <w:tc>
          <w:tcPr>
            <w:tcW w:w="880" w:type="dxa"/>
            <w:vAlign w:val="bottom"/>
          </w:tcPr>
          <w:p>
            <w:pPr>
              <w:jc w:val="center"/>
              <w:ind w:left="125"/>
              <w:spacing w:after="0" w:line="214" w:lineRule="exact"/>
              <w:rPr>
                <w:sz w:val="20"/>
                <w:szCs w:val="20"/>
                <w:color w:val="auto"/>
              </w:rPr>
            </w:pPr>
            <w:r>
              <w:rPr>
                <w:rFonts w:ascii="Arial" w:cs="Arial" w:eastAsia="Arial" w:hAnsi="Arial"/>
                <w:sz w:val="20"/>
                <w:szCs w:val="20"/>
                <w:color w:val="auto"/>
                <w:w w:val="97"/>
              </w:rPr>
              <w:t>-14.0%</w:t>
            </w:r>
          </w:p>
        </w:tc>
        <w:tc>
          <w:tcPr>
            <w:tcW w:w="1340" w:type="dxa"/>
            <w:vAlign w:val="bottom"/>
            <w:tcBorders>
              <w:right w:val="single" w:sz="8" w:color="auto"/>
            </w:tcBorders>
          </w:tcPr>
          <w:p>
            <w:pPr>
              <w:jc w:val="center"/>
              <w:ind w:left="106"/>
              <w:spacing w:after="0" w:line="214" w:lineRule="exact"/>
              <w:rPr>
                <w:sz w:val="20"/>
                <w:szCs w:val="20"/>
                <w:color w:val="auto"/>
              </w:rPr>
            </w:pPr>
            <w:r>
              <w:rPr>
                <w:rFonts w:ascii="Arial" w:cs="Arial" w:eastAsia="Arial" w:hAnsi="Arial"/>
                <w:sz w:val="20"/>
                <w:szCs w:val="20"/>
                <w:color w:val="auto"/>
                <w:w w:val="97"/>
              </w:rPr>
              <w:t>-24.4%</w:t>
            </w:r>
          </w:p>
        </w:tc>
        <w:tc>
          <w:tcPr>
            <w:tcW w:w="0" w:type="dxa"/>
            <w:vAlign w:val="bottom"/>
          </w:tcPr>
          <w:p>
            <w:pPr>
              <w:spacing w:after="0"/>
              <w:rPr>
                <w:sz w:val="1"/>
                <w:szCs w:val="1"/>
                <w:color w:val="auto"/>
              </w:rPr>
            </w:pPr>
          </w:p>
        </w:tc>
      </w:tr>
      <w:tr>
        <w:trPr>
          <w:trHeight w:val="212"/>
        </w:trPr>
        <w:tc>
          <w:tcPr>
            <w:tcW w:w="3080" w:type="dxa"/>
            <w:vAlign w:val="bottom"/>
            <w:tcBorders>
              <w:left w:val="single" w:sz="8" w:color="auto"/>
            </w:tcBorders>
            <w:gridSpan w:val="2"/>
          </w:tcPr>
          <w:p>
            <w:pPr>
              <w:ind w:left="20"/>
              <w:spacing w:after="0" w:line="212" w:lineRule="exact"/>
              <w:rPr>
                <w:sz w:val="20"/>
                <w:szCs w:val="20"/>
                <w:color w:val="auto"/>
              </w:rPr>
            </w:pPr>
            <w:r>
              <w:rPr>
                <w:rFonts w:ascii="Arial" w:cs="Arial" w:eastAsia="Arial" w:hAnsi="Arial"/>
                <w:sz w:val="20"/>
                <w:szCs w:val="20"/>
                <w:color w:val="auto"/>
              </w:rPr>
              <w:t>Investments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gridSpan w:val="3"/>
          </w:tcPr>
          <w:p>
            <w:pPr>
              <w:jc w:val="center"/>
              <w:ind w:right="31"/>
              <w:spacing w:after="0" w:line="212" w:lineRule="exact"/>
              <w:rPr>
                <w:sz w:val="20"/>
                <w:szCs w:val="20"/>
                <w:color w:val="auto"/>
              </w:rPr>
            </w:pPr>
            <w:r>
              <w:rPr>
                <w:rFonts w:ascii="Arial" w:cs="Arial" w:eastAsia="Arial" w:hAnsi="Arial"/>
                <w:sz w:val="20"/>
                <w:szCs w:val="20"/>
                <w:color w:val="auto"/>
                <w:w w:val="98"/>
              </w:rPr>
              <w:t>1,794,096</w:t>
            </w:r>
          </w:p>
        </w:tc>
        <w:tc>
          <w:tcPr>
            <w:tcW w:w="1100" w:type="dxa"/>
            <w:vAlign w:val="bottom"/>
          </w:tcPr>
          <w:p>
            <w:pPr>
              <w:jc w:val="center"/>
              <w:ind w:right="6"/>
              <w:spacing w:after="0" w:line="212" w:lineRule="exact"/>
              <w:rPr>
                <w:sz w:val="20"/>
                <w:szCs w:val="20"/>
                <w:color w:val="auto"/>
              </w:rPr>
            </w:pPr>
            <w:r>
              <w:rPr>
                <w:rFonts w:ascii="Arial" w:cs="Arial" w:eastAsia="Arial" w:hAnsi="Arial"/>
                <w:sz w:val="20"/>
                <w:szCs w:val="20"/>
                <w:color w:val="auto"/>
                <w:w w:val="98"/>
              </w:rPr>
              <w:t>1,562,065</w:t>
            </w:r>
          </w:p>
        </w:tc>
        <w:tc>
          <w:tcPr>
            <w:tcW w:w="110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8"/>
              </w:rPr>
              <w:t>1,548,424</w:t>
            </w:r>
          </w:p>
        </w:tc>
        <w:tc>
          <w:tcPr>
            <w:tcW w:w="880" w:type="dxa"/>
            <w:vAlign w:val="bottom"/>
          </w:tcPr>
          <w:p>
            <w:pPr>
              <w:jc w:val="center"/>
              <w:ind w:left="125"/>
              <w:spacing w:after="0" w:line="212" w:lineRule="exact"/>
              <w:rPr>
                <w:sz w:val="20"/>
                <w:szCs w:val="20"/>
                <w:color w:val="auto"/>
              </w:rPr>
            </w:pPr>
            <w:r>
              <w:rPr>
                <w:rFonts w:ascii="Arial" w:cs="Arial" w:eastAsia="Arial" w:hAnsi="Arial"/>
                <w:sz w:val="20"/>
                <w:szCs w:val="20"/>
                <w:color w:val="auto"/>
                <w:w w:val="95"/>
              </w:rPr>
              <w:t>-0.9%</w:t>
            </w:r>
          </w:p>
        </w:tc>
        <w:tc>
          <w:tcPr>
            <w:tcW w:w="1340" w:type="dxa"/>
            <w:vAlign w:val="bottom"/>
            <w:tcBorders>
              <w:right w:val="single" w:sz="8" w:color="auto"/>
            </w:tcBorders>
          </w:tcPr>
          <w:p>
            <w:pPr>
              <w:jc w:val="center"/>
              <w:ind w:left="106"/>
              <w:spacing w:after="0" w:line="212" w:lineRule="exact"/>
              <w:rPr>
                <w:sz w:val="20"/>
                <w:szCs w:val="20"/>
                <w:color w:val="auto"/>
              </w:rPr>
            </w:pPr>
            <w:r>
              <w:rPr>
                <w:rFonts w:ascii="Arial" w:cs="Arial" w:eastAsia="Arial" w:hAnsi="Arial"/>
                <w:sz w:val="20"/>
                <w:szCs w:val="20"/>
                <w:color w:val="auto"/>
                <w:w w:val="97"/>
              </w:rPr>
              <w:t>-13.7%</w:t>
            </w:r>
          </w:p>
        </w:tc>
        <w:tc>
          <w:tcPr>
            <w:tcW w:w="0" w:type="dxa"/>
            <w:vAlign w:val="bottom"/>
          </w:tcPr>
          <w:p>
            <w:pPr>
              <w:spacing w:after="0"/>
              <w:rPr>
                <w:sz w:val="1"/>
                <w:szCs w:val="1"/>
                <w:color w:val="auto"/>
              </w:rPr>
            </w:pPr>
          </w:p>
        </w:tc>
      </w:tr>
      <w:tr>
        <w:trPr>
          <w:trHeight w:val="216"/>
        </w:trPr>
        <w:tc>
          <w:tcPr>
            <w:tcW w:w="3080" w:type="dxa"/>
            <w:vAlign w:val="bottom"/>
            <w:tcBorders>
              <w:left w:val="single" w:sz="8" w:color="auto"/>
            </w:tcBorders>
            <w:gridSpan w:val="2"/>
          </w:tcPr>
          <w:p>
            <w:pPr>
              <w:ind w:left="20"/>
              <w:spacing w:after="0" w:line="216" w:lineRule="exact"/>
              <w:rPr>
                <w:sz w:val="20"/>
                <w:szCs w:val="20"/>
                <w:color w:val="auto"/>
              </w:rPr>
            </w:pPr>
            <w:r>
              <w:rPr>
                <w:rFonts w:ascii="Arial" w:cs="Arial" w:eastAsia="Arial" w:hAnsi="Arial"/>
                <w:sz w:val="20"/>
                <w:szCs w:val="20"/>
                <w:b w:val="1"/>
                <w:bCs w:val="1"/>
                <w:color w:val="auto"/>
              </w:rPr>
              <w:t>Total loans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gridSpan w:val="3"/>
          </w:tcPr>
          <w:p>
            <w:pPr>
              <w:jc w:val="center"/>
              <w:ind w:right="31"/>
              <w:spacing w:after="0" w:line="216" w:lineRule="exact"/>
              <w:rPr>
                <w:sz w:val="20"/>
                <w:szCs w:val="20"/>
                <w:color w:val="auto"/>
              </w:rPr>
            </w:pPr>
            <w:r>
              <w:rPr>
                <w:rFonts w:ascii="Arial" w:cs="Arial" w:eastAsia="Arial" w:hAnsi="Arial"/>
                <w:sz w:val="20"/>
                <w:szCs w:val="20"/>
                <w:b w:val="1"/>
                <w:bCs w:val="1"/>
                <w:color w:val="auto"/>
                <w:w w:val="98"/>
              </w:rPr>
              <w:t>9,919,102</w:t>
            </w:r>
          </w:p>
        </w:tc>
        <w:tc>
          <w:tcPr>
            <w:tcW w:w="1100" w:type="dxa"/>
            <w:vAlign w:val="bottom"/>
          </w:tcPr>
          <w:p>
            <w:pPr>
              <w:jc w:val="center"/>
              <w:ind w:right="6"/>
              <w:spacing w:after="0" w:line="216" w:lineRule="exact"/>
              <w:rPr>
                <w:sz w:val="20"/>
                <w:szCs w:val="20"/>
                <w:color w:val="auto"/>
              </w:rPr>
            </w:pPr>
            <w:r>
              <w:rPr>
                <w:rFonts w:ascii="Arial" w:cs="Arial" w:eastAsia="Arial" w:hAnsi="Arial"/>
                <w:sz w:val="20"/>
                <w:szCs w:val="20"/>
                <w:b w:val="1"/>
                <w:bCs w:val="1"/>
                <w:color w:val="auto"/>
                <w:w w:val="98"/>
              </w:rPr>
              <w:t>9,208,057</w:t>
            </w:r>
          </w:p>
        </w:tc>
        <w:tc>
          <w:tcPr>
            <w:tcW w:w="11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9,642,982</w:t>
            </w:r>
          </w:p>
        </w:tc>
        <w:tc>
          <w:tcPr>
            <w:tcW w:w="880" w:type="dxa"/>
            <w:vAlign w:val="bottom"/>
          </w:tcPr>
          <w:p>
            <w:pPr>
              <w:jc w:val="center"/>
              <w:ind w:left="125"/>
              <w:spacing w:after="0" w:line="216" w:lineRule="exact"/>
              <w:rPr>
                <w:sz w:val="20"/>
                <w:szCs w:val="20"/>
                <w:color w:val="auto"/>
              </w:rPr>
            </w:pPr>
            <w:r>
              <w:rPr>
                <w:rFonts w:ascii="Arial" w:cs="Arial" w:eastAsia="Arial" w:hAnsi="Arial"/>
                <w:sz w:val="20"/>
                <w:szCs w:val="20"/>
                <w:b w:val="1"/>
                <w:bCs w:val="1"/>
                <w:color w:val="auto"/>
              </w:rPr>
              <w:t>4.7%</w:t>
            </w:r>
          </w:p>
        </w:tc>
        <w:tc>
          <w:tcPr>
            <w:tcW w:w="1340" w:type="dxa"/>
            <w:vAlign w:val="bottom"/>
            <w:tcBorders>
              <w:right w:val="single" w:sz="8" w:color="auto"/>
            </w:tcBorders>
          </w:tcPr>
          <w:p>
            <w:pPr>
              <w:jc w:val="center"/>
              <w:ind w:left="86"/>
              <w:spacing w:after="0" w:line="216" w:lineRule="exact"/>
              <w:rPr>
                <w:sz w:val="20"/>
                <w:szCs w:val="20"/>
                <w:color w:val="auto"/>
              </w:rPr>
            </w:pPr>
            <w:r>
              <w:rPr>
                <w:rFonts w:ascii="Arial" w:cs="Arial" w:eastAsia="Arial" w:hAnsi="Arial"/>
                <w:sz w:val="20"/>
                <w:szCs w:val="20"/>
                <w:b w:val="1"/>
                <w:bCs w:val="1"/>
                <w:color w:val="auto"/>
                <w:w w:val="99"/>
              </w:rPr>
              <w:t>-2.8%</w:t>
            </w:r>
          </w:p>
        </w:tc>
        <w:tc>
          <w:tcPr>
            <w:tcW w:w="0" w:type="dxa"/>
            <w:vAlign w:val="bottom"/>
          </w:tcPr>
          <w:p>
            <w:pPr>
              <w:spacing w:after="0"/>
              <w:rPr>
                <w:sz w:val="1"/>
                <w:szCs w:val="1"/>
                <w:color w:val="auto"/>
              </w:rPr>
            </w:pPr>
          </w:p>
        </w:tc>
      </w:tr>
      <w:tr>
        <w:trPr>
          <w:trHeight w:val="214"/>
        </w:trPr>
        <w:tc>
          <w:tcPr>
            <w:tcW w:w="3080" w:type="dxa"/>
            <w:vAlign w:val="bottom"/>
            <w:tcBorders>
              <w:left w:val="single" w:sz="8" w:color="auto"/>
            </w:tcBorders>
            <w:gridSpan w:val="2"/>
          </w:tcPr>
          <w:p>
            <w:pPr>
              <w:ind w:left="180"/>
              <w:spacing w:after="0" w:line="214" w:lineRule="exact"/>
              <w:rPr>
                <w:sz w:val="20"/>
                <w:szCs w:val="20"/>
                <w:color w:val="auto"/>
              </w:rPr>
            </w:pPr>
            <w:r>
              <w:rPr>
                <w:rFonts w:ascii="Arial" w:cs="Arial" w:eastAsia="Arial" w:hAnsi="Arial"/>
                <w:sz w:val="20"/>
                <w:szCs w:val="20"/>
                <w:color w:val="auto"/>
              </w:rPr>
              <w:t>Current</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gridSpan w:val="3"/>
          </w:tcPr>
          <w:p>
            <w:pPr>
              <w:jc w:val="center"/>
              <w:ind w:right="31"/>
              <w:spacing w:after="0" w:line="214" w:lineRule="exact"/>
              <w:rPr>
                <w:sz w:val="20"/>
                <w:szCs w:val="20"/>
                <w:color w:val="auto"/>
              </w:rPr>
            </w:pPr>
            <w:r>
              <w:rPr>
                <w:rFonts w:ascii="Arial" w:cs="Arial" w:eastAsia="Arial" w:hAnsi="Arial"/>
                <w:sz w:val="20"/>
                <w:szCs w:val="20"/>
                <w:color w:val="auto"/>
                <w:w w:val="98"/>
              </w:rPr>
              <w:t>9,782,780</w:t>
            </w:r>
          </w:p>
        </w:tc>
        <w:tc>
          <w:tcPr>
            <w:tcW w:w="1100" w:type="dxa"/>
            <w:vAlign w:val="bottom"/>
          </w:tcPr>
          <w:p>
            <w:pPr>
              <w:jc w:val="center"/>
              <w:ind w:right="6"/>
              <w:spacing w:after="0" w:line="214" w:lineRule="exact"/>
              <w:rPr>
                <w:sz w:val="20"/>
                <w:szCs w:val="20"/>
                <w:color w:val="auto"/>
              </w:rPr>
            </w:pPr>
            <w:r>
              <w:rPr>
                <w:rFonts w:ascii="Arial" w:cs="Arial" w:eastAsia="Arial" w:hAnsi="Arial"/>
                <w:sz w:val="20"/>
                <w:szCs w:val="20"/>
                <w:color w:val="auto"/>
                <w:w w:val="98"/>
              </w:rPr>
              <w:t>8,987,381</w:t>
            </w:r>
          </w:p>
        </w:tc>
        <w:tc>
          <w:tcPr>
            <w:tcW w:w="11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9,411,840</w:t>
            </w:r>
          </w:p>
        </w:tc>
        <w:tc>
          <w:tcPr>
            <w:tcW w:w="880" w:type="dxa"/>
            <w:vAlign w:val="bottom"/>
          </w:tcPr>
          <w:p>
            <w:pPr>
              <w:jc w:val="center"/>
              <w:ind w:left="125"/>
              <w:spacing w:after="0" w:line="214" w:lineRule="exact"/>
              <w:rPr>
                <w:sz w:val="20"/>
                <w:szCs w:val="20"/>
                <w:color w:val="auto"/>
              </w:rPr>
            </w:pPr>
            <w:r>
              <w:rPr>
                <w:rFonts w:ascii="Arial" w:cs="Arial" w:eastAsia="Arial" w:hAnsi="Arial"/>
                <w:sz w:val="20"/>
                <w:szCs w:val="20"/>
                <w:color w:val="auto"/>
              </w:rPr>
              <w:t>4.7%</w:t>
            </w:r>
          </w:p>
        </w:tc>
        <w:tc>
          <w:tcPr>
            <w:tcW w:w="1340" w:type="dxa"/>
            <w:vAlign w:val="bottom"/>
            <w:tcBorders>
              <w:right w:val="single" w:sz="8" w:color="auto"/>
            </w:tcBorders>
          </w:tcPr>
          <w:p>
            <w:pPr>
              <w:jc w:val="center"/>
              <w:ind w:left="86"/>
              <w:spacing w:after="0" w:line="214" w:lineRule="exact"/>
              <w:rPr>
                <w:sz w:val="20"/>
                <w:szCs w:val="20"/>
                <w:color w:val="auto"/>
              </w:rPr>
            </w:pPr>
            <w:r>
              <w:rPr>
                <w:rFonts w:ascii="Arial" w:cs="Arial" w:eastAsia="Arial" w:hAnsi="Arial"/>
                <w:sz w:val="20"/>
                <w:szCs w:val="20"/>
                <w:color w:val="auto"/>
                <w:w w:val="99"/>
              </w:rPr>
              <w:t>-3.8%</w:t>
            </w:r>
          </w:p>
        </w:tc>
        <w:tc>
          <w:tcPr>
            <w:tcW w:w="0" w:type="dxa"/>
            <w:vAlign w:val="bottom"/>
          </w:tcPr>
          <w:p>
            <w:pPr>
              <w:spacing w:after="0"/>
              <w:rPr>
                <w:sz w:val="1"/>
                <w:szCs w:val="1"/>
                <w:color w:val="auto"/>
              </w:rPr>
            </w:pPr>
          </w:p>
        </w:tc>
      </w:tr>
      <w:tr>
        <w:trPr>
          <w:trHeight w:val="214"/>
        </w:trPr>
        <w:tc>
          <w:tcPr>
            <w:tcW w:w="3080" w:type="dxa"/>
            <w:vAlign w:val="bottom"/>
            <w:tcBorders>
              <w:left w:val="single" w:sz="8" w:color="auto"/>
            </w:tcBorders>
            <w:gridSpan w:val="2"/>
          </w:tcPr>
          <w:p>
            <w:pPr>
              <w:ind w:left="180"/>
              <w:spacing w:after="0" w:line="214" w:lineRule="exact"/>
              <w:rPr>
                <w:sz w:val="20"/>
                <w:szCs w:val="20"/>
                <w:color w:val="auto"/>
              </w:rPr>
            </w:pPr>
            <w:r>
              <w:rPr>
                <w:rFonts w:ascii="Arial" w:cs="Arial" w:eastAsia="Arial" w:hAnsi="Arial"/>
                <w:sz w:val="20"/>
                <w:szCs w:val="20"/>
                <w:color w:val="auto"/>
              </w:rPr>
              <w:t>Internal overdue loans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1"/>
              <w:spacing w:after="0" w:line="214" w:lineRule="exact"/>
              <w:rPr>
                <w:sz w:val="20"/>
                <w:szCs w:val="20"/>
                <w:color w:val="auto"/>
              </w:rPr>
            </w:pPr>
            <w:r>
              <w:rPr>
                <w:rFonts w:ascii="Arial" w:cs="Arial" w:eastAsia="Arial" w:hAnsi="Arial"/>
                <w:sz w:val="20"/>
                <w:szCs w:val="20"/>
                <w:color w:val="auto"/>
                <w:w w:val="98"/>
              </w:rPr>
              <w:t>95,751</w:t>
            </w:r>
          </w:p>
        </w:tc>
        <w:tc>
          <w:tcPr>
            <w:tcW w:w="1100" w:type="dxa"/>
            <w:vAlign w:val="bottom"/>
          </w:tcPr>
          <w:p>
            <w:pPr>
              <w:jc w:val="center"/>
              <w:ind w:right="6"/>
              <w:spacing w:after="0" w:line="214" w:lineRule="exact"/>
              <w:rPr>
                <w:sz w:val="20"/>
                <w:szCs w:val="20"/>
                <w:color w:val="auto"/>
              </w:rPr>
            </w:pPr>
            <w:r>
              <w:rPr>
                <w:rFonts w:ascii="Arial" w:cs="Arial" w:eastAsia="Arial" w:hAnsi="Arial"/>
                <w:sz w:val="20"/>
                <w:szCs w:val="20"/>
                <w:color w:val="auto"/>
                <w:w w:val="99"/>
              </w:rPr>
              <w:t>191,007</w:t>
            </w:r>
          </w:p>
        </w:tc>
        <w:tc>
          <w:tcPr>
            <w:tcW w:w="11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203,915</w:t>
            </w:r>
          </w:p>
        </w:tc>
        <w:tc>
          <w:tcPr>
            <w:tcW w:w="880" w:type="dxa"/>
            <w:vAlign w:val="bottom"/>
          </w:tcPr>
          <w:p>
            <w:pPr>
              <w:jc w:val="center"/>
              <w:ind w:left="125"/>
              <w:spacing w:after="0" w:line="214" w:lineRule="exact"/>
              <w:rPr>
                <w:sz w:val="20"/>
                <w:szCs w:val="20"/>
                <w:color w:val="auto"/>
              </w:rPr>
            </w:pPr>
            <w:r>
              <w:rPr>
                <w:rFonts w:ascii="Arial" w:cs="Arial" w:eastAsia="Arial" w:hAnsi="Arial"/>
                <w:sz w:val="20"/>
                <w:szCs w:val="20"/>
                <w:color w:val="auto"/>
              </w:rPr>
              <w:t>6.8%</w:t>
            </w:r>
          </w:p>
        </w:tc>
        <w:tc>
          <w:tcPr>
            <w:tcW w:w="1340" w:type="dxa"/>
            <w:vAlign w:val="bottom"/>
            <w:tcBorders>
              <w:right w:val="single" w:sz="8" w:color="auto"/>
            </w:tcBorders>
          </w:tcPr>
          <w:p>
            <w:pPr>
              <w:jc w:val="center"/>
              <w:ind w:left="106"/>
              <w:spacing w:after="0" w:line="214" w:lineRule="exact"/>
              <w:rPr>
                <w:sz w:val="20"/>
                <w:szCs w:val="20"/>
                <w:color w:val="auto"/>
              </w:rPr>
            </w:pPr>
            <w:r>
              <w:rPr>
                <w:rFonts w:ascii="Arial" w:cs="Arial" w:eastAsia="Arial" w:hAnsi="Arial"/>
                <w:sz w:val="20"/>
                <w:szCs w:val="20"/>
                <w:color w:val="auto"/>
                <w:w w:val="97"/>
              </w:rPr>
              <w:t>113.0%</w:t>
            </w:r>
          </w:p>
        </w:tc>
        <w:tc>
          <w:tcPr>
            <w:tcW w:w="0" w:type="dxa"/>
            <w:vAlign w:val="bottom"/>
          </w:tcPr>
          <w:p>
            <w:pPr>
              <w:spacing w:after="0"/>
              <w:rPr>
                <w:sz w:val="1"/>
                <w:szCs w:val="1"/>
                <w:color w:val="auto"/>
              </w:rPr>
            </w:pPr>
          </w:p>
        </w:tc>
      </w:tr>
      <w:tr>
        <w:trPr>
          <w:trHeight w:val="214"/>
        </w:trPr>
        <w:tc>
          <w:tcPr>
            <w:tcW w:w="3080" w:type="dxa"/>
            <w:vAlign w:val="bottom"/>
            <w:tcBorders>
              <w:left w:val="single" w:sz="8" w:color="auto"/>
            </w:tcBorders>
            <w:gridSpan w:val="2"/>
          </w:tcPr>
          <w:p>
            <w:pPr>
              <w:ind w:left="180"/>
              <w:spacing w:after="0" w:line="214" w:lineRule="exact"/>
              <w:rPr>
                <w:sz w:val="20"/>
                <w:szCs w:val="20"/>
                <w:color w:val="auto"/>
              </w:rPr>
            </w:pPr>
            <w:r>
              <w:rPr>
                <w:rFonts w:ascii="Arial" w:cs="Arial" w:eastAsia="Arial" w:hAnsi="Arial"/>
                <w:sz w:val="20"/>
                <w:szCs w:val="20"/>
                <w:color w:val="auto"/>
              </w:rPr>
              <w:t>Refinanced</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1"/>
              <w:spacing w:after="0" w:line="214" w:lineRule="exact"/>
              <w:rPr>
                <w:sz w:val="20"/>
                <w:szCs w:val="20"/>
                <w:color w:val="auto"/>
              </w:rPr>
            </w:pPr>
            <w:r>
              <w:rPr>
                <w:rFonts w:ascii="Arial" w:cs="Arial" w:eastAsia="Arial" w:hAnsi="Arial"/>
                <w:sz w:val="20"/>
                <w:szCs w:val="20"/>
                <w:color w:val="auto"/>
                <w:w w:val="98"/>
              </w:rPr>
              <w:t>40,572</w:t>
            </w:r>
          </w:p>
        </w:tc>
        <w:tc>
          <w:tcPr>
            <w:tcW w:w="1100" w:type="dxa"/>
            <w:vAlign w:val="bottom"/>
          </w:tcPr>
          <w:p>
            <w:pPr>
              <w:jc w:val="center"/>
              <w:ind w:right="6"/>
              <w:spacing w:after="0" w:line="214" w:lineRule="exact"/>
              <w:rPr>
                <w:sz w:val="20"/>
                <w:szCs w:val="20"/>
                <w:color w:val="auto"/>
              </w:rPr>
            </w:pPr>
            <w:r>
              <w:rPr>
                <w:rFonts w:ascii="Arial" w:cs="Arial" w:eastAsia="Arial" w:hAnsi="Arial"/>
                <w:sz w:val="20"/>
                <w:szCs w:val="20"/>
                <w:color w:val="auto"/>
                <w:w w:val="98"/>
              </w:rPr>
              <w:t>29,669</w:t>
            </w:r>
          </w:p>
        </w:tc>
        <w:tc>
          <w:tcPr>
            <w:tcW w:w="11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27,227</w:t>
            </w:r>
          </w:p>
        </w:tc>
        <w:tc>
          <w:tcPr>
            <w:tcW w:w="880" w:type="dxa"/>
            <w:vAlign w:val="bottom"/>
          </w:tcPr>
          <w:p>
            <w:pPr>
              <w:jc w:val="center"/>
              <w:ind w:left="125"/>
              <w:spacing w:after="0" w:line="214" w:lineRule="exact"/>
              <w:rPr>
                <w:sz w:val="20"/>
                <w:szCs w:val="20"/>
                <w:color w:val="auto"/>
              </w:rPr>
            </w:pPr>
            <w:r>
              <w:rPr>
                <w:rFonts w:ascii="Arial" w:cs="Arial" w:eastAsia="Arial" w:hAnsi="Arial"/>
                <w:sz w:val="20"/>
                <w:szCs w:val="20"/>
                <w:color w:val="auto"/>
                <w:w w:val="95"/>
              </w:rPr>
              <w:t>-8.2%</w:t>
            </w:r>
          </w:p>
        </w:tc>
        <w:tc>
          <w:tcPr>
            <w:tcW w:w="1340" w:type="dxa"/>
            <w:vAlign w:val="bottom"/>
            <w:tcBorders>
              <w:right w:val="single" w:sz="8" w:color="auto"/>
            </w:tcBorders>
          </w:tcPr>
          <w:p>
            <w:pPr>
              <w:jc w:val="center"/>
              <w:ind w:left="106"/>
              <w:spacing w:after="0" w:line="214" w:lineRule="exact"/>
              <w:rPr>
                <w:sz w:val="20"/>
                <w:szCs w:val="20"/>
                <w:color w:val="auto"/>
              </w:rPr>
            </w:pPr>
            <w:r>
              <w:rPr>
                <w:rFonts w:ascii="Arial" w:cs="Arial" w:eastAsia="Arial" w:hAnsi="Arial"/>
                <w:sz w:val="20"/>
                <w:szCs w:val="20"/>
                <w:color w:val="auto"/>
                <w:w w:val="97"/>
              </w:rPr>
              <w:t>-32.9%</w:t>
            </w:r>
          </w:p>
        </w:tc>
        <w:tc>
          <w:tcPr>
            <w:tcW w:w="0" w:type="dxa"/>
            <w:vAlign w:val="bottom"/>
          </w:tcPr>
          <w:p>
            <w:pPr>
              <w:spacing w:after="0"/>
              <w:rPr>
                <w:sz w:val="1"/>
                <w:szCs w:val="1"/>
                <w:color w:val="auto"/>
              </w:rPr>
            </w:pPr>
          </w:p>
        </w:tc>
      </w:tr>
      <w:tr>
        <w:trPr>
          <w:trHeight w:val="212"/>
        </w:trPr>
        <w:tc>
          <w:tcPr>
            <w:tcW w:w="3080" w:type="dxa"/>
            <w:vAlign w:val="bottom"/>
            <w:tcBorders>
              <w:left w:val="single" w:sz="8" w:color="auto"/>
            </w:tcBorders>
            <w:gridSpan w:val="2"/>
          </w:tcPr>
          <w:p>
            <w:pPr>
              <w:ind w:left="180"/>
              <w:spacing w:after="0" w:line="212" w:lineRule="exact"/>
              <w:rPr>
                <w:sz w:val="20"/>
                <w:szCs w:val="20"/>
                <w:color w:val="auto"/>
              </w:rPr>
            </w:pPr>
            <w:r>
              <w:rPr>
                <w:rFonts w:ascii="Arial" w:cs="Arial" w:eastAsia="Arial" w:hAnsi="Arial"/>
                <w:sz w:val="20"/>
                <w:szCs w:val="20"/>
                <w:color w:val="auto"/>
              </w:rPr>
              <w:t>Allowance for loan losses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1"/>
              <w:spacing w:after="0" w:line="212" w:lineRule="exact"/>
              <w:rPr>
                <w:sz w:val="20"/>
                <w:szCs w:val="20"/>
                <w:color w:val="auto"/>
              </w:rPr>
            </w:pPr>
            <w:r>
              <w:rPr>
                <w:rFonts w:ascii="Arial" w:cs="Arial" w:eastAsia="Arial" w:hAnsi="Arial"/>
                <w:sz w:val="20"/>
                <w:szCs w:val="20"/>
                <w:color w:val="auto"/>
                <w:w w:val="98"/>
              </w:rPr>
              <w:t>(467,583)</w:t>
            </w:r>
          </w:p>
        </w:tc>
        <w:tc>
          <w:tcPr>
            <w:tcW w:w="1100" w:type="dxa"/>
            <w:vAlign w:val="bottom"/>
          </w:tcPr>
          <w:p>
            <w:pPr>
              <w:jc w:val="center"/>
              <w:ind w:right="6"/>
              <w:spacing w:after="0" w:line="212" w:lineRule="exact"/>
              <w:rPr>
                <w:sz w:val="20"/>
                <w:szCs w:val="20"/>
                <w:color w:val="auto"/>
              </w:rPr>
            </w:pPr>
            <w:r>
              <w:rPr>
                <w:rFonts w:ascii="Arial" w:cs="Arial" w:eastAsia="Arial" w:hAnsi="Arial"/>
                <w:sz w:val="20"/>
                <w:szCs w:val="20"/>
                <w:color w:val="auto"/>
                <w:w w:val="98"/>
              </w:rPr>
              <w:t>(413,446)</w:t>
            </w:r>
          </w:p>
        </w:tc>
        <w:tc>
          <w:tcPr>
            <w:tcW w:w="110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8"/>
              </w:rPr>
              <w:t>(414,697)</w:t>
            </w:r>
          </w:p>
        </w:tc>
        <w:tc>
          <w:tcPr>
            <w:tcW w:w="880" w:type="dxa"/>
            <w:vAlign w:val="bottom"/>
          </w:tcPr>
          <w:p>
            <w:pPr>
              <w:jc w:val="center"/>
              <w:ind w:left="125"/>
              <w:spacing w:after="0" w:line="212" w:lineRule="exact"/>
              <w:rPr>
                <w:sz w:val="20"/>
                <w:szCs w:val="20"/>
                <w:color w:val="auto"/>
              </w:rPr>
            </w:pPr>
            <w:r>
              <w:rPr>
                <w:rFonts w:ascii="Arial" w:cs="Arial" w:eastAsia="Arial" w:hAnsi="Arial"/>
                <w:sz w:val="20"/>
                <w:szCs w:val="20"/>
                <w:color w:val="auto"/>
              </w:rPr>
              <w:t>0.3%</w:t>
            </w:r>
          </w:p>
        </w:tc>
        <w:tc>
          <w:tcPr>
            <w:tcW w:w="1340" w:type="dxa"/>
            <w:vAlign w:val="bottom"/>
            <w:tcBorders>
              <w:right w:val="single" w:sz="8" w:color="auto"/>
            </w:tcBorders>
          </w:tcPr>
          <w:p>
            <w:pPr>
              <w:jc w:val="center"/>
              <w:ind w:left="86"/>
              <w:spacing w:after="0" w:line="212" w:lineRule="exact"/>
              <w:rPr>
                <w:sz w:val="20"/>
                <w:szCs w:val="20"/>
                <w:color w:val="auto"/>
              </w:rPr>
            </w:pPr>
            <w:r>
              <w:rPr>
                <w:rFonts w:ascii="Arial" w:cs="Arial" w:eastAsia="Arial" w:hAnsi="Arial"/>
                <w:sz w:val="20"/>
                <w:szCs w:val="20"/>
                <w:color w:val="auto"/>
                <w:w w:val="94"/>
              </w:rPr>
              <w:t>-11.3%</w:t>
            </w:r>
          </w:p>
        </w:tc>
        <w:tc>
          <w:tcPr>
            <w:tcW w:w="0" w:type="dxa"/>
            <w:vAlign w:val="bottom"/>
          </w:tcPr>
          <w:p>
            <w:pPr>
              <w:spacing w:after="0"/>
              <w:rPr>
                <w:sz w:val="1"/>
                <w:szCs w:val="1"/>
                <w:color w:val="auto"/>
              </w:rPr>
            </w:pPr>
          </w:p>
        </w:tc>
      </w:tr>
      <w:tr>
        <w:trPr>
          <w:trHeight w:val="216"/>
        </w:trPr>
        <w:tc>
          <w:tcPr>
            <w:tcW w:w="3080" w:type="dxa"/>
            <w:vAlign w:val="bottom"/>
            <w:tcBorders>
              <w:left w:val="single" w:sz="8" w:color="auto"/>
            </w:tcBorders>
            <w:gridSpan w:val="2"/>
          </w:tcPr>
          <w:p>
            <w:pPr>
              <w:ind w:left="20"/>
              <w:spacing w:after="0" w:line="216" w:lineRule="exact"/>
              <w:rPr>
                <w:sz w:val="20"/>
                <w:szCs w:val="20"/>
                <w:color w:val="auto"/>
              </w:rPr>
            </w:pPr>
            <w:r>
              <w:rPr>
                <w:rFonts w:ascii="Arial" w:cs="Arial" w:eastAsia="Arial" w:hAnsi="Arial"/>
                <w:sz w:val="20"/>
                <w:szCs w:val="20"/>
                <w:b w:val="1"/>
                <w:bCs w:val="1"/>
                <w:color w:val="auto"/>
              </w:rPr>
              <w:t>Net loans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gridSpan w:val="3"/>
          </w:tcPr>
          <w:p>
            <w:pPr>
              <w:jc w:val="center"/>
              <w:ind w:right="31"/>
              <w:spacing w:after="0" w:line="216" w:lineRule="exact"/>
              <w:rPr>
                <w:sz w:val="20"/>
                <w:szCs w:val="20"/>
                <w:color w:val="auto"/>
              </w:rPr>
            </w:pPr>
            <w:r>
              <w:rPr>
                <w:rFonts w:ascii="Arial" w:cs="Arial" w:eastAsia="Arial" w:hAnsi="Arial"/>
                <w:sz w:val="20"/>
                <w:szCs w:val="20"/>
                <w:b w:val="1"/>
                <w:bCs w:val="1"/>
                <w:color w:val="auto"/>
                <w:w w:val="98"/>
              </w:rPr>
              <w:t>9,451,520</w:t>
            </w:r>
          </w:p>
        </w:tc>
        <w:tc>
          <w:tcPr>
            <w:tcW w:w="1100" w:type="dxa"/>
            <w:vAlign w:val="bottom"/>
          </w:tcPr>
          <w:p>
            <w:pPr>
              <w:jc w:val="center"/>
              <w:ind w:right="26"/>
              <w:spacing w:after="0" w:line="216" w:lineRule="exact"/>
              <w:rPr>
                <w:sz w:val="20"/>
                <w:szCs w:val="20"/>
                <w:color w:val="auto"/>
              </w:rPr>
            </w:pPr>
            <w:r>
              <w:rPr>
                <w:rFonts w:ascii="Arial" w:cs="Arial" w:eastAsia="Arial" w:hAnsi="Arial"/>
                <w:sz w:val="20"/>
                <w:szCs w:val="20"/>
                <w:b w:val="1"/>
                <w:bCs w:val="1"/>
                <w:color w:val="auto"/>
                <w:w w:val="96"/>
              </w:rPr>
              <w:t>8,794,611</w:t>
            </w:r>
          </w:p>
        </w:tc>
        <w:tc>
          <w:tcPr>
            <w:tcW w:w="110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9,228,285</w:t>
            </w:r>
          </w:p>
        </w:tc>
        <w:tc>
          <w:tcPr>
            <w:tcW w:w="880" w:type="dxa"/>
            <w:vAlign w:val="bottom"/>
          </w:tcPr>
          <w:p>
            <w:pPr>
              <w:jc w:val="center"/>
              <w:ind w:left="125"/>
              <w:spacing w:after="0" w:line="216" w:lineRule="exact"/>
              <w:rPr>
                <w:sz w:val="20"/>
                <w:szCs w:val="20"/>
                <w:color w:val="auto"/>
              </w:rPr>
            </w:pPr>
            <w:r>
              <w:rPr>
                <w:rFonts w:ascii="Arial" w:cs="Arial" w:eastAsia="Arial" w:hAnsi="Arial"/>
                <w:sz w:val="20"/>
                <w:szCs w:val="20"/>
                <w:b w:val="1"/>
                <w:bCs w:val="1"/>
                <w:color w:val="auto"/>
              </w:rPr>
              <w:t>4.9%</w:t>
            </w:r>
          </w:p>
        </w:tc>
        <w:tc>
          <w:tcPr>
            <w:tcW w:w="1340" w:type="dxa"/>
            <w:vAlign w:val="bottom"/>
            <w:tcBorders>
              <w:right w:val="single" w:sz="8" w:color="auto"/>
            </w:tcBorders>
          </w:tcPr>
          <w:p>
            <w:pPr>
              <w:jc w:val="center"/>
              <w:ind w:left="86"/>
              <w:spacing w:after="0" w:line="216" w:lineRule="exact"/>
              <w:rPr>
                <w:sz w:val="20"/>
                <w:szCs w:val="20"/>
                <w:color w:val="auto"/>
              </w:rPr>
            </w:pPr>
            <w:r>
              <w:rPr>
                <w:rFonts w:ascii="Arial" w:cs="Arial" w:eastAsia="Arial" w:hAnsi="Arial"/>
                <w:sz w:val="20"/>
                <w:szCs w:val="20"/>
                <w:b w:val="1"/>
                <w:bCs w:val="1"/>
                <w:color w:val="auto"/>
                <w:w w:val="99"/>
              </w:rPr>
              <w:t>-2.4%</w:t>
            </w:r>
          </w:p>
        </w:tc>
        <w:tc>
          <w:tcPr>
            <w:tcW w:w="0" w:type="dxa"/>
            <w:vAlign w:val="bottom"/>
          </w:tcPr>
          <w:p>
            <w:pPr>
              <w:spacing w:after="0"/>
              <w:rPr>
                <w:sz w:val="1"/>
                <w:szCs w:val="1"/>
                <w:color w:val="auto"/>
              </w:rPr>
            </w:pPr>
          </w:p>
        </w:tc>
      </w:tr>
      <w:tr>
        <w:trPr>
          <w:trHeight w:val="214"/>
        </w:trPr>
        <w:tc>
          <w:tcPr>
            <w:tcW w:w="3080" w:type="dxa"/>
            <w:vAlign w:val="bottom"/>
            <w:tcBorders>
              <w:left w:val="single" w:sz="8" w:color="auto"/>
            </w:tcBorders>
            <w:gridSpan w:val="2"/>
          </w:tcPr>
          <w:p>
            <w:pPr>
              <w:ind w:left="20"/>
              <w:spacing w:after="0" w:line="214" w:lineRule="exact"/>
              <w:rPr>
                <w:sz w:val="20"/>
                <w:szCs w:val="20"/>
                <w:color w:val="auto"/>
              </w:rPr>
            </w:pPr>
            <w:r>
              <w:rPr>
                <w:rFonts w:ascii="Arial" w:cs="Arial" w:eastAsia="Arial" w:hAnsi="Arial"/>
                <w:sz w:val="20"/>
                <w:szCs w:val="20"/>
                <w:color w:val="auto"/>
                <w:w w:val="99"/>
              </w:rPr>
              <w:t>Property, plant and equipment, net</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1"/>
              <w:spacing w:after="0" w:line="214" w:lineRule="exact"/>
              <w:rPr>
                <w:sz w:val="20"/>
                <w:szCs w:val="20"/>
                <w:color w:val="auto"/>
              </w:rPr>
            </w:pPr>
            <w:r>
              <w:rPr>
                <w:rFonts w:ascii="Arial" w:cs="Arial" w:eastAsia="Arial" w:hAnsi="Arial"/>
                <w:sz w:val="20"/>
                <w:szCs w:val="20"/>
                <w:color w:val="auto"/>
                <w:w w:val="98"/>
              </w:rPr>
              <w:t>61,986</w:t>
            </w:r>
          </w:p>
        </w:tc>
        <w:tc>
          <w:tcPr>
            <w:tcW w:w="1100" w:type="dxa"/>
            <w:vAlign w:val="bottom"/>
          </w:tcPr>
          <w:p>
            <w:pPr>
              <w:jc w:val="center"/>
              <w:ind w:right="6"/>
              <w:spacing w:after="0" w:line="214" w:lineRule="exact"/>
              <w:rPr>
                <w:sz w:val="20"/>
                <w:szCs w:val="20"/>
                <w:color w:val="auto"/>
              </w:rPr>
            </w:pPr>
            <w:r>
              <w:rPr>
                <w:rFonts w:ascii="Arial" w:cs="Arial" w:eastAsia="Arial" w:hAnsi="Arial"/>
                <w:sz w:val="20"/>
                <w:szCs w:val="20"/>
                <w:color w:val="auto"/>
                <w:w w:val="98"/>
              </w:rPr>
              <w:t>64,017</w:t>
            </w:r>
          </w:p>
        </w:tc>
        <w:tc>
          <w:tcPr>
            <w:tcW w:w="11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66,016</w:t>
            </w:r>
          </w:p>
        </w:tc>
        <w:tc>
          <w:tcPr>
            <w:tcW w:w="880" w:type="dxa"/>
            <w:vAlign w:val="bottom"/>
          </w:tcPr>
          <w:p>
            <w:pPr>
              <w:jc w:val="center"/>
              <w:ind w:left="125"/>
              <w:spacing w:after="0" w:line="214" w:lineRule="exact"/>
              <w:rPr>
                <w:sz w:val="20"/>
                <w:szCs w:val="20"/>
                <w:color w:val="auto"/>
              </w:rPr>
            </w:pPr>
            <w:r>
              <w:rPr>
                <w:rFonts w:ascii="Arial" w:cs="Arial" w:eastAsia="Arial" w:hAnsi="Arial"/>
                <w:sz w:val="20"/>
                <w:szCs w:val="20"/>
                <w:color w:val="auto"/>
              </w:rPr>
              <w:t>3.1%</w:t>
            </w:r>
          </w:p>
        </w:tc>
        <w:tc>
          <w:tcPr>
            <w:tcW w:w="1340" w:type="dxa"/>
            <w:vAlign w:val="bottom"/>
            <w:tcBorders>
              <w:right w:val="single" w:sz="8" w:color="auto"/>
            </w:tcBorders>
          </w:tcPr>
          <w:p>
            <w:pPr>
              <w:jc w:val="center"/>
              <w:ind w:left="86"/>
              <w:spacing w:after="0" w:line="214" w:lineRule="exact"/>
              <w:rPr>
                <w:sz w:val="20"/>
                <w:szCs w:val="20"/>
                <w:color w:val="auto"/>
              </w:rPr>
            </w:pPr>
            <w:r>
              <w:rPr>
                <w:rFonts w:ascii="Arial" w:cs="Arial" w:eastAsia="Arial" w:hAnsi="Arial"/>
                <w:sz w:val="20"/>
                <w:szCs w:val="20"/>
                <w:color w:val="auto"/>
                <w:w w:val="96"/>
              </w:rPr>
              <w:t>6.5%</w:t>
            </w:r>
          </w:p>
        </w:tc>
        <w:tc>
          <w:tcPr>
            <w:tcW w:w="0" w:type="dxa"/>
            <w:vAlign w:val="bottom"/>
          </w:tcPr>
          <w:p>
            <w:pPr>
              <w:spacing w:after="0"/>
              <w:rPr>
                <w:sz w:val="1"/>
                <w:szCs w:val="1"/>
                <w:color w:val="auto"/>
              </w:rPr>
            </w:pPr>
          </w:p>
        </w:tc>
      </w:tr>
      <w:tr>
        <w:trPr>
          <w:trHeight w:val="212"/>
        </w:trPr>
        <w:tc>
          <w:tcPr>
            <w:tcW w:w="3080" w:type="dxa"/>
            <w:vAlign w:val="bottom"/>
            <w:tcBorders>
              <w:left w:val="single" w:sz="8" w:color="auto"/>
            </w:tcBorders>
            <w:gridSpan w:val="2"/>
          </w:tcPr>
          <w:p>
            <w:pPr>
              <w:ind w:left="20"/>
              <w:spacing w:after="0" w:line="212" w:lineRule="exact"/>
              <w:rPr>
                <w:sz w:val="20"/>
                <w:szCs w:val="20"/>
                <w:color w:val="auto"/>
              </w:rPr>
            </w:pPr>
            <w:r>
              <w:rPr>
                <w:rFonts w:ascii="Arial" w:cs="Arial" w:eastAsia="Arial" w:hAnsi="Arial"/>
                <w:sz w:val="20"/>
                <w:szCs w:val="20"/>
                <w:color w:val="auto"/>
              </w:rPr>
              <w:t>Other assets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1"/>
              <w:spacing w:after="0" w:line="212" w:lineRule="exact"/>
              <w:rPr>
                <w:sz w:val="20"/>
                <w:szCs w:val="20"/>
                <w:color w:val="auto"/>
              </w:rPr>
            </w:pPr>
            <w:r>
              <w:rPr>
                <w:rFonts w:ascii="Arial" w:cs="Arial" w:eastAsia="Arial" w:hAnsi="Arial"/>
                <w:sz w:val="20"/>
                <w:szCs w:val="20"/>
                <w:color w:val="auto"/>
                <w:w w:val="99"/>
              </w:rPr>
              <w:t>414,892</w:t>
            </w:r>
          </w:p>
        </w:tc>
        <w:tc>
          <w:tcPr>
            <w:tcW w:w="1100" w:type="dxa"/>
            <w:vAlign w:val="bottom"/>
          </w:tcPr>
          <w:p>
            <w:pPr>
              <w:jc w:val="center"/>
              <w:ind w:right="6"/>
              <w:spacing w:after="0" w:line="212" w:lineRule="exact"/>
              <w:rPr>
                <w:sz w:val="20"/>
                <w:szCs w:val="20"/>
                <w:color w:val="auto"/>
              </w:rPr>
            </w:pPr>
            <w:r>
              <w:rPr>
                <w:rFonts w:ascii="Arial" w:cs="Arial" w:eastAsia="Arial" w:hAnsi="Arial"/>
                <w:sz w:val="20"/>
                <w:szCs w:val="20"/>
                <w:color w:val="auto"/>
                <w:w w:val="99"/>
              </w:rPr>
              <w:t>350,795</w:t>
            </w:r>
          </w:p>
        </w:tc>
        <w:tc>
          <w:tcPr>
            <w:tcW w:w="110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9"/>
              </w:rPr>
              <w:t>316,286</w:t>
            </w:r>
          </w:p>
        </w:tc>
        <w:tc>
          <w:tcPr>
            <w:tcW w:w="880" w:type="dxa"/>
            <w:vAlign w:val="bottom"/>
          </w:tcPr>
          <w:p>
            <w:pPr>
              <w:jc w:val="center"/>
              <w:ind w:left="125"/>
              <w:spacing w:after="0" w:line="212" w:lineRule="exact"/>
              <w:rPr>
                <w:sz w:val="20"/>
                <w:szCs w:val="20"/>
                <w:color w:val="auto"/>
              </w:rPr>
            </w:pPr>
            <w:r>
              <w:rPr>
                <w:rFonts w:ascii="Arial" w:cs="Arial" w:eastAsia="Arial" w:hAnsi="Arial"/>
                <w:sz w:val="20"/>
                <w:szCs w:val="20"/>
                <w:color w:val="auto"/>
                <w:w w:val="95"/>
              </w:rPr>
              <w:t>-9.8%</w:t>
            </w:r>
          </w:p>
        </w:tc>
        <w:tc>
          <w:tcPr>
            <w:tcW w:w="1340" w:type="dxa"/>
            <w:vAlign w:val="bottom"/>
            <w:tcBorders>
              <w:right w:val="single" w:sz="8" w:color="auto"/>
            </w:tcBorders>
          </w:tcPr>
          <w:p>
            <w:pPr>
              <w:jc w:val="center"/>
              <w:ind w:left="106"/>
              <w:spacing w:after="0" w:line="212" w:lineRule="exact"/>
              <w:rPr>
                <w:sz w:val="20"/>
                <w:szCs w:val="20"/>
                <w:color w:val="auto"/>
              </w:rPr>
            </w:pPr>
            <w:r>
              <w:rPr>
                <w:rFonts w:ascii="Arial" w:cs="Arial" w:eastAsia="Arial" w:hAnsi="Arial"/>
                <w:sz w:val="20"/>
                <w:szCs w:val="20"/>
                <w:color w:val="auto"/>
                <w:w w:val="97"/>
              </w:rPr>
              <w:t>-23.8%</w:t>
            </w:r>
          </w:p>
        </w:tc>
        <w:tc>
          <w:tcPr>
            <w:tcW w:w="0" w:type="dxa"/>
            <w:vAlign w:val="bottom"/>
          </w:tcPr>
          <w:p>
            <w:pPr>
              <w:spacing w:after="0"/>
              <w:rPr>
                <w:sz w:val="1"/>
                <w:szCs w:val="1"/>
                <w:color w:val="auto"/>
              </w:rPr>
            </w:pPr>
          </w:p>
        </w:tc>
      </w:tr>
      <w:tr>
        <w:trPr>
          <w:trHeight w:val="270"/>
        </w:trPr>
        <w:tc>
          <w:tcPr>
            <w:tcW w:w="3940" w:type="dxa"/>
            <w:vAlign w:val="bottom"/>
            <w:tcBorders>
              <w:left w:val="single" w:sz="8" w:color="auto"/>
            </w:tcBorders>
            <w:gridSpan w:val="3"/>
          </w:tcPr>
          <w:p>
            <w:pPr>
              <w:ind w:left="2260"/>
              <w:spacing w:after="0"/>
              <w:rPr>
                <w:sz w:val="20"/>
                <w:szCs w:val="20"/>
                <w:color w:val="auto"/>
              </w:rPr>
            </w:pPr>
            <w:r>
              <w:rPr>
                <w:rFonts w:ascii="Arial" w:cs="Arial" w:eastAsia="Arial" w:hAnsi="Arial"/>
                <w:sz w:val="20"/>
                <w:szCs w:val="20"/>
                <w:b w:val="1"/>
                <w:bCs w:val="1"/>
                <w:color w:val="auto"/>
              </w:rPr>
              <w:t>Total assets</w:t>
            </w:r>
          </w:p>
        </w:tc>
        <w:tc>
          <w:tcPr>
            <w:tcW w:w="94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1120" w:type="dxa"/>
            <w:vAlign w:val="bottom"/>
            <w:gridSpan w:val="3"/>
          </w:tcPr>
          <w:p>
            <w:pPr>
              <w:jc w:val="center"/>
              <w:ind w:right="31"/>
              <w:spacing w:after="0"/>
              <w:rPr>
                <w:sz w:val="20"/>
                <w:szCs w:val="20"/>
                <w:color w:val="auto"/>
              </w:rPr>
            </w:pPr>
            <w:r>
              <w:rPr>
                <w:rFonts w:ascii="Arial" w:cs="Arial" w:eastAsia="Arial" w:hAnsi="Arial"/>
                <w:sz w:val="20"/>
                <w:szCs w:val="20"/>
                <w:b w:val="1"/>
                <w:bCs w:val="1"/>
                <w:color w:val="auto"/>
                <w:w w:val="99"/>
              </w:rPr>
              <w:t>14,348,016</w:t>
            </w:r>
          </w:p>
        </w:tc>
        <w:tc>
          <w:tcPr>
            <w:tcW w:w="1100" w:type="dxa"/>
            <w:vAlign w:val="bottom"/>
          </w:tcPr>
          <w:p>
            <w:pPr>
              <w:jc w:val="center"/>
              <w:ind w:right="26"/>
              <w:spacing w:after="0"/>
              <w:rPr>
                <w:sz w:val="20"/>
                <w:szCs w:val="20"/>
                <w:color w:val="auto"/>
              </w:rPr>
            </w:pPr>
            <w:r>
              <w:rPr>
                <w:rFonts w:ascii="Arial" w:cs="Arial" w:eastAsia="Arial" w:hAnsi="Arial"/>
                <w:sz w:val="20"/>
                <w:szCs w:val="20"/>
                <w:b w:val="1"/>
                <w:bCs w:val="1"/>
                <w:color w:val="auto"/>
                <w:w w:val="97"/>
              </w:rPr>
              <w:t>13,079,705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13,143,378</w:t>
            </w:r>
          </w:p>
        </w:tc>
        <w:tc>
          <w:tcPr>
            <w:tcW w:w="880" w:type="dxa"/>
            <w:vAlign w:val="bottom"/>
          </w:tcPr>
          <w:p>
            <w:pPr>
              <w:jc w:val="center"/>
              <w:ind w:left="125"/>
              <w:spacing w:after="0"/>
              <w:rPr>
                <w:sz w:val="20"/>
                <w:szCs w:val="20"/>
                <w:color w:val="auto"/>
              </w:rPr>
            </w:pPr>
            <w:r>
              <w:rPr>
                <w:rFonts w:ascii="Arial" w:cs="Arial" w:eastAsia="Arial" w:hAnsi="Arial"/>
                <w:sz w:val="20"/>
                <w:szCs w:val="20"/>
                <w:b w:val="1"/>
                <w:bCs w:val="1"/>
                <w:color w:val="auto"/>
              </w:rPr>
              <w:t>0.5%</w:t>
            </w:r>
          </w:p>
        </w:tc>
        <w:tc>
          <w:tcPr>
            <w:tcW w:w="1340" w:type="dxa"/>
            <w:vAlign w:val="bottom"/>
            <w:tcBorders>
              <w:right w:val="single" w:sz="8" w:color="auto"/>
            </w:tcBorders>
          </w:tcPr>
          <w:p>
            <w:pPr>
              <w:jc w:val="center"/>
              <w:ind w:left="86"/>
              <w:spacing w:after="0"/>
              <w:rPr>
                <w:sz w:val="20"/>
                <w:szCs w:val="20"/>
                <w:color w:val="auto"/>
              </w:rPr>
            </w:pPr>
            <w:r>
              <w:rPr>
                <w:rFonts w:ascii="Arial" w:cs="Arial" w:eastAsia="Arial" w:hAnsi="Arial"/>
                <w:sz w:val="20"/>
                <w:szCs w:val="20"/>
                <w:b w:val="1"/>
                <w:bCs w:val="1"/>
                <w:color w:val="auto"/>
                <w:w w:val="99"/>
              </w:rPr>
              <w:t>-8.4%</w:t>
            </w:r>
          </w:p>
        </w:tc>
        <w:tc>
          <w:tcPr>
            <w:tcW w:w="0" w:type="dxa"/>
            <w:vAlign w:val="bottom"/>
          </w:tcPr>
          <w:p>
            <w:pPr>
              <w:spacing w:after="0"/>
              <w:rPr>
                <w:sz w:val="1"/>
                <w:szCs w:val="1"/>
                <w:color w:val="auto"/>
              </w:rPr>
            </w:pPr>
          </w:p>
        </w:tc>
      </w:tr>
      <w:tr>
        <w:trPr>
          <w:trHeight w:val="348"/>
        </w:trPr>
        <w:tc>
          <w:tcPr>
            <w:tcW w:w="4880" w:type="dxa"/>
            <w:vAlign w:val="bottom"/>
            <w:tcBorders>
              <w:left w:val="single" w:sz="8" w:color="auto"/>
            </w:tcBorders>
            <w:gridSpan w:val="4"/>
          </w:tcPr>
          <w:p>
            <w:pPr>
              <w:ind w:left="20"/>
              <w:spacing w:after="0"/>
              <w:rPr>
                <w:sz w:val="20"/>
                <w:szCs w:val="20"/>
                <w:color w:val="auto"/>
              </w:rPr>
            </w:pPr>
            <w:r>
              <w:rPr>
                <w:rFonts w:ascii="Arial" w:cs="Arial" w:eastAsia="Arial" w:hAnsi="Arial"/>
                <w:sz w:val="20"/>
                <w:szCs w:val="20"/>
                <w:b w:val="1"/>
                <w:bCs w:val="1"/>
                <w:color w:val="auto"/>
              </w:rPr>
              <w:t>LIABILITIES AND NET SHAREHOLDERS' EQUITY</w:t>
            </w:r>
          </w:p>
        </w:tc>
        <w:tc>
          <w:tcPr>
            <w:tcW w:w="8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80" w:type="dxa"/>
            <w:vAlign w:val="bottom"/>
            <w:tcBorders>
              <w:left w:val="single" w:sz="8" w:color="auto"/>
            </w:tcBorders>
            <w:gridSpan w:val="2"/>
          </w:tcPr>
          <w:p>
            <w:pPr>
              <w:ind w:left="20"/>
              <w:spacing w:after="0" w:line="214" w:lineRule="exact"/>
              <w:rPr>
                <w:sz w:val="20"/>
                <w:szCs w:val="20"/>
                <w:color w:val="auto"/>
              </w:rPr>
            </w:pPr>
            <w:r>
              <w:rPr>
                <w:rFonts w:ascii="Arial" w:cs="Arial" w:eastAsia="Arial" w:hAnsi="Arial"/>
                <w:sz w:val="20"/>
                <w:szCs w:val="20"/>
                <w:color w:val="auto"/>
              </w:rPr>
              <w:t>Deposits and obligations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120" w:type="dxa"/>
            <w:vAlign w:val="bottom"/>
            <w:gridSpan w:val="3"/>
          </w:tcPr>
          <w:p>
            <w:pPr>
              <w:jc w:val="center"/>
              <w:ind w:right="31"/>
              <w:spacing w:after="0" w:line="214" w:lineRule="exact"/>
              <w:rPr>
                <w:sz w:val="20"/>
                <w:szCs w:val="20"/>
                <w:color w:val="auto"/>
              </w:rPr>
            </w:pPr>
            <w:r>
              <w:rPr>
                <w:rFonts w:ascii="Arial" w:cs="Arial" w:eastAsia="Arial" w:hAnsi="Arial"/>
                <w:sz w:val="20"/>
                <w:szCs w:val="20"/>
                <w:color w:val="auto"/>
                <w:w w:val="95"/>
              </w:rPr>
              <w:t>12,114,178</w:t>
            </w:r>
          </w:p>
        </w:tc>
        <w:tc>
          <w:tcPr>
            <w:tcW w:w="1100" w:type="dxa"/>
            <w:vAlign w:val="bottom"/>
          </w:tcPr>
          <w:p>
            <w:pPr>
              <w:jc w:val="center"/>
              <w:ind w:right="26"/>
              <w:spacing w:after="0" w:line="214" w:lineRule="exact"/>
              <w:rPr>
                <w:sz w:val="20"/>
                <w:szCs w:val="20"/>
                <w:color w:val="auto"/>
              </w:rPr>
            </w:pPr>
            <w:r>
              <w:rPr>
                <w:rFonts w:ascii="Arial" w:cs="Arial" w:eastAsia="Arial" w:hAnsi="Arial"/>
                <w:sz w:val="20"/>
                <w:szCs w:val="20"/>
                <w:color w:val="auto"/>
                <w:w w:val="97"/>
              </w:rPr>
              <w:t>10,955,468</w:t>
            </w:r>
          </w:p>
        </w:tc>
        <w:tc>
          <w:tcPr>
            <w:tcW w:w="11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11,173,682</w:t>
            </w:r>
          </w:p>
        </w:tc>
        <w:tc>
          <w:tcPr>
            <w:tcW w:w="880" w:type="dxa"/>
            <w:vAlign w:val="bottom"/>
          </w:tcPr>
          <w:p>
            <w:pPr>
              <w:jc w:val="center"/>
              <w:ind w:left="125"/>
              <w:spacing w:after="0" w:line="214" w:lineRule="exact"/>
              <w:rPr>
                <w:sz w:val="20"/>
                <w:szCs w:val="20"/>
                <w:color w:val="auto"/>
              </w:rPr>
            </w:pPr>
            <w:r>
              <w:rPr>
                <w:rFonts w:ascii="Arial" w:cs="Arial" w:eastAsia="Arial" w:hAnsi="Arial"/>
                <w:sz w:val="20"/>
                <w:szCs w:val="20"/>
                <w:color w:val="auto"/>
              </w:rPr>
              <w:t>2.0%</w:t>
            </w:r>
          </w:p>
        </w:tc>
        <w:tc>
          <w:tcPr>
            <w:tcW w:w="1340" w:type="dxa"/>
            <w:vAlign w:val="bottom"/>
            <w:tcBorders>
              <w:right w:val="single" w:sz="8" w:color="auto"/>
            </w:tcBorders>
          </w:tcPr>
          <w:p>
            <w:pPr>
              <w:jc w:val="center"/>
              <w:ind w:left="86"/>
              <w:spacing w:after="0" w:line="214" w:lineRule="exact"/>
              <w:rPr>
                <w:sz w:val="20"/>
                <w:szCs w:val="20"/>
                <w:color w:val="auto"/>
              </w:rPr>
            </w:pPr>
            <w:r>
              <w:rPr>
                <w:rFonts w:ascii="Arial" w:cs="Arial" w:eastAsia="Arial" w:hAnsi="Arial"/>
                <w:sz w:val="20"/>
                <w:szCs w:val="20"/>
                <w:color w:val="auto"/>
                <w:w w:val="99"/>
              </w:rPr>
              <w:t>-7.8%</w:t>
            </w:r>
          </w:p>
        </w:tc>
        <w:tc>
          <w:tcPr>
            <w:tcW w:w="0" w:type="dxa"/>
            <w:vAlign w:val="bottom"/>
          </w:tcPr>
          <w:p>
            <w:pPr>
              <w:spacing w:after="0"/>
              <w:rPr>
                <w:sz w:val="1"/>
                <w:szCs w:val="1"/>
                <w:color w:val="auto"/>
              </w:rPr>
            </w:pPr>
          </w:p>
        </w:tc>
      </w:tr>
      <w:tr>
        <w:trPr>
          <w:trHeight w:val="214"/>
        </w:trPr>
        <w:tc>
          <w:tcPr>
            <w:tcW w:w="3080" w:type="dxa"/>
            <w:vAlign w:val="bottom"/>
            <w:tcBorders>
              <w:left w:val="single" w:sz="8" w:color="auto"/>
            </w:tcBorders>
            <w:gridSpan w:val="2"/>
          </w:tcPr>
          <w:p>
            <w:pPr>
              <w:ind w:left="20"/>
              <w:spacing w:after="0" w:line="214" w:lineRule="exact"/>
              <w:rPr>
                <w:sz w:val="20"/>
                <w:szCs w:val="20"/>
                <w:color w:val="auto"/>
              </w:rPr>
            </w:pPr>
            <w:r>
              <w:rPr>
                <w:rFonts w:ascii="Arial" w:cs="Arial" w:eastAsia="Arial" w:hAnsi="Arial"/>
                <w:sz w:val="20"/>
                <w:szCs w:val="20"/>
                <w:color w:val="auto"/>
              </w:rPr>
              <w:t>Due to banks and correspondents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1"/>
              <w:spacing w:after="0" w:line="214" w:lineRule="exact"/>
              <w:rPr>
                <w:sz w:val="20"/>
                <w:szCs w:val="20"/>
                <w:color w:val="auto"/>
              </w:rPr>
            </w:pPr>
            <w:r>
              <w:rPr>
                <w:rFonts w:ascii="Arial" w:cs="Arial" w:eastAsia="Arial" w:hAnsi="Arial"/>
                <w:sz w:val="20"/>
                <w:szCs w:val="20"/>
                <w:color w:val="auto"/>
                <w:w w:val="98"/>
              </w:rPr>
              <w:t>89,697</w:t>
            </w:r>
          </w:p>
        </w:tc>
        <w:tc>
          <w:tcPr>
            <w:tcW w:w="1100" w:type="dxa"/>
            <w:vAlign w:val="bottom"/>
          </w:tcPr>
          <w:p>
            <w:pPr>
              <w:jc w:val="center"/>
              <w:ind w:right="6"/>
              <w:spacing w:after="0" w:line="214" w:lineRule="exact"/>
              <w:rPr>
                <w:sz w:val="20"/>
                <w:szCs w:val="20"/>
                <w:color w:val="auto"/>
              </w:rPr>
            </w:pPr>
            <w:r>
              <w:rPr>
                <w:rFonts w:ascii="Arial" w:cs="Arial" w:eastAsia="Arial" w:hAnsi="Arial"/>
                <w:sz w:val="20"/>
                <w:szCs w:val="20"/>
                <w:color w:val="auto"/>
                <w:w w:val="98"/>
              </w:rPr>
              <w:t>86,639</w:t>
            </w:r>
          </w:p>
        </w:tc>
        <w:tc>
          <w:tcPr>
            <w:tcW w:w="11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86,986</w:t>
            </w:r>
          </w:p>
        </w:tc>
        <w:tc>
          <w:tcPr>
            <w:tcW w:w="880" w:type="dxa"/>
            <w:vAlign w:val="bottom"/>
          </w:tcPr>
          <w:p>
            <w:pPr>
              <w:jc w:val="center"/>
              <w:ind w:left="125"/>
              <w:spacing w:after="0" w:line="214" w:lineRule="exact"/>
              <w:rPr>
                <w:sz w:val="20"/>
                <w:szCs w:val="20"/>
                <w:color w:val="auto"/>
              </w:rPr>
            </w:pPr>
            <w:r>
              <w:rPr>
                <w:rFonts w:ascii="Arial" w:cs="Arial" w:eastAsia="Arial" w:hAnsi="Arial"/>
                <w:sz w:val="20"/>
                <w:szCs w:val="20"/>
                <w:color w:val="auto"/>
              </w:rPr>
              <w:t>0.4%</w:t>
            </w:r>
          </w:p>
        </w:tc>
        <w:tc>
          <w:tcPr>
            <w:tcW w:w="1340" w:type="dxa"/>
            <w:vAlign w:val="bottom"/>
            <w:tcBorders>
              <w:right w:val="single" w:sz="8" w:color="auto"/>
            </w:tcBorders>
          </w:tcPr>
          <w:p>
            <w:pPr>
              <w:jc w:val="center"/>
              <w:ind w:left="86"/>
              <w:spacing w:after="0" w:line="214" w:lineRule="exact"/>
              <w:rPr>
                <w:sz w:val="20"/>
                <w:szCs w:val="20"/>
                <w:color w:val="auto"/>
              </w:rPr>
            </w:pPr>
            <w:r>
              <w:rPr>
                <w:rFonts w:ascii="Arial" w:cs="Arial" w:eastAsia="Arial" w:hAnsi="Arial"/>
                <w:sz w:val="20"/>
                <w:szCs w:val="20"/>
                <w:color w:val="auto"/>
                <w:w w:val="99"/>
              </w:rPr>
              <w:t>-3.0%</w:t>
            </w:r>
          </w:p>
        </w:tc>
        <w:tc>
          <w:tcPr>
            <w:tcW w:w="0" w:type="dxa"/>
            <w:vAlign w:val="bottom"/>
          </w:tcPr>
          <w:p>
            <w:pPr>
              <w:spacing w:after="0"/>
              <w:rPr>
                <w:sz w:val="1"/>
                <w:szCs w:val="1"/>
                <w:color w:val="auto"/>
              </w:rPr>
            </w:pPr>
          </w:p>
        </w:tc>
      </w:tr>
      <w:tr>
        <w:trPr>
          <w:trHeight w:val="214"/>
        </w:trPr>
        <w:tc>
          <w:tcPr>
            <w:tcW w:w="3080" w:type="dxa"/>
            <w:vAlign w:val="bottom"/>
            <w:tcBorders>
              <w:left w:val="single" w:sz="8" w:color="auto"/>
            </w:tcBorders>
            <w:gridSpan w:val="2"/>
          </w:tcPr>
          <w:p>
            <w:pPr>
              <w:ind w:left="20"/>
              <w:spacing w:after="0" w:line="214" w:lineRule="exact"/>
              <w:rPr>
                <w:sz w:val="20"/>
                <w:szCs w:val="20"/>
                <w:color w:val="auto"/>
              </w:rPr>
            </w:pPr>
            <w:r>
              <w:rPr>
                <w:rFonts w:ascii="Arial" w:cs="Arial" w:eastAsia="Arial" w:hAnsi="Arial"/>
                <w:sz w:val="20"/>
                <w:szCs w:val="20"/>
                <w:color w:val="auto"/>
              </w:rPr>
              <w:t>Bonds and subordinated debt</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1"/>
              <w:spacing w:after="0" w:line="214" w:lineRule="exact"/>
              <w:rPr>
                <w:sz w:val="20"/>
                <w:szCs w:val="20"/>
                <w:color w:val="auto"/>
              </w:rPr>
            </w:pPr>
            <w:r>
              <w:rPr>
                <w:rFonts w:ascii="Arial" w:cs="Arial" w:eastAsia="Arial" w:hAnsi="Arial"/>
                <w:sz w:val="20"/>
                <w:szCs w:val="20"/>
                <w:color w:val="auto"/>
                <w:w w:val="99"/>
              </w:rPr>
              <w:t>191,218</w:t>
            </w:r>
          </w:p>
        </w:tc>
        <w:tc>
          <w:tcPr>
            <w:tcW w:w="1100" w:type="dxa"/>
            <w:vAlign w:val="bottom"/>
          </w:tcPr>
          <w:p>
            <w:pPr>
              <w:jc w:val="center"/>
              <w:ind w:right="6"/>
              <w:spacing w:after="0" w:line="214" w:lineRule="exact"/>
              <w:rPr>
                <w:sz w:val="20"/>
                <w:szCs w:val="20"/>
                <w:color w:val="auto"/>
              </w:rPr>
            </w:pPr>
            <w:r>
              <w:rPr>
                <w:rFonts w:ascii="Arial" w:cs="Arial" w:eastAsia="Arial" w:hAnsi="Arial"/>
                <w:sz w:val="20"/>
                <w:szCs w:val="20"/>
                <w:color w:val="auto"/>
                <w:w w:val="99"/>
              </w:rPr>
              <w:t>178,395</w:t>
            </w:r>
          </w:p>
        </w:tc>
        <w:tc>
          <w:tcPr>
            <w:tcW w:w="11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101,757</w:t>
            </w:r>
          </w:p>
        </w:tc>
        <w:tc>
          <w:tcPr>
            <w:tcW w:w="880" w:type="dxa"/>
            <w:vAlign w:val="bottom"/>
          </w:tcPr>
          <w:p>
            <w:pPr>
              <w:jc w:val="center"/>
              <w:ind w:left="125"/>
              <w:spacing w:after="0" w:line="214" w:lineRule="exact"/>
              <w:rPr>
                <w:sz w:val="20"/>
                <w:szCs w:val="20"/>
                <w:color w:val="auto"/>
              </w:rPr>
            </w:pPr>
            <w:r>
              <w:rPr>
                <w:rFonts w:ascii="Arial" w:cs="Arial" w:eastAsia="Arial" w:hAnsi="Arial"/>
                <w:sz w:val="20"/>
                <w:szCs w:val="20"/>
                <w:color w:val="auto"/>
                <w:w w:val="97"/>
              </w:rPr>
              <w:t>-43.0%</w:t>
            </w:r>
          </w:p>
        </w:tc>
        <w:tc>
          <w:tcPr>
            <w:tcW w:w="1340" w:type="dxa"/>
            <w:vAlign w:val="bottom"/>
            <w:tcBorders>
              <w:right w:val="single" w:sz="8" w:color="auto"/>
            </w:tcBorders>
          </w:tcPr>
          <w:p>
            <w:pPr>
              <w:jc w:val="center"/>
              <w:ind w:left="106"/>
              <w:spacing w:after="0" w:line="214" w:lineRule="exact"/>
              <w:rPr>
                <w:sz w:val="20"/>
                <w:szCs w:val="20"/>
                <w:color w:val="auto"/>
              </w:rPr>
            </w:pPr>
            <w:r>
              <w:rPr>
                <w:rFonts w:ascii="Arial" w:cs="Arial" w:eastAsia="Arial" w:hAnsi="Arial"/>
                <w:sz w:val="20"/>
                <w:szCs w:val="20"/>
                <w:color w:val="auto"/>
                <w:w w:val="97"/>
              </w:rPr>
              <w:t>-46.8%</w:t>
            </w:r>
          </w:p>
        </w:tc>
        <w:tc>
          <w:tcPr>
            <w:tcW w:w="0" w:type="dxa"/>
            <w:vAlign w:val="bottom"/>
          </w:tcPr>
          <w:p>
            <w:pPr>
              <w:spacing w:after="0"/>
              <w:rPr>
                <w:sz w:val="1"/>
                <w:szCs w:val="1"/>
                <w:color w:val="auto"/>
              </w:rPr>
            </w:pPr>
          </w:p>
        </w:tc>
      </w:tr>
      <w:tr>
        <w:trPr>
          <w:trHeight w:val="212"/>
        </w:trPr>
        <w:tc>
          <w:tcPr>
            <w:tcW w:w="3080" w:type="dxa"/>
            <w:vAlign w:val="bottom"/>
            <w:tcBorders>
              <w:left w:val="single" w:sz="8" w:color="auto"/>
            </w:tcBorders>
            <w:gridSpan w:val="2"/>
          </w:tcPr>
          <w:p>
            <w:pPr>
              <w:ind w:left="20"/>
              <w:spacing w:after="0" w:line="212" w:lineRule="exact"/>
              <w:rPr>
                <w:sz w:val="20"/>
                <w:szCs w:val="20"/>
                <w:color w:val="auto"/>
              </w:rPr>
            </w:pPr>
            <w:r>
              <w:rPr>
                <w:rFonts w:ascii="Arial" w:cs="Arial" w:eastAsia="Arial" w:hAnsi="Arial"/>
                <w:sz w:val="20"/>
                <w:szCs w:val="20"/>
                <w:color w:val="auto"/>
              </w:rPr>
              <w:t>Other liabilities</w:t>
            </w:r>
          </w:p>
        </w:tc>
        <w:tc>
          <w:tcPr>
            <w:tcW w:w="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11"/>
              <w:spacing w:after="0" w:line="212" w:lineRule="exact"/>
              <w:rPr>
                <w:sz w:val="20"/>
                <w:szCs w:val="20"/>
                <w:color w:val="auto"/>
              </w:rPr>
            </w:pPr>
            <w:r>
              <w:rPr>
                <w:rFonts w:ascii="Arial" w:cs="Arial" w:eastAsia="Arial" w:hAnsi="Arial"/>
                <w:sz w:val="20"/>
                <w:szCs w:val="20"/>
                <w:color w:val="auto"/>
                <w:w w:val="94"/>
              </w:rPr>
              <w:t>1,111,166</w:t>
            </w:r>
          </w:p>
        </w:tc>
        <w:tc>
          <w:tcPr>
            <w:tcW w:w="1100" w:type="dxa"/>
            <w:vAlign w:val="bottom"/>
          </w:tcPr>
          <w:p>
            <w:pPr>
              <w:jc w:val="center"/>
              <w:ind w:right="6"/>
              <w:spacing w:after="0" w:line="212" w:lineRule="exact"/>
              <w:rPr>
                <w:sz w:val="20"/>
                <w:szCs w:val="20"/>
                <w:color w:val="auto"/>
              </w:rPr>
            </w:pPr>
            <w:r>
              <w:rPr>
                <w:rFonts w:ascii="Arial" w:cs="Arial" w:eastAsia="Arial" w:hAnsi="Arial"/>
                <w:sz w:val="20"/>
                <w:szCs w:val="20"/>
                <w:color w:val="auto"/>
                <w:w w:val="98"/>
              </w:rPr>
              <w:t>1,038,527</w:t>
            </w:r>
          </w:p>
        </w:tc>
        <w:tc>
          <w:tcPr>
            <w:tcW w:w="110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9"/>
              </w:rPr>
              <w:t>909,268</w:t>
            </w:r>
          </w:p>
        </w:tc>
        <w:tc>
          <w:tcPr>
            <w:tcW w:w="880" w:type="dxa"/>
            <w:vAlign w:val="bottom"/>
          </w:tcPr>
          <w:p>
            <w:pPr>
              <w:jc w:val="center"/>
              <w:ind w:left="125"/>
              <w:spacing w:after="0" w:line="212" w:lineRule="exact"/>
              <w:rPr>
                <w:sz w:val="20"/>
                <w:szCs w:val="20"/>
                <w:color w:val="auto"/>
              </w:rPr>
            </w:pPr>
            <w:r>
              <w:rPr>
                <w:rFonts w:ascii="Arial" w:cs="Arial" w:eastAsia="Arial" w:hAnsi="Arial"/>
                <w:sz w:val="20"/>
                <w:szCs w:val="20"/>
                <w:color w:val="auto"/>
                <w:w w:val="97"/>
              </w:rPr>
              <w:t>-12.4%</w:t>
            </w:r>
          </w:p>
        </w:tc>
        <w:tc>
          <w:tcPr>
            <w:tcW w:w="1340" w:type="dxa"/>
            <w:vAlign w:val="bottom"/>
            <w:tcBorders>
              <w:right w:val="single" w:sz="8" w:color="auto"/>
            </w:tcBorders>
          </w:tcPr>
          <w:p>
            <w:pPr>
              <w:jc w:val="center"/>
              <w:ind w:left="106"/>
              <w:spacing w:after="0" w:line="212" w:lineRule="exact"/>
              <w:rPr>
                <w:sz w:val="20"/>
                <w:szCs w:val="20"/>
                <w:color w:val="auto"/>
              </w:rPr>
            </w:pPr>
            <w:r>
              <w:rPr>
                <w:rFonts w:ascii="Arial" w:cs="Arial" w:eastAsia="Arial" w:hAnsi="Arial"/>
                <w:sz w:val="20"/>
                <w:szCs w:val="20"/>
                <w:color w:val="auto"/>
                <w:w w:val="97"/>
              </w:rPr>
              <w:t>-18.2%</w:t>
            </w:r>
          </w:p>
        </w:tc>
        <w:tc>
          <w:tcPr>
            <w:tcW w:w="0" w:type="dxa"/>
            <w:vAlign w:val="bottom"/>
          </w:tcPr>
          <w:p>
            <w:pPr>
              <w:spacing w:after="0"/>
              <w:rPr>
                <w:sz w:val="1"/>
                <w:szCs w:val="1"/>
                <w:color w:val="auto"/>
              </w:rPr>
            </w:pPr>
          </w:p>
        </w:tc>
      </w:tr>
      <w:tr>
        <w:trPr>
          <w:trHeight w:val="270"/>
        </w:trPr>
        <w:tc>
          <w:tcPr>
            <w:tcW w:w="3940" w:type="dxa"/>
            <w:vAlign w:val="bottom"/>
            <w:tcBorders>
              <w:left w:val="single" w:sz="8" w:color="auto"/>
            </w:tcBorders>
            <w:gridSpan w:val="3"/>
          </w:tcPr>
          <w:p>
            <w:pPr>
              <w:ind w:left="2140"/>
              <w:spacing w:after="0"/>
              <w:rPr>
                <w:sz w:val="20"/>
                <w:szCs w:val="20"/>
                <w:color w:val="auto"/>
              </w:rPr>
            </w:pPr>
            <w:r>
              <w:rPr>
                <w:rFonts w:ascii="Arial" w:cs="Arial" w:eastAsia="Arial" w:hAnsi="Arial"/>
                <w:sz w:val="20"/>
                <w:szCs w:val="20"/>
                <w:b w:val="1"/>
                <w:bCs w:val="1"/>
                <w:color w:val="auto"/>
              </w:rPr>
              <w:t>Total liabilities</w:t>
            </w:r>
          </w:p>
        </w:tc>
        <w:tc>
          <w:tcPr>
            <w:tcW w:w="940" w:type="dxa"/>
            <w:vAlign w:val="bottom"/>
          </w:tcPr>
          <w:p>
            <w:pPr>
              <w:spacing w:after="0"/>
              <w:rPr>
                <w:sz w:val="23"/>
                <w:szCs w:val="23"/>
                <w:color w:val="auto"/>
              </w:rPr>
            </w:pPr>
          </w:p>
        </w:tc>
        <w:tc>
          <w:tcPr>
            <w:tcW w:w="820" w:type="dxa"/>
            <w:vAlign w:val="bottom"/>
            <w:tcBorders>
              <w:right w:val="single" w:sz="8" w:color="auto"/>
            </w:tcBorders>
          </w:tcPr>
          <w:p>
            <w:pPr>
              <w:spacing w:after="0"/>
              <w:rPr>
                <w:sz w:val="23"/>
                <w:szCs w:val="23"/>
                <w:color w:val="auto"/>
              </w:rPr>
            </w:pPr>
          </w:p>
        </w:tc>
        <w:tc>
          <w:tcPr>
            <w:tcW w:w="1120" w:type="dxa"/>
            <w:vAlign w:val="bottom"/>
            <w:gridSpan w:val="3"/>
          </w:tcPr>
          <w:p>
            <w:pPr>
              <w:jc w:val="center"/>
              <w:ind w:right="31"/>
              <w:spacing w:after="0"/>
              <w:rPr>
                <w:sz w:val="20"/>
                <w:szCs w:val="20"/>
                <w:color w:val="auto"/>
              </w:rPr>
            </w:pPr>
            <w:r>
              <w:rPr>
                <w:rFonts w:ascii="Arial" w:cs="Arial" w:eastAsia="Arial" w:hAnsi="Arial"/>
                <w:sz w:val="20"/>
                <w:szCs w:val="20"/>
                <w:b w:val="1"/>
                <w:bCs w:val="1"/>
                <w:color w:val="auto"/>
                <w:w w:val="99"/>
              </w:rPr>
              <w:t>13,506,259</w:t>
            </w:r>
          </w:p>
        </w:tc>
        <w:tc>
          <w:tcPr>
            <w:tcW w:w="1100" w:type="dxa"/>
            <w:vAlign w:val="bottom"/>
          </w:tcPr>
          <w:p>
            <w:pPr>
              <w:jc w:val="center"/>
              <w:ind w:right="26"/>
              <w:spacing w:after="0"/>
              <w:rPr>
                <w:sz w:val="20"/>
                <w:szCs w:val="20"/>
                <w:color w:val="auto"/>
              </w:rPr>
            </w:pPr>
            <w:r>
              <w:rPr>
                <w:rFonts w:ascii="Arial" w:cs="Arial" w:eastAsia="Arial" w:hAnsi="Arial"/>
                <w:sz w:val="20"/>
                <w:szCs w:val="20"/>
                <w:b w:val="1"/>
                <w:bCs w:val="1"/>
                <w:color w:val="auto"/>
                <w:w w:val="97"/>
              </w:rPr>
              <w:t>12,259,029</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12,271,692</w:t>
            </w:r>
          </w:p>
        </w:tc>
        <w:tc>
          <w:tcPr>
            <w:tcW w:w="880" w:type="dxa"/>
            <w:vAlign w:val="bottom"/>
          </w:tcPr>
          <w:p>
            <w:pPr>
              <w:jc w:val="center"/>
              <w:ind w:left="125"/>
              <w:spacing w:after="0"/>
              <w:rPr>
                <w:sz w:val="20"/>
                <w:szCs w:val="20"/>
                <w:color w:val="auto"/>
              </w:rPr>
            </w:pPr>
            <w:r>
              <w:rPr>
                <w:rFonts w:ascii="Arial" w:cs="Arial" w:eastAsia="Arial" w:hAnsi="Arial"/>
                <w:sz w:val="20"/>
                <w:szCs w:val="20"/>
                <w:b w:val="1"/>
                <w:bCs w:val="1"/>
                <w:color w:val="auto"/>
              </w:rPr>
              <w:t>0.1%</w:t>
            </w:r>
          </w:p>
        </w:tc>
        <w:tc>
          <w:tcPr>
            <w:tcW w:w="1340" w:type="dxa"/>
            <w:vAlign w:val="bottom"/>
            <w:tcBorders>
              <w:right w:val="single" w:sz="8" w:color="auto"/>
            </w:tcBorders>
          </w:tcPr>
          <w:p>
            <w:pPr>
              <w:jc w:val="center"/>
              <w:ind w:left="86"/>
              <w:spacing w:after="0"/>
              <w:rPr>
                <w:sz w:val="20"/>
                <w:szCs w:val="20"/>
                <w:color w:val="auto"/>
              </w:rPr>
            </w:pPr>
            <w:r>
              <w:rPr>
                <w:rFonts w:ascii="Arial" w:cs="Arial" w:eastAsia="Arial" w:hAnsi="Arial"/>
                <w:sz w:val="20"/>
                <w:szCs w:val="20"/>
                <w:b w:val="1"/>
                <w:bCs w:val="1"/>
                <w:color w:val="auto"/>
                <w:w w:val="99"/>
              </w:rPr>
              <w:t>-9.1%</w:t>
            </w:r>
          </w:p>
        </w:tc>
        <w:tc>
          <w:tcPr>
            <w:tcW w:w="0" w:type="dxa"/>
            <w:vAlign w:val="bottom"/>
          </w:tcPr>
          <w:p>
            <w:pPr>
              <w:spacing w:after="0"/>
              <w:rPr>
                <w:sz w:val="1"/>
                <w:szCs w:val="1"/>
                <w:color w:val="auto"/>
              </w:rPr>
            </w:pPr>
          </w:p>
        </w:tc>
      </w:tr>
      <w:tr>
        <w:trPr>
          <w:trHeight w:val="402"/>
        </w:trPr>
        <w:tc>
          <w:tcPr>
            <w:tcW w:w="3080" w:type="dxa"/>
            <w:vAlign w:val="bottom"/>
            <w:tcBorders>
              <w:left w:val="single" w:sz="8" w:color="auto"/>
            </w:tcBorders>
            <w:gridSpan w:val="2"/>
          </w:tcPr>
          <w:p>
            <w:pPr>
              <w:ind w:left="20"/>
              <w:spacing w:after="0"/>
              <w:rPr>
                <w:sz w:val="20"/>
                <w:szCs w:val="20"/>
                <w:color w:val="auto"/>
              </w:rPr>
            </w:pPr>
            <w:r>
              <w:rPr>
                <w:rFonts w:ascii="Arial" w:cs="Arial" w:eastAsia="Arial" w:hAnsi="Arial"/>
                <w:sz w:val="20"/>
                <w:szCs w:val="20"/>
                <w:b w:val="1"/>
                <w:bCs w:val="1"/>
                <w:color w:val="auto"/>
              </w:rPr>
              <w:t>Net equity</w:t>
            </w: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ind w:right="111"/>
              <w:spacing w:after="0"/>
              <w:rPr>
                <w:sz w:val="20"/>
                <w:szCs w:val="20"/>
                <w:color w:val="auto"/>
              </w:rPr>
            </w:pPr>
            <w:r>
              <w:rPr>
                <w:rFonts w:ascii="Arial" w:cs="Arial" w:eastAsia="Arial" w:hAnsi="Arial"/>
                <w:sz w:val="20"/>
                <w:szCs w:val="20"/>
                <w:b w:val="1"/>
                <w:bCs w:val="1"/>
                <w:color w:val="auto"/>
                <w:w w:val="99"/>
              </w:rPr>
              <w:t>841,757</w:t>
            </w:r>
          </w:p>
        </w:tc>
        <w:tc>
          <w:tcPr>
            <w:tcW w:w="1100" w:type="dxa"/>
            <w:vAlign w:val="bottom"/>
          </w:tcPr>
          <w:p>
            <w:pPr>
              <w:jc w:val="center"/>
              <w:ind w:right="6"/>
              <w:spacing w:after="0"/>
              <w:rPr>
                <w:sz w:val="20"/>
                <w:szCs w:val="20"/>
                <w:color w:val="auto"/>
              </w:rPr>
            </w:pPr>
            <w:r>
              <w:rPr>
                <w:rFonts w:ascii="Arial" w:cs="Arial" w:eastAsia="Arial" w:hAnsi="Arial"/>
                <w:sz w:val="20"/>
                <w:szCs w:val="20"/>
                <w:b w:val="1"/>
                <w:bCs w:val="1"/>
                <w:color w:val="auto"/>
                <w:w w:val="99"/>
              </w:rPr>
              <w:t>820,677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871,686</w:t>
            </w:r>
          </w:p>
        </w:tc>
        <w:tc>
          <w:tcPr>
            <w:tcW w:w="880" w:type="dxa"/>
            <w:vAlign w:val="bottom"/>
          </w:tcPr>
          <w:p>
            <w:pPr>
              <w:jc w:val="center"/>
              <w:ind w:left="125"/>
              <w:spacing w:after="0"/>
              <w:rPr>
                <w:sz w:val="20"/>
                <w:szCs w:val="20"/>
                <w:color w:val="auto"/>
              </w:rPr>
            </w:pPr>
            <w:r>
              <w:rPr>
                <w:rFonts w:ascii="Arial" w:cs="Arial" w:eastAsia="Arial" w:hAnsi="Arial"/>
                <w:sz w:val="20"/>
                <w:szCs w:val="20"/>
                <w:b w:val="1"/>
                <w:bCs w:val="1"/>
                <w:color w:val="auto"/>
              </w:rPr>
              <w:t>6.2%</w:t>
            </w:r>
          </w:p>
        </w:tc>
        <w:tc>
          <w:tcPr>
            <w:tcW w:w="1340" w:type="dxa"/>
            <w:vAlign w:val="bottom"/>
            <w:tcBorders>
              <w:right w:val="single" w:sz="8" w:color="auto"/>
            </w:tcBorders>
          </w:tcPr>
          <w:p>
            <w:pPr>
              <w:jc w:val="center"/>
              <w:ind w:left="86"/>
              <w:spacing w:after="0"/>
              <w:rPr>
                <w:sz w:val="20"/>
                <w:szCs w:val="20"/>
                <w:color w:val="auto"/>
              </w:rPr>
            </w:pPr>
            <w:r>
              <w:rPr>
                <w:rFonts w:ascii="Arial" w:cs="Arial" w:eastAsia="Arial" w:hAnsi="Arial"/>
                <w:sz w:val="20"/>
                <w:szCs w:val="20"/>
                <w:b w:val="1"/>
                <w:bCs w:val="1"/>
                <w:color w:val="auto"/>
                <w:w w:val="96"/>
              </w:rPr>
              <w:t>3.6%</w:t>
            </w:r>
          </w:p>
        </w:tc>
        <w:tc>
          <w:tcPr>
            <w:tcW w:w="0" w:type="dxa"/>
            <w:vAlign w:val="bottom"/>
          </w:tcPr>
          <w:p>
            <w:pPr>
              <w:spacing w:after="0"/>
              <w:rPr>
                <w:sz w:val="1"/>
                <w:szCs w:val="1"/>
                <w:color w:val="auto"/>
              </w:rPr>
            </w:pPr>
          </w:p>
        </w:tc>
      </w:tr>
      <w:tr>
        <w:trPr>
          <w:trHeight w:val="377"/>
        </w:trPr>
        <w:tc>
          <w:tcPr>
            <w:tcW w:w="5700" w:type="dxa"/>
            <w:vAlign w:val="bottom"/>
            <w:tcBorders>
              <w:left w:val="single" w:sz="8" w:color="auto"/>
              <w:bottom w:val="single" w:sz="8" w:color="auto"/>
              <w:right w:val="single" w:sz="8" w:color="auto"/>
            </w:tcBorders>
            <w:gridSpan w:val="5"/>
          </w:tcPr>
          <w:p>
            <w:pPr>
              <w:ind w:left="20"/>
              <w:spacing w:after="0"/>
              <w:rPr>
                <w:sz w:val="20"/>
                <w:szCs w:val="20"/>
                <w:color w:val="auto"/>
              </w:rPr>
            </w:pPr>
            <w:r>
              <w:rPr>
                <w:rFonts w:ascii="Arial" w:cs="Arial" w:eastAsia="Arial" w:hAnsi="Arial"/>
                <w:sz w:val="20"/>
                <w:szCs w:val="20"/>
                <w:b w:val="1"/>
                <w:bCs w:val="1"/>
                <w:color w:val="auto"/>
              </w:rPr>
              <w:t>TOTAL LIABILITIES AND NET SHAREHOLDERS' EQUITY</w:t>
            </w:r>
          </w:p>
        </w:tc>
        <w:tc>
          <w:tcPr>
            <w:tcW w:w="1120" w:type="dxa"/>
            <w:vAlign w:val="bottom"/>
            <w:tcBorders>
              <w:bottom w:val="single" w:sz="8" w:color="auto"/>
            </w:tcBorders>
            <w:gridSpan w:val="3"/>
          </w:tcPr>
          <w:p>
            <w:pPr>
              <w:jc w:val="center"/>
              <w:ind w:right="31"/>
              <w:spacing w:after="0"/>
              <w:rPr>
                <w:sz w:val="20"/>
                <w:szCs w:val="20"/>
                <w:color w:val="auto"/>
              </w:rPr>
            </w:pPr>
            <w:r>
              <w:rPr>
                <w:rFonts w:ascii="Arial" w:cs="Arial" w:eastAsia="Arial" w:hAnsi="Arial"/>
                <w:sz w:val="20"/>
                <w:szCs w:val="20"/>
                <w:b w:val="1"/>
                <w:bCs w:val="1"/>
                <w:color w:val="auto"/>
                <w:w w:val="99"/>
              </w:rPr>
              <w:t>14,348,016</w:t>
            </w:r>
          </w:p>
        </w:tc>
        <w:tc>
          <w:tcPr>
            <w:tcW w:w="1100" w:type="dxa"/>
            <w:vAlign w:val="bottom"/>
            <w:tcBorders>
              <w:bottom w:val="single" w:sz="8" w:color="auto"/>
            </w:tcBorders>
          </w:tcPr>
          <w:p>
            <w:pPr>
              <w:jc w:val="center"/>
              <w:ind w:right="26"/>
              <w:spacing w:after="0"/>
              <w:rPr>
                <w:sz w:val="20"/>
                <w:szCs w:val="20"/>
                <w:color w:val="auto"/>
              </w:rPr>
            </w:pPr>
            <w:r>
              <w:rPr>
                <w:rFonts w:ascii="Arial" w:cs="Arial" w:eastAsia="Arial" w:hAnsi="Arial"/>
                <w:sz w:val="20"/>
                <w:szCs w:val="20"/>
                <w:b w:val="1"/>
                <w:bCs w:val="1"/>
                <w:color w:val="auto"/>
                <w:w w:val="97"/>
              </w:rPr>
              <w:t>13,079,705</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13,143,378</w:t>
            </w:r>
          </w:p>
        </w:tc>
        <w:tc>
          <w:tcPr>
            <w:tcW w:w="880" w:type="dxa"/>
            <w:vAlign w:val="bottom"/>
            <w:tcBorders>
              <w:bottom w:val="single" w:sz="8" w:color="auto"/>
            </w:tcBorders>
          </w:tcPr>
          <w:p>
            <w:pPr>
              <w:jc w:val="center"/>
              <w:ind w:left="125"/>
              <w:spacing w:after="0"/>
              <w:rPr>
                <w:sz w:val="20"/>
                <w:szCs w:val="20"/>
                <w:color w:val="auto"/>
              </w:rPr>
            </w:pPr>
            <w:r>
              <w:rPr>
                <w:rFonts w:ascii="Arial" w:cs="Arial" w:eastAsia="Arial" w:hAnsi="Arial"/>
                <w:sz w:val="20"/>
                <w:szCs w:val="20"/>
                <w:b w:val="1"/>
                <w:bCs w:val="1"/>
                <w:color w:val="auto"/>
              </w:rPr>
              <w:t>0.5%</w:t>
            </w:r>
          </w:p>
        </w:tc>
        <w:tc>
          <w:tcPr>
            <w:tcW w:w="1340" w:type="dxa"/>
            <w:vAlign w:val="bottom"/>
            <w:tcBorders>
              <w:bottom w:val="single" w:sz="8" w:color="auto"/>
              <w:right w:val="single" w:sz="8" w:color="auto"/>
            </w:tcBorders>
          </w:tcPr>
          <w:p>
            <w:pPr>
              <w:jc w:val="center"/>
              <w:ind w:left="86"/>
              <w:spacing w:after="0"/>
              <w:rPr>
                <w:sz w:val="20"/>
                <w:szCs w:val="20"/>
                <w:color w:val="auto"/>
              </w:rPr>
            </w:pPr>
            <w:r>
              <w:rPr>
                <w:rFonts w:ascii="Arial" w:cs="Arial" w:eastAsia="Arial" w:hAnsi="Arial"/>
                <w:sz w:val="20"/>
                <w:szCs w:val="20"/>
                <w:b w:val="1"/>
                <w:bCs w:val="1"/>
                <w:color w:val="auto"/>
                <w:w w:val="99"/>
              </w:rPr>
              <w:t>-8.4%</w:t>
            </w:r>
          </w:p>
        </w:tc>
        <w:tc>
          <w:tcPr>
            <w:tcW w:w="0" w:type="dxa"/>
            <w:vAlign w:val="bottom"/>
          </w:tcPr>
          <w:p>
            <w:pPr>
              <w:spacing w:after="0"/>
              <w:rPr>
                <w:sz w:val="1"/>
                <w:szCs w:val="1"/>
                <w:color w:val="auto"/>
              </w:rPr>
            </w:pPr>
          </w:p>
        </w:tc>
      </w:tr>
      <w:tr>
        <w:trPr>
          <w:trHeight w:val="248"/>
        </w:trPr>
        <w:tc>
          <w:tcPr>
            <w:tcW w:w="30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spacing w:after="0"/>
              <w:rPr>
                <w:sz w:val="21"/>
                <w:szCs w:val="21"/>
                <w:color w:val="auto"/>
              </w:rPr>
            </w:pPr>
          </w:p>
        </w:tc>
        <w:tc>
          <w:tcPr>
            <w:tcW w:w="1980" w:type="dxa"/>
            <w:vAlign w:val="bottom"/>
            <w:tcBorders>
              <w:bottom w:val="single" w:sz="8" w:color="auto"/>
            </w:tcBorders>
            <w:gridSpan w:val="2"/>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000" w:type="dxa"/>
            <w:vAlign w:val="bottom"/>
            <w:tcBorders>
              <w:right w:val="single" w:sz="8" w:color="auto"/>
            </w:tcBorders>
          </w:tcPr>
          <w:p>
            <w:pPr>
              <w:spacing w:after="0"/>
              <w:rPr>
                <w:sz w:val="15"/>
                <w:szCs w:val="15"/>
                <w:color w:val="auto"/>
              </w:rPr>
            </w:pPr>
          </w:p>
        </w:tc>
        <w:tc>
          <w:tcPr>
            <w:tcW w:w="80" w:type="dxa"/>
            <w:vAlign w:val="bottom"/>
            <w:shd w:val="clear" w:color="auto" w:fill="2AD2C9"/>
          </w:tcPr>
          <w:p>
            <w:pPr>
              <w:spacing w:after="0"/>
              <w:rPr>
                <w:sz w:val="15"/>
                <w:szCs w:val="15"/>
                <w:color w:val="auto"/>
              </w:rPr>
            </w:pPr>
          </w:p>
        </w:tc>
        <w:tc>
          <w:tcPr>
            <w:tcW w:w="860" w:type="dxa"/>
            <w:vAlign w:val="bottom"/>
            <w:shd w:val="clear" w:color="auto" w:fill="2AD2C9"/>
          </w:tcPr>
          <w:p>
            <w:pPr>
              <w:spacing w:after="0"/>
              <w:rPr>
                <w:sz w:val="15"/>
                <w:szCs w:val="15"/>
                <w:color w:val="auto"/>
              </w:rPr>
            </w:pPr>
          </w:p>
        </w:tc>
        <w:tc>
          <w:tcPr>
            <w:tcW w:w="940" w:type="dxa"/>
            <w:vAlign w:val="bottom"/>
            <w:shd w:val="clear" w:color="auto" w:fill="2AD2C9"/>
          </w:tcPr>
          <w:p>
            <w:pPr>
              <w:ind w:left="180"/>
              <w:spacing w:after="0" w:line="182" w:lineRule="exact"/>
              <w:rPr>
                <w:sz w:val="20"/>
                <w:szCs w:val="20"/>
                <w:color w:val="auto"/>
              </w:rPr>
            </w:pPr>
            <w:r>
              <w:rPr>
                <w:rFonts w:ascii="Arial" w:cs="Arial" w:eastAsia="Arial" w:hAnsi="Arial"/>
                <w:sz w:val="18"/>
                <w:szCs w:val="18"/>
                <w:b w:val="1"/>
                <w:bCs w:val="1"/>
                <w:color w:val="FFFFFF"/>
              </w:rPr>
              <w:t>Quarter</w:t>
            </w:r>
          </w:p>
        </w:tc>
        <w:tc>
          <w:tcPr>
            <w:tcW w:w="820" w:type="dxa"/>
            <w:vAlign w:val="bottom"/>
            <w:tcBorders>
              <w:right w:val="single" w:sz="8" w:color="2AD2C9"/>
            </w:tcBorders>
            <w:shd w:val="clear" w:color="auto" w:fill="2AD2C9"/>
          </w:tcPr>
          <w:p>
            <w:pPr>
              <w:spacing w:after="0"/>
              <w:rPr>
                <w:sz w:val="15"/>
                <w:szCs w:val="15"/>
                <w:color w:val="auto"/>
              </w:rPr>
            </w:pPr>
          </w:p>
        </w:tc>
        <w:tc>
          <w:tcPr>
            <w:tcW w:w="80" w:type="dxa"/>
            <w:vAlign w:val="bottom"/>
            <w:shd w:val="clear" w:color="auto" w:fill="2AD2C9"/>
          </w:tcPr>
          <w:p>
            <w:pPr>
              <w:spacing w:after="0"/>
              <w:rPr>
                <w:sz w:val="15"/>
                <w:szCs w:val="15"/>
                <w:color w:val="auto"/>
              </w:rPr>
            </w:pPr>
          </w:p>
        </w:tc>
        <w:tc>
          <w:tcPr>
            <w:tcW w:w="160" w:type="dxa"/>
            <w:vAlign w:val="bottom"/>
            <w:tcBorders>
              <w:right w:val="single" w:sz="8" w:color="auto"/>
            </w:tcBorders>
            <w:shd w:val="clear" w:color="auto" w:fill="2AD2C9"/>
          </w:tcPr>
          <w:p>
            <w:pPr>
              <w:spacing w:after="0"/>
              <w:rPr>
                <w:sz w:val="15"/>
                <w:szCs w:val="15"/>
                <w:color w:val="auto"/>
              </w:rPr>
            </w:pPr>
          </w:p>
        </w:tc>
        <w:tc>
          <w:tcPr>
            <w:tcW w:w="1980" w:type="dxa"/>
            <w:vAlign w:val="bottom"/>
            <w:tcBorders>
              <w:right w:val="single" w:sz="8" w:color="auto"/>
            </w:tcBorders>
            <w:gridSpan w:val="2"/>
            <w:shd w:val="clear" w:color="auto" w:fill="2AD2C9"/>
          </w:tcPr>
          <w:p>
            <w:pPr>
              <w:ind w:left="540"/>
              <w:spacing w:after="0" w:line="182" w:lineRule="exact"/>
              <w:rPr>
                <w:sz w:val="20"/>
                <w:szCs w:val="20"/>
                <w:color w:val="auto"/>
              </w:rPr>
            </w:pPr>
            <w:r>
              <w:rPr>
                <w:rFonts w:ascii="Arial" w:cs="Arial" w:eastAsia="Arial" w:hAnsi="Arial"/>
                <w:sz w:val="18"/>
                <w:szCs w:val="18"/>
                <w:b w:val="1"/>
                <w:bCs w:val="1"/>
                <w:color w:val="FFFFFF"/>
              </w:rPr>
              <w:t>% change</w:t>
            </w:r>
          </w:p>
        </w:tc>
        <w:tc>
          <w:tcPr>
            <w:tcW w:w="1980" w:type="dxa"/>
            <w:vAlign w:val="bottom"/>
            <w:tcBorders>
              <w:right w:val="single" w:sz="8" w:color="auto"/>
            </w:tcBorders>
            <w:gridSpan w:val="2"/>
            <w:shd w:val="clear" w:color="auto" w:fill="2AD2C9"/>
          </w:tcPr>
          <w:p>
            <w:pPr>
              <w:ind w:left="760"/>
              <w:spacing w:after="0" w:line="182" w:lineRule="exact"/>
              <w:rPr>
                <w:sz w:val="20"/>
                <w:szCs w:val="20"/>
                <w:color w:val="auto"/>
              </w:rPr>
            </w:pPr>
            <w:r>
              <w:rPr>
                <w:rFonts w:ascii="Arial" w:cs="Arial" w:eastAsia="Arial" w:hAnsi="Arial"/>
                <w:sz w:val="18"/>
                <w:szCs w:val="18"/>
                <w:b w:val="1"/>
                <w:bCs w:val="1"/>
                <w:color w:val="FFFFFF"/>
              </w:rPr>
              <w:t>As of</w:t>
            </w:r>
          </w:p>
        </w:tc>
        <w:tc>
          <w:tcPr>
            <w:tcW w:w="1340" w:type="dxa"/>
            <w:vAlign w:val="bottom"/>
            <w:tcBorders>
              <w:right w:val="single" w:sz="8" w:color="auto"/>
            </w:tcBorders>
            <w:shd w:val="clear" w:color="auto" w:fill="2AD2C9"/>
          </w:tcPr>
          <w:p>
            <w:pPr>
              <w:jc w:val="center"/>
              <w:spacing w:after="0" w:line="182" w:lineRule="exact"/>
              <w:rPr>
                <w:sz w:val="20"/>
                <w:szCs w:val="20"/>
                <w:color w:val="auto"/>
              </w:rPr>
            </w:pPr>
            <w:r>
              <w:rPr>
                <w:rFonts w:ascii="Arial" w:cs="Arial" w:eastAsia="Arial" w:hAnsi="Arial"/>
                <w:sz w:val="18"/>
                <w:szCs w:val="18"/>
                <w:b w:val="1"/>
                <w:bCs w:val="1"/>
                <w:color w:val="FFFFFF"/>
                <w:w w:val="99"/>
              </w:rPr>
              <w:t>% change</w:t>
            </w:r>
          </w:p>
        </w:tc>
        <w:tc>
          <w:tcPr>
            <w:tcW w:w="0" w:type="dxa"/>
            <w:vAlign w:val="bottom"/>
          </w:tcPr>
          <w:p>
            <w:pPr>
              <w:spacing w:after="0"/>
              <w:rPr>
                <w:sz w:val="1"/>
                <w:szCs w:val="1"/>
                <w:color w:val="auto"/>
              </w:rPr>
            </w:pPr>
          </w:p>
        </w:tc>
      </w:tr>
      <w:tr>
        <w:trPr>
          <w:trHeight w:val="226"/>
        </w:trPr>
        <w:tc>
          <w:tcPr>
            <w:tcW w:w="300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shd w:val="clear" w:color="auto" w:fill="2AD2C9"/>
          </w:tcPr>
          <w:p>
            <w:pPr>
              <w:spacing w:after="0"/>
              <w:rPr>
                <w:sz w:val="19"/>
                <w:szCs w:val="19"/>
                <w:color w:val="auto"/>
              </w:rPr>
            </w:pP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5"/>
              </w:rPr>
              <w:t>3Q21</w:t>
            </w: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2Q22</w:t>
            </w:r>
          </w:p>
        </w:tc>
        <w:tc>
          <w:tcPr>
            <w:tcW w:w="820" w:type="dxa"/>
            <w:vAlign w:val="bottom"/>
            <w:tcBorders>
              <w:bottom w:val="single" w:sz="8" w:color="auto"/>
              <w:right w:val="single" w:sz="8" w:color="2AD2C9"/>
            </w:tcBorders>
            <w:shd w:val="clear" w:color="auto" w:fill="2AD2C9"/>
          </w:tcPr>
          <w:p>
            <w:pPr>
              <w:jc w:val="center"/>
              <w:ind w:left="131"/>
              <w:spacing w:after="0"/>
              <w:rPr>
                <w:sz w:val="20"/>
                <w:szCs w:val="20"/>
                <w:color w:val="auto"/>
              </w:rPr>
            </w:pPr>
            <w:r>
              <w:rPr>
                <w:rFonts w:ascii="Arial" w:cs="Arial" w:eastAsia="Arial" w:hAnsi="Arial"/>
                <w:sz w:val="18"/>
                <w:szCs w:val="18"/>
                <w:b w:val="1"/>
                <w:bCs w:val="1"/>
                <w:color w:val="FFFFFF"/>
                <w:w w:val="99"/>
              </w:rPr>
              <w:t>3Q22</w:t>
            </w:r>
          </w:p>
        </w:tc>
        <w:tc>
          <w:tcPr>
            <w:tcW w:w="80" w:type="dxa"/>
            <w:vAlign w:val="bottom"/>
            <w:tcBorders>
              <w:bottom w:val="single" w:sz="8" w:color="auto"/>
            </w:tcBorders>
            <w:shd w:val="clear" w:color="auto" w:fill="2AD2C9"/>
          </w:tcPr>
          <w:p>
            <w:pPr>
              <w:spacing w:after="0"/>
              <w:rPr>
                <w:sz w:val="19"/>
                <w:szCs w:val="19"/>
                <w:color w:val="auto"/>
              </w:rPr>
            </w:pPr>
          </w:p>
        </w:tc>
        <w:tc>
          <w:tcPr>
            <w:tcW w:w="160" w:type="dxa"/>
            <w:vAlign w:val="bottom"/>
            <w:tcBorders>
              <w:bottom w:val="single" w:sz="8" w:color="auto"/>
              <w:right w:val="single" w:sz="8" w:color="auto"/>
            </w:tcBorders>
            <w:shd w:val="clear" w:color="auto" w:fill="2AD2C9"/>
          </w:tcPr>
          <w:p>
            <w:pPr>
              <w:spacing w:after="0"/>
              <w:rPr>
                <w:sz w:val="19"/>
                <w:szCs w:val="19"/>
                <w:color w:val="auto"/>
              </w:rPr>
            </w:pPr>
          </w:p>
        </w:tc>
        <w:tc>
          <w:tcPr>
            <w:tcW w:w="8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rPr>
              <w:t>QoQ</w:t>
            </w:r>
          </w:p>
        </w:tc>
        <w:tc>
          <w:tcPr>
            <w:tcW w:w="11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6"/>
              </w:rPr>
              <w:t>YoY</w:t>
            </w:r>
          </w:p>
        </w:tc>
        <w:tc>
          <w:tcPr>
            <w:tcW w:w="1100" w:type="dxa"/>
            <w:vAlign w:val="bottom"/>
            <w:tcBorders>
              <w:bottom w:val="single" w:sz="8" w:color="auto"/>
              <w:right w:val="single" w:sz="8" w:color="2AD2C9"/>
            </w:tcBorders>
            <w:shd w:val="clear" w:color="auto" w:fill="2AD2C9"/>
          </w:tcPr>
          <w:p>
            <w:pPr>
              <w:ind w:left="200"/>
              <w:spacing w:after="0"/>
              <w:rPr>
                <w:sz w:val="20"/>
                <w:szCs w:val="20"/>
                <w:color w:val="auto"/>
              </w:rPr>
            </w:pPr>
            <w:r>
              <w:rPr>
                <w:rFonts w:ascii="Arial" w:cs="Arial" w:eastAsia="Arial" w:hAnsi="Arial"/>
                <w:sz w:val="18"/>
                <w:szCs w:val="18"/>
                <w:b w:val="1"/>
                <w:bCs w:val="1"/>
                <w:color w:val="FFFFFF"/>
              </w:rPr>
              <w:t>Sep 21</w:t>
            </w:r>
          </w:p>
        </w:tc>
        <w:tc>
          <w:tcPr>
            <w:tcW w:w="880" w:type="dxa"/>
            <w:vAlign w:val="bottom"/>
            <w:tcBorders>
              <w:bottom w:val="single" w:sz="8" w:color="auto"/>
              <w:right w:val="single" w:sz="8" w:color="auto"/>
            </w:tcBorders>
            <w:shd w:val="clear" w:color="auto" w:fill="2AD2C9"/>
          </w:tcPr>
          <w:p>
            <w:pPr>
              <w:ind w:left="80"/>
              <w:spacing w:after="0"/>
              <w:rPr>
                <w:sz w:val="20"/>
                <w:szCs w:val="20"/>
                <w:color w:val="auto"/>
              </w:rPr>
            </w:pPr>
            <w:r>
              <w:rPr>
                <w:rFonts w:ascii="Arial" w:cs="Arial" w:eastAsia="Arial" w:hAnsi="Arial"/>
                <w:sz w:val="18"/>
                <w:szCs w:val="18"/>
                <w:b w:val="1"/>
                <w:bCs w:val="1"/>
                <w:color w:val="FFFFFF"/>
              </w:rPr>
              <w:t>Sep 22</w:t>
            </w:r>
          </w:p>
        </w:tc>
        <w:tc>
          <w:tcPr>
            <w:tcW w:w="13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c>
          <w:tcPr>
            <w:tcW w:w="0" w:type="dxa"/>
            <w:vAlign w:val="bottom"/>
          </w:tcPr>
          <w:p>
            <w:pPr>
              <w:spacing w:after="0"/>
              <w:rPr>
                <w:sz w:val="1"/>
                <w:szCs w:val="1"/>
                <w:color w:val="auto"/>
              </w:rPr>
            </w:pPr>
          </w:p>
        </w:tc>
      </w:tr>
      <w:tr>
        <w:trPr>
          <w:trHeight w:val="193"/>
        </w:trPr>
        <w:tc>
          <w:tcPr>
            <w:tcW w:w="300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Net interest income</w:t>
            </w:r>
          </w:p>
        </w:tc>
        <w:tc>
          <w:tcPr>
            <w:tcW w:w="80" w:type="dxa"/>
            <w:vAlign w:val="bottom"/>
          </w:tcPr>
          <w:p>
            <w:pPr>
              <w:spacing w:after="0"/>
              <w:rPr>
                <w:sz w:val="16"/>
                <w:szCs w:val="16"/>
                <w:color w:val="auto"/>
              </w:rPr>
            </w:pPr>
          </w:p>
        </w:tc>
        <w:tc>
          <w:tcPr>
            <w:tcW w:w="860" w:type="dxa"/>
            <w:vAlign w:val="bottom"/>
          </w:tcPr>
          <w:p>
            <w:pPr>
              <w:jc w:val="center"/>
              <w:spacing w:after="0" w:line="193" w:lineRule="exact"/>
              <w:rPr>
                <w:sz w:val="20"/>
                <w:szCs w:val="20"/>
                <w:color w:val="auto"/>
              </w:rPr>
            </w:pPr>
            <w:r>
              <w:rPr>
                <w:rFonts w:ascii="Arial" w:cs="Arial" w:eastAsia="Arial" w:hAnsi="Arial"/>
                <w:sz w:val="18"/>
                <w:szCs w:val="18"/>
                <w:color w:val="auto"/>
                <w:w w:val="98"/>
              </w:rPr>
              <w:t>97,603</w:t>
            </w:r>
          </w:p>
        </w:tc>
        <w:tc>
          <w:tcPr>
            <w:tcW w:w="940" w:type="dxa"/>
            <w:vAlign w:val="bottom"/>
          </w:tcPr>
          <w:p>
            <w:pPr>
              <w:jc w:val="center"/>
              <w:spacing w:after="0" w:line="193" w:lineRule="exact"/>
              <w:rPr>
                <w:sz w:val="20"/>
                <w:szCs w:val="20"/>
                <w:color w:val="auto"/>
              </w:rPr>
            </w:pPr>
            <w:r>
              <w:rPr>
                <w:rFonts w:ascii="Arial" w:cs="Arial" w:eastAsia="Arial" w:hAnsi="Arial"/>
                <w:sz w:val="18"/>
                <w:szCs w:val="18"/>
                <w:color w:val="auto"/>
                <w:w w:val="98"/>
              </w:rPr>
              <w:t>82,086</w:t>
            </w:r>
          </w:p>
        </w:tc>
        <w:tc>
          <w:tcPr>
            <w:tcW w:w="900" w:type="dxa"/>
            <w:vAlign w:val="bottom"/>
            <w:gridSpan w:val="2"/>
          </w:tcPr>
          <w:p>
            <w:pPr>
              <w:jc w:val="center"/>
              <w:ind w:left="51"/>
              <w:spacing w:after="0" w:line="193" w:lineRule="exact"/>
              <w:rPr>
                <w:sz w:val="20"/>
                <w:szCs w:val="20"/>
                <w:color w:val="auto"/>
              </w:rPr>
            </w:pPr>
            <w:r>
              <w:rPr>
                <w:rFonts w:ascii="Arial" w:cs="Arial" w:eastAsia="Arial" w:hAnsi="Arial"/>
                <w:sz w:val="18"/>
                <w:szCs w:val="18"/>
                <w:color w:val="auto"/>
                <w:w w:val="98"/>
              </w:rPr>
              <w:t>163,563</w:t>
            </w:r>
          </w:p>
        </w:tc>
        <w:tc>
          <w:tcPr>
            <w:tcW w:w="160" w:type="dxa"/>
            <w:vAlign w:val="bottom"/>
            <w:tcBorders>
              <w:right w:val="single" w:sz="8" w:color="auto"/>
            </w:tcBorders>
          </w:tcPr>
          <w:p>
            <w:pPr>
              <w:spacing w:after="0"/>
              <w:rPr>
                <w:sz w:val="16"/>
                <w:szCs w:val="16"/>
                <w:color w:val="auto"/>
              </w:rPr>
            </w:pPr>
          </w:p>
        </w:tc>
        <w:tc>
          <w:tcPr>
            <w:tcW w:w="880" w:type="dxa"/>
            <w:vAlign w:val="bottom"/>
          </w:tcPr>
          <w:p>
            <w:pPr>
              <w:jc w:val="center"/>
              <w:spacing w:after="0" w:line="193" w:lineRule="exact"/>
              <w:rPr>
                <w:sz w:val="20"/>
                <w:szCs w:val="20"/>
                <w:color w:val="auto"/>
              </w:rPr>
            </w:pPr>
            <w:r>
              <w:rPr>
                <w:rFonts w:ascii="Arial" w:cs="Arial" w:eastAsia="Arial" w:hAnsi="Arial"/>
                <w:sz w:val="18"/>
                <w:szCs w:val="18"/>
                <w:color w:val="auto"/>
              </w:rPr>
              <w:t>99.3%</w:t>
            </w:r>
          </w:p>
        </w:tc>
        <w:tc>
          <w:tcPr>
            <w:tcW w:w="11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7"/>
              </w:rPr>
              <w:t>67.6%</w:t>
            </w:r>
          </w:p>
        </w:tc>
        <w:tc>
          <w:tcPr>
            <w:tcW w:w="1100" w:type="dxa"/>
            <w:vAlign w:val="bottom"/>
          </w:tcPr>
          <w:p>
            <w:pPr>
              <w:jc w:val="center"/>
              <w:ind w:right="25"/>
              <w:spacing w:after="0" w:line="193" w:lineRule="exact"/>
              <w:rPr>
                <w:sz w:val="20"/>
                <w:szCs w:val="20"/>
                <w:color w:val="auto"/>
              </w:rPr>
            </w:pPr>
            <w:r>
              <w:rPr>
                <w:rFonts w:ascii="Arial" w:cs="Arial" w:eastAsia="Arial" w:hAnsi="Arial"/>
                <w:sz w:val="18"/>
                <w:szCs w:val="18"/>
                <w:color w:val="auto"/>
              </w:rPr>
              <w:t>252,688</w:t>
            </w:r>
          </w:p>
        </w:tc>
        <w:tc>
          <w:tcPr>
            <w:tcW w:w="880" w:type="dxa"/>
            <w:vAlign w:val="bottom"/>
            <w:tcBorders>
              <w:right w:val="single" w:sz="8" w:color="auto"/>
            </w:tcBorders>
          </w:tcPr>
          <w:p>
            <w:pPr>
              <w:jc w:val="center"/>
              <w:ind w:right="65"/>
              <w:spacing w:after="0" w:line="193" w:lineRule="exact"/>
              <w:rPr>
                <w:sz w:val="20"/>
                <w:szCs w:val="20"/>
                <w:color w:val="auto"/>
              </w:rPr>
            </w:pPr>
            <w:r>
              <w:rPr>
                <w:rFonts w:ascii="Arial" w:cs="Arial" w:eastAsia="Arial" w:hAnsi="Arial"/>
                <w:sz w:val="18"/>
                <w:szCs w:val="18"/>
                <w:color w:val="auto"/>
                <w:w w:val="98"/>
              </w:rPr>
              <w:t>245,649</w:t>
            </w:r>
          </w:p>
        </w:tc>
        <w:tc>
          <w:tcPr>
            <w:tcW w:w="13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Provision for loan losses, net of</w:t>
            </w:r>
          </w:p>
        </w:tc>
        <w:tc>
          <w:tcPr>
            <w:tcW w:w="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8"/>
              </w:rPr>
              <w:t>(23,161)</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8"/>
              </w:rPr>
              <w:t>(31,509)</w:t>
            </w:r>
          </w:p>
        </w:tc>
        <w:tc>
          <w:tcPr>
            <w:tcW w:w="820" w:type="dxa"/>
            <w:vAlign w:val="bottom"/>
            <w:vMerge w:val="restart"/>
          </w:tcPr>
          <w:p>
            <w:pPr>
              <w:jc w:val="center"/>
              <w:ind w:left="131"/>
              <w:spacing w:after="0"/>
              <w:rPr>
                <w:sz w:val="20"/>
                <w:szCs w:val="20"/>
                <w:color w:val="auto"/>
              </w:rPr>
            </w:pPr>
            <w:r>
              <w:rPr>
                <w:rFonts w:ascii="Arial" w:cs="Arial" w:eastAsia="Arial" w:hAnsi="Arial"/>
                <w:sz w:val="18"/>
                <w:szCs w:val="18"/>
                <w:color w:val="auto"/>
                <w:w w:val="98"/>
              </w:rPr>
              <w:t>(6,342)</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8"/>
              </w:rPr>
              <w:t>-79.9%</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-72.6%</w:t>
            </w:r>
          </w:p>
        </w:tc>
        <w:tc>
          <w:tcPr>
            <w:tcW w:w="1100" w:type="dxa"/>
            <w:vAlign w:val="bottom"/>
            <w:vMerge w:val="restart"/>
          </w:tcPr>
          <w:p>
            <w:pPr>
              <w:jc w:val="center"/>
              <w:ind w:right="25"/>
              <w:spacing w:after="0"/>
              <w:rPr>
                <w:sz w:val="20"/>
                <w:szCs w:val="20"/>
                <w:color w:val="auto"/>
              </w:rPr>
            </w:pPr>
            <w:r>
              <w:rPr>
                <w:rFonts w:ascii="Arial" w:cs="Arial" w:eastAsia="Arial" w:hAnsi="Arial"/>
                <w:sz w:val="18"/>
                <w:szCs w:val="18"/>
                <w:color w:val="auto"/>
              </w:rPr>
              <w:t>2,373</w:t>
            </w:r>
          </w:p>
        </w:tc>
        <w:tc>
          <w:tcPr>
            <w:tcW w:w="880" w:type="dxa"/>
            <w:vAlign w:val="bottom"/>
            <w:tcBorders>
              <w:right w:val="single" w:sz="8" w:color="auto"/>
            </w:tcBorders>
            <w:vMerge w:val="restart"/>
          </w:tcPr>
          <w:p>
            <w:pPr>
              <w:jc w:val="center"/>
              <w:ind w:right="45"/>
              <w:spacing w:after="0"/>
              <w:rPr>
                <w:sz w:val="20"/>
                <w:szCs w:val="20"/>
                <w:color w:val="auto"/>
              </w:rPr>
            </w:pPr>
            <w:r>
              <w:rPr>
                <w:rFonts w:ascii="Arial" w:cs="Arial" w:eastAsia="Arial" w:hAnsi="Arial"/>
                <w:sz w:val="18"/>
                <w:szCs w:val="18"/>
                <w:color w:val="auto"/>
                <w:w w:val="98"/>
              </w:rPr>
              <w:t>(37,851)</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n.a</w:t>
            </w:r>
          </w:p>
        </w:tc>
        <w:tc>
          <w:tcPr>
            <w:tcW w:w="0" w:type="dxa"/>
            <w:vAlign w:val="bottom"/>
          </w:tcPr>
          <w:p>
            <w:pPr>
              <w:spacing w:after="0"/>
              <w:rPr>
                <w:sz w:val="1"/>
                <w:szCs w:val="1"/>
                <w:color w:val="auto"/>
              </w:rPr>
            </w:pPr>
          </w:p>
        </w:tc>
      </w:tr>
      <w:tr>
        <w:trPr>
          <w:trHeight w:val="131"/>
        </w:trPr>
        <w:tc>
          <w:tcPr>
            <w:tcW w:w="3000" w:type="dxa"/>
            <w:vAlign w:val="bottom"/>
            <w:tcBorders>
              <w:left w:val="single" w:sz="8" w:color="auto"/>
              <w:right w:val="single" w:sz="8" w:color="auto"/>
            </w:tcBorders>
            <w:vMerge w:val="restart"/>
          </w:tcPr>
          <w:p>
            <w:pPr>
              <w:ind w:left="180"/>
              <w:spacing w:after="0" w:line="212" w:lineRule="exact"/>
              <w:rPr>
                <w:sz w:val="20"/>
                <w:szCs w:val="20"/>
                <w:color w:val="auto"/>
              </w:rPr>
            </w:pPr>
            <w:r>
              <w:rPr>
                <w:rFonts w:ascii="Arial" w:cs="Arial" w:eastAsia="Arial" w:hAnsi="Arial"/>
                <w:sz w:val="20"/>
                <w:szCs w:val="20"/>
                <w:color w:val="auto"/>
              </w:rPr>
              <w:t>recoveries</w:t>
            </w:r>
          </w:p>
        </w:tc>
        <w:tc>
          <w:tcPr>
            <w:tcW w:w="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880" w:type="dxa"/>
            <w:vAlign w:val="bottom"/>
            <w:vMerge w:val="continue"/>
          </w:tcPr>
          <w:p>
            <w:pPr>
              <w:spacing w:after="0"/>
              <w:rPr>
                <w:sz w:val="11"/>
                <w:szCs w:val="11"/>
                <w:color w:val="auto"/>
              </w:rPr>
            </w:pPr>
          </w:p>
        </w:tc>
        <w:tc>
          <w:tcPr>
            <w:tcW w:w="1100" w:type="dxa"/>
            <w:vAlign w:val="bottom"/>
            <w:tcBorders>
              <w:right w:val="single" w:sz="8" w:color="auto"/>
            </w:tcBorders>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000" w:type="dxa"/>
            <w:vAlign w:val="bottom"/>
            <w:tcBorders>
              <w:left w:val="single" w:sz="8" w:color="auto"/>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100" w:type="dxa"/>
            <w:vAlign w:val="bottom"/>
            <w:tcBorders>
              <w:right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b w:val="1"/>
                <w:bCs w:val="1"/>
                <w:color w:val="auto"/>
              </w:rPr>
              <w:t>Net interest income after</w:t>
            </w:r>
          </w:p>
        </w:tc>
        <w:tc>
          <w:tcPr>
            <w:tcW w:w="80" w:type="dxa"/>
            <w:vAlign w:val="bottom"/>
          </w:tcPr>
          <w:p>
            <w:pPr>
              <w:spacing w:after="0"/>
              <w:rPr>
                <w:sz w:val="18"/>
                <w:szCs w:val="18"/>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74,441</w:t>
            </w: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50,577</w:t>
            </w:r>
          </w:p>
        </w:tc>
        <w:tc>
          <w:tcPr>
            <w:tcW w:w="900" w:type="dxa"/>
            <w:vAlign w:val="bottom"/>
            <w:gridSpan w:val="2"/>
            <w:vMerge w:val="restart"/>
          </w:tcPr>
          <w:p>
            <w:pPr>
              <w:jc w:val="center"/>
              <w:ind w:left="51"/>
              <w:spacing w:after="0"/>
              <w:rPr>
                <w:sz w:val="20"/>
                <w:szCs w:val="20"/>
                <w:color w:val="auto"/>
              </w:rPr>
            </w:pPr>
            <w:r>
              <w:rPr>
                <w:rFonts w:ascii="Arial" w:cs="Arial" w:eastAsia="Arial" w:hAnsi="Arial"/>
                <w:sz w:val="18"/>
                <w:szCs w:val="18"/>
                <w:b w:val="1"/>
                <w:bCs w:val="1"/>
                <w:color w:val="auto"/>
                <w:w w:val="98"/>
              </w:rPr>
              <w:t>157,222</w:t>
            </w:r>
          </w:p>
        </w:tc>
        <w:tc>
          <w:tcPr>
            <w:tcW w:w="160" w:type="dxa"/>
            <w:vAlign w:val="bottom"/>
            <w:tcBorders>
              <w:right w:val="single" w:sz="8" w:color="auto"/>
            </w:tcBorders>
          </w:tcPr>
          <w:p>
            <w:pPr>
              <w:spacing w:after="0"/>
              <w:rPr>
                <w:sz w:val="18"/>
                <w:szCs w:val="18"/>
                <w:color w:val="auto"/>
              </w:rPr>
            </w:pPr>
          </w:p>
        </w:tc>
        <w:tc>
          <w:tcPr>
            <w:tcW w:w="8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210.9%</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111.2%</w:t>
            </w:r>
          </w:p>
        </w:tc>
        <w:tc>
          <w:tcPr>
            <w:tcW w:w="1100" w:type="dxa"/>
            <w:vAlign w:val="bottom"/>
            <w:vMerge w:val="restart"/>
          </w:tcPr>
          <w:p>
            <w:pPr>
              <w:jc w:val="center"/>
              <w:ind w:right="25"/>
              <w:spacing w:after="0"/>
              <w:rPr>
                <w:sz w:val="20"/>
                <w:szCs w:val="20"/>
                <w:color w:val="auto"/>
              </w:rPr>
            </w:pPr>
            <w:r>
              <w:rPr>
                <w:rFonts w:ascii="Arial" w:cs="Arial" w:eastAsia="Arial" w:hAnsi="Arial"/>
                <w:sz w:val="18"/>
                <w:szCs w:val="18"/>
                <w:b w:val="1"/>
                <w:bCs w:val="1"/>
                <w:color w:val="auto"/>
              </w:rPr>
              <w:t>255,061</w:t>
            </w:r>
          </w:p>
        </w:tc>
        <w:tc>
          <w:tcPr>
            <w:tcW w:w="880" w:type="dxa"/>
            <w:vAlign w:val="bottom"/>
            <w:tcBorders>
              <w:right w:val="single" w:sz="8" w:color="auto"/>
            </w:tcBorders>
            <w:vMerge w:val="restart"/>
          </w:tcPr>
          <w:p>
            <w:pPr>
              <w:jc w:val="center"/>
              <w:ind w:right="65"/>
              <w:spacing w:after="0"/>
              <w:rPr>
                <w:sz w:val="20"/>
                <w:szCs w:val="20"/>
                <w:color w:val="auto"/>
              </w:rPr>
            </w:pPr>
            <w:r>
              <w:rPr>
                <w:rFonts w:ascii="Arial" w:cs="Arial" w:eastAsia="Arial" w:hAnsi="Arial"/>
                <w:sz w:val="18"/>
                <w:szCs w:val="18"/>
                <w:b w:val="1"/>
                <w:bCs w:val="1"/>
                <w:color w:val="auto"/>
                <w:w w:val="98"/>
              </w:rPr>
              <w:t>207,798</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-18.5%</w:t>
            </w:r>
          </w:p>
        </w:tc>
        <w:tc>
          <w:tcPr>
            <w:tcW w:w="0" w:type="dxa"/>
            <w:vAlign w:val="bottom"/>
          </w:tcPr>
          <w:p>
            <w:pPr>
              <w:spacing w:after="0"/>
              <w:rPr>
                <w:sz w:val="1"/>
                <w:szCs w:val="1"/>
                <w:color w:val="auto"/>
              </w:rPr>
            </w:pPr>
          </w:p>
        </w:tc>
      </w:tr>
      <w:tr>
        <w:trPr>
          <w:trHeight w:val="143"/>
        </w:trPr>
        <w:tc>
          <w:tcPr>
            <w:tcW w:w="3000" w:type="dxa"/>
            <w:vAlign w:val="bottom"/>
            <w:tcBorders>
              <w:left w:val="single" w:sz="8" w:color="auto"/>
              <w:right w:val="single" w:sz="8" w:color="auto"/>
            </w:tcBorders>
            <w:vMerge w:val="restart"/>
          </w:tcPr>
          <w:p>
            <w:pPr>
              <w:ind w:left="180"/>
              <w:spacing w:after="0" w:line="216" w:lineRule="exact"/>
              <w:rPr>
                <w:sz w:val="20"/>
                <w:szCs w:val="20"/>
                <w:color w:val="auto"/>
              </w:rPr>
            </w:pPr>
            <w:r>
              <w:rPr>
                <w:rFonts w:ascii="Arial" w:cs="Arial" w:eastAsia="Arial" w:hAnsi="Arial"/>
                <w:sz w:val="20"/>
                <w:szCs w:val="20"/>
                <w:b w:val="1"/>
                <w:bCs w:val="1"/>
                <w:color w:val="auto"/>
              </w:rPr>
              <w:t>provisions</w:t>
            </w: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880" w:type="dxa"/>
            <w:vAlign w:val="bottom"/>
            <w:vMerge w:val="continue"/>
          </w:tcPr>
          <w:p>
            <w:pPr>
              <w:spacing w:after="0"/>
              <w:rPr>
                <w:sz w:val="12"/>
                <w:szCs w:val="12"/>
                <w:color w:val="auto"/>
              </w:rPr>
            </w:pPr>
          </w:p>
        </w:tc>
        <w:tc>
          <w:tcPr>
            <w:tcW w:w="1100" w:type="dxa"/>
            <w:vAlign w:val="bottom"/>
            <w:tcBorders>
              <w:right w:val="single" w:sz="8" w:color="auto"/>
            </w:tcBorders>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13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000" w:type="dxa"/>
            <w:vAlign w:val="bottom"/>
            <w:tcBorders>
              <w:left w:val="single" w:sz="8" w:color="auto"/>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13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Non-financial income</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44,902</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43,982</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8"/>
              </w:rPr>
              <w:t>86,685</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rPr>
              <w:t>97.1%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93.1%</w:t>
            </w:r>
          </w:p>
        </w:tc>
        <w:tc>
          <w:tcPr>
            <w:tcW w:w="1100" w:type="dxa"/>
            <w:vAlign w:val="bottom"/>
          </w:tcPr>
          <w:p>
            <w:pPr>
              <w:jc w:val="center"/>
              <w:ind w:right="25"/>
              <w:spacing w:after="0"/>
              <w:rPr>
                <w:sz w:val="20"/>
                <w:szCs w:val="20"/>
                <w:color w:val="auto"/>
              </w:rPr>
            </w:pPr>
            <w:r>
              <w:rPr>
                <w:rFonts w:ascii="Arial" w:cs="Arial" w:eastAsia="Arial" w:hAnsi="Arial"/>
                <w:sz w:val="18"/>
                <w:szCs w:val="18"/>
                <w:color w:val="auto"/>
                <w:w w:val="95"/>
              </w:rPr>
              <w:t>118,124</w:t>
            </w:r>
          </w:p>
        </w:tc>
        <w:tc>
          <w:tcPr>
            <w:tcW w:w="880" w:type="dxa"/>
            <w:vAlign w:val="bottom"/>
            <w:tcBorders>
              <w:right w:val="single" w:sz="8" w:color="auto"/>
            </w:tcBorders>
          </w:tcPr>
          <w:p>
            <w:pPr>
              <w:jc w:val="center"/>
              <w:ind w:right="65"/>
              <w:spacing w:after="0"/>
              <w:rPr>
                <w:sz w:val="20"/>
                <w:szCs w:val="20"/>
                <w:color w:val="auto"/>
              </w:rPr>
            </w:pPr>
            <w:r>
              <w:rPr>
                <w:rFonts w:ascii="Arial" w:cs="Arial" w:eastAsia="Arial" w:hAnsi="Arial"/>
                <w:sz w:val="18"/>
                <w:szCs w:val="18"/>
                <w:color w:val="auto"/>
                <w:w w:val="98"/>
              </w:rPr>
              <w:t>130,668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Total expenses</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(78,514)</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(44,296)</w:t>
            </w:r>
          </w:p>
        </w:tc>
        <w:tc>
          <w:tcPr>
            <w:tcW w:w="900" w:type="dxa"/>
            <w:vAlign w:val="bottom"/>
            <w:gridSpan w:val="2"/>
          </w:tcPr>
          <w:p>
            <w:pPr>
              <w:jc w:val="center"/>
              <w:ind w:left="51"/>
              <w:spacing w:after="0"/>
              <w:rPr>
                <w:sz w:val="20"/>
                <w:szCs w:val="20"/>
                <w:color w:val="auto"/>
              </w:rPr>
            </w:pPr>
            <w:r>
              <w:rPr>
                <w:rFonts w:ascii="Arial" w:cs="Arial" w:eastAsia="Arial" w:hAnsi="Arial"/>
                <w:sz w:val="18"/>
                <w:szCs w:val="18"/>
                <w:color w:val="auto"/>
                <w:w w:val="98"/>
              </w:rPr>
              <w:t>(138,413)</w:t>
            </w: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8"/>
              </w:rPr>
              <w:t>212.5%</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76.3%</w:t>
            </w:r>
          </w:p>
        </w:tc>
        <w:tc>
          <w:tcPr>
            <w:tcW w:w="1100" w:type="dxa"/>
            <w:vAlign w:val="bottom"/>
          </w:tcPr>
          <w:p>
            <w:pPr>
              <w:jc w:val="center"/>
              <w:ind w:right="25"/>
              <w:spacing w:after="0"/>
              <w:rPr>
                <w:sz w:val="20"/>
                <w:szCs w:val="20"/>
                <w:color w:val="auto"/>
              </w:rPr>
            </w:pPr>
            <w:r>
              <w:rPr>
                <w:rFonts w:ascii="Arial" w:cs="Arial" w:eastAsia="Arial" w:hAnsi="Arial"/>
                <w:sz w:val="18"/>
                <w:szCs w:val="18"/>
                <w:color w:val="auto"/>
              </w:rPr>
              <w:t>(271,242)</w:t>
            </w:r>
          </w:p>
        </w:tc>
        <w:tc>
          <w:tcPr>
            <w:tcW w:w="880" w:type="dxa"/>
            <w:vAlign w:val="bottom"/>
            <w:tcBorders>
              <w:right w:val="single" w:sz="8" w:color="auto"/>
            </w:tcBorders>
          </w:tcPr>
          <w:p>
            <w:pPr>
              <w:jc w:val="center"/>
              <w:ind w:right="45"/>
              <w:spacing w:after="0"/>
              <w:rPr>
                <w:sz w:val="20"/>
                <w:szCs w:val="20"/>
                <w:color w:val="auto"/>
              </w:rPr>
            </w:pPr>
            <w:r>
              <w:rPr>
                <w:rFonts w:ascii="Arial" w:cs="Arial" w:eastAsia="Arial" w:hAnsi="Arial"/>
                <w:sz w:val="18"/>
                <w:szCs w:val="18"/>
                <w:color w:val="auto"/>
                <w:w w:val="95"/>
              </w:rPr>
              <w:t>(182,709)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-32.6%</w:t>
            </w: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Translation result</w:t>
            </w:r>
          </w:p>
        </w:tc>
        <w:tc>
          <w:tcPr>
            <w:tcW w:w="80" w:type="dxa"/>
            <w:vAlign w:val="bottom"/>
          </w:tcPr>
          <w:p>
            <w:pPr>
              <w:spacing w:after="0"/>
              <w:rPr>
                <w:sz w:val="18"/>
                <w:szCs w:val="18"/>
                <w:color w:val="auto"/>
              </w:rPr>
            </w:pPr>
          </w:p>
        </w:tc>
        <w:tc>
          <w:tcPr>
            <w:tcW w:w="860" w:type="dxa"/>
            <w:vAlign w:val="bottom"/>
          </w:tcPr>
          <w:p>
            <w:pPr>
              <w:jc w:val="center"/>
              <w:ind w:right="11"/>
              <w:spacing w:after="0"/>
              <w:rPr>
                <w:sz w:val="20"/>
                <w:szCs w:val="20"/>
                <w:color w:val="auto"/>
              </w:rPr>
            </w:pPr>
            <w:r>
              <w:rPr>
                <w:rFonts w:ascii="Arial" w:cs="Arial" w:eastAsia="Arial" w:hAnsi="Arial"/>
                <w:sz w:val="18"/>
                <w:szCs w:val="18"/>
                <w:color w:val="auto"/>
                <w:w w:val="99"/>
              </w:rPr>
              <w:t>(89)</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820" w:type="dxa"/>
            <w:vAlign w:val="bottom"/>
          </w:tcPr>
          <w:p>
            <w:pPr>
              <w:jc w:val="center"/>
              <w:ind w:left="131"/>
              <w:spacing w:after="0"/>
              <w:rPr>
                <w:sz w:val="20"/>
                <w:szCs w:val="20"/>
                <w:color w:val="auto"/>
              </w:rPr>
            </w:pPr>
            <w:r>
              <w:rPr>
                <w:rFonts w:ascii="Arial" w:cs="Arial" w:eastAsia="Arial" w:hAnsi="Arial"/>
                <w:sz w:val="18"/>
                <w:szCs w:val="18"/>
                <w:color w:val="auto"/>
                <w:w w:val="99"/>
              </w:rPr>
              <w:t>(52)</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rPr>
              <w:t>26.6%</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-41.1%</w:t>
            </w:r>
          </w:p>
        </w:tc>
        <w:tc>
          <w:tcPr>
            <w:tcW w:w="1100" w:type="dxa"/>
            <w:vAlign w:val="bottom"/>
          </w:tcPr>
          <w:p>
            <w:pPr>
              <w:jc w:val="center"/>
              <w:ind w:right="25"/>
              <w:spacing w:after="0"/>
              <w:rPr>
                <w:sz w:val="20"/>
                <w:szCs w:val="20"/>
                <w:color w:val="auto"/>
              </w:rPr>
            </w:pPr>
            <w:r>
              <w:rPr>
                <w:rFonts w:ascii="Arial" w:cs="Arial" w:eastAsia="Arial" w:hAnsi="Arial"/>
                <w:sz w:val="18"/>
                <w:szCs w:val="18"/>
                <w:color w:val="auto"/>
                <w:w w:val="93"/>
              </w:rPr>
              <w:t>(80)</w:t>
            </w:r>
          </w:p>
        </w:tc>
        <w:tc>
          <w:tcPr>
            <w:tcW w:w="880" w:type="dxa"/>
            <w:vAlign w:val="bottom"/>
            <w:tcBorders>
              <w:right w:val="single" w:sz="8" w:color="auto"/>
            </w:tcBorders>
          </w:tcPr>
          <w:p>
            <w:pPr>
              <w:jc w:val="center"/>
              <w:ind w:right="65"/>
              <w:spacing w:after="0"/>
              <w:rPr>
                <w:sz w:val="20"/>
                <w:szCs w:val="20"/>
                <w:color w:val="auto"/>
              </w:rPr>
            </w:pPr>
            <w:r>
              <w:rPr>
                <w:rFonts w:ascii="Arial" w:cs="Arial" w:eastAsia="Arial" w:hAnsi="Arial"/>
                <w:sz w:val="18"/>
                <w:szCs w:val="18"/>
                <w:color w:val="auto"/>
                <w:w w:val="99"/>
              </w:rPr>
              <w:t>(94)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2"/>
        </w:trPr>
        <w:tc>
          <w:tcPr>
            <w:tcW w:w="300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20"/>
                <w:szCs w:val="20"/>
                <w:color w:val="auto"/>
              </w:rPr>
              <w:t>Income taxes</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8"/>
              </w:rPr>
              <w:t>(17,619)</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(33,364)</w:t>
            </w:r>
          </w:p>
        </w:tc>
        <w:tc>
          <w:tcPr>
            <w:tcW w:w="900" w:type="dxa"/>
            <w:vAlign w:val="bottom"/>
            <w:gridSpan w:val="2"/>
          </w:tcPr>
          <w:p>
            <w:pPr>
              <w:jc w:val="center"/>
              <w:ind w:left="31"/>
              <w:spacing w:after="0"/>
              <w:rPr>
                <w:sz w:val="20"/>
                <w:szCs w:val="20"/>
                <w:color w:val="auto"/>
              </w:rPr>
            </w:pPr>
            <w:r>
              <w:rPr>
                <w:rFonts w:ascii="Arial" w:cs="Arial" w:eastAsia="Arial" w:hAnsi="Arial"/>
                <w:sz w:val="18"/>
                <w:szCs w:val="18"/>
                <w:color w:val="auto"/>
                <w:w w:val="98"/>
              </w:rPr>
              <w:t>(71,046)</w:t>
            </w: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8"/>
              </w:rPr>
              <w:t>112.9%</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303.2%</w:t>
            </w:r>
          </w:p>
        </w:tc>
        <w:tc>
          <w:tcPr>
            <w:tcW w:w="1100" w:type="dxa"/>
            <w:vAlign w:val="bottom"/>
          </w:tcPr>
          <w:p>
            <w:pPr>
              <w:jc w:val="center"/>
              <w:ind w:right="25"/>
              <w:spacing w:after="0"/>
              <w:rPr>
                <w:sz w:val="20"/>
                <w:szCs w:val="20"/>
                <w:color w:val="auto"/>
              </w:rPr>
            </w:pPr>
            <w:r>
              <w:rPr>
                <w:rFonts w:ascii="Arial" w:cs="Arial" w:eastAsia="Arial" w:hAnsi="Arial"/>
                <w:sz w:val="18"/>
                <w:szCs w:val="18"/>
                <w:color w:val="auto"/>
                <w:w w:val="98"/>
              </w:rPr>
              <w:t>(52,128)</w:t>
            </w:r>
          </w:p>
        </w:tc>
        <w:tc>
          <w:tcPr>
            <w:tcW w:w="880" w:type="dxa"/>
            <w:vAlign w:val="bottom"/>
            <w:tcBorders>
              <w:right w:val="single" w:sz="8" w:color="auto"/>
            </w:tcBorders>
          </w:tcPr>
          <w:p>
            <w:pPr>
              <w:jc w:val="center"/>
              <w:ind w:right="45"/>
              <w:spacing w:after="0"/>
              <w:rPr>
                <w:sz w:val="20"/>
                <w:szCs w:val="20"/>
                <w:color w:val="auto"/>
              </w:rPr>
            </w:pPr>
            <w:r>
              <w:rPr>
                <w:rFonts w:ascii="Arial" w:cs="Arial" w:eastAsia="Arial" w:hAnsi="Arial"/>
                <w:sz w:val="18"/>
                <w:szCs w:val="18"/>
                <w:color w:val="auto"/>
                <w:w w:val="95"/>
              </w:rPr>
              <w:t>(104,410)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100.3%</w:t>
            </w:r>
          </w:p>
        </w:tc>
        <w:tc>
          <w:tcPr>
            <w:tcW w:w="0" w:type="dxa"/>
            <w:vAlign w:val="bottom"/>
          </w:tcPr>
          <w:p>
            <w:pPr>
              <w:spacing w:after="0"/>
              <w:rPr>
                <w:sz w:val="1"/>
                <w:szCs w:val="1"/>
                <w:color w:val="auto"/>
              </w:rPr>
            </w:pPr>
          </w:p>
        </w:tc>
      </w:tr>
      <w:tr>
        <w:trPr>
          <w:trHeight w:val="245"/>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Net income</w:t>
            </w: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23,121</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16,859</w:t>
            </w:r>
          </w:p>
        </w:tc>
        <w:tc>
          <w:tcPr>
            <w:tcW w:w="820" w:type="dxa"/>
            <w:vAlign w:val="bottom"/>
            <w:tcBorders>
              <w:bottom w:val="single" w:sz="8" w:color="auto"/>
            </w:tcBorders>
          </w:tcPr>
          <w:p>
            <w:pPr>
              <w:jc w:val="center"/>
              <w:ind w:left="111"/>
              <w:spacing w:after="0"/>
              <w:rPr>
                <w:sz w:val="20"/>
                <w:szCs w:val="20"/>
                <w:color w:val="auto"/>
              </w:rPr>
            </w:pPr>
            <w:r>
              <w:rPr>
                <w:rFonts w:ascii="Arial" w:cs="Arial" w:eastAsia="Arial" w:hAnsi="Arial"/>
                <w:sz w:val="18"/>
                <w:szCs w:val="18"/>
                <w:b w:val="1"/>
                <w:bCs w:val="1"/>
                <w:color w:val="auto"/>
                <w:w w:val="98"/>
              </w:rPr>
              <w:t>34,395</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-104.0%</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48.8%</w:t>
            </w: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8"/>
                <w:szCs w:val="18"/>
                <w:b w:val="1"/>
                <w:bCs w:val="1"/>
                <w:color w:val="auto"/>
                <w:w w:val="98"/>
              </w:rPr>
              <w:t>49,736</w:t>
            </w:r>
          </w:p>
        </w:tc>
        <w:tc>
          <w:tcPr>
            <w:tcW w:w="880" w:type="dxa"/>
            <w:vAlign w:val="bottom"/>
            <w:tcBorders>
              <w:bottom w:val="single" w:sz="8" w:color="auto"/>
              <w:right w:val="single" w:sz="8" w:color="auto"/>
            </w:tcBorders>
          </w:tcPr>
          <w:p>
            <w:pPr>
              <w:jc w:val="center"/>
              <w:ind w:right="45"/>
              <w:spacing w:after="0"/>
              <w:rPr>
                <w:sz w:val="20"/>
                <w:szCs w:val="20"/>
                <w:color w:val="auto"/>
              </w:rPr>
            </w:pPr>
            <w:r>
              <w:rPr>
                <w:rFonts w:ascii="Arial" w:cs="Arial" w:eastAsia="Arial" w:hAnsi="Arial"/>
                <w:sz w:val="18"/>
                <w:szCs w:val="18"/>
                <w:b w:val="1"/>
                <w:bCs w:val="1"/>
                <w:color w:val="auto"/>
                <w:w w:val="98"/>
              </w:rPr>
              <w:t>51,254</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3.1%</w:t>
            </w:r>
          </w:p>
        </w:tc>
        <w:tc>
          <w:tcPr>
            <w:tcW w:w="0" w:type="dxa"/>
            <w:vAlign w:val="bottom"/>
          </w:tcPr>
          <w:p>
            <w:pPr>
              <w:spacing w:after="0"/>
              <w:rPr>
                <w:sz w:val="1"/>
                <w:szCs w:val="1"/>
                <w:color w:val="auto"/>
              </w:rPr>
            </w:pPr>
          </w:p>
        </w:tc>
      </w:tr>
      <w:tr>
        <w:trPr>
          <w:trHeight w:val="194"/>
        </w:trPr>
        <w:tc>
          <w:tcPr>
            <w:tcW w:w="3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0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Efficiency ratio</w:t>
            </w:r>
          </w:p>
        </w:tc>
        <w:tc>
          <w:tcPr>
            <w:tcW w:w="80" w:type="dxa"/>
            <w:vAlign w:val="bottom"/>
          </w:tcPr>
          <w:p>
            <w:pPr>
              <w:spacing w:after="0"/>
              <w:rPr>
                <w:sz w:val="16"/>
                <w:szCs w:val="16"/>
                <w:color w:val="auto"/>
              </w:rPr>
            </w:pPr>
          </w:p>
        </w:tc>
        <w:tc>
          <w:tcPr>
            <w:tcW w:w="860" w:type="dxa"/>
            <w:vAlign w:val="bottom"/>
          </w:tcPr>
          <w:p>
            <w:pPr>
              <w:jc w:val="center"/>
              <w:spacing w:after="0" w:line="193" w:lineRule="exact"/>
              <w:rPr>
                <w:sz w:val="20"/>
                <w:szCs w:val="20"/>
                <w:color w:val="auto"/>
              </w:rPr>
            </w:pPr>
            <w:r>
              <w:rPr>
                <w:rFonts w:ascii="Arial" w:cs="Arial" w:eastAsia="Arial" w:hAnsi="Arial"/>
                <w:sz w:val="18"/>
                <w:szCs w:val="18"/>
                <w:color w:val="auto"/>
                <w:w w:val="97"/>
              </w:rPr>
              <w:t>53.0%</w:t>
            </w:r>
          </w:p>
        </w:tc>
        <w:tc>
          <w:tcPr>
            <w:tcW w:w="940" w:type="dxa"/>
            <w:vAlign w:val="bottom"/>
          </w:tcPr>
          <w:p>
            <w:pPr>
              <w:jc w:val="center"/>
              <w:spacing w:after="0" w:line="193" w:lineRule="exact"/>
              <w:rPr>
                <w:sz w:val="20"/>
                <w:szCs w:val="20"/>
                <w:color w:val="auto"/>
              </w:rPr>
            </w:pPr>
            <w:r>
              <w:rPr>
                <w:rFonts w:ascii="Arial" w:cs="Arial" w:eastAsia="Arial" w:hAnsi="Arial"/>
                <w:sz w:val="18"/>
                <w:szCs w:val="18"/>
                <w:color w:val="auto"/>
                <w:w w:val="97"/>
              </w:rPr>
              <w:t>58.0%</w:t>
            </w:r>
          </w:p>
        </w:tc>
        <w:tc>
          <w:tcPr>
            <w:tcW w:w="820" w:type="dxa"/>
            <w:vAlign w:val="bottom"/>
          </w:tcPr>
          <w:p>
            <w:pPr>
              <w:jc w:val="center"/>
              <w:ind w:left="111"/>
              <w:spacing w:after="0" w:line="193" w:lineRule="exact"/>
              <w:rPr>
                <w:sz w:val="20"/>
                <w:szCs w:val="20"/>
                <w:color w:val="auto"/>
              </w:rPr>
            </w:pPr>
            <w:r>
              <w:rPr>
                <w:rFonts w:ascii="Arial" w:cs="Arial" w:eastAsia="Arial" w:hAnsi="Arial"/>
                <w:sz w:val="18"/>
                <w:szCs w:val="18"/>
                <w:color w:val="auto"/>
                <w:w w:val="97"/>
              </w:rPr>
              <w:t>61.3%</w:t>
            </w:r>
          </w:p>
        </w:tc>
        <w:tc>
          <w:tcPr>
            <w:tcW w:w="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880" w:type="dxa"/>
            <w:vAlign w:val="bottom"/>
          </w:tcPr>
          <w:p>
            <w:pPr>
              <w:jc w:val="center"/>
              <w:spacing w:after="0" w:line="193" w:lineRule="exact"/>
              <w:rPr>
                <w:sz w:val="20"/>
                <w:szCs w:val="20"/>
                <w:color w:val="auto"/>
              </w:rPr>
            </w:pPr>
            <w:r>
              <w:rPr>
                <w:rFonts w:ascii="Arial" w:cs="Arial" w:eastAsia="Arial" w:hAnsi="Arial"/>
                <w:sz w:val="18"/>
                <w:szCs w:val="18"/>
                <w:color w:val="auto"/>
                <w:w w:val="99"/>
              </w:rPr>
              <w:t>330 bps</w:t>
            </w:r>
          </w:p>
        </w:tc>
        <w:tc>
          <w:tcPr>
            <w:tcW w:w="11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6"/>
              </w:rPr>
              <w:t>830 bps</w:t>
            </w:r>
          </w:p>
        </w:tc>
        <w:tc>
          <w:tcPr>
            <w:tcW w:w="1100" w:type="dxa"/>
            <w:vAlign w:val="bottom"/>
          </w:tcPr>
          <w:p>
            <w:pPr>
              <w:jc w:val="center"/>
              <w:ind w:right="25"/>
              <w:spacing w:after="0" w:line="193" w:lineRule="exact"/>
              <w:rPr>
                <w:sz w:val="20"/>
                <w:szCs w:val="20"/>
                <w:color w:val="auto"/>
              </w:rPr>
            </w:pPr>
            <w:r>
              <w:rPr>
                <w:rFonts w:ascii="Arial" w:cs="Arial" w:eastAsia="Arial" w:hAnsi="Arial"/>
                <w:sz w:val="18"/>
                <w:szCs w:val="18"/>
                <w:color w:val="auto"/>
                <w:w w:val="97"/>
              </w:rPr>
              <w:t>55.9%</w:t>
            </w:r>
          </w:p>
        </w:tc>
        <w:tc>
          <w:tcPr>
            <w:tcW w:w="880" w:type="dxa"/>
            <w:vAlign w:val="bottom"/>
            <w:tcBorders>
              <w:right w:val="single" w:sz="8" w:color="auto"/>
            </w:tcBorders>
          </w:tcPr>
          <w:p>
            <w:pPr>
              <w:jc w:val="center"/>
              <w:ind w:right="45"/>
              <w:spacing w:after="0" w:line="193" w:lineRule="exact"/>
              <w:rPr>
                <w:sz w:val="20"/>
                <w:szCs w:val="20"/>
                <w:color w:val="auto"/>
              </w:rPr>
            </w:pPr>
            <w:r>
              <w:rPr>
                <w:rFonts w:ascii="Arial" w:cs="Arial" w:eastAsia="Arial" w:hAnsi="Arial"/>
                <w:sz w:val="18"/>
                <w:szCs w:val="18"/>
                <w:color w:val="auto"/>
                <w:w w:val="97"/>
              </w:rPr>
              <w:t>58.6%</w:t>
            </w:r>
          </w:p>
        </w:tc>
        <w:tc>
          <w:tcPr>
            <w:tcW w:w="13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270 bps</w:t>
            </w:r>
          </w:p>
        </w:tc>
        <w:tc>
          <w:tcPr>
            <w:tcW w:w="0" w:type="dxa"/>
            <w:vAlign w:val="bottom"/>
          </w:tcPr>
          <w:p>
            <w:pPr>
              <w:spacing w:after="0"/>
              <w:rPr>
                <w:sz w:val="1"/>
                <w:szCs w:val="1"/>
                <w:color w:val="auto"/>
              </w:rPr>
            </w:pPr>
          </w:p>
        </w:tc>
      </w:tr>
      <w:tr>
        <w:trPr>
          <w:trHeight w:val="229"/>
        </w:trPr>
        <w:tc>
          <w:tcPr>
            <w:tcW w:w="3000" w:type="dxa"/>
            <w:vAlign w:val="bottom"/>
            <w:tcBorders>
              <w:left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ROAE</w:t>
            </w:r>
          </w:p>
        </w:tc>
        <w:tc>
          <w:tcPr>
            <w:tcW w:w="8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11.5%</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8.4%</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7"/>
              </w:rPr>
              <w:t>16.3%</w:t>
            </w:r>
          </w:p>
        </w:tc>
        <w:tc>
          <w:tcPr>
            <w:tcW w:w="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790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473 bps</w:t>
            </w:r>
          </w:p>
        </w:tc>
        <w:tc>
          <w:tcPr>
            <w:tcW w:w="1100" w:type="dxa"/>
            <w:vAlign w:val="bottom"/>
            <w:tcBorders>
              <w:bottom w:val="single" w:sz="8" w:color="auto"/>
            </w:tcBorders>
          </w:tcPr>
          <w:p>
            <w:pPr>
              <w:jc w:val="center"/>
              <w:ind w:right="25"/>
              <w:spacing w:after="0"/>
              <w:rPr>
                <w:sz w:val="20"/>
                <w:szCs w:val="20"/>
                <w:color w:val="auto"/>
              </w:rPr>
            </w:pPr>
            <w:r>
              <w:rPr>
                <w:rFonts w:ascii="Arial" w:cs="Arial" w:eastAsia="Arial" w:hAnsi="Arial"/>
                <w:sz w:val="18"/>
                <w:szCs w:val="18"/>
                <w:color w:val="auto"/>
                <w:w w:val="97"/>
              </w:rPr>
              <w:t>13.0%</w:t>
            </w:r>
          </w:p>
        </w:tc>
        <w:tc>
          <w:tcPr>
            <w:tcW w:w="880" w:type="dxa"/>
            <w:vAlign w:val="bottom"/>
            <w:tcBorders>
              <w:bottom w:val="single" w:sz="8" w:color="auto"/>
              <w:right w:val="single" w:sz="8" w:color="auto"/>
            </w:tcBorders>
          </w:tcPr>
          <w:p>
            <w:pPr>
              <w:jc w:val="center"/>
              <w:ind w:right="45"/>
              <w:spacing w:after="0"/>
              <w:rPr>
                <w:sz w:val="20"/>
                <w:szCs w:val="20"/>
                <w:color w:val="auto"/>
              </w:rPr>
            </w:pPr>
            <w:r>
              <w:rPr>
                <w:rFonts w:ascii="Arial" w:cs="Arial" w:eastAsia="Arial" w:hAnsi="Arial"/>
                <w:sz w:val="18"/>
                <w:szCs w:val="18"/>
                <w:color w:val="auto"/>
                <w:w w:val="97"/>
              </w:rPr>
              <w:t>12.0%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-96 bps</w:t>
            </w:r>
          </w:p>
        </w:tc>
        <w:tc>
          <w:tcPr>
            <w:tcW w:w="0" w:type="dxa"/>
            <w:vAlign w:val="bottom"/>
          </w:tcPr>
          <w:p>
            <w:pPr>
              <w:spacing w:after="0"/>
              <w:rPr>
                <w:sz w:val="1"/>
                <w:szCs w:val="1"/>
                <w:color w:val="auto"/>
              </w:rPr>
            </w:pPr>
          </w:p>
        </w:tc>
      </w:tr>
      <w:tr>
        <w:trPr>
          <w:trHeight w:val="179"/>
        </w:trPr>
        <w:tc>
          <w:tcPr>
            <w:tcW w:w="300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20"/>
                <w:szCs w:val="20"/>
                <w:color w:val="auto"/>
              </w:rPr>
              <w:t>L/D ratio</w:t>
            </w:r>
          </w:p>
        </w:tc>
        <w:tc>
          <w:tcPr>
            <w:tcW w:w="80" w:type="dxa"/>
            <w:vAlign w:val="bottom"/>
          </w:tcPr>
          <w:p>
            <w:pPr>
              <w:spacing w:after="0"/>
              <w:rPr>
                <w:sz w:val="15"/>
                <w:szCs w:val="15"/>
                <w:color w:val="auto"/>
              </w:rPr>
            </w:pPr>
          </w:p>
        </w:tc>
        <w:tc>
          <w:tcPr>
            <w:tcW w:w="860" w:type="dxa"/>
            <w:vAlign w:val="bottom"/>
          </w:tcPr>
          <w:p>
            <w:pPr>
              <w:jc w:val="center"/>
              <w:spacing w:after="0" w:line="179" w:lineRule="exact"/>
              <w:rPr>
                <w:sz w:val="20"/>
                <w:szCs w:val="20"/>
                <w:color w:val="auto"/>
              </w:rPr>
            </w:pPr>
            <w:r>
              <w:rPr>
                <w:rFonts w:ascii="Arial" w:cs="Arial" w:eastAsia="Arial" w:hAnsi="Arial"/>
                <w:sz w:val="18"/>
                <w:szCs w:val="18"/>
                <w:color w:val="auto"/>
                <w:w w:val="97"/>
              </w:rPr>
              <w:t>81.9%</w:t>
            </w:r>
          </w:p>
        </w:tc>
        <w:tc>
          <w:tcPr>
            <w:tcW w:w="940" w:type="dxa"/>
            <w:vAlign w:val="bottom"/>
          </w:tcPr>
          <w:p>
            <w:pPr>
              <w:jc w:val="center"/>
              <w:spacing w:after="0" w:line="179" w:lineRule="exact"/>
              <w:rPr>
                <w:sz w:val="20"/>
                <w:szCs w:val="20"/>
                <w:color w:val="auto"/>
              </w:rPr>
            </w:pPr>
            <w:r>
              <w:rPr>
                <w:rFonts w:ascii="Arial" w:cs="Arial" w:eastAsia="Arial" w:hAnsi="Arial"/>
                <w:sz w:val="18"/>
                <w:szCs w:val="18"/>
                <w:color w:val="auto"/>
                <w:w w:val="97"/>
              </w:rPr>
              <w:t>84.0%</w:t>
            </w:r>
          </w:p>
        </w:tc>
        <w:tc>
          <w:tcPr>
            <w:tcW w:w="820" w:type="dxa"/>
            <w:vAlign w:val="bottom"/>
          </w:tcPr>
          <w:p>
            <w:pPr>
              <w:jc w:val="center"/>
              <w:ind w:left="111"/>
              <w:spacing w:after="0" w:line="179" w:lineRule="exact"/>
              <w:rPr>
                <w:sz w:val="20"/>
                <w:szCs w:val="20"/>
                <w:color w:val="auto"/>
              </w:rPr>
            </w:pPr>
            <w:r>
              <w:rPr>
                <w:rFonts w:ascii="Arial" w:cs="Arial" w:eastAsia="Arial" w:hAnsi="Arial"/>
                <w:sz w:val="18"/>
                <w:szCs w:val="18"/>
                <w:color w:val="auto"/>
                <w:w w:val="97"/>
              </w:rPr>
              <w:t>86.3%</w:t>
            </w:r>
          </w:p>
        </w:tc>
        <w:tc>
          <w:tcPr>
            <w:tcW w:w="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880" w:type="dxa"/>
            <w:vAlign w:val="bottom"/>
          </w:tcPr>
          <w:p>
            <w:pPr>
              <w:jc w:val="center"/>
              <w:spacing w:after="0" w:line="179" w:lineRule="exact"/>
              <w:rPr>
                <w:sz w:val="20"/>
                <w:szCs w:val="20"/>
                <w:color w:val="auto"/>
              </w:rPr>
            </w:pPr>
            <w:r>
              <w:rPr>
                <w:rFonts w:ascii="Arial" w:cs="Arial" w:eastAsia="Arial" w:hAnsi="Arial"/>
                <w:sz w:val="18"/>
                <w:szCs w:val="18"/>
                <w:color w:val="auto"/>
                <w:w w:val="99"/>
              </w:rPr>
              <w:t>230 bps</w:t>
            </w:r>
          </w:p>
        </w:tc>
        <w:tc>
          <w:tcPr>
            <w:tcW w:w="110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8"/>
                <w:szCs w:val="18"/>
                <w:color w:val="auto"/>
                <w:w w:val="96"/>
              </w:rPr>
              <w:t>442 bps</w:t>
            </w: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IOL ratio</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0.97%</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2.07%</w:t>
            </w:r>
          </w:p>
        </w:tc>
        <w:tc>
          <w:tcPr>
            <w:tcW w:w="820" w:type="dxa"/>
            <w:vAlign w:val="bottom"/>
          </w:tcPr>
          <w:p>
            <w:pPr>
              <w:jc w:val="center"/>
              <w:ind w:left="131"/>
              <w:spacing w:after="0"/>
              <w:rPr>
                <w:sz w:val="20"/>
                <w:szCs w:val="20"/>
                <w:color w:val="auto"/>
              </w:rPr>
            </w:pPr>
            <w:r>
              <w:rPr>
                <w:rFonts w:ascii="Arial" w:cs="Arial" w:eastAsia="Arial" w:hAnsi="Arial"/>
                <w:sz w:val="18"/>
                <w:szCs w:val="18"/>
                <w:color w:val="auto"/>
                <w:w w:val="93"/>
              </w:rPr>
              <w:t>2.11%</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0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114 bps</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NPL ratio</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7"/>
              </w:rPr>
              <w:t>1.37%</w:t>
            </w: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2.40%</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7"/>
              </w:rPr>
              <w:t>2.40%</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0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103 bps</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Coverage of IOLs</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488.3%</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216.5%</w:t>
            </w:r>
          </w:p>
        </w:tc>
        <w:tc>
          <w:tcPr>
            <w:tcW w:w="820" w:type="dxa"/>
            <w:vAlign w:val="bottom"/>
          </w:tcPr>
          <w:p>
            <w:pPr>
              <w:jc w:val="center"/>
              <w:ind w:left="131"/>
              <w:spacing w:after="0"/>
              <w:rPr>
                <w:sz w:val="20"/>
                <w:szCs w:val="20"/>
                <w:color w:val="auto"/>
              </w:rPr>
            </w:pPr>
            <w:r>
              <w:rPr>
                <w:rFonts w:ascii="Arial" w:cs="Arial" w:eastAsia="Arial" w:hAnsi="Arial"/>
                <w:sz w:val="18"/>
                <w:szCs w:val="18"/>
                <w:color w:val="auto"/>
                <w:w w:val="98"/>
              </w:rPr>
              <w:t>203.4%</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-1310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-28496 bps</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Coverage of NPLs</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343.0%</w:t>
            </w:r>
          </w:p>
        </w:tc>
        <w:tc>
          <w:tcPr>
            <w:tcW w:w="940" w:type="dxa"/>
            <w:vAlign w:val="bottom"/>
          </w:tcPr>
          <w:p>
            <w:pPr>
              <w:jc w:val="center"/>
              <w:spacing w:after="0"/>
              <w:rPr>
                <w:sz w:val="20"/>
                <w:szCs w:val="20"/>
                <w:color w:val="auto"/>
              </w:rPr>
            </w:pPr>
            <w:r>
              <w:rPr>
                <w:rFonts w:ascii="Arial" w:cs="Arial" w:eastAsia="Arial" w:hAnsi="Arial"/>
                <w:sz w:val="18"/>
                <w:szCs w:val="18"/>
                <w:color w:val="auto"/>
                <w:w w:val="98"/>
              </w:rPr>
              <w:t>187.4%</w:t>
            </w:r>
          </w:p>
        </w:tc>
        <w:tc>
          <w:tcPr>
            <w:tcW w:w="820" w:type="dxa"/>
            <w:vAlign w:val="bottom"/>
          </w:tcPr>
          <w:p>
            <w:pPr>
              <w:jc w:val="center"/>
              <w:ind w:left="131"/>
              <w:spacing w:after="0"/>
              <w:rPr>
                <w:sz w:val="20"/>
                <w:szCs w:val="20"/>
                <w:color w:val="auto"/>
              </w:rPr>
            </w:pPr>
            <w:r>
              <w:rPr>
                <w:rFonts w:ascii="Arial" w:cs="Arial" w:eastAsia="Arial" w:hAnsi="Arial"/>
                <w:sz w:val="18"/>
                <w:szCs w:val="18"/>
                <w:color w:val="auto"/>
                <w:w w:val="98"/>
              </w:rPr>
              <w:t>179.4%</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-800 bps</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-16359 bps</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Branches</w:t>
            </w:r>
          </w:p>
        </w:tc>
        <w:tc>
          <w:tcPr>
            <w:tcW w:w="80" w:type="dxa"/>
            <w:vAlign w:val="bottom"/>
          </w:tcPr>
          <w:p>
            <w:pPr>
              <w:spacing w:after="0"/>
              <w:rPr>
                <w:sz w:val="18"/>
                <w:szCs w:val="18"/>
                <w:color w:val="auto"/>
              </w:rPr>
            </w:pPr>
          </w:p>
        </w:tc>
        <w:tc>
          <w:tcPr>
            <w:tcW w:w="860" w:type="dxa"/>
            <w:vAlign w:val="bottom"/>
          </w:tcPr>
          <w:p>
            <w:pPr>
              <w:jc w:val="center"/>
              <w:ind w:right="11"/>
              <w:spacing w:after="0"/>
              <w:rPr>
                <w:sz w:val="20"/>
                <w:szCs w:val="20"/>
                <w:color w:val="auto"/>
              </w:rPr>
            </w:pPr>
            <w:r>
              <w:rPr>
                <w:rFonts w:ascii="Arial" w:cs="Arial" w:eastAsia="Arial" w:hAnsi="Arial"/>
                <w:sz w:val="18"/>
                <w:szCs w:val="18"/>
                <w:color w:val="auto"/>
                <w:w w:val="99"/>
              </w:rPr>
              <w:t>43</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45</w:t>
            </w:r>
          </w:p>
        </w:tc>
        <w:tc>
          <w:tcPr>
            <w:tcW w:w="820" w:type="dxa"/>
            <w:vAlign w:val="bottom"/>
          </w:tcPr>
          <w:p>
            <w:pPr>
              <w:jc w:val="center"/>
              <w:ind w:left="131"/>
              <w:spacing w:after="0"/>
              <w:rPr>
                <w:sz w:val="20"/>
                <w:szCs w:val="20"/>
                <w:color w:val="auto"/>
              </w:rPr>
            </w:pPr>
            <w:r>
              <w:rPr>
                <w:rFonts w:ascii="Arial" w:cs="Arial" w:eastAsia="Arial" w:hAnsi="Arial"/>
                <w:sz w:val="18"/>
                <w:szCs w:val="18"/>
                <w:color w:val="auto"/>
                <w:w w:val="99"/>
              </w:rPr>
              <w:t>45</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Agentes</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876</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1090</w:t>
            </w:r>
          </w:p>
        </w:tc>
        <w:tc>
          <w:tcPr>
            <w:tcW w:w="820" w:type="dxa"/>
            <w:vAlign w:val="bottom"/>
          </w:tcPr>
          <w:p>
            <w:pPr>
              <w:jc w:val="center"/>
              <w:ind w:left="111"/>
              <w:spacing w:after="0"/>
              <w:rPr>
                <w:sz w:val="20"/>
                <w:szCs w:val="20"/>
                <w:color w:val="auto"/>
              </w:rPr>
            </w:pPr>
            <w:r>
              <w:rPr>
                <w:rFonts w:ascii="Arial" w:cs="Arial" w:eastAsia="Arial" w:hAnsi="Arial"/>
                <w:sz w:val="18"/>
                <w:szCs w:val="18"/>
                <w:color w:val="auto"/>
                <w:w w:val="94"/>
              </w:rPr>
              <w:t>1177</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87</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301</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ATMs</w:t>
            </w: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306</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820" w:type="dxa"/>
            <w:vAlign w:val="bottom"/>
          </w:tcPr>
          <w:p>
            <w:pPr>
              <w:jc w:val="center"/>
              <w:ind w:left="131"/>
              <w:spacing w:after="0"/>
              <w:rPr>
                <w:sz w:val="20"/>
                <w:szCs w:val="20"/>
                <w:color w:val="auto"/>
              </w:rPr>
            </w:pPr>
            <w:r>
              <w:rPr>
                <w:rFonts w:ascii="Arial" w:cs="Arial" w:eastAsia="Arial" w:hAnsi="Arial"/>
                <w:sz w:val="18"/>
                <w:szCs w:val="18"/>
                <w:color w:val="auto"/>
                <w:w w:val="93"/>
              </w:rPr>
              <w:t>311</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0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Employees</w:t>
            </w:r>
          </w:p>
        </w:tc>
        <w:tc>
          <w:tcPr>
            <w:tcW w:w="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1,575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1,604</w:t>
            </w:r>
          </w:p>
        </w:tc>
        <w:tc>
          <w:tcPr>
            <w:tcW w:w="820" w:type="dxa"/>
            <w:vAlign w:val="bottom"/>
            <w:tcBorders>
              <w:bottom w:val="single" w:sz="8" w:color="auto"/>
            </w:tcBorders>
          </w:tcPr>
          <w:p>
            <w:pPr>
              <w:jc w:val="center"/>
              <w:ind w:left="131"/>
              <w:spacing w:after="0"/>
              <w:rPr>
                <w:sz w:val="20"/>
                <w:szCs w:val="20"/>
                <w:color w:val="auto"/>
              </w:rPr>
            </w:pPr>
            <w:r>
              <w:rPr>
                <w:rFonts w:ascii="Arial" w:cs="Arial" w:eastAsia="Arial" w:hAnsi="Arial"/>
                <w:sz w:val="18"/>
                <w:szCs w:val="18"/>
                <w:color w:val="auto"/>
                <w:w w:val="97"/>
              </w:rPr>
              <w:t>1,622</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18</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47</w:t>
            </w:r>
          </w:p>
        </w:tc>
        <w:tc>
          <w:tcPr>
            <w:tcW w:w="1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45"/>
        </w:trPr>
        <w:tc>
          <w:tcPr>
            <w:tcW w:w="30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1" w:right="339" w:bottom="1440" w:gutter="0" w:footer="0" w:header="0"/>
        </w:sectPr>
      </w:pPr>
    </w:p>
    <w:bookmarkStart w:id="67" w:name="page68"/>
    <w:bookmarkEnd w:id="67"/>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12.5.6. Mibanco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MIBANCO</w:t>
      </w:r>
    </w:p>
    <w:p>
      <w:pPr>
        <w:jc w:val="center"/>
        <w:spacing w:after="0"/>
        <w:rPr>
          <w:sz w:val="20"/>
          <w:szCs w:val="20"/>
          <w:color w:val="auto"/>
        </w:rPr>
      </w:pPr>
      <w:r>
        <w:rPr>
          <w:rFonts w:ascii="Times New Roman" w:cs="Times New Roman" w:eastAsia="Times New Roman" w:hAnsi="Times New Roman"/>
          <w:sz w:val="20"/>
          <w:szCs w:val="20"/>
          <w:b w:val="1"/>
          <w:bCs w:val="1"/>
          <w:color w:val="auto"/>
        </w:rPr>
        <w:t>(In S/ thousands, IFRS)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Borders>
              <w:top w:val="single" w:sz="8" w:color="auto"/>
              <w:right w:val="single" w:sz="8" w:color="2AD2C9"/>
            </w:tcBorders>
            <w:shd w:val="clear" w:color="auto" w:fill="2AD2C9"/>
          </w:tcPr>
          <w:p>
            <w:pPr>
              <w:spacing w:after="0"/>
              <w:rPr>
                <w:sz w:val="18"/>
                <w:szCs w:val="18"/>
                <w:color w:val="auto"/>
              </w:rPr>
            </w:pPr>
          </w:p>
        </w:tc>
        <w:tc>
          <w:tcPr>
            <w:tcW w:w="100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9"/>
              </w:rPr>
              <w:t>Sep 21</w:t>
            </w:r>
          </w:p>
        </w:tc>
        <w:tc>
          <w:tcPr>
            <w:tcW w:w="100" w:type="dxa"/>
            <w:vAlign w:val="bottom"/>
            <w:tcBorders>
              <w:top w:val="single" w:sz="8" w:color="auto"/>
            </w:tcBorders>
            <w:shd w:val="clear" w:color="auto" w:fill="2AD2C9"/>
          </w:tcPr>
          <w:p>
            <w:pPr>
              <w:spacing w:after="0"/>
              <w:rPr>
                <w:sz w:val="18"/>
                <w:szCs w:val="18"/>
                <w:color w:val="auto"/>
              </w:rPr>
            </w:pPr>
          </w:p>
        </w:tc>
        <w:tc>
          <w:tcPr>
            <w:tcW w:w="1480" w:type="dxa"/>
            <w:vAlign w:val="bottom"/>
            <w:tcBorders>
              <w:top w:val="single" w:sz="8" w:color="auto"/>
            </w:tcBorders>
            <w:gridSpan w:val="2"/>
            <w:shd w:val="clear" w:color="auto" w:fill="2AD2C9"/>
          </w:tcPr>
          <w:p>
            <w:pPr>
              <w:jc w:val="center"/>
              <w:spacing w:after="0" w:line="217" w:lineRule="exact"/>
              <w:rPr>
                <w:sz w:val="20"/>
                <w:szCs w:val="20"/>
                <w:color w:val="auto"/>
              </w:rPr>
            </w:pPr>
            <w:r>
              <w:rPr>
                <w:rFonts w:ascii="Arial" w:cs="Arial" w:eastAsia="Arial" w:hAnsi="Arial"/>
                <w:sz w:val="20"/>
                <w:szCs w:val="20"/>
                <w:b w:val="1"/>
                <w:bCs w:val="1"/>
                <w:color w:val="FFFFFF"/>
                <w:w w:val="99"/>
              </w:rPr>
              <w:t>As of</w:t>
            </w:r>
          </w:p>
        </w:tc>
        <w:tc>
          <w:tcPr>
            <w:tcW w:w="1240" w:type="dxa"/>
            <w:vAlign w:val="bottom"/>
            <w:tcBorders>
              <w:top w:val="single" w:sz="8" w:color="auto"/>
              <w:right w:val="single" w:sz="8" w:color="auto"/>
            </w:tcBorders>
            <w:gridSpan w:val="2"/>
            <w:vMerge w:val="restart"/>
            <w:shd w:val="clear" w:color="auto" w:fill="2AD2C9"/>
          </w:tcPr>
          <w:p>
            <w:pPr>
              <w:ind w:left="240"/>
              <w:spacing w:after="0"/>
              <w:rPr>
                <w:sz w:val="20"/>
                <w:szCs w:val="20"/>
                <w:color w:val="auto"/>
              </w:rPr>
            </w:pPr>
            <w:r>
              <w:rPr>
                <w:rFonts w:ascii="Arial" w:cs="Arial" w:eastAsia="Arial" w:hAnsi="Arial"/>
                <w:sz w:val="20"/>
                <w:szCs w:val="20"/>
                <w:b w:val="1"/>
                <w:bCs w:val="1"/>
                <w:color w:val="FFFFFF"/>
              </w:rPr>
              <w:t>Sep 22</w:t>
            </w:r>
          </w:p>
        </w:tc>
        <w:tc>
          <w:tcPr>
            <w:tcW w:w="120" w:type="dxa"/>
            <w:vAlign w:val="bottom"/>
            <w:tcBorders>
              <w:top w:val="single" w:sz="8" w:color="auto"/>
              <w:right w:val="single" w:sz="8" w:color="2AD2C9"/>
            </w:tcBorders>
            <w:shd w:val="clear" w:color="auto" w:fill="2AD2C9"/>
          </w:tcPr>
          <w:p>
            <w:pPr>
              <w:spacing w:after="0"/>
              <w:rPr>
                <w:sz w:val="18"/>
                <w:szCs w:val="18"/>
                <w:color w:val="auto"/>
              </w:rPr>
            </w:pPr>
          </w:p>
        </w:tc>
        <w:tc>
          <w:tcPr>
            <w:tcW w:w="1340" w:type="dxa"/>
            <w:vAlign w:val="bottom"/>
            <w:tcBorders>
              <w:top w:val="single" w:sz="8" w:color="auto"/>
              <w:right w:val="single" w:sz="8" w:color="auto"/>
            </w:tcBorders>
            <w:gridSpan w:val="2"/>
            <w:shd w:val="clear" w:color="auto" w:fill="2AD2C9"/>
          </w:tcPr>
          <w:p>
            <w:pPr>
              <w:jc w:val="center"/>
              <w:ind w:right="42"/>
              <w:spacing w:after="0" w:line="217" w:lineRule="exact"/>
              <w:rPr>
                <w:sz w:val="20"/>
                <w:szCs w:val="20"/>
                <w:color w:val="auto"/>
              </w:rPr>
            </w:pPr>
            <w:r>
              <w:rPr>
                <w:rFonts w:ascii="Arial" w:cs="Arial" w:eastAsia="Arial" w:hAnsi="Arial"/>
                <w:sz w:val="20"/>
                <w:szCs w:val="20"/>
                <w:b w:val="1"/>
                <w:bCs w:val="1"/>
                <w:color w:val="FFFFFF"/>
                <w:w w:val="98"/>
              </w:rPr>
              <w:t>% change</w:t>
            </w:r>
          </w:p>
        </w:tc>
        <w:tc>
          <w:tcPr>
            <w:tcW w:w="0" w:type="dxa"/>
            <w:vAlign w:val="bottom"/>
          </w:tcPr>
          <w:p>
            <w:pPr>
              <w:spacing w:after="0"/>
              <w:rPr>
                <w:sz w:val="1"/>
                <w:szCs w:val="1"/>
                <w:color w:val="auto"/>
              </w:rPr>
            </w:pPr>
          </w:p>
        </w:tc>
      </w:tr>
      <w:tr>
        <w:trPr>
          <w:trHeight w:val="245"/>
        </w:trPr>
        <w:tc>
          <w:tcPr>
            <w:tcW w:w="30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60" w:type="dxa"/>
            <w:vAlign w:val="bottom"/>
            <w:tcBorders>
              <w:bottom w:val="single" w:sz="8" w:color="auto"/>
              <w:right w:val="single" w:sz="8" w:color="2AD2C9"/>
            </w:tcBorders>
            <w:shd w:val="clear" w:color="auto" w:fill="2AD2C9"/>
          </w:tcPr>
          <w:p>
            <w:pPr>
              <w:spacing w:after="0"/>
              <w:rPr>
                <w:sz w:val="21"/>
                <w:szCs w:val="21"/>
                <w:color w:val="auto"/>
              </w:rPr>
            </w:pPr>
          </w:p>
        </w:tc>
        <w:tc>
          <w:tcPr>
            <w:tcW w:w="1000" w:type="dxa"/>
            <w:vAlign w:val="bottom"/>
            <w:tcBorders>
              <w:bottom w:val="single" w:sz="8" w:color="auto"/>
            </w:tcBorders>
            <w:vMerge w:val="continue"/>
            <w:shd w:val="clear" w:color="auto" w:fill="2AD2C9"/>
          </w:tcPr>
          <w:p>
            <w:pPr>
              <w:spacing w:after="0"/>
              <w:rPr>
                <w:sz w:val="21"/>
                <w:szCs w:val="21"/>
                <w:color w:val="auto"/>
              </w:rPr>
            </w:pPr>
          </w:p>
        </w:tc>
        <w:tc>
          <w:tcPr>
            <w:tcW w:w="100" w:type="dxa"/>
            <w:vAlign w:val="bottom"/>
            <w:tcBorders>
              <w:bottom w:val="single" w:sz="8" w:color="auto"/>
            </w:tcBorders>
            <w:shd w:val="clear" w:color="auto" w:fill="2AD2C9"/>
          </w:tcPr>
          <w:p>
            <w:pPr>
              <w:spacing w:after="0"/>
              <w:rPr>
                <w:sz w:val="21"/>
                <w:szCs w:val="21"/>
                <w:color w:val="auto"/>
              </w:rPr>
            </w:pPr>
          </w:p>
        </w:tc>
        <w:tc>
          <w:tcPr>
            <w:tcW w:w="1480" w:type="dxa"/>
            <w:vAlign w:val="bottom"/>
            <w:tcBorders>
              <w:bottom w:val="single" w:sz="8" w:color="auto"/>
            </w:tcBorders>
            <w:gridSpan w:val="2"/>
            <w:shd w:val="clear" w:color="auto" w:fill="2AD2C9"/>
          </w:tcPr>
          <w:p>
            <w:pPr>
              <w:jc w:val="center"/>
              <w:spacing w:after="0"/>
              <w:rPr>
                <w:sz w:val="20"/>
                <w:szCs w:val="20"/>
                <w:color w:val="auto"/>
              </w:rPr>
            </w:pPr>
            <w:r>
              <w:rPr>
                <w:rFonts w:ascii="Arial" w:cs="Arial" w:eastAsia="Arial" w:hAnsi="Arial"/>
                <w:sz w:val="20"/>
                <w:szCs w:val="20"/>
                <w:b w:val="1"/>
                <w:bCs w:val="1"/>
                <w:color w:val="FFFFFF"/>
              </w:rPr>
              <w:t>Jun 22</w:t>
            </w:r>
          </w:p>
        </w:tc>
        <w:tc>
          <w:tcPr>
            <w:tcW w:w="1240" w:type="dxa"/>
            <w:vAlign w:val="bottom"/>
            <w:tcBorders>
              <w:bottom w:val="single" w:sz="8" w:color="auto"/>
              <w:right w:val="single" w:sz="8" w:color="auto"/>
            </w:tcBorders>
            <w:gridSpan w:val="2"/>
            <w:vMerge w:val="continue"/>
            <w:shd w:val="clear" w:color="auto" w:fill="2AD2C9"/>
          </w:tcPr>
          <w:p>
            <w:pPr>
              <w:spacing w:after="0"/>
              <w:rPr>
                <w:sz w:val="21"/>
                <w:szCs w:val="21"/>
                <w:color w:val="auto"/>
              </w:rPr>
            </w:pPr>
          </w:p>
        </w:tc>
        <w:tc>
          <w:tcPr>
            <w:tcW w:w="120" w:type="dxa"/>
            <w:vAlign w:val="bottom"/>
            <w:tcBorders>
              <w:bottom w:val="single" w:sz="8" w:color="auto"/>
              <w:right w:val="single" w:sz="8" w:color="2AD2C9"/>
            </w:tcBorders>
            <w:shd w:val="clear" w:color="auto" w:fill="2AD2C9"/>
          </w:tcPr>
          <w:p>
            <w:pPr>
              <w:spacing w:after="0"/>
              <w:rPr>
                <w:sz w:val="21"/>
                <w:szCs w:val="21"/>
                <w:color w:val="auto"/>
              </w:rPr>
            </w:pPr>
          </w:p>
        </w:tc>
        <w:tc>
          <w:tcPr>
            <w:tcW w:w="580" w:type="dxa"/>
            <w:vAlign w:val="bottom"/>
            <w:tcBorders>
              <w:bottom w:val="single" w:sz="8" w:color="auto"/>
            </w:tcBorders>
            <w:shd w:val="clear" w:color="auto" w:fill="2AD2C9"/>
          </w:tcPr>
          <w:p>
            <w:pPr>
              <w:ind w:left="20"/>
              <w:spacing w:after="0"/>
              <w:rPr>
                <w:sz w:val="20"/>
                <w:szCs w:val="20"/>
                <w:color w:val="auto"/>
              </w:rPr>
            </w:pPr>
            <w:r>
              <w:rPr>
                <w:rFonts w:ascii="Arial" w:cs="Arial" w:eastAsia="Arial" w:hAnsi="Arial"/>
                <w:sz w:val="20"/>
                <w:szCs w:val="20"/>
                <w:b w:val="1"/>
                <w:bCs w:val="1"/>
                <w:color w:val="FFFFFF"/>
              </w:rPr>
              <w:t>QoQ</w:t>
            </w:r>
          </w:p>
        </w:tc>
        <w:tc>
          <w:tcPr>
            <w:tcW w:w="760" w:type="dxa"/>
            <w:vAlign w:val="bottom"/>
            <w:tcBorders>
              <w:bottom w:val="single" w:sz="8" w:color="auto"/>
              <w:right w:val="single" w:sz="8" w:color="auto"/>
            </w:tcBorders>
            <w:shd w:val="clear" w:color="auto" w:fill="2AD2C9"/>
          </w:tcPr>
          <w:p>
            <w:pPr>
              <w:ind w:left="180"/>
              <w:spacing w:after="0"/>
              <w:rPr>
                <w:sz w:val="20"/>
                <w:szCs w:val="20"/>
                <w:color w:val="auto"/>
              </w:rPr>
            </w:pPr>
            <w:r>
              <w:rPr>
                <w:rFonts w:ascii="Arial" w:cs="Arial" w:eastAsia="Arial" w:hAnsi="Arial"/>
                <w:sz w:val="20"/>
                <w:szCs w:val="20"/>
                <w:b w:val="1"/>
                <w:bCs w:val="1"/>
                <w:color w:val="FFFFFF"/>
              </w:rPr>
              <w:t>YoY</w:t>
            </w:r>
          </w:p>
        </w:tc>
        <w:tc>
          <w:tcPr>
            <w:tcW w:w="0" w:type="dxa"/>
            <w:vAlign w:val="bottom"/>
          </w:tcPr>
          <w:p>
            <w:pPr>
              <w:spacing w:after="0"/>
              <w:rPr>
                <w:sz w:val="1"/>
                <w:szCs w:val="1"/>
                <w:color w:val="auto"/>
              </w:rPr>
            </w:pPr>
          </w:p>
        </w:tc>
      </w:tr>
      <w:tr>
        <w:trPr>
          <w:trHeight w:val="193"/>
        </w:trPr>
        <w:tc>
          <w:tcPr>
            <w:tcW w:w="3060" w:type="dxa"/>
            <w:vAlign w:val="bottom"/>
            <w:tcBorders>
              <w:left w:val="single" w:sz="8" w:color="auto"/>
            </w:tcBorders>
          </w:tcPr>
          <w:p>
            <w:pPr>
              <w:ind w:left="20"/>
              <w:spacing w:after="0" w:line="193" w:lineRule="exact"/>
              <w:rPr>
                <w:sz w:val="20"/>
                <w:szCs w:val="20"/>
                <w:color w:val="auto"/>
              </w:rPr>
            </w:pPr>
            <w:r>
              <w:rPr>
                <w:rFonts w:ascii="Arial" w:cs="Arial" w:eastAsia="Arial" w:hAnsi="Arial"/>
                <w:sz w:val="20"/>
                <w:szCs w:val="20"/>
                <w:b w:val="1"/>
                <w:bCs w:val="1"/>
                <w:color w:val="auto"/>
              </w:rPr>
              <w:t>ASSETS</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20"/>
              <w:spacing w:after="0" w:line="214" w:lineRule="exact"/>
              <w:rPr>
                <w:sz w:val="20"/>
                <w:szCs w:val="20"/>
                <w:color w:val="auto"/>
              </w:rPr>
            </w:pPr>
            <w:r>
              <w:rPr>
                <w:rFonts w:ascii="Arial" w:cs="Arial" w:eastAsia="Arial" w:hAnsi="Arial"/>
                <w:sz w:val="20"/>
                <w:szCs w:val="20"/>
                <w:color w:val="auto"/>
              </w:rPr>
              <w:t>Cash and due from banks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8"/>
              </w:rPr>
              <w:t>1,577,391</w:t>
            </w:r>
          </w:p>
        </w:tc>
        <w:tc>
          <w:tcPr>
            <w:tcW w:w="100" w:type="dxa"/>
            <w:vAlign w:val="bottom"/>
          </w:tcPr>
          <w:p>
            <w:pPr>
              <w:spacing w:after="0"/>
              <w:rPr>
                <w:sz w:val="18"/>
                <w:szCs w:val="18"/>
                <w:color w:val="auto"/>
              </w:rPr>
            </w:pPr>
          </w:p>
        </w:tc>
        <w:tc>
          <w:tcPr>
            <w:tcW w:w="148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8"/>
              </w:rPr>
              <w:t>1,242,267</w:t>
            </w:r>
          </w:p>
        </w:tc>
        <w:tc>
          <w:tcPr>
            <w:tcW w:w="1240" w:type="dxa"/>
            <w:vAlign w:val="bottom"/>
            <w:tcBorders>
              <w:right w:val="single" w:sz="8" w:color="auto"/>
            </w:tcBorders>
            <w:gridSpan w:val="2"/>
          </w:tcPr>
          <w:p>
            <w:pPr>
              <w:jc w:val="center"/>
              <w:ind w:right="23"/>
              <w:spacing w:after="0" w:line="214" w:lineRule="exact"/>
              <w:rPr>
                <w:sz w:val="20"/>
                <w:szCs w:val="20"/>
                <w:color w:val="auto"/>
              </w:rPr>
            </w:pPr>
            <w:r>
              <w:rPr>
                <w:rFonts w:ascii="Arial" w:cs="Arial" w:eastAsia="Arial" w:hAnsi="Arial"/>
                <w:sz w:val="20"/>
                <w:szCs w:val="20"/>
                <w:color w:val="auto"/>
                <w:w w:val="98"/>
              </w:rPr>
              <w:t>1,869,624</w:t>
            </w:r>
          </w:p>
        </w:tc>
        <w:tc>
          <w:tcPr>
            <w:tcW w:w="120" w:type="dxa"/>
            <w:vAlign w:val="bottom"/>
          </w:tcPr>
          <w:p>
            <w:pPr>
              <w:spacing w:after="0"/>
              <w:rPr>
                <w:sz w:val="18"/>
                <w:szCs w:val="18"/>
                <w:color w:val="auto"/>
              </w:rPr>
            </w:pPr>
          </w:p>
        </w:tc>
        <w:tc>
          <w:tcPr>
            <w:tcW w:w="580" w:type="dxa"/>
            <w:vAlign w:val="bottom"/>
          </w:tcPr>
          <w:p>
            <w:pPr>
              <w:jc w:val="center"/>
              <w:spacing w:after="0" w:line="214" w:lineRule="exact"/>
              <w:rPr>
                <w:sz w:val="20"/>
                <w:szCs w:val="20"/>
                <w:color w:val="auto"/>
              </w:rPr>
            </w:pPr>
            <w:r>
              <w:rPr>
                <w:rFonts w:ascii="Arial" w:cs="Arial" w:eastAsia="Arial" w:hAnsi="Arial"/>
                <w:sz w:val="20"/>
                <w:szCs w:val="20"/>
                <w:color w:val="auto"/>
                <w:w w:val="88"/>
              </w:rPr>
              <w:t>50.5%</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18.5%</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tcBorders>
          </w:tcPr>
          <w:p>
            <w:pPr>
              <w:ind w:left="20"/>
              <w:spacing w:after="0" w:line="212" w:lineRule="exact"/>
              <w:rPr>
                <w:sz w:val="20"/>
                <w:szCs w:val="20"/>
                <w:color w:val="auto"/>
              </w:rPr>
            </w:pPr>
            <w:r>
              <w:rPr>
                <w:rFonts w:ascii="Arial" w:cs="Arial" w:eastAsia="Arial" w:hAnsi="Arial"/>
                <w:sz w:val="20"/>
                <w:szCs w:val="20"/>
                <w:color w:val="auto"/>
              </w:rPr>
              <w:t>Investments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line="212" w:lineRule="exact"/>
              <w:rPr>
                <w:sz w:val="20"/>
                <w:szCs w:val="20"/>
                <w:color w:val="auto"/>
              </w:rPr>
            </w:pPr>
            <w:r>
              <w:rPr>
                <w:rFonts w:ascii="Arial" w:cs="Arial" w:eastAsia="Arial" w:hAnsi="Arial"/>
                <w:sz w:val="20"/>
                <w:szCs w:val="20"/>
                <w:color w:val="auto"/>
                <w:w w:val="98"/>
              </w:rPr>
              <w:t>1,525,592</w:t>
            </w:r>
          </w:p>
        </w:tc>
        <w:tc>
          <w:tcPr>
            <w:tcW w:w="100" w:type="dxa"/>
            <w:vAlign w:val="bottom"/>
          </w:tcPr>
          <w:p>
            <w:pPr>
              <w:spacing w:after="0"/>
              <w:rPr>
                <w:sz w:val="18"/>
                <w:szCs w:val="18"/>
                <w:color w:val="auto"/>
              </w:rPr>
            </w:pPr>
          </w:p>
        </w:tc>
        <w:tc>
          <w:tcPr>
            <w:tcW w:w="1480" w:type="dxa"/>
            <w:vAlign w:val="bottom"/>
            <w:gridSpan w:val="2"/>
          </w:tcPr>
          <w:p>
            <w:pPr>
              <w:jc w:val="center"/>
              <w:spacing w:after="0" w:line="212" w:lineRule="exact"/>
              <w:rPr>
                <w:sz w:val="20"/>
                <w:szCs w:val="20"/>
                <w:color w:val="auto"/>
              </w:rPr>
            </w:pPr>
            <w:r>
              <w:rPr>
                <w:rFonts w:ascii="Arial" w:cs="Arial" w:eastAsia="Arial" w:hAnsi="Arial"/>
                <w:sz w:val="20"/>
                <w:szCs w:val="20"/>
                <w:color w:val="auto"/>
                <w:w w:val="98"/>
              </w:rPr>
              <w:t>1,597,228</w:t>
            </w:r>
          </w:p>
        </w:tc>
        <w:tc>
          <w:tcPr>
            <w:tcW w:w="1240" w:type="dxa"/>
            <w:vAlign w:val="bottom"/>
            <w:tcBorders>
              <w:right w:val="single" w:sz="8" w:color="auto"/>
            </w:tcBorders>
            <w:gridSpan w:val="2"/>
          </w:tcPr>
          <w:p>
            <w:pPr>
              <w:jc w:val="center"/>
              <w:ind w:right="23"/>
              <w:spacing w:after="0" w:line="212" w:lineRule="exact"/>
              <w:rPr>
                <w:sz w:val="20"/>
                <w:szCs w:val="20"/>
                <w:color w:val="auto"/>
              </w:rPr>
            </w:pPr>
            <w:r>
              <w:rPr>
                <w:rFonts w:ascii="Arial" w:cs="Arial" w:eastAsia="Arial" w:hAnsi="Arial"/>
                <w:sz w:val="20"/>
                <w:szCs w:val="20"/>
                <w:color w:val="auto"/>
                <w:w w:val="98"/>
              </w:rPr>
              <w:t>1,771,298</w:t>
            </w:r>
          </w:p>
        </w:tc>
        <w:tc>
          <w:tcPr>
            <w:tcW w:w="120" w:type="dxa"/>
            <w:vAlign w:val="bottom"/>
          </w:tcPr>
          <w:p>
            <w:pPr>
              <w:spacing w:after="0"/>
              <w:rPr>
                <w:sz w:val="18"/>
                <w:szCs w:val="18"/>
                <w:color w:val="auto"/>
              </w:rPr>
            </w:pPr>
          </w:p>
        </w:tc>
        <w:tc>
          <w:tcPr>
            <w:tcW w:w="580" w:type="dxa"/>
            <w:vAlign w:val="bottom"/>
          </w:tcPr>
          <w:p>
            <w:pPr>
              <w:jc w:val="center"/>
              <w:spacing w:after="0" w:line="212" w:lineRule="exact"/>
              <w:rPr>
                <w:sz w:val="20"/>
                <w:szCs w:val="20"/>
                <w:color w:val="auto"/>
              </w:rPr>
            </w:pPr>
            <w:r>
              <w:rPr>
                <w:rFonts w:ascii="Arial" w:cs="Arial" w:eastAsia="Arial" w:hAnsi="Arial"/>
                <w:sz w:val="20"/>
                <w:szCs w:val="20"/>
                <w:color w:val="auto"/>
                <w:w w:val="88"/>
              </w:rPr>
              <w:t>10.9%</w:t>
            </w:r>
          </w:p>
        </w:tc>
        <w:tc>
          <w:tcPr>
            <w:tcW w:w="76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8"/>
              </w:rPr>
              <w:t>16.1%</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tcBorders>
          </w:tcPr>
          <w:p>
            <w:pPr>
              <w:ind w:left="20"/>
              <w:spacing w:after="0" w:line="216" w:lineRule="exact"/>
              <w:rPr>
                <w:sz w:val="20"/>
                <w:szCs w:val="20"/>
                <w:color w:val="auto"/>
              </w:rPr>
            </w:pPr>
            <w:r>
              <w:rPr>
                <w:rFonts w:ascii="Arial" w:cs="Arial" w:eastAsia="Arial" w:hAnsi="Arial"/>
                <w:sz w:val="20"/>
                <w:szCs w:val="20"/>
                <w:b w:val="1"/>
                <w:bCs w:val="1"/>
                <w:color w:val="auto"/>
              </w:rPr>
              <w:t>Total loans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spacing w:after="0" w:line="216" w:lineRule="exact"/>
              <w:rPr>
                <w:sz w:val="20"/>
                <w:szCs w:val="20"/>
                <w:color w:val="auto"/>
              </w:rPr>
            </w:pPr>
            <w:r>
              <w:rPr>
                <w:rFonts w:ascii="Arial" w:cs="Arial" w:eastAsia="Arial" w:hAnsi="Arial"/>
                <w:sz w:val="20"/>
                <w:szCs w:val="20"/>
                <w:b w:val="1"/>
                <w:bCs w:val="1"/>
                <w:color w:val="auto"/>
                <w:w w:val="97"/>
              </w:rPr>
              <w:t>13,288,672</w:t>
            </w:r>
          </w:p>
        </w:tc>
        <w:tc>
          <w:tcPr>
            <w:tcW w:w="1480" w:type="dxa"/>
            <w:vAlign w:val="bottom"/>
            <w:gridSpan w:val="2"/>
          </w:tcPr>
          <w:p>
            <w:pPr>
              <w:jc w:val="center"/>
              <w:ind w:left="42"/>
              <w:spacing w:after="0" w:line="216" w:lineRule="exact"/>
              <w:rPr>
                <w:sz w:val="20"/>
                <w:szCs w:val="20"/>
                <w:color w:val="auto"/>
              </w:rPr>
            </w:pPr>
            <w:r>
              <w:rPr>
                <w:rFonts w:ascii="Arial" w:cs="Arial" w:eastAsia="Arial" w:hAnsi="Arial"/>
                <w:sz w:val="20"/>
                <w:szCs w:val="20"/>
                <w:b w:val="1"/>
                <w:bCs w:val="1"/>
                <w:color w:val="auto"/>
                <w:w w:val="97"/>
              </w:rPr>
              <w:t>14,434,898</w:t>
            </w:r>
          </w:p>
        </w:tc>
        <w:tc>
          <w:tcPr>
            <w:tcW w:w="1240" w:type="dxa"/>
            <w:vAlign w:val="bottom"/>
            <w:tcBorders>
              <w:right w:val="single" w:sz="8" w:color="auto"/>
            </w:tcBorders>
            <w:gridSpan w:val="2"/>
          </w:tcPr>
          <w:p>
            <w:pPr>
              <w:jc w:val="center"/>
              <w:spacing w:after="0" w:line="216" w:lineRule="exact"/>
              <w:rPr>
                <w:sz w:val="20"/>
                <w:szCs w:val="20"/>
                <w:color w:val="auto"/>
              </w:rPr>
            </w:pPr>
            <w:r>
              <w:rPr>
                <w:rFonts w:ascii="Arial" w:cs="Arial" w:eastAsia="Arial" w:hAnsi="Arial"/>
                <w:sz w:val="20"/>
                <w:szCs w:val="20"/>
                <w:b w:val="1"/>
                <w:bCs w:val="1"/>
                <w:color w:val="auto"/>
                <w:w w:val="97"/>
              </w:rPr>
              <w:t>14,228,231</w:t>
            </w:r>
          </w:p>
        </w:tc>
        <w:tc>
          <w:tcPr>
            <w:tcW w:w="120" w:type="dxa"/>
            <w:vAlign w:val="bottom"/>
          </w:tcPr>
          <w:p>
            <w:pPr>
              <w:spacing w:after="0"/>
              <w:rPr>
                <w:sz w:val="18"/>
                <w:szCs w:val="18"/>
                <w:color w:val="auto"/>
              </w:rPr>
            </w:pPr>
          </w:p>
        </w:tc>
        <w:tc>
          <w:tcPr>
            <w:tcW w:w="580" w:type="dxa"/>
            <w:vAlign w:val="bottom"/>
          </w:tcPr>
          <w:p>
            <w:pPr>
              <w:jc w:val="center"/>
              <w:ind w:right="2"/>
              <w:spacing w:after="0" w:line="216" w:lineRule="exact"/>
              <w:rPr>
                <w:sz w:val="20"/>
                <w:szCs w:val="20"/>
                <w:color w:val="auto"/>
              </w:rPr>
            </w:pPr>
            <w:r>
              <w:rPr>
                <w:rFonts w:ascii="Arial" w:cs="Arial" w:eastAsia="Arial" w:hAnsi="Arial"/>
                <w:sz w:val="20"/>
                <w:szCs w:val="20"/>
                <w:b w:val="1"/>
                <w:bCs w:val="1"/>
                <w:color w:val="auto"/>
                <w:w w:val="91"/>
              </w:rPr>
              <w:t>-1.4%</w:t>
            </w:r>
          </w:p>
        </w:tc>
        <w:tc>
          <w:tcPr>
            <w:tcW w:w="7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6"/>
              </w:rPr>
              <w:t>7.1%</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180"/>
              <w:spacing w:after="0" w:line="214" w:lineRule="exact"/>
              <w:rPr>
                <w:sz w:val="20"/>
                <w:szCs w:val="20"/>
                <w:color w:val="auto"/>
              </w:rPr>
            </w:pPr>
            <w:r>
              <w:rPr>
                <w:rFonts w:ascii="Arial" w:cs="Arial" w:eastAsia="Arial" w:hAnsi="Arial"/>
                <w:sz w:val="20"/>
                <w:szCs w:val="20"/>
                <w:color w:val="auto"/>
              </w:rPr>
              <w:t>Current</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7"/>
              </w:rPr>
              <w:t>12,172,179</w:t>
            </w:r>
          </w:p>
        </w:tc>
        <w:tc>
          <w:tcPr>
            <w:tcW w:w="1480" w:type="dxa"/>
            <w:vAlign w:val="bottom"/>
            <w:gridSpan w:val="2"/>
          </w:tcPr>
          <w:p>
            <w:pPr>
              <w:jc w:val="center"/>
              <w:ind w:left="42"/>
              <w:spacing w:after="0" w:line="214" w:lineRule="exact"/>
              <w:rPr>
                <w:sz w:val="20"/>
                <w:szCs w:val="20"/>
                <w:color w:val="auto"/>
              </w:rPr>
            </w:pPr>
            <w:r>
              <w:rPr>
                <w:rFonts w:ascii="Arial" w:cs="Arial" w:eastAsia="Arial" w:hAnsi="Arial"/>
                <w:sz w:val="20"/>
                <w:szCs w:val="20"/>
                <w:color w:val="auto"/>
                <w:w w:val="97"/>
              </w:rPr>
              <w:t>13,379,071</w:t>
            </w:r>
          </w:p>
        </w:tc>
        <w:tc>
          <w:tcPr>
            <w:tcW w:w="124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7"/>
              </w:rPr>
              <w:t>13,213,979</w:t>
            </w:r>
          </w:p>
        </w:tc>
        <w:tc>
          <w:tcPr>
            <w:tcW w:w="120" w:type="dxa"/>
            <w:vAlign w:val="bottom"/>
          </w:tcPr>
          <w:p>
            <w:pPr>
              <w:spacing w:after="0"/>
              <w:rPr>
                <w:sz w:val="18"/>
                <w:szCs w:val="18"/>
                <w:color w:val="auto"/>
              </w:rPr>
            </w:pPr>
          </w:p>
        </w:tc>
        <w:tc>
          <w:tcPr>
            <w:tcW w:w="580" w:type="dxa"/>
            <w:vAlign w:val="bottom"/>
          </w:tcPr>
          <w:p>
            <w:pPr>
              <w:jc w:val="center"/>
              <w:ind w:right="2"/>
              <w:spacing w:after="0" w:line="214" w:lineRule="exact"/>
              <w:rPr>
                <w:sz w:val="20"/>
                <w:szCs w:val="20"/>
                <w:color w:val="auto"/>
              </w:rPr>
            </w:pPr>
            <w:r>
              <w:rPr>
                <w:rFonts w:ascii="Arial" w:cs="Arial" w:eastAsia="Arial" w:hAnsi="Arial"/>
                <w:sz w:val="20"/>
                <w:szCs w:val="20"/>
                <w:color w:val="auto"/>
                <w:w w:val="91"/>
              </w:rPr>
              <w:t>-1.2%</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8.6%</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180"/>
              <w:spacing w:after="0" w:line="214" w:lineRule="exact"/>
              <w:rPr>
                <w:sz w:val="20"/>
                <w:szCs w:val="20"/>
                <w:color w:val="auto"/>
              </w:rPr>
            </w:pPr>
            <w:r>
              <w:rPr>
                <w:rFonts w:ascii="Arial" w:cs="Arial" w:eastAsia="Arial" w:hAnsi="Arial"/>
                <w:sz w:val="20"/>
                <w:szCs w:val="20"/>
                <w:color w:val="auto"/>
              </w:rPr>
              <w:t>Internal overdue loans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6"/>
              </w:rPr>
              <w:t>1,067,142</w:t>
            </w:r>
          </w:p>
        </w:tc>
        <w:tc>
          <w:tcPr>
            <w:tcW w:w="1480" w:type="dxa"/>
            <w:vAlign w:val="bottom"/>
            <w:gridSpan w:val="2"/>
          </w:tcPr>
          <w:p>
            <w:pPr>
              <w:jc w:val="center"/>
              <w:ind w:left="62"/>
              <w:spacing w:after="0" w:line="214" w:lineRule="exact"/>
              <w:rPr>
                <w:sz w:val="20"/>
                <w:szCs w:val="20"/>
                <w:color w:val="auto"/>
              </w:rPr>
            </w:pPr>
            <w:r>
              <w:rPr>
                <w:rFonts w:ascii="Arial" w:cs="Arial" w:eastAsia="Arial" w:hAnsi="Arial"/>
                <w:sz w:val="20"/>
                <w:szCs w:val="20"/>
                <w:color w:val="auto"/>
                <w:w w:val="99"/>
              </w:rPr>
              <w:t>979,685</w:t>
            </w:r>
          </w:p>
        </w:tc>
        <w:tc>
          <w:tcPr>
            <w:tcW w:w="280" w:type="dxa"/>
            <w:vAlign w:val="bottom"/>
          </w:tcPr>
          <w:p>
            <w:pPr>
              <w:spacing w:after="0"/>
              <w:rPr>
                <w:sz w:val="18"/>
                <w:szCs w:val="18"/>
                <w:color w:val="auto"/>
              </w:rPr>
            </w:pPr>
          </w:p>
        </w:tc>
        <w:tc>
          <w:tcPr>
            <w:tcW w:w="960" w:type="dxa"/>
            <w:vAlign w:val="bottom"/>
            <w:tcBorders>
              <w:right w:val="single" w:sz="8" w:color="auto"/>
            </w:tcBorders>
          </w:tcPr>
          <w:p>
            <w:pPr>
              <w:jc w:val="center"/>
              <w:ind w:right="103"/>
              <w:spacing w:after="0" w:line="214" w:lineRule="exact"/>
              <w:rPr>
                <w:sz w:val="20"/>
                <w:szCs w:val="20"/>
                <w:color w:val="auto"/>
              </w:rPr>
            </w:pPr>
            <w:r>
              <w:rPr>
                <w:rFonts w:ascii="Arial" w:cs="Arial" w:eastAsia="Arial" w:hAnsi="Arial"/>
                <w:sz w:val="20"/>
                <w:szCs w:val="20"/>
                <w:color w:val="auto"/>
                <w:w w:val="99"/>
              </w:rPr>
              <w:t>933,425</w:t>
            </w:r>
          </w:p>
        </w:tc>
        <w:tc>
          <w:tcPr>
            <w:tcW w:w="120" w:type="dxa"/>
            <w:vAlign w:val="bottom"/>
          </w:tcPr>
          <w:p>
            <w:pPr>
              <w:spacing w:after="0"/>
              <w:rPr>
                <w:sz w:val="18"/>
                <w:szCs w:val="18"/>
                <w:color w:val="auto"/>
              </w:rPr>
            </w:pPr>
          </w:p>
        </w:tc>
        <w:tc>
          <w:tcPr>
            <w:tcW w:w="580" w:type="dxa"/>
            <w:vAlign w:val="bottom"/>
          </w:tcPr>
          <w:p>
            <w:pPr>
              <w:jc w:val="center"/>
              <w:ind w:right="2"/>
              <w:spacing w:after="0" w:line="214" w:lineRule="exact"/>
              <w:rPr>
                <w:sz w:val="20"/>
                <w:szCs w:val="20"/>
                <w:color w:val="auto"/>
              </w:rPr>
            </w:pPr>
            <w:r>
              <w:rPr>
                <w:rFonts w:ascii="Arial" w:cs="Arial" w:eastAsia="Arial" w:hAnsi="Arial"/>
                <w:sz w:val="20"/>
                <w:szCs w:val="20"/>
                <w:color w:val="auto"/>
                <w:w w:val="91"/>
              </w:rPr>
              <w:t>-4.7%</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-12.5%</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180"/>
              <w:spacing w:after="0" w:line="214" w:lineRule="exact"/>
              <w:rPr>
                <w:sz w:val="20"/>
                <w:szCs w:val="20"/>
                <w:color w:val="auto"/>
              </w:rPr>
            </w:pPr>
            <w:r>
              <w:rPr>
                <w:rFonts w:ascii="Arial" w:cs="Arial" w:eastAsia="Arial" w:hAnsi="Arial"/>
                <w:sz w:val="20"/>
                <w:szCs w:val="20"/>
                <w:color w:val="auto"/>
              </w:rPr>
              <w:t>Refinanced</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left="102"/>
              <w:spacing w:after="0" w:line="214" w:lineRule="exact"/>
              <w:rPr>
                <w:sz w:val="20"/>
                <w:szCs w:val="20"/>
                <w:color w:val="auto"/>
              </w:rPr>
            </w:pPr>
            <w:r>
              <w:rPr>
                <w:rFonts w:ascii="Arial" w:cs="Arial" w:eastAsia="Arial" w:hAnsi="Arial"/>
                <w:sz w:val="20"/>
                <w:szCs w:val="20"/>
                <w:color w:val="auto"/>
                <w:w w:val="98"/>
              </w:rPr>
              <w:t>49,351</w:t>
            </w:r>
          </w:p>
        </w:tc>
        <w:tc>
          <w:tcPr>
            <w:tcW w:w="100" w:type="dxa"/>
            <w:vAlign w:val="bottom"/>
          </w:tcPr>
          <w:p>
            <w:pPr>
              <w:spacing w:after="0"/>
              <w:rPr>
                <w:sz w:val="18"/>
                <w:szCs w:val="18"/>
                <w:color w:val="auto"/>
              </w:rPr>
            </w:pPr>
          </w:p>
        </w:tc>
        <w:tc>
          <w:tcPr>
            <w:tcW w:w="1480" w:type="dxa"/>
            <w:vAlign w:val="bottom"/>
            <w:gridSpan w:val="2"/>
          </w:tcPr>
          <w:p>
            <w:pPr>
              <w:jc w:val="center"/>
              <w:ind w:left="62"/>
              <w:spacing w:after="0" w:line="214" w:lineRule="exact"/>
              <w:rPr>
                <w:sz w:val="20"/>
                <w:szCs w:val="20"/>
                <w:color w:val="auto"/>
              </w:rPr>
            </w:pPr>
            <w:r>
              <w:rPr>
                <w:rFonts w:ascii="Arial" w:cs="Arial" w:eastAsia="Arial" w:hAnsi="Arial"/>
                <w:sz w:val="20"/>
                <w:szCs w:val="20"/>
                <w:color w:val="auto"/>
                <w:w w:val="98"/>
              </w:rPr>
              <w:t>76,142</w:t>
            </w:r>
          </w:p>
        </w:tc>
        <w:tc>
          <w:tcPr>
            <w:tcW w:w="280" w:type="dxa"/>
            <w:vAlign w:val="bottom"/>
          </w:tcPr>
          <w:p>
            <w:pPr>
              <w:spacing w:after="0"/>
              <w:rPr>
                <w:sz w:val="18"/>
                <w:szCs w:val="18"/>
                <w:color w:val="auto"/>
              </w:rPr>
            </w:pPr>
          </w:p>
        </w:tc>
        <w:tc>
          <w:tcPr>
            <w:tcW w:w="960" w:type="dxa"/>
            <w:vAlign w:val="bottom"/>
            <w:tcBorders>
              <w:right w:val="single" w:sz="8" w:color="auto"/>
            </w:tcBorders>
          </w:tcPr>
          <w:p>
            <w:pPr>
              <w:jc w:val="center"/>
              <w:ind w:right="103"/>
              <w:spacing w:after="0" w:line="214" w:lineRule="exact"/>
              <w:rPr>
                <w:sz w:val="20"/>
                <w:szCs w:val="20"/>
                <w:color w:val="auto"/>
              </w:rPr>
            </w:pPr>
            <w:r>
              <w:rPr>
                <w:rFonts w:ascii="Arial" w:cs="Arial" w:eastAsia="Arial" w:hAnsi="Arial"/>
                <w:sz w:val="20"/>
                <w:szCs w:val="20"/>
                <w:color w:val="auto"/>
                <w:w w:val="98"/>
              </w:rPr>
              <w:t>80,827</w:t>
            </w:r>
          </w:p>
        </w:tc>
        <w:tc>
          <w:tcPr>
            <w:tcW w:w="120" w:type="dxa"/>
            <w:vAlign w:val="bottom"/>
          </w:tcPr>
          <w:p>
            <w:pPr>
              <w:spacing w:after="0"/>
              <w:rPr>
                <w:sz w:val="18"/>
                <w:szCs w:val="18"/>
                <w:color w:val="auto"/>
              </w:rPr>
            </w:pPr>
          </w:p>
        </w:tc>
        <w:tc>
          <w:tcPr>
            <w:tcW w:w="580" w:type="dxa"/>
            <w:vAlign w:val="bottom"/>
          </w:tcPr>
          <w:p>
            <w:pPr>
              <w:jc w:val="center"/>
              <w:ind w:right="22"/>
              <w:spacing w:after="0" w:line="214" w:lineRule="exact"/>
              <w:rPr>
                <w:sz w:val="20"/>
                <w:szCs w:val="20"/>
                <w:color w:val="auto"/>
              </w:rPr>
            </w:pPr>
            <w:r>
              <w:rPr>
                <w:rFonts w:ascii="Arial" w:cs="Arial" w:eastAsia="Arial" w:hAnsi="Arial"/>
                <w:sz w:val="20"/>
                <w:szCs w:val="20"/>
                <w:color w:val="auto"/>
              </w:rPr>
              <w:t>6.2%</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63.8%</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tcBorders>
          </w:tcPr>
          <w:p>
            <w:pPr>
              <w:ind w:left="180"/>
              <w:spacing w:after="0" w:line="212" w:lineRule="exact"/>
              <w:rPr>
                <w:sz w:val="20"/>
                <w:szCs w:val="20"/>
                <w:color w:val="auto"/>
              </w:rPr>
            </w:pPr>
            <w:r>
              <w:rPr>
                <w:rFonts w:ascii="Arial" w:cs="Arial" w:eastAsia="Arial" w:hAnsi="Arial"/>
                <w:sz w:val="20"/>
                <w:szCs w:val="20"/>
                <w:color w:val="auto"/>
              </w:rPr>
              <w:t>Allowance for loan losses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spacing w:after="0" w:line="212" w:lineRule="exact"/>
              <w:rPr>
                <w:sz w:val="20"/>
                <w:szCs w:val="20"/>
                <w:color w:val="auto"/>
              </w:rPr>
            </w:pPr>
            <w:r>
              <w:rPr>
                <w:rFonts w:ascii="Arial" w:cs="Arial" w:eastAsia="Arial" w:hAnsi="Arial"/>
                <w:sz w:val="20"/>
                <w:szCs w:val="20"/>
                <w:color w:val="auto"/>
                <w:w w:val="98"/>
              </w:rPr>
              <w:t>-1,487,787</w:t>
            </w:r>
          </w:p>
        </w:tc>
        <w:tc>
          <w:tcPr>
            <w:tcW w:w="1480" w:type="dxa"/>
            <w:vAlign w:val="bottom"/>
            <w:gridSpan w:val="2"/>
          </w:tcPr>
          <w:p>
            <w:pPr>
              <w:jc w:val="center"/>
              <w:ind w:left="42"/>
              <w:spacing w:after="0" w:line="212" w:lineRule="exact"/>
              <w:rPr>
                <w:sz w:val="20"/>
                <w:szCs w:val="20"/>
                <w:color w:val="auto"/>
              </w:rPr>
            </w:pPr>
            <w:r>
              <w:rPr>
                <w:rFonts w:ascii="Arial" w:cs="Arial" w:eastAsia="Arial" w:hAnsi="Arial"/>
                <w:sz w:val="20"/>
                <w:szCs w:val="20"/>
                <w:color w:val="auto"/>
                <w:w w:val="98"/>
              </w:rPr>
              <w:t>-1,168,604</w:t>
            </w:r>
          </w:p>
        </w:tc>
        <w:tc>
          <w:tcPr>
            <w:tcW w:w="1240" w:type="dxa"/>
            <w:vAlign w:val="bottom"/>
            <w:tcBorders>
              <w:right w:val="single" w:sz="8" w:color="auto"/>
            </w:tcBorders>
            <w:gridSpan w:val="2"/>
          </w:tcPr>
          <w:p>
            <w:pPr>
              <w:jc w:val="center"/>
              <w:spacing w:after="0" w:line="212" w:lineRule="exact"/>
              <w:rPr>
                <w:sz w:val="20"/>
                <w:szCs w:val="20"/>
                <w:color w:val="auto"/>
              </w:rPr>
            </w:pPr>
            <w:r>
              <w:rPr>
                <w:rFonts w:ascii="Arial" w:cs="Arial" w:eastAsia="Arial" w:hAnsi="Arial"/>
                <w:sz w:val="20"/>
                <w:szCs w:val="20"/>
                <w:color w:val="auto"/>
                <w:w w:val="98"/>
              </w:rPr>
              <w:t>-1,083,337</w:t>
            </w:r>
          </w:p>
        </w:tc>
        <w:tc>
          <w:tcPr>
            <w:tcW w:w="120" w:type="dxa"/>
            <w:vAlign w:val="bottom"/>
          </w:tcPr>
          <w:p>
            <w:pPr>
              <w:spacing w:after="0"/>
              <w:rPr>
                <w:sz w:val="18"/>
                <w:szCs w:val="18"/>
                <w:color w:val="auto"/>
              </w:rPr>
            </w:pPr>
          </w:p>
        </w:tc>
        <w:tc>
          <w:tcPr>
            <w:tcW w:w="580" w:type="dxa"/>
            <w:vAlign w:val="bottom"/>
          </w:tcPr>
          <w:p>
            <w:pPr>
              <w:jc w:val="center"/>
              <w:ind w:right="2"/>
              <w:spacing w:after="0" w:line="212" w:lineRule="exact"/>
              <w:rPr>
                <w:sz w:val="20"/>
                <w:szCs w:val="20"/>
                <w:color w:val="auto"/>
              </w:rPr>
            </w:pPr>
            <w:r>
              <w:rPr>
                <w:rFonts w:ascii="Arial" w:cs="Arial" w:eastAsia="Arial" w:hAnsi="Arial"/>
                <w:sz w:val="20"/>
                <w:szCs w:val="20"/>
                <w:color w:val="auto"/>
                <w:w w:val="91"/>
              </w:rPr>
              <w:t>-7.3%</w:t>
            </w:r>
          </w:p>
        </w:tc>
        <w:tc>
          <w:tcPr>
            <w:tcW w:w="76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7"/>
              </w:rPr>
              <w:t>-27.2%</w:t>
            </w:r>
          </w:p>
        </w:tc>
        <w:tc>
          <w:tcPr>
            <w:tcW w:w="0" w:type="dxa"/>
            <w:vAlign w:val="bottom"/>
          </w:tcPr>
          <w:p>
            <w:pPr>
              <w:spacing w:after="0"/>
              <w:rPr>
                <w:sz w:val="1"/>
                <w:szCs w:val="1"/>
                <w:color w:val="auto"/>
              </w:rPr>
            </w:pPr>
          </w:p>
        </w:tc>
      </w:tr>
      <w:tr>
        <w:trPr>
          <w:trHeight w:val="216"/>
        </w:trPr>
        <w:tc>
          <w:tcPr>
            <w:tcW w:w="3060" w:type="dxa"/>
            <w:vAlign w:val="bottom"/>
            <w:tcBorders>
              <w:left w:val="single" w:sz="8" w:color="auto"/>
            </w:tcBorders>
          </w:tcPr>
          <w:p>
            <w:pPr>
              <w:ind w:left="20"/>
              <w:spacing w:after="0" w:line="216" w:lineRule="exact"/>
              <w:rPr>
                <w:sz w:val="20"/>
                <w:szCs w:val="20"/>
                <w:color w:val="auto"/>
              </w:rPr>
            </w:pPr>
            <w:r>
              <w:rPr>
                <w:rFonts w:ascii="Arial" w:cs="Arial" w:eastAsia="Arial" w:hAnsi="Arial"/>
                <w:sz w:val="20"/>
                <w:szCs w:val="20"/>
                <w:b w:val="1"/>
                <w:bCs w:val="1"/>
                <w:color w:val="auto"/>
              </w:rPr>
              <w:t>Net loans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7"/>
              </w:rPr>
              <w:t>11,800,884</w:t>
            </w:r>
          </w:p>
        </w:tc>
        <w:tc>
          <w:tcPr>
            <w:tcW w:w="100" w:type="dxa"/>
            <w:vAlign w:val="bottom"/>
          </w:tcPr>
          <w:p>
            <w:pPr>
              <w:spacing w:after="0"/>
              <w:rPr>
                <w:sz w:val="18"/>
                <w:szCs w:val="18"/>
                <w:color w:val="auto"/>
              </w:rPr>
            </w:pPr>
          </w:p>
        </w:tc>
        <w:tc>
          <w:tcPr>
            <w:tcW w:w="1480" w:type="dxa"/>
            <w:vAlign w:val="bottom"/>
            <w:gridSpan w:val="2"/>
          </w:tcPr>
          <w:p>
            <w:pPr>
              <w:jc w:val="center"/>
              <w:spacing w:after="0" w:line="216" w:lineRule="exact"/>
              <w:rPr>
                <w:sz w:val="20"/>
                <w:szCs w:val="20"/>
                <w:color w:val="auto"/>
              </w:rPr>
            </w:pPr>
            <w:r>
              <w:rPr>
                <w:rFonts w:ascii="Arial" w:cs="Arial" w:eastAsia="Arial" w:hAnsi="Arial"/>
                <w:sz w:val="20"/>
                <w:szCs w:val="20"/>
                <w:b w:val="1"/>
                <w:bCs w:val="1"/>
                <w:color w:val="auto"/>
                <w:w w:val="99"/>
              </w:rPr>
              <w:t>13,266,294</w:t>
            </w:r>
          </w:p>
        </w:tc>
        <w:tc>
          <w:tcPr>
            <w:tcW w:w="1240" w:type="dxa"/>
            <w:vAlign w:val="bottom"/>
            <w:tcBorders>
              <w:right w:val="single" w:sz="8" w:color="auto"/>
            </w:tcBorders>
            <w:gridSpan w:val="2"/>
          </w:tcPr>
          <w:p>
            <w:pPr>
              <w:jc w:val="center"/>
              <w:ind w:right="43"/>
              <w:spacing w:after="0" w:line="216" w:lineRule="exact"/>
              <w:rPr>
                <w:sz w:val="20"/>
                <w:szCs w:val="20"/>
                <w:color w:val="auto"/>
              </w:rPr>
            </w:pPr>
            <w:r>
              <w:rPr>
                <w:rFonts w:ascii="Arial" w:cs="Arial" w:eastAsia="Arial" w:hAnsi="Arial"/>
                <w:sz w:val="20"/>
                <w:szCs w:val="20"/>
                <w:b w:val="1"/>
                <w:bCs w:val="1"/>
                <w:color w:val="auto"/>
                <w:w w:val="97"/>
              </w:rPr>
              <w:t>13,144,894</w:t>
            </w:r>
          </w:p>
        </w:tc>
        <w:tc>
          <w:tcPr>
            <w:tcW w:w="120" w:type="dxa"/>
            <w:vAlign w:val="bottom"/>
          </w:tcPr>
          <w:p>
            <w:pPr>
              <w:spacing w:after="0"/>
              <w:rPr>
                <w:sz w:val="18"/>
                <w:szCs w:val="18"/>
                <w:color w:val="auto"/>
              </w:rPr>
            </w:pPr>
          </w:p>
        </w:tc>
        <w:tc>
          <w:tcPr>
            <w:tcW w:w="580" w:type="dxa"/>
            <w:vAlign w:val="bottom"/>
          </w:tcPr>
          <w:p>
            <w:pPr>
              <w:jc w:val="center"/>
              <w:ind w:right="2"/>
              <w:spacing w:after="0" w:line="216" w:lineRule="exact"/>
              <w:rPr>
                <w:sz w:val="20"/>
                <w:szCs w:val="20"/>
                <w:color w:val="auto"/>
              </w:rPr>
            </w:pPr>
            <w:r>
              <w:rPr>
                <w:rFonts w:ascii="Arial" w:cs="Arial" w:eastAsia="Arial" w:hAnsi="Arial"/>
                <w:sz w:val="20"/>
                <w:szCs w:val="20"/>
                <w:b w:val="1"/>
                <w:bCs w:val="1"/>
                <w:color w:val="auto"/>
                <w:w w:val="91"/>
              </w:rPr>
              <w:t>-0.9%</w:t>
            </w:r>
          </w:p>
        </w:tc>
        <w:tc>
          <w:tcPr>
            <w:tcW w:w="760" w:type="dxa"/>
            <w:vAlign w:val="bottom"/>
            <w:tcBorders>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5"/>
              </w:rPr>
              <w:t>11.4%</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20"/>
              <w:spacing w:after="0" w:line="214" w:lineRule="exact"/>
              <w:rPr>
                <w:sz w:val="20"/>
                <w:szCs w:val="20"/>
                <w:color w:val="auto"/>
              </w:rPr>
            </w:pPr>
            <w:r>
              <w:rPr>
                <w:rFonts w:ascii="Arial" w:cs="Arial" w:eastAsia="Arial" w:hAnsi="Arial"/>
                <w:sz w:val="20"/>
                <w:szCs w:val="20"/>
                <w:color w:val="auto"/>
                <w:w w:val="97"/>
              </w:rPr>
              <w:t>Property, plant and equipment, net</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6"/>
              </w:rPr>
              <w:t>145,753</w:t>
            </w:r>
          </w:p>
        </w:tc>
        <w:tc>
          <w:tcPr>
            <w:tcW w:w="100" w:type="dxa"/>
            <w:vAlign w:val="bottom"/>
          </w:tcPr>
          <w:p>
            <w:pPr>
              <w:spacing w:after="0"/>
              <w:rPr>
                <w:sz w:val="18"/>
                <w:szCs w:val="18"/>
                <w:color w:val="auto"/>
              </w:rPr>
            </w:pPr>
          </w:p>
        </w:tc>
        <w:tc>
          <w:tcPr>
            <w:tcW w:w="148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9"/>
              </w:rPr>
              <w:t>136,399</w:t>
            </w:r>
          </w:p>
        </w:tc>
        <w:tc>
          <w:tcPr>
            <w:tcW w:w="1240" w:type="dxa"/>
            <w:vAlign w:val="bottom"/>
            <w:tcBorders>
              <w:right w:val="single" w:sz="8" w:color="auto"/>
            </w:tcBorders>
            <w:gridSpan w:val="2"/>
          </w:tcPr>
          <w:p>
            <w:pPr>
              <w:jc w:val="center"/>
              <w:ind w:right="23"/>
              <w:spacing w:after="0" w:line="214" w:lineRule="exact"/>
              <w:rPr>
                <w:sz w:val="20"/>
                <w:szCs w:val="20"/>
                <w:color w:val="auto"/>
              </w:rPr>
            </w:pPr>
            <w:r>
              <w:rPr>
                <w:rFonts w:ascii="Arial" w:cs="Arial" w:eastAsia="Arial" w:hAnsi="Arial"/>
                <w:sz w:val="20"/>
                <w:szCs w:val="20"/>
                <w:color w:val="auto"/>
                <w:w w:val="99"/>
              </w:rPr>
              <w:t>132,815</w:t>
            </w:r>
          </w:p>
        </w:tc>
        <w:tc>
          <w:tcPr>
            <w:tcW w:w="120" w:type="dxa"/>
            <w:vAlign w:val="bottom"/>
          </w:tcPr>
          <w:p>
            <w:pPr>
              <w:spacing w:after="0"/>
              <w:rPr>
                <w:sz w:val="18"/>
                <w:szCs w:val="18"/>
                <w:color w:val="auto"/>
              </w:rPr>
            </w:pPr>
          </w:p>
        </w:tc>
        <w:tc>
          <w:tcPr>
            <w:tcW w:w="580" w:type="dxa"/>
            <w:vAlign w:val="bottom"/>
          </w:tcPr>
          <w:p>
            <w:pPr>
              <w:jc w:val="center"/>
              <w:ind w:right="2"/>
              <w:spacing w:after="0" w:line="214" w:lineRule="exact"/>
              <w:rPr>
                <w:sz w:val="20"/>
                <w:szCs w:val="20"/>
                <w:color w:val="auto"/>
              </w:rPr>
            </w:pPr>
            <w:r>
              <w:rPr>
                <w:rFonts w:ascii="Arial" w:cs="Arial" w:eastAsia="Arial" w:hAnsi="Arial"/>
                <w:sz w:val="20"/>
                <w:szCs w:val="20"/>
                <w:color w:val="auto"/>
                <w:w w:val="91"/>
              </w:rPr>
              <w:t>-2.6%</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-8.9%</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tcBorders>
          </w:tcPr>
          <w:p>
            <w:pPr>
              <w:ind w:left="20"/>
              <w:spacing w:after="0" w:line="212" w:lineRule="exact"/>
              <w:rPr>
                <w:sz w:val="20"/>
                <w:szCs w:val="20"/>
                <w:color w:val="auto"/>
              </w:rPr>
            </w:pPr>
            <w:r>
              <w:rPr>
                <w:rFonts w:ascii="Arial" w:cs="Arial" w:eastAsia="Arial" w:hAnsi="Arial"/>
                <w:sz w:val="20"/>
                <w:szCs w:val="20"/>
                <w:color w:val="auto"/>
              </w:rPr>
              <w:t>Other assets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line="212" w:lineRule="exact"/>
              <w:rPr>
                <w:sz w:val="20"/>
                <w:szCs w:val="20"/>
                <w:color w:val="auto"/>
              </w:rPr>
            </w:pPr>
            <w:r>
              <w:rPr>
                <w:rFonts w:ascii="Arial" w:cs="Arial" w:eastAsia="Arial" w:hAnsi="Arial"/>
                <w:sz w:val="20"/>
                <w:szCs w:val="20"/>
                <w:color w:val="auto"/>
                <w:w w:val="98"/>
              </w:rPr>
              <w:t>1,035,653</w:t>
            </w:r>
          </w:p>
        </w:tc>
        <w:tc>
          <w:tcPr>
            <w:tcW w:w="100" w:type="dxa"/>
            <w:vAlign w:val="bottom"/>
          </w:tcPr>
          <w:p>
            <w:pPr>
              <w:spacing w:after="0"/>
              <w:rPr>
                <w:sz w:val="18"/>
                <w:szCs w:val="18"/>
                <w:color w:val="auto"/>
              </w:rPr>
            </w:pPr>
          </w:p>
        </w:tc>
        <w:tc>
          <w:tcPr>
            <w:tcW w:w="1480" w:type="dxa"/>
            <w:vAlign w:val="bottom"/>
            <w:gridSpan w:val="2"/>
          </w:tcPr>
          <w:p>
            <w:pPr>
              <w:jc w:val="center"/>
              <w:spacing w:after="0" w:line="212" w:lineRule="exact"/>
              <w:rPr>
                <w:sz w:val="20"/>
                <w:szCs w:val="20"/>
                <w:color w:val="auto"/>
              </w:rPr>
            </w:pPr>
            <w:r>
              <w:rPr>
                <w:rFonts w:ascii="Arial" w:cs="Arial" w:eastAsia="Arial" w:hAnsi="Arial"/>
                <w:sz w:val="20"/>
                <w:szCs w:val="20"/>
                <w:color w:val="auto"/>
                <w:w w:val="99"/>
              </w:rPr>
              <w:t>823,401</w:t>
            </w:r>
          </w:p>
        </w:tc>
        <w:tc>
          <w:tcPr>
            <w:tcW w:w="1240" w:type="dxa"/>
            <w:vAlign w:val="bottom"/>
            <w:tcBorders>
              <w:right w:val="single" w:sz="8" w:color="auto"/>
            </w:tcBorders>
            <w:gridSpan w:val="2"/>
          </w:tcPr>
          <w:p>
            <w:pPr>
              <w:jc w:val="center"/>
              <w:ind w:right="23"/>
              <w:spacing w:after="0" w:line="212" w:lineRule="exact"/>
              <w:rPr>
                <w:sz w:val="20"/>
                <w:szCs w:val="20"/>
                <w:color w:val="auto"/>
              </w:rPr>
            </w:pPr>
            <w:r>
              <w:rPr>
                <w:rFonts w:ascii="Arial" w:cs="Arial" w:eastAsia="Arial" w:hAnsi="Arial"/>
                <w:sz w:val="20"/>
                <w:szCs w:val="20"/>
                <w:color w:val="auto"/>
                <w:w w:val="99"/>
              </w:rPr>
              <w:t>689,100</w:t>
            </w:r>
          </w:p>
        </w:tc>
        <w:tc>
          <w:tcPr>
            <w:tcW w:w="1460" w:type="dxa"/>
            <w:vAlign w:val="bottom"/>
            <w:tcBorders>
              <w:right w:val="single" w:sz="8" w:color="auto"/>
            </w:tcBorders>
            <w:gridSpan w:val="3"/>
          </w:tcPr>
          <w:p>
            <w:pPr>
              <w:jc w:val="center"/>
              <w:spacing w:after="0" w:line="212" w:lineRule="exact"/>
              <w:rPr>
                <w:sz w:val="20"/>
                <w:szCs w:val="20"/>
                <w:color w:val="auto"/>
              </w:rPr>
            </w:pPr>
            <w:r>
              <w:rPr>
                <w:rFonts w:ascii="Arial" w:cs="Arial" w:eastAsia="Arial" w:hAnsi="Arial"/>
                <w:sz w:val="20"/>
                <w:szCs w:val="20"/>
                <w:color w:val="auto"/>
              </w:rPr>
              <w:t>-16.3% -33.5%</w:t>
            </w:r>
          </w:p>
        </w:tc>
        <w:tc>
          <w:tcPr>
            <w:tcW w:w="0" w:type="dxa"/>
            <w:vAlign w:val="bottom"/>
          </w:tcPr>
          <w:p>
            <w:pPr>
              <w:spacing w:after="0"/>
              <w:rPr>
                <w:sz w:val="1"/>
                <w:szCs w:val="1"/>
                <w:color w:val="auto"/>
              </w:rPr>
            </w:pPr>
          </w:p>
        </w:tc>
      </w:tr>
      <w:tr>
        <w:trPr>
          <w:trHeight w:val="270"/>
        </w:trPr>
        <w:tc>
          <w:tcPr>
            <w:tcW w:w="3980" w:type="dxa"/>
            <w:vAlign w:val="bottom"/>
            <w:tcBorders>
              <w:left w:val="single" w:sz="8" w:color="auto"/>
            </w:tcBorders>
            <w:gridSpan w:val="2"/>
          </w:tcPr>
          <w:p>
            <w:pPr>
              <w:ind w:left="2340"/>
              <w:spacing w:after="0"/>
              <w:rPr>
                <w:sz w:val="20"/>
                <w:szCs w:val="20"/>
                <w:color w:val="auto"/>
              </w:rPr>
            </w:pPr>
            <w:r>
              <w:rPr>
                <w:rFonts w:ascii="Arial" w:cs="Arial" w:eastAsia="Arial" w:hAnsi="Arial"/>
                <w:sz w:val="20"/>
                <w:szCs w:val="20"/>
                <w:b w:val="1"/>
                <w:bCs w:val="1"/>
                <w:color w:val="auto"/>
              </w:rPr>
              <w:t>Total assets</w:t>
            </w:r>
          </w:p>
        </w:tc>
        <w:tc>
          <w:tcPr>
            <w:tcW w:w="98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20"/>
                <w:szCs w:val="20"/>
                <w:b w:val="1"/>
                <w:bCs w:val="1"/>
                <w:color w:val="auto"/>
                <w:w w:val="97"/>
              </w:rPr>
              <w:t>16,085,272</w:t>
            </w:r>
          </w:p>
        </w:tc>
        <w:tc>
          <w:tcPr>
            <w:tcW w:w="10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17,065,588</w:t>
            </w:r>
          </w:p>
        </w:tc>
        <w:tc>
          <w:tcPr>
            <w:tcW w:w="1240" w:type="dxa"/>
            <w:vAlign w:val="bottom"/>
            <w:tcBorders>
              <w:right w:val="single" w:sz="8" w:color="auto"/>
            </w:tcBorders>
            <w:gridSpan w:val="2"/>
          </w:tcPr>
          <w:p>
            <w:pPr>
              <w:jc w:val="center"/>
              <w:ind w:right="43"/>
              <w:spacing w:after="0"/>
              <w:rPr>
                <w:sz w:val="20"/>
                <w:szCs w:val="20"/>
                <w:color w:val="auto"/>
              </w:rPr>
            </w:pPr>
            <w:r>
              <w:rPr>
                <w:rFonts w:ascii="Arial" w:cs="Arial" w:eastAsia="Arial" w:hAnsi="Arial"/>
                <w:sz w:val="20"/>
                <w:szCs w:val="20"/>
                <w:b w:val="1"/>
                <w:bCs w:val="1"/>
                <w:color w:val="auto"/>
                <w:w w:val="97"/>
              </w:rPr>
              <w:t>17,607,731</w:t>
            </w:r>
          </w:p>
        </w:tc>
        <w:tc>
          <w:tcPr>
            <w:tcW w:w="120" w:type="dxa"/>
            <w:vAlign w:val="bottom"/>
          </w:tcPr>
          <w:p>
            <w:pPr>
              <w:spacing w:after="0"/>
              <w:rPr>
                <w:sz w:val="23"/>
                <w:szCs w:val="23"/>
                <w:color w:val="auto"/>
              </w:rPr>
            </w:pPr>
          </w:p>
        </w:tc>
        <w:tc>
          <w:tcPr>
            <w:tcW w:w="580" w:type="dxa"/>
            <w:vAlign w:val="bottom"/>
          </w:tcPr>
          <w:p>
            <w:pPr>
              <w:jc w:val="center"/>
              <w:ind w:right="22"/>
              <w:spacing w:after="0"/>
              <w:rPr>
                <w:sz w:val="20"/>
                <w:szCs w:val="20"/>
                <w:color w:val="auto"/>
              </w:rPr>
            </w:pPr>
            <w:r>
              <w:rPr>
                <w:rFonts w:ascii="Arial" w:cs="Arial" w:eastAsia="Arial" w:hAnsi="Arial"/>
                <w:sz w:val="20"/>
                <w:szCs w:val="20"/>
                <w:b w:val="1"/>
                <w:bCs w:val="1"/>
                <w:color w:val="auto"/>
              </w:rPr>
              <w:t>3.2%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9.5%</w:t>
            </w:r>
          </w:p>
        </w:tc>
        <w:tc>
          <w:tcPr>
            <w:tcW w:w="0" w:type="dxa"/>
            <w:vAlign w:val="bottom"/>
          </w:tcPr>
          <w:p>
            <w:pPr>
              <w:spacing w:after="0"/>
              <w:rPr>
                <w:sz w:val="1"/>
                <w:szCs w:val="1"/>
                <w:color w:val="auto"/>
              </w:rPr>
            </w:pPr>
          </w:p>
        </w:tc>
      </w:tr>
      <w:tr>
        <w:trPr>
          <w:trHeight w:val="348"/>
        </w:trPr>
        <w:tc>
          <w:tcPr>
            <w:tcW w:w="4960" w:type="dxa"/>
            <w:vAlign w:val="bottom"/>
            <w:tcBorders>
              <w:left w:val="single" w:sz="8" w:color="auto"/>
            </w:tcBorders>
            <w:gridSpan w:val="3"/>
          </w:tcPr>
          <w:p>
            <w:pPr>
              <w:ind w:left="20"/>
              <w:spacing w:after="0"/>
              <w:rPr>
                <w:sz w:val="20"/>
                <w:szCs w:val="20"/>
                <w:color w:val="auto"/>
              </w:rPr>
            </w:pPr>
            <w:r>
              <w:rPr>
                <w:rFonts w:ascii="Arial" w:cs="Arial" w:eastAsia="Arial" w:hAnsi="Arial"/>
                <w:sz w:val="20"/>
                <w:szCs w:val="20"/>
                <w:b w:val="1"/>
                <w:bCs w:val="1"/>
                <w:color w:val="auto"/>
              </w:rPr>
              <w:t>LIABILITIES AND NET SHAREHOLDERS' EQUITY</w:t>
            </w: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20"/>
              <w:spacing w:after="0" w:line="214" w:lineRule="exact"/>
              <w:rPr>
                <w:sz w:val="20"/>
                <w:szCs w:val="20"/>
                <w:color w:val="auto"/>
              </w:rPr>
            </w:pPr>
            <w:r>
              <w:rPr>
                <w:rFonts w:ascii="Arial" w:cs="Arial" w:eastAsia="Arial" w:hAnsi="Arial"/>
                <w:sz w:val="20"/>
                <w:szCs w:val="20"/>
                <w:color w:val="auto"/>
              </w:rPr>
              <w:t>Deposits and obligations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8"/>
              </w:rPr>
              <w:t>8,620,050</w:t>
            </w:r>
          </w:p>
        </w:tc>
        <w:tc>
          <w:tcPr>
            <w:tcW w:w="100" w:type="dxa"/>
            <w:vAlign w:val="bottom"/>
          </w:tcPr>
          <w:p>
            <w:pPr>
              <w:spacing w:after="0"/>
              <w:rPr>
                <w:sz w:val="18"/>
                <w:szCs w:val="18"/>
                <w:color w:val="auto"/>
              </w:rPr>
            </w:pPr>
          </w:p>
        </w:tc>
        <w:tc>
          <w:tcPr>
            <w:tcW w:w="148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8"/>
              </w:rPr>
              <w:t>8,956,909</w:t>
            </w:r>
          </w:p>
        </w:tc>
        <w:tc>
          <w:tcPr>
            <w:tcW w:w="1240" w:type="dxa"/>
            <w:vAlign w:val="bottom"/>
            <w:tcBorders>
              <w:right w:val="single" w:sz="8" w:color="auto"/>
            </w:tcBorders>
            <w:gridSpan w:val="2"/>
          </w:tcPr>
          <w:p>
            <w:pPr>
              <w:jc w:val="center"/>
              <w:ind w:right="23"/>
              <w:spacing w:after="0" w:line="214" w:lineRule="exact"/>
              <w:rPr>
                <w:sz w:val="20"/>
                <w:szCs w:val="20"/>
                <w:color w:val="auto"/>
              </w:rPr>
            </w:pPr>
            <w:r>
              <w:rPr>
                <w:rFonts w:ascii="Arial" w:cs="Arial" w:eastAsia="Arial" w:hAnsi="Arial"/>
                <w:sz w:val="20"/>
                <w:szCs w:val="20"/>
                <w:color w:val="auto"/>
                <w:w w:val="98"/>
              </w:rPr>
              <w:t>9,185,353</w:t>
            </w:r>
          </w:p>
        </w:tc>
        <w:tc>
          <w:tcPr>
            <w:tcW w:w="120" w:type="dxa"/>
            <w:vAlign w:val="bottom"/>
          </w:tcPr>
          <w:p>
            <w:pPr>
              <w:spacing w:after="0"/>
              <w:rPr>
                <w:sz w:val="18"/>
                <w:szCs w:val="18"/>
                <w:color w:val="auto"/>
              </w:rPr>
            </w:pPr>
          </w:p>
        </w:tc>
        <w:tc>
          <w:tcPr>
            <w:tcW w:w="580" w:type="dxa"/>
            <w:vAlign w:val="bottom"/>
          </w:tcPr>
          <w:p>
            <w:pPr>
              <w:jc w:val="center"/>
              <w:ind w:right="22"/>
              <w:spacing w:after="0" w:line="214" w:lineRule="exact"/>
              <w:rPr>
                <w:sz w:val="20"/>
                <w:szCs w:val="20"/>
                <w:color w:val="auto"/>
              </w:rPr>
            </w:pPr>
            <w:r>
              <w:rPr>
                <w:rFonts w:ascii="Arial" w:cs="Arial" w:eastAsia="Arial" w:hAnsi="Arial"/>
                <w:sz w:val="20"/>
                <w:szCs w:val="20"/>
                <w:color w:val="auto"/>
              </w:rPr>
              <w:t>2.6%</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6.6%</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20"/>
              <w:spacing w:after="0" w:line="214" w:lineRule="exact"/>
              <w:rPr>
                <w:sz w:val="20"/>
                <w:szCs w:val="20"/>
                <w:color w:val="auto"/>
              </w:rPr>
            </w:pPr>
            <w:r>
              <w:rPr>
                <w:rFonts w:ascii="Arial" w:cs="Arial" w:eastAsia="Arial" w:hAnsi="Arial"/>
                <w:sz w:val="20"/>
                <w:szCs w:val="20"/>
                <w:color w:val="auto"/>
                <w:w w:val="99"/>
              </w:rPr>
              <w:t>Due to banks and correspondents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8"/>
              </w:rPr>
              <w:t>2,232,497</w:t>
            </w:r>
          </w:p>
        </w:tc>
        <w:tc>
          <w:tcPr>
            <w:tcW w:w="100" w:type="dxa"/>
            <w:vAlign w:val="bottom"/>
          </w:tcPr>
          <w:p>
            <w:pPr>
              <w:spacing w:after="0"/>
              <w:rPr>
                <w:sz w:val="18"/>
                <w:szCs w:val="18"/>
                <w:color w:val="auto"/>
              </w:rPr>
            </w:pPr>
          </w:p>
        </w:tc>
        <w:tc>
          <w:tcPr>
            <w:tcW w:w="148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8"/>
              </w:rPr>
              <w:t>3,014,403</w:t>
            </w:r>
          </w:p>
        </w:tc>
        <w:tc>
          <w:tcPr>
            <w:tcW w:w="1240" w:type="dxa"/>
            <w:vAlign w:val="bottom"/>
            <w:tcBorders>
              <w:right w:val="single" w:sz="8" w:color="auto"/>
            </w:tcBorders>
            <w:gridSpan w:val="2"/>
          </w:tcPr>
          <w:p>
            <w:pPr>
              <w:jc w:val="center"/>
              <w:ind w:right="23"/>
              <w:spacing w:after="0" w:line="214" w:lineRule="exact"/>
              <w:rPr>
                <w:sz w:val="20"/>
                <w:szCs w:val="20"/>
                <w:color w:val="auto"/>
              </w:rPr>
            </w:pPr>
            <w:r>
              <w:rPr>
                <w:rFonts w:ascii="Arial" w:cs="Arial" w:eastAsia="Arial" w:hAnsi="Arial"/>
                <w:sz w:val="20"/>
                <w:szCs w:val="20"/>
                <w:color w:val="auto"/>
                <w:w w:val="98"/>
              </w:rPr>
              <w:t>3,315,936</w:t>
            </w:r>
          </w:p>
        </w:tc>
        <w:tc>
          <w:tcPr>
            <w:tcW w:w="120" w:type="dxa"/>
            <w:vAlign w:val="bottom"/>
          </w:tcPr>
          <w:p>
            <w:pPr>
              <w:spacing w:after="0"/>
              <w:rPr>
                <w:sz w:val="18"/>
                <w:szCs w:val="18"/>
                <w:color w:val="auto"/>
              </w:rPr>
            </w:pPr>
          </w:p>
        </w:tc>
        <w:tc>
          <w:tcPr>
            <w:tcW w:w="580" w:type="dxa"/>
            <w:vAlign w:val="bottom"/>
          </w:tcPr>
          <w:p>
            <w:pPr>
              <w:jc w:val="center"/>
              <w:spacing w:after="0" w:line="214" w:lineRule="exact"/>
              <w:rPr>
                <w:sz w:val="20"/>
                <w:szCs w:val="20"/>
                <w:color w:val="auto"/>
              </w:rPr>
            </w:pPr>
            <w:r>
              <w:rPr>
                <w:rFonts w:ascii="Arial" w:cs="Arial" w:eastAsia="Arial" w:hAnsi="Arial"/>
                <w:sz w:val="20"/>
                <w:szCs w:val="20"/>
                <w:color w:val="auto"/>
                <w:w w:val="88"/>
              </w:rPr>
              <w:t>10.0%</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48.5%</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tcBorders>
          </w:tcPr>
          <w:p>
            <w:pPr>
              <w:ind w:left="20"/>
              <w:spacing w:after="0" w:line="214" w:lineRule="exact"/>
              <w:rPr>
                <w:sz w:val="20"/>
                <w:szCs w:val="20"/>
                <w:color w:val="auto"/>
              </w:rPr>
            </w:pPr>
            <w:r>
              <w:rPr>
                <w:rFonts w:ascii="Arial" w:cs="Arial" w:eastAsia="Arial" w:hAnsi="Arial"/>
                <w:sz w:val="20"/>
                <w:szCs w:val="20"/>
                <w:color w:val="auto"/>
              </w:rPr>
              <w:t>Bonds and subordinated debt</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6"/>
              </w:rPr>
              <w:t>186,677</w:t>
            </w:r>
          </w:p>
        </w:tc>
        <w:tc>
          <w:tcPr>
            <w:tcW w:w="100" w:type="dxa"/>
            <w:vAlign w:val="bottom"/>
          </w:tcPr>
          <w:p>
            <w:pPr>
              <w:spacing w:after="0"/>
              <w:rPr>
                <w:sz w:val="18"/>
                <w:szCs w:val="18"/>
                <w:color w:val="auto"/>
              </w:rPr>
            </w:pPr>
          </w:p>
        </w:tc>
        <w:tc>
          <w:tcPr>
            <w:tcW w:w="148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9"/>
              </w:rPr>
              <w:t>259,436</w:t>
            </w:r>
          </w:p>
        </w:tc>
        <w:tc>
          <w:tcPr>
            <w:tcW w:w="1240" w:type="dxa"/>
            <w:vAlign w:val="bottom"/>
            <w:tcBorders>
              <w:right w:val="single" w:sz="8" w:color="auto"/>
            </w:tcBorders>
            <w:gridSpan w:val="2"/>
          </w:tcPr>
          <w:p>
            <w:pPr>
              <w:jc w:val="center"/>
              <w:ind w:right="23"/>
              <w:spacing w:after="0" w:line="214" w:lineRule="exact"/>
              <w:rPr>
                <w:sz w:val="20"/>
                <w:szCs w:val="20"/>
                <w:color w:val="auto"/>
              </w:rPr>
            </w:pPr>
            <w:r>
              <w:rPr>
                <w:rFonts w:ascii="Arial" w:cs="Arial" w:eastAsia="Arial" w:hAnsi="Arial"/>
                <w:sz w:val="20"/>
                <w:szCs w:val="20"/>
                <w:color w:val="auto"/>
                <w:w w:val="99"/>
              </w:rPr>
              <w:t>452,100</w:t>
            </w:r>
          </w:p>
        </w:tc>
        <w:tc>
          <w:tcPr>
            <w:tcW w:w="120" w:type="dxa"/>
            <w:vAlign w:val="bottom"/>
          </w:tcPr>
          <w:p>
            <w:pPr>
              <w:spacing w:after="0"/>
              <w:rPr>
                <w:sz w:val="18"/>
                <w:szCs w:val="18"/>
                <w:color w:val="auto"/>
              </w:rPr>
            </w:pPr>
          </w:p>
        </w:tc>
        <w:tc>
          <w:tcPr>
            <w:tcW w:w="134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8"/>
              </w:rPr>
              <w:t>74.3% 142.2%</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tcBorders>
          </w:tcPr>
          <w:p>
            <w:pPr>
              <w:ind w:left="20"/>
              <w:spacing w:after="0" w:line="212" w:lineRule="exact"/>
              <w:rPr>
                <w:sz w:val="20"/>
                <w:szCs w:val="20"/>
                <w:color w:val="auto"/>
              </w:rPr>
            </w:pPr>
            <w:r>
              <w:rPr>
                <w:rFonts w:ascii="Arial" w:cs="Arial" w:eastAsia="Arial" w:hAnsi="Arial"/>
                <w:sz w:val="20"/>
                <w:szCs w:val="20"/>
                <w:color w:val="auto"/>
              </w:rPr>
              <w:t>Other liabilities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line="212" w:lineRule="exact"/>
              <w:rPr>
                <w:sz w:val="20"/>
                <w:szCs w:val="20"/>
                <w:color w:val="auto"/>
              </w:rPr>
            </w:pPr>
            <w:r>
              <w:rPr>
                <w:rFonts w:ascii="Arial" w:cs="Arial" w:eastAsia="Arial" w:hAnsi="Arial"/>
                <w:sz w:val="20"/>
                <w:szCs w:val="20"/>
                <w:color w:val="auto"/>
                <w:w w:val="98"/>
              </w:rPr>
              <w:t>2,803,336</w:t>
            </w:r>
          </w:p>
        </w:tc>
        <w:tc>
          <w:tcPr>
            <w:tcW w:w="100" w:type="dxa"/>
            <w:vAlign w:val="bottom"/>
          </w:tcPr>
          <w:p>
            <w:pPr>
              <w:spacing w:after="0"/>
              <w:rPr>
                <w:sz w:val="18"/>
                <w:szCs w:val="18"/>
                <w:color w:val="auto"/>
              </w:rPr>
            </w:pPr>
          </w:p>
        </w:tc>
        <w:tc>
          <w:tcPr>
            <w:tcW w:w="1480" w:type="dxa"/>
            <w:vAlign w:val="bottom"/>
            <w:gridSpan w:val="2"/>
          </w:tcPr>
          <w:p>
            <w:pPr>
              <w:jc w:val="center"/>
              <w:spacing w:after="0" w:line="212" w:lineRule="exact"/>
              <w:rPr>
                <w:sz w:val="20"/>
                <w:szCs w:val="20"/>
                <w:color w:val="auto"/>
              </w:rPr>
            </w:pPr>
            <w:r>
              <w:rPr>
                <w:rFonts w:ascii="Arial" w:cs="Arial" w:eastAsia="Arial" w:hAnsi="Arial"/>
                <w:sz w:val="20"/>
                <w:szCs w:val="20"/>
                <w:color w:val="auto"/>
                <w:w w:val="98"/>
              </w:rPr>
              <w:t>2,247,632</w:t>
            </w:r>
          </w:p>
        </w:tc>
        <w:tc>
          <w:tcPr>
            <w:tcW w:w="1240" w:type="dxa"/>
            <w:vAlign w:val="bottom"/>
            <w:tcBorders>
              <w:right w:val="single" w:sz="8" w:color="auto"/>
            </w:tcBorders>
            <w:gridSpan w:val="2"/>
          </w:tcPr>
          <w:p>
            <w:pPr>
              <w:jc w:val="center"/>
              <w:ind w:right="43"/>
              <w:spacing w:after="0" w:line="212" w:lineRule="exact"/>
              <w:rPr>
                <w:sz w:val="20"/>
                <w:szCs w:val="20"/>
                <w:color w:val="auto"/>
              </w:rPr>
            </w:pPr>
            <w:r>
              <w:rPr>
                <w:rFonts w:ascii="Arial" w:cs="Arial" w:eastAsia="Arial" w:hAnsi="Arial"/>
                <w:sz w:val="20"/>
                <w:szCs w:val="20"/>
                <w:color w:val="auto"/>
                <w:w w:val="96"/>
              </w:rPr>
              <w:t>1,923,119</w:t>
            </w:r>
          </w:p>
        </w:tc>
        <w:tc>
          <w:tcPr>
            <w:tcW w:w="1460" w:type="dxa"/>
            <w:vAlign w:val="bottom"/>
            <w:tcBorders>
              <w:right w:val="single" w:sz="8" w:color="auto"/>
            </w:tcBorders>
            <w:gridSpan w:val="3"/>
          </w:tcPr>
          <w:p>
            <w:pPr>
              <w:jc w:val="center"/>
              <w:spacing w:after="0" w:line="212" w:lineRule="exact"/>
              <w:rPr>
                <w:sz w:val="20"/>
                <w:szCs w:val="20"/>
                <w:color w:val="auto"/>
              </w:rPr>
            </w:pPr>
            <w:r>
              <w:rPr>
                <w:rFonts w:ascii="Arial" w:cs="Arial" w:eastAsia="Arial" w:hAnsi="Arial"/>
                <w:sz w:val="20"/>
                <w:szCs w:val="20"/>
                <w:color w:val="auto"/>
              </w:rPr>
              <w:t>-14.4% -31.4%</w:t>
            </w:r>
          </w:p>
        </w:tc>
        <w:tc>
          <w:tcPr>
            <w:tcW w:w="0" w:type="dxa"/>
            <w:vAlign w:val="bottom"/>
          </w:tcPr>
          <w:p>
            <w:pPr>
              <w:spacing w:after="0"/>
              <w:rPr>
                <w:sz w:val="1"/>
                <w:szCs w:val="1"/>
                <w:color w:val="auto"/>
              </w:rPr>
            </w:pPr>
          </w:p>
        </w:tc>
      </w:tr>
      <w:tr>
        <w:trPr>
          <w:trHeight w:val="270"/>
        </w:trPr>
        <w:tc>
          <w:tcPr>
            <w:tcW w:w="3980" w:type="dxa"/>
            <w:vAlign w:val="bottom"/>
            <w:tcBorders>
              <w:left w:val="single" w:sz="8" w:color="auto"/>
            </w:tcBorders>
            <w:gridSpan w:val="2"/>
          </w:tcPr>
          <w:p>
            <w:pPr>
              <w:ind w:left="2220"/>
              <w:spacing w:after="0"/>
              <w:rPr>
                <w:sz w:val="20"/>
                <w:szCs w:val="20"/>
                <w:color w:val="auto"/>
              </w:rPr>
            </w:pPr>
            <w:r>
              <w:rPr>
                <w:rFonts w:ascii="Arial" w:cs="Arial" w:eastAsia="Arial" w:hAnsi="Arial"/>
                <w:sz w:val="20"/>
                <w:szCs w:val="20"/>
                <w:b w:val="1"/>
                <w:bCs w:val="1"/>
                <w:color w:val="auto"/>
              </w:rPr>
              <w:t>Total liabilities</w:t>
            </w:r>
          </w:p>
        </w:tc>
        <w:tc>
          <w:tcPr>
            <w:tcW w:w="980" w:type="dxa"/>
            <w:vAlign w:val="bottom"/>
          </w:tcPr>
          <w:p>
            <w:pPr>
              <w:spacing w:after="0"/>
              <w:rPr>
                <w:sz w:val="23"/>
                <w:szCs w:val="23"/>
                <w:color w:val="auto"/>
              </w:rPr>
            </w:pPr>
          </w:p>
        </w:tc>
        <w:tc>
          <w:tcPr>
            <w:tcW w:w="84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20"/>
                <w:szCs w:val="20"/>
                <w:b w:val="1"/>
                <w:bCs w:val="1"/>
                <w:color w:val="auto"/>
                <w:w w:val="97"/>
              </w:rPr>
              <w:t>13,842,559</w:t>
            </w:r>
          </w:p>
        </w:tc>
        <w:tc>
          <w:tcPr>
            <w:tcW w:w="100" w:type="dxa"/>
            <w:vAlign w:val="bottom"/>
          </w:tcPr>
          <w:p>
            <w:pPr>
              <w:spacing w:after="0"/>
              <w:rPr>
                <w:sz w:val="23"/>
                <w:szCs w:val="23"/>
                <w:color w:val="auto"/>
              </w:rPr>
            </w:pPr>
          </w:p>
        </w:tc>
        <w:tc>
          <w:tcPr>
            <w:tcW w:w="14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9"/>
              </w:rPr>
              <w:t>14,478,379</w:t>
            </w:r>
          </w:p>
        </w:tc>
        <w:tc>
          <w:tcPr>
            <w:tcW w:w="1240" w:type="dxa"/>
            <w:vAlign w:val="bottom"/>
            <w:tcBorders>
              <w:right w:val="single" w:sz="8" w:color="auto"/>
            </w:tcBorders>
            <w:gridSpan w:val="2"/>
          </w:tcPr>
          <w:p>
            <w:pPr>
              <w:jc w:val="center"/>
              <w:ind w:right="43"/>
              <w:spacing w:after="0"/>
              <w:rPr>
                <w:sz w:val="20"/>
                <w:szCs w:val="20"/>
                <w:color w:val="auto"/>
              </w:rPr>
            </w:pPr>
            <w:r>
              <w:rPr>
                <w:rFonts w:ascii="Arial" w:cs="Arial" w:eastAsia="Arial" w:hAnsi="Arial"/>
                <w:sz w:val="20"/>
                <w:szCs w:val="20"/>
                <w:b w:val="1"/>
                <w:bCs w:val="1"/>
                <w:color w:val="auto"/>
                <w:w w:val="97"/>
              </w:rPr>
              <w:t>14,876,508</w:t>
            </w:r>
          </w:p>
        </w:tc>
        <w:tc>
          <w:tcPr>
            <w:tcW w:w="120" w:type="dxa"/>
            <w:vAlign w:val="bottom"/>
          </w:tcPr>
          <w:p>
            <w:pPr>
              <w:spacing w:after="0"/>
              <w:rPr>
                <w:sz w:val="23"/>
                <w:szCs w:val="23"/>
                <w:color w:val="auto"/>
              </w:rPr>
            </w:pPr>
          </w:p>
        </w:tc>
        <w:tc>
          <w:tcPr>
            <w:tcW w:w="580" w:type="dxa"/>
            <w:vAlign w:val="bottom"/>
          </w:tcPr>
          <w:p>
            <w:pPr>
              <w:jc w:val="center"/>
              <w:ind w:right="22"/>
              <w:spacing w:after="0"/>
              <w:rPr>
                <w:sz w:val="20"/>
                <w:szCs w:val="20"/>
                <w:color w:val="auto"/>
              </w:rPr>
            </w:pPr>
            <w:r>
              <w:rPr>
                <w:rFonts w:ascii="Arial" w:cs="Arial" w:eastAsia="Arial" w:hAnsi="Arial"/>
                <w:sz w:val="20"/>
                <w:szCs w:val="20"/>
                <w:b w:val="1"/>
                <w:bCs w:val="1"/>
                <w:color w:val="auto"/>
              </w:rPr>
              <w:t>2.7%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7.5%</w:t>
            </w:r>
          </w:p>
        </w:tc>
        <w:tc>
          <w:tcPr>
            <w:tcW w:w="0" w:type="dxa"/>
            <w:vAlign w:val="bottom"/>
          </w:tcPr>
          <w:p>
            <w:pPr>
              <w:spacing w:after="0"/>
              <w:rPr>
                <w:sz w:val="1"/>
                <w:szCs w:val="1"/>
                <w:color w:val="auto"/>
              </w:rPr>
            </w:pPr>
          </w:p>
        </w:tc>
      </w:tr>
      <w:tr>
        <w:trPr>
          <w:trHeight w:val="402"/>
        </w:trPr>
        <w:tc>
          <w:tcPr>
            <w:tcW w:w="306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Net equity</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20"/>
                <w:szCs w:val="20"/>
                <w:b w:val="1"/>
                <w:bCs w:val="1"/>
                <w:color w:val="auto"/>
                <w:w w:val="98"/>
              </w:rPr>
              <w:t>2,242,714</w:t>
            </w:r>
          </w:p>
        </w:tc>
        <w:tc>
          <w:tcPr>
            <w:tcW w:w="10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Arial" w:cs="Arial" w:eastAsia="Arial" w:hAnsi="Arial"/>
                <w:sz w:val="20"/>
                <w:szCs w:val="20"/>
                <w:b w:val="1"/>
                <w:bCs w:val="1"/>
                <w:color w:val="auto"/>
                <w:w w:val="98"/>
              </w:rPr>
              <w:t>2,587,209</w:t>
            </w:r>
          </w:p>
        </w:tc>
        <w:tc>
          <w:tcPr>
            <w:tcW w:w="1240" w:type="dxa"/>
            <w:vAlign w:val="bottom"/>
            <w:tcBorders>
              <w:right w:val="single" w:sz="8" w:color="auto"/>
            </w:tcBorders>
            <w:gridSpan w:val="2"/>
          </w:tcPr>
          <w:p>
            <w:pPr>
              <w:jc w:val="center"/>
              <w:ind w:right="23"/>
              <w:spacing w:after="0"/>
              <w:rPr>
                <w:sz w:val="20"/>
                <w:szCs w:val="20"/>
                <w:color w:val="auto"/>
              </w:rPr>
            </w:pPr>
            <w:r>
              <w:rPr>
                <w:rFonts w:ascii="Arial" w:cs="Arial" w:eastAsia="Arial" w:hAnsi="Arial"/>
                <w:sz w:val="20"/>
                <w:szCs w:val="20"/>
                <w:b w:val="1"/>
                <w:bCs w:val="1"/>
                <w:color w:val="auto"/>
                <w:w w:val="98"/>
              </w:rPr>
              <w:t>2,731,223</w:t>
            </w:r>
          </w:p>
        </w:tc>
        <w:tc>
          <w:tcPr>
            <w:tcW w:w="120" w:type="dxa"/>
            <w:vAlign w:val="bottom"/>
          </w:tcPr>
          <w:p>
            <w:pPr>
              <w:spacing w:after="0"/>
              <w:rPr>
                <w:sz w:val="24"/>
                <w:szCs w:val="24"/>
                <w:color w:val="auto"/>
              </w:rPr>
            </w:pPr>
          </w:p>
        </w:tc>
        <w:tc>
          <w:tcPr>
            <w:tcW w:w="580" w:type="dxa"/>
            <w:vAlign w:val="bottom"/>
          </w:tcPr>
          <w:p>
            <w:pPr>
              <w:jc w:val="center"/>
              <w:ind w:right="22"/>
              <w:spacing w:after="0"/>
              <w:rPr>
                <w:sz w:val="20"/>
                <w:szCs w:val="20"/>
                <w:color w:val="auto"/>
              </w:rPr>
            </w:pPr>
            <w:r>
              <w:rPr>
                <w:rFonts w:ascii="Arial" w:cs="Arial" w:eastAsia="Arial" w:hAnsi="Arial"/>
                <w:sz w:val="20"/>
                <w:szCs w:val="20"/>
                <w:b w:val="1"/>
                <w:bCs w:val="1"/>
                <w:color w:val="auto"/>
              </w:rPr>
              <w:t>5.6%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21.8%</w:t>
            </w:r>
          </w:p>
        </w:tc>
        <w:tc>
          <w:tcPr>
            <w:tcW w:w="0" w:type="dxa"/>
            <w:vAlign w:val="bottom"/>
          </w:tcPr>
          <w:p>
            <w:pPr>
              <w:spacing w:after="0"/>
              <w:rPr>
                <w:sz w:val="1"/>
                <w:szCs w:val="1"/>
                <w:color w:val="auto"/>
              </w:rPr>
            </w:pPr>
          </w:p>
        </w:tc>
      </w:tr>
      <w:tr>
        <w:trPr>
          <w:trHeight w:val="377"/>
        </w:trPr>
        <w:tc>
          <w:tcPr>
            <w:tcW w:w="580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20"/>
                <w:szCs w:val="20"/>
                <w:b w:val="1"/>
                <w:bCs w:val="1"/>
                <w:color w:val="auto"/>
              </w:rPr>
              <w:t>TOTAL LIABILITIES AND NET SHAREHOLDERS' EQUITY</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16,085,272</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9"/>
              </w:rPr>
              <w:t>17,065,588</w:t>
            </w:r>
          </w:p>
        </w:tc>
        <w:tc>
          <w:tcPr>
            <w:tcW w:w="1240" w:type="dxa"/>
            <w:vAlign w:val="bottom"/>
            <w:tcBorders>
              <w:bottom w:val="single" w:sz="8" w:color="auto"/>
              <w:right w:val="single" w:sz="8" w:color="auto"/>
            </w:tcBorders>
            <w:gridSpan w:val="2"/>
          </w:tcPr>
          <w:p>
            <w:pPr>
              <w:jc w:val="center"/>
              <w:ind w:right="43"/>
              <w:spacing w:after="0"/>
              <w:rPr>
                <w:sz w:val="20"/>
                <w:szCs w:val="20"/>
                <w:color w:val="auto"/>
              </w:rPr>
            </w:pPr>
            <w:r>
              <w:rPr>
                <w:rFonts w:ascii="Arial" w:cs="Arial" w:eastAsia="Arial" w:hAnsi="Arial"/>
                <w:sz w:val="20"/>
                <w:szCs w:val="20"/>
                <w:b w:val="1"/>
                <w:bCs w:val="1"/>
                <w:color w:val="auto"/>
                <w:w w:val="97"/>
              </w:rPr>
              <w:t>17,607,731</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ind w:right="22"/>
              <w:spacing w:after="0"/>
              <w:rPr>
                <w:sz w:val="20"/>
                <w:szCs w:val="20"/>
                <w:color w:val="auto"/>
              </w:rPr>
            </w:pPr>
            <w:r>
              <w:rPr>
                <w:rFonts w:ascii="Arial" w:cs="Arial" w:eastAsia="Arial" w:hAnsi="Arial"/>
                <w:sz w:val="20"/>
                <w:szCs w:val="20"/>
                <w:b w:val="1"/>
                <w:bCs w:val="1"/>
                <w:color w:val="auto"/>
              </w:rPr>
              <w:t>3.2%</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9.5%</w:t>
            </w:r>
          </w:p>
        </w:tc>
        <w:tc>
          <w:tcPr>
            <w:tcW w:w="0" w:type="dxa"/>
            <w:vAlign w:val="bottom"/>
          </w:tcPr>
          <w:p>
            <w:pPr>
              <w:spacing w:after="0"/>
              <w:rPr>
                <w:sz w:val="1"/>
                <w:szCs w:val="1"/>
                <w:color w:val="auto"/>
              </w:rPr>
            </w:pPr>
          </w:p>
        </w:tc>
      </w:tr>
      <w:tr>
        <w:trPr>
          <w:trHeight w:val="248"/>
        </w:trPr>
        <w:tc>
          <w:tcPr>
            <w:tcW w:w="306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3060" w:type="dxa"/>
            <w:vAlign w:val="bottom"/>
            <w:tcBorders>
              <w:right w:val="single" w:sz="8" w:color="auto"/>
            </w:tcBorders>
          </w:tcPr>
          <w:p>
            <w:pPr>
              <w:spacing w:after="0"/>
              <w:rPr>
                <w:sz w:val="15"/>
                <w:szCs w:val="15"/>
                <w:color w:val="auto"/>
              </w:rPr>
            </w:pPr>
          </w:p>
        </w:tc>
        <w:tc>
          <w:tcPr>
            <w:tcW w:w="920" w:type="dxa"/>
            <w:vAlign w:val="bottom"/>
            <w:shd w:val="clear" w:color="auto" w:fill="2AD2C9"/>
          </w:tcPr>
          <w:p>
            <w:pPr>
              <w:spacing w:after="0"/>
              <w:rPr>
                <w:sz w:val="15"/>
                <w:szCs w:val="15"/>
                <w:color w:val="auto"/>
              </w:rPr>
            </w:pPr>
          </w:p>
        </w:tc>
        <w:tc>
          <w:tcPr>
            <w:tcW w:w="980" w:type="dxa"/>
            <w:vAlign w:val="bottom"/>
            <w:shd w:val="clear" w:color="auto" w:fill="2AD2C9"/>
          </w:tcPr>
          <w:p>
            <w:pPr>
              <w:jc w:val="center"/>
              <w:spacing w:after="0" w:line="182" w:lineRule="exact"/>
              <w:rPr>
                <w:sz w:val="20"/>
                <w:szCs w:val="20"/>
                <w:color w:val="auto"/>
              </w:rPr>
            </w:pPr>
            <w:r>
              <w:rPr>
                <w:rFonts w:ascii="Arial" w:cs="Arial" w:eastAsia="Arial" w:hAnsi="Arial"/>
                <w:sz w:val="18"/>
                <w:szCs w:val="18"/>
                <w:b w:val="1"/>
                <w:bCs w:val="1"/>
                <w:color w:val="FFFFFF"/>
                <w:w w:val="98"/>
              </w:rPr>
              <w:t>Quarter</w:t>
            </w:r>
          </w:p>
        </w:tc>
        <w:tc>
          <w:tcPr>
            <w:tcW w:w="840" w:type="dxa"/>
            <w:vAlign w:val="bottom"/>
            <w:tcBorders>
              <w:right w:val="single" w:sz="8" w:color="2AD2C9"/>
            </w:tcBorders>
            <w:shd w:val="clear" w:color="auto" w:fill="2AD2C9"/>
          </w:tcPr>
          <w:p>
            <w:pPr>
              <w:spacing w:after="0"/>
              <w:rPr>
                <w:sz w:val="15"/>
                <w:szCs w:val="15"/>
                <w:color w:val="auto"/>
              </w:rPr>
            </w:pPr>
          </w:p>
        </w:tc>
        <w:tc>
          <w:tcPr>
            <w:tcW w:w="160" w:type="dxa"/>
            <w:vAlign w:val="bottom"/>
            <w:tcBorders>
              <w:right w:val="single" w:sz="8" w:color="auto"/>
            </w:tcBorders>
            <w:shd w:val="clear" w:color="auto" w:fill="2AD2C9"/>
          </w:tcPr>
          <w:p>
            <w:pPr>
              <w:spacing w:after="0"/>
              <w:rPr>
                <w:sz w:val="15"/>
                <w:szCs w:val="15"/>
                <w:color w:val="auto"/>
              </w:rPr>
            </w:pPr>
          </w:p>
        </w:tc>
        <w:tc>
          <w:tcPr>
            <w:tcW w:w="1960" w:type="dxa"/>
            <w:vAlign w:val="bottom"/>
            <w:tcBorders>
              <w:right w:val="single" w:sz="8" w:color="auto"/>
            </w:tcBorders>
            <w:gridSpan w:val="3"/>
            <w:shd w:val="clear" w:color="auto" w:fill="2AD2C9"/>
          </w:tcPr>
          <w:p>
            <w:pPr>
              <w:ind w:left="560"/>
              <w:spacing w:after="0" w:line="182" w:lineRule="exact"/>
              <w:rPr>
                <w:sz w:val="20"/>
                <w:szCs w:val="20"/>
                <w:color w:val="auto"/>
              </w:rPr>
            </w:pPr>
            <w:r>
              <w:rPr>
                <w:rFonts w:ascii="Arial" w:cs="Arial" w:eastAsia="Arial" w:hAnsi="Arial"/>
                <w:sz w:val="18"/>
                <w:szCs w:val="18"/>
                <w:b w:val="1"/>
                <w:bCs w:val="1"/>
                <w:color w:val="FFFFFF"/>
              </w:rPr>
              <w:t>% change</w:t>
            </w:r>
          </w:p>
        </w:tc>
        <w:tc>
          <w:tcPr>
            <w:tcW w:w="620" w:type="dxa"/>
            <w:vAlign w:val="bottom"/>
            <w:shd w:val="clear" w:color="auto" w:fill="2AD2C9"/>
          </w:tcPr>
          <w:p>
            <w:pPr>
              <w:spacing w:after="0"/>
              <w:rPr>
                <w:sz w:val="15"/>
                <w:szCs w:val="15"/>
                <w:color w:val="auto"/>
              </w:rPr>
            </w:pPr>
          </w:p>
        </w:tc>
        <w:tc>
          <w:tcPr>
            <w:tcW w:w="1240" w:type="dxa"/>
            <w:vAlign w:val="bottom"/>
            <w:tcBorders>
              <w:right w:val="single" w:sz="8" w:color="2AD2C9"/>
            </w:tcBorders>
            <w:gridSpan w:val="2"/>
            <w:shd w:val="clear" w:color="auto" w:fill="2AD2C9"/>
          </w:tcPr>
          <w:p>
            <w:pPr>
              <w:jc w:val="center"/>
              <w:ind w:right="423"/>
              <w:spacing w:after="0" w:line="182" w:lineRule="exact"/>
              <w:rPr>
                <w:sz w:val="20"/>
                <w:szCs w:val="20"/>
                <w:color w:val="auto"/>
              </w:rPr>
            </w:pPr>
            <w:r>
              <w:rPr>
                <w:rFonts w:ascii="Arial" w:cs="Arial" w:eastAsia="Arial" w:hAnsi="Arial"/>
                <w:sz w:val="18"/>
                <w:szCs w:val="18"/>
                <w:b w:val="1"/>
                <w:bCs w:val="1"/>
                <w:color w:val="FFFFFF"/>
                <w:w w:val="97"/>
              </w:rPr>
              <w:t>As of</w:t>
            </w:r>
          </w:p>
        </w:tc>
        <w:tc>
          <w:tcPr>
            <w:tcW w:w="120" w:type="dxa"/>
            <w:vAlign w:val="bottom"/>
            <w:tcBorders>
              <w:right w:val="single" w:sz="8" w:color="auto"/>
            </w:tcBorders>
            <w:shd w:val="clear" w:color="auto" w:fill="2AD2C9"/>
          </w:tcPr>
          <w:p>
            <w:pPr>
              <w:spacing w:after="0"/>
              <w:rPr>
                <w:sz w:val="15"/>
                <w:szCs w:val="15"/>
                <w:color w:val="auto"/>
              </w:rPr>
            </w:pPr>
          </w:p>
        </w:tc>
        <w:tc>
          <w:tcPr>
            <w:tcW w:w="1340" w:type="dxa"/>
            <w:vAlign w:val="bottom"/>
            <w:tcBorders>
              <w:right w:val="single" w:sz="8" w:color="auto"/>
            </w:tcBorders>
            <w:gridSpan w:val="2"/>
            <w:shd w:val="clear" w:color="auto" w:fill="2AD2C9"/>
          </w:tcPr>
          <w:p>
            <w:pPr>
              <w:jc w:val="center"/>
              <w:spacing w:after="0" w:line="182" w:lineRule="exact"/>
              <w:rPr>
                <w:sz w:val="20"/>
                <w:szCs w:val="20"/>
                <w:color w:val="auto"/>
              </w:rPr>
            </w:pPr>
            <w:r>
              <w:rPr>
                <w:rFonts w:ascii="Arial" w:cs="Arial" w:eastAsia="Arial" w:hAnsi="Arial"/>
                <w:sz w:val="18"/>
                <w:szCs w:val="18"/>
                <w:b w:val="1"/>
                <w:bCs w:val="1"/>
                <w:color w:val="FFFFFF"/>
                <w:w w:val="99"/>
              </w:rPr>
              <w:t>% change</w:t>
            </w:r>
          </w:p>
        </w:tc>
        <w:tc>
          <w:tcPr>
            <w:tcW w:w="0" w:type="dxa"/>
            <w:vAlign w:val="bottom"/>
          </w:tcPr>
          <w:p>
            <w:pPr>
              <w:spacing w:after="0"/>
              <w:rPr>
                <w:sz w:val="1"/>
                <w:szCs w:val="1"/>
                <w:color w:val="auto"/>
              </w:rPr>
            </w:pPr>
          </w:p>
        </w:tc>
      </w:tr>
      <w:tr>
        <w:trPr>
          <w:trHeight w:val="226"/>
        </w:trPr>
        <w:tc>
          <w:tcPr>
            <w:tcW w:w="30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2Q22</w:t>
            </w:r>
          </w:p>
        </w:tc>
        <w:tc>
          <w:tcPr>
            <w:tcW w:w="1000" w:type="dxa"/>
            <w:vAlign w:val="bottom"/>
            <w:tcBorders>
              <w:bottom w:val="single" w:sz="8" w:color="auto"/>
              <w:right w:val="single" w:sz="8" w:color="auto"/>
            </w:tcBorders>
            <w:gridSpan w:val="2"/>
            <w:shd w:val="clear" w:color="auto" w:fill="2AD2C9"/>
          </w:tcPr>
          <w:p>
            <w:pPr>
              <w:jc w:val="center"/>
              <w:ind w:right="20"/>
              <w:spacing w:after="0"/>
              <w:rPr>
                <w:sz w:val="20"/>
                <w:szCs w:val="20"/>
                <w:color w:val="auto"/>
              </w:rPr>
            </w:pPr>
            <w:r>
              <w:rPr>
                <w:rFonts w:ascii="Arial" w:cs="Arial" w:eastAsia="Arial" w:hAnsi="Arial"/>
                <w:sz w:val="18"/>
                <w:szCs w:val="18"/>
                <w:b w:val="1"/>
                <w:bCs w:val="1"/>
                <w:color w:val="FFFFFF"/>
                <w:w w:val="95"/>
              </w:rPr>
              <w:t>3Q22</w:t>
            </w:r>
          </w:p>
        </w:tc>
        <w:tc>
          <w:tcPr>
            <w:tcW w:w="10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7"/>
              </w:rPr>
              <w:t>QoQ</w:t>
            </w:r>
          </w:p>
        </w:tc>
        <w:tc>
          <w:tcPr>
            <w:tcW w:w="100" w:type="dxa"/>
            <w:vAlign w:val="bottom"/>
            <w:tcBorders>
              <w:bottom w:val="single" w:sz="8" w:color="auto"/>
            </w:tcBorders>
            <w:shd w:val="clear" w:color="auto" w:fill="2AD2C9"/>
          </w:tcPr>
          <w:p>
            <w:pPr>
              <w:spacing w:after="0"/>
              <w:rPr>
                <w:sz w:val="19"/>
                <w:szCs w:val="19"/>
                <w:color w:val="auto"/>
              </w:rPr>
            </w:pPr>
          </w:p>
        </w:tc>
        <w:tc>
          <w:tcPr>
            <w:tcW w:w="860" w:type="dxa"/>
            <w:vAlign w:val="bottom"/>
            <w:tcBorders>
              <w:bottom w:val="single" w:sz="8" w:color="auto"/>
              <w:right w:val="single" w:sz="8" w:color="auto"/>
            </w:tcBorders>
            <w:shd w:val="clear" w:color="auto" w:fill="2AD2C9"/>
          </w:tcPr>
          <w:p>
            <w:pPr>
              <w:jc w:val="center"/>
              <w:ind w:right="42"/>
              <w:spacing w:after="0"/>
              <w:rPr>
                <w:sz w:val="20"/>
                <w:szCs w:val="20"/>
                <w:color w:val="auto"/>
              </w:rPr>
            </w:pPr>
            <w:r>
              <w:rPr>
                <w:rFonts w:ascii="Arial" w:cs="Arial" w:eastAsia="Arial" w:hAnsi="Arial"/>
                <w:sz w:val="18"/>
                <w:szCs w:val="18"/>
                <w:b w:val="1"/>
                <w:bCs w:val="1"/>
                <w:color w:val="FFFFFF"/>
                <w:w w:val="91"/>
              </w:rPr>
              <w:t>YoY</w:t>
            </w:r>
          </w:p>
        </w:tc>
        <w:tc>
          <w:tcPr>
            <w:tcW w:w="900" w:type="dxa"/>
            <w:vAlign w:val="bottom"/>
            <w:tcBorders>
              <w:bottom w:val="single" w:sz="8" w:color="auto"/>
            </w:tcBorders>
            <w:gridSpan w:val="2"/>
            <w:shd w:val="clear" w:color="auto" w:fill="2AD2C9"/>
          </w:tcPr>
          <w:p>
            <w:pPr>
              <w:ind w:left="200"/>
              <w:spacing w:after="0"/>
              <w:rPr>
                <w:sz w:val="20"/>
                <w:szCs w:val="20"/>
                <w:color w:val="auto"/>
              </w:rPr>
            </w:pPr>
            <w:r>
              <w:rPr>
                <w:rFonts w:ascii="Arial" w:cs="Arial" w:eastAsia="Arial" w:hAnsi="Arial"/>
                <w:sz w:val="18"/>
                <w:szCs w:val="18"/>
                <w:b w:val="1"/>
                <w:bCs w:val="1"/>
                <w:color w:val="FFFFFF"/>
              </w:rPr>
              <w:t>Sep 21</w:t>
            </w:r>
          </w:p>
        </w:tc>
        <w:tc>
          <w:tcPr>
            <w:tcW w:w="960" w:type="dxa"/>
            <w:vAlign w:val="bottom"/>
            <w:tcBorders>
              <w:bottom w:val="single" w:sz="8" w:color="auto"/>
              <w:right w:val="single" w:sz="8" w:color="2AD2C9"/>
            </w:tcBorders>
            <w:shd w:val="clear" w:color="auto" w:fill="2AD2C9"/>
          </w:tcPr>
          <w:p>
            <w:pPr>
              <w:ind w:left="280"/>
              <w:spacing w:after="0"/>
              <w:rPr>
                <w:sz w:val="20"/>
                <w:szCs w:val="20"/>
                <w:color w:val="auto"/>
              </w:rPr>
            </w:pPr>
            <w:r>
              <w:rPr>
                <w:rFonts w:ascii="Arial" w:cs="Arial" w:eastAsia="Arial" w:hAnsi="Arial"/>
                <w:sz w:val="18"/>
                <w:szCs w:val="18"/>
                <w:b w:val="1"/>
                <w:bCs w:val="1"/>
                <w:color w:val="FFFFFF"/>
              </w:rPr>
              <w:t>Sep 22</w:t>
            </w:r>
          </w:p>
        </w:tc>
        <w:tc>
          <w:tcPr>
            <w:tcW w:w="120" w:type="dxa"/>
            <w:vAlign w:val="bottom"/>
            <w:tcBorders>
              <w:bottom w:val="single" w:sz="8" w:color="auto"/>
              <w:right w:val="single" w:sz="8" w:color="auto"/>
            </w:tcBorders>
            <w:shd w:val="clear" w:color="auto" w:fill="2AD2C9"/>
          </w:tcPr>
          <w:p>
            <w:pPr>
              <w:spacing w:after="0"/>
              <w:rPr>
                <w:sz w:val="19"/>
                <w:szCs w:val="19"/>
                <w:color w:val="auto"/>
              </w:rPr>
            </w:pPr>
          </w:p>
        </w:tc>
        <w:tc>
          <w:tcPr>
            <w:tcW w:w="1340" w:type="dxa"/>
            <w:vAlign w:val="bottom"/>
            <w:tcBorders>
              <w:bottom w:val="single" w:sz="8" w:color="auto"/>
              <w:right w:val="single" w:sz="8" w:color="auto"/>
            </w:tcBorders>
            <w:gridSpan w:val="2"/>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22 / Sep 21</w:t>
            </w:r>
          </w:p>
        </w:tc>
        <w:tc>
          <w:tcPr>
            <w:tcW w:w="0" w:type="dxa"/>
            <w:vAlign w:val="bottom"/>
          </w:tcPr>
          <w:p>
            <w:pPr>
              <w:spacing w:after="0"/>
              <w:rPr>
                <w:sz w:val="1"/>
                <w:szCs w:val="1"/>
                <w:color w:val="auto"/>
              </w:rPr>
            </w:pPr>
          </w:p>
        </w:tc>
      </w:tr>
      <w:tr>
        <w:trPr>
          <w:trHeight w:val="193"/>
        </w:trPr>
        <w:tc>
          <w:tcPr>
            <w:tcW w:w="306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Net interest income</w:t>
            </w:r>
          </w:p>
        </w:tc>
        <w:tc>
          <w:tcPr>
            <w:tcW w:w="920" w:type="dxa"/>
            <w:vAlign w:val="bottom"/>
          </w:tcPr>
          <w:p>
            <w:pPr>
              <w:jc w:val="center"/>
              <w:spacing w:after="0" w:line="193" w:lineRule="exact"/>
              <w:rPr>
                <w:sz w:val="20"/>
                <w:szCs w:val="20"/>
                <w:color w:val="auto"/>
              </w:rPr>
            </w:pPr>
            <w:r>
              <w:rPr>
                <w:rFonts w:ascii="Arial" w:cs="Arial" w:eastAsia="Arial" w:hAnsi="Arial"/>
                <w:sz w:val="20"/>
                <w:szCs w:val="20"/>
                <w:color w:val="auto"/>
                <w:w w:val="99"/>
              </w:rPr>
              <w:t>493,183</w:t>
            </w:r>
          </w:p>
        </w:tc>
        <w:tc>
          <w:tcPr>
            <w:tcW w:w="980" w:type="dxa"/>
            <w:vAlign w:val="bottom"/>
          </w:tcPr>
          <w:p>
            <w:pPr>
              <w:jc w:val="center"/>
              <w:spacing w:after="0" w:line="193" w:lineRule="exact"/>
              <w:rPr>
                <w:sz w:val="20"/>
                <w:szCs w:val="20"/>
                <w:color w:val="auto"/>
              </w:rPr>
            </w:pPr>
            <w:r>
              <w:rPr>
                <w:rFonts w:ascii="Arial" w:cs="Arial" w:eastAsia="Arial" w:hAnsi="Arial"/>
                <w:sz w:val="20"/>
                <w:szCs w:val="20"/>
                <w:color w:val="auto"/>
                <w:w w:val="96"/>
              </w:rPr>
              <w:t>537,262</w:t>
            </w:r>
          </w:p>
        </w:tc>
        <w:tc>
          <w:tcPr>
            <w:tcW w:w="1000" w:type="dxa"/>
            <w:vAlign w:val="bottom"/>
            <w:tcBorders>
              <w:right w:val="single" w:sz="8" w:color="auto"/>
            </w:tcBorders>
            <w:gridSpan w:val="2"/>
          </w:tcPr>
          <w:p>
            <w:pPr>
              <w:jc w:val="center"/>
              <w:ind w:right="20"/>
              <w:spacing w:after="0" w:line="193" w:lineRule="exact"/>
              <w:rPr>
                <w:sz w:val="20"/>
                <w:szCs w:val="20"/>
                <w:color w:val="auto"/>
              </w:rPr>
            </w:pPr>
            <w:r>
              <w:rPr>
                <w:rFonts w:ascii="Arial" w:cs="Arial" w:eastAsia="Arial" w:hAnsi="Arial"/>
                <w:sz w:val="20"/>
                <w:szCs w:val="20"/>
                <w:color w:val="auto"/>
                <w:w w:val="96"/>
              </w:rPr>
              <w:t>550,121</w:t>
            </w:r>
          </w:p>
        </w:tc>
        <w:tc>
          <w:tcPr>
            <w:tcW w:w="1000" w:type="dxa"/>
            <w:vAlign w:val="bottom"/>
          </w:tcPr>
          <w:p>
            <w:pPr>
              <w:jc w:val="center"/>
              <w:spacing w:after="0" w:line="193" w:lineRule="exact"/>
              <w:rPr>
                <w:sz w:val="20"/>
                <w:szCs w:val="20"/>
                <w:color w:val="auto"/>
              </w:rPr>
            </w:pPr>
            <w:r>
              <w:rPr>
                <w:rFonts w:ascii="Arial" w:cs="Arial" w:eastAsia="Arial" w:hAnsi="Arial"/>
                <w:sz w:val="20"/>
                <w:szCs w:val="20"/>
                <w:color w:val="auto"/>
                <w:w w:val="96"/>
              </w:rPr>
              <w:t>2.4%</w:t>
            </w:r>
          </w:p>
        </w:tc>
        <w:tc>
          <w:tcPr>
            <w:tcW w:w="100" w:type="dxa"/>
            <w:vAlign w:val="bottom"/>
          </w:tcPr>
          <w:p>
            <w:pPr>
              <w:spacing w:after="0"/>
              <w:rPr>
                <w:sz w:val="16"/>
                <w:szCs w:val="16"/>
                <w:color w:val="auto"/>
              </w:rPr>
            </w:pPr>
          </w:p>
        </w:tc>
        <w:tc>
          <w:tcPr>
            <w:tcW w:w="860" w:type="dxa"/>
            <w:vAlign w:val="bottom"/>
            <w:tcBorders>
              <w:right w:val="single" w:sz="8" w:color="auto"/>
            </w:tcBorders>
          </w:tcPr>
          <w:p>
            <w:pPr>
              <w:jc w:val="center"/>
              <w:ind w:right="62"/>
              <w:spacing w:after="0" w:line="193" w:lineRule="exact"/>
              <w:rPr>
                <w:sz w:val="20"/>
                <w:szCs w:val="20"/>
                <w:color w:val="auto"/>
              </w:rPr>
            </w:pPr>
            <w:r>
              <w:rPr>
                <w:rFonts w:ascii="Arial" w:cs="Arial" w:eastAsia="Arial" w:hAnsi="Arial"/>
                <w:sz w:val="20"/>
                <w:szCs w:val="20"/>
                <w:color w:val="auto"/>
                <w:w w:val="95"/>
              </w:rPr>
              <w:t>11.5%</w:t>
            </w:r>
          </w:p>
        </w:tc>
        <w:tc>
          <w:tcPr>
            <w:tcW w:w="1980" w:type="dxa"/>
            <w:vAlign w:val="bottom"/>
            <w:tcBorders>
              <w:right w:val="single" w:sz="8" w:color="auto"/>
            </w:tcBorders>
            <w:gridSpan w:val="4"/>
          </w:tcPr>
          <w:p>
            <w:pPr>
              <w:jc w:val="right"/>
              <w:spacing w:after="0" w:line="193" w:lineRule="exact"/>
              <w:rPr>
                <w:sz w:val="20"/>
                <w:szCs w:val="20"/>
                <w:color w:val="auto"/>
              </w:rPr>
            </w:pPr>
            <w:r>
              <w:rPr>
                <w:rFonts w:ascii="Arial" w:cs="Arial" w:eastAsia="Arial" w:hAnsi="Arial"/>
                <w:sz w:val="20"/>
                <w:szCs w:val="20"/>
                <w:color w:val="auto"/>
              </w:rPr>
              <w:t>1,355,353 1,599,606</w:t>
            </w:r>
          </w:p>
        </w:tc>
        <w:tc>
          <w:tcPr>
            <w:tcW w:w="1340" w:type="dxa"/>
            <w:vAlign w:val="bottom"/>
            <w:tcBorders>
              <w:right w:val="single" w:sz="8" w:color="auto"/>
            </w:tcBorders>
            <w:gridSpan w:val="2"/>
          </w:tcPr>
          <w:p>
            <w:pPr>
              <w:jc w:val="center"/>
              <w:spacing w:after="0" w:line="193" w:lineRule="exact"/>
              <w:rPr>
                <w:sz w:val="20"/>
                <w:szCs w:val="20"/>
                <w:color w:val="auto"/>
              </w:rPr>
            </w:pPr>
            <w:r>
              <w:rPr>
                <w:rFonts w:ascii="Arial" w:cs="Arial" w:eastAsia="Arial" w:hAnsi="Arial"/>
                <w:sz w:val="20"/>
                <w:szCs w:val="20"/>
                <w:color w:val="auto"/>
                <w:w w:val="98"/>
              </w:rPr>
              <w:t>18.0%</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Provision for loan losses, net of</w:t>
            </w:r>
          </w:p>
        </w:tc>
        <w:tc>
          <w:tcPr>
            <w:tcW w:w="2740" w:type="dxa"/>
            <w:vAlign w:val="bottom"/>
            <w:gridSpan w:val="3"/>
            <w:vMerge w:val="restart"/>
          </w:tcPr>
          <w:p>
            <w:pPr>
              <w:jc w:val="right"/>
              <w:spacing w:after="0"/>
              <w:rPr>
                <w:sz w:val="20"/>
                <w:szCs w:val="20"/>
                <w:color w:val="auto"/>
              </w:rPr>
            </w:pPr>
            <w:r>
              <w:rPr>
                <w:rFonts w:ascii="Arial" w:cs="Arial" w:eastAsia="Arial" w:hAnsi="Arial"/>
                <w:sz w:val="20"/>
                <w:szCs w:val="20"/>
                <w:color w:val="auto"/>
              </w:rPr>
              <w:t>-122,711  -105,522   -84,932</w:t>
            </w:r>
          </w:p>
        </w:tc>
        <w:tc>
          <w:tcPr>
            <w:tcW w:w="160" w:type="dxa"/>
            <w:vAlign w:val="bottom"/>
            <w:tcBorders>
              <w:right w:val="single" w:sz="8" w:color="auto"/>
            </w:tcBorders>
          </w:tcPr>
          <w:p>
            <w:pPr>
              <w:spacing w:after="0"/>
              <w:rPr>
                <w:sz w:val="18"/>
                <w:szCs w:val="18"/>
                <w:color w:val="auto"/>
              </w:rPr>
            </w:pPr>
          </w:p>
        </w:tc>
        <w:tc>
          <w:tcPr>
            <w:tcW w:w="1000" w:type="dxa"/>
            <w:vAlign w:val="bottom"/>
            <w:vMerge w:val="restart"/>
          </w:tcPr>
          <w:p>
            <w:pPr>
              <w:jc w:val="center"/>
              <w:spacing w:after="0"/>
              <w:rPr>
                <w:sz w:val="20"/>
                <w:szCs w:val="20"/>
                <w:color w:val="auto"/>
              </w:rPr>
            </w:pPr>
            <w:r>
              <w:rPr>
                <w:rFonts w:ascii="Arial" w:cs="Arial" w:eastAsia="Arial" w:hAnsi="Arial"/>
                <w:sz w:val="20"/>
                <w:szCs w:val="20"/>
                <w:color w:val="auto"/>
                <w:w w:val="97"/>
              </w:rPr>
              <w:t>-19.5%</w:t>
            </w:r>
          </w:p>
        </w:tc>
        <w:tc>
          <w:tcPr>
            <w:tcW w:w="100" w:type="dxa"/>
            <w:vAlign w:val="bottom"/>
          </w:tcPr>
          <w:p>
            <w:pPr>
              <w:spacing w:after="0"/>
              <w:rPr>
                <w:sz w:val="18"/>
                <w:szCs w:val="18"/>
                <w:color w:val="auto"/>
              </w:rPr>
            </w:pPr>
          </w:p>
        </w:tc>
        <w:tc>
          <w:tcPr>
            <w:tcW w:w="860" w:type="dxa"/>
            <w:vAlign w:val="bottom"/>
            <w:tcBorders>
              <w:right w:val="single" w:sz="8" w:color="auto"/>
            </w:tcBorders>
            <w:vMerge w:val="restart"/>
          </w:tcPr>
          <w:p>
            <w:pPr>
              <w:jc w:val="center"/>
              <w:ind w:right="62"/>
              <w:spacing w:after="0"/>
              <w:rPr>
                <w:sz w:val="20"/>
                <w:szCs w:val="20"/>
                <w:color w:val="auto"/>
              </w:rPr>
            </w:pPr>
            <w:r>
              <w:rPr>
                <w:rFonts w:ascii="Arial" w:cs="Arial" w:eastAsia="Arial" w:hAnsi="Arial"/>
                <w:sz w:val="20"/>
                <w:szCs w:val="20"/>
                <w:color w:val="auto"/>
                <w:w w:val="97"/>
              </w:rPr>
              <w:t>-30.8%</w:t>
            </w:r>
          </w:p>
        </w:tc>
        <w:tc>
          <w:tcPr>
            <w:tcW w:w="900" w:type="dxa"/>
            <w:vAlign w:val="bottom"/>
            <w:gridSpan w:val="2"/>
            <w:vMerge w:val="restart"/>
          </w:tcPr>
          <w:p>
            <w:pPr>
              <w:jc w:val="center"/>
              <w:spacing w:after="0"/>
              <w:rPr>
                <w:sz w:val="20"/>
                <w:szCs w:val="20"/>
                <w:color w:val="auto"/>
              </w:rPr>
            </w:pPr>
            <w:r>
              <w:rPr>
                <w:rFonts w:ascii="Arial" w:cs="Arial" w:eastAsia="Arial" w:hAnsi="Arial"/>
                <w:sz w:val="20"/>
                <w:szCs w:val="20"/>
                <w:color w:val="auto"/>
                <w:w w:val="98"/>
              </w:rPr>
              <w:t>-385,880</w:t>
            </w:r>
          </w:p>
        </w:tc>
        <w:tc>
          <w:tcPr>
            <w:tcW w:w="960" w:type="dxa"/>
            <w:vAlign w:val="bottom"/>
            <w:vMerge w:val="restart"/>
          </w:tcPr>
          <w:p>
            <w:pPr>
              <w:jc w:val="center"/>
              <w:ind w:left="83"/>
              <w:spacing w:after="0"/>
              <w:rPr>
                <w:sz w:val="20"/>
                <w:szCs w:val="20"/>
                <w:color w:val="auto"/>
              </w:rPr>
            </w:pPr>
            <w:r>
              <w:rPr>
                <w:rFonts w:ascii="Arial" w:cs="Arial" w:eastAsia="Arial" w:hAnsi="Arial"/>
                <w:sz w:val="20"/>
                <w:szCs w:val="20"/>
                <w:color w:val="auto"/>
                <w:w w:val="98"/>
              </w:rPr>
              <w:t>-295,791</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7"/>
              </w:rPr>
              <w:t>-23.3%</w:t>
            </w:r>
          </w:p>
        </w:tc>
        <w:tc>
          <w:tcPr>
            <w:tcW w:w="0" w:type="dxa"/>
            <w:vAlign w:val="bottom"/>
          </w:tcPr>
          <w:p>
            <w:pPr>
              <w:spacing w:after="0"/>
              <w:rPr>
                <w:sz w:val="1"/>
                <w:szCs w:val="1"/>
                <w:color w:val="auto"/>
              </w:rPr>
            </w:pPr>
          </w:p>
        </w:tc>
      </w:tr>
      <w:tr>
        <w:trPr>
          <w:trHeight w:val="151"/>
        </w:trPr>
        <w:tc>
          <w:tcPr>
            <w:tcW w:w="3060" w:type="dxa"/>
            <w:vAlign w:val="bottom"/>
            <w:tcBorders>
              <w:left w:val="single" w:sz="8" w:color="auto"/>
              <w:right w:val="single" w:sz="8" w:color="auto"/>
            </w:tcBorders>
            <w:vMerge w:val="restart"/>
          </w:tcPr>
          <w:p>
            <w:pPr>
              <w:ind w:left="140"/>
              <w:spacing w:after="0" w:line="212" w:lineRule="exact"/>
              <w:rPr>
                <w:sz w:val="20"/>
                <w:szCs w:val="20"/>
                <w:color w:val="auto"/>
              </w:rPr>
            </w:pPr>
            <w:r>
              <w:rPr>
                <w:rFonts w:ascii="Arial" w:cs="Arial" w:eastAsia="Arial" w:hAnsi="Arial"/>
                <w:sz w:val="20"/>
                <w:szCs w:val="20"/>
                <w:color w:val="auto"/>
              </w:rPr>
              <w:t>recoveries</w:t>
            </w:r>
          </w:p>
        </w:tc>
        <w:tc>
          <w:tcPr>
            <w:tcW w:w="2740" w:type="dxa"/>
            <w:vAlign w:val="bottom"/>
            <w:gridSpan w:val="3"/>
            <w:vMerge w:val="continue"/>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right w:val="single" w:sz="8" w:color="auto"/>
            </w:tcBorders>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306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tcBorders>
              <w:right w:val="single" w:sz="8" w:color="auto"/>
            </w:tcBorders>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b w:val="1"/>
                <w:bCs w:val="1"/>
                <w:color w:val="auto"/>
              </w:rPr>
              <w:t>Net interest income after</w:t>
            </w:r>
          </w:p>
        </w:tc>
        <w:tc>
          <w:tcPr>
            <w:tcW w:w="92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370,472</w:t>
            </w:r>
          </w:p>
        </w:tc>
        <w:tc>
          <w:tcPr>
            <w:tcW w:w="9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431,740</w:t>
            </w:r>
          </w:p>
        </w:tc>
        <w:tc>
          <w:tcPr>
            <w:tcW w:w="100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20"/>
                <w:szCs w:val="20"/>
                <w:b w:val="1"/>
                <w:bCs w:val="1"/>
                <w:color w:val="auto"/>
                <w:w w:val="96"/>
              </w:rPr>
              <w:t>465,189</w:t>
            </w:r>
          </w:p>
        </w:tc>
        <w:tc>
          <w:tcPr>
            <w:tcW w:w="100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6"/>
              </w:rPr>
              <w:t>7.7%</w:t>
            </w:r>
          </w:p>
        </w:tc>
        <w:tc>
          <w:tcPr>
            <w:tcW w:w="100" w:type="dxa"/>
            <w:vAlign w:val="bottom"/>
          </w:tcPr>
          <w:p>
            <w:pPr>
              <w:spacing w:after="0"/>
              <w:rPr>
                <w:sz w:val="18"/>
                <w:szCs w:val="18"/>
                <w:color w:val="auto"/>
              </w:rPr>
            </w:pPr>
          </w:p>
        </w:tc>
        <w:tc>
          <w:tcPr>
            <w:tcW w:w="860" w:type="dxa"/>
            <w:vAlign w:val="bottom"/>
            <w:tcBorders>
              <w:right w:val="single" w:sz="8" w:color="auto"/>
            </w:tcBorders>
            <w:vMerge w:val="restart"/>
          </w:tcPr>
          <w:p>
            <w:pPr>
              <w:jc w:val="center"/>
              <w:ind w:right="42"/>
              <w:spacing w:after="0"/>
              <w:rPr>
                <w:sz w:val="20"/>
                <w:szCs w:val="20"/>
                <w:color w:val="auto"/>
              </w:rPr>
            </w:pPr>
            <w:r>
              <w:rPr>
                <w:rFonts w:ascii="Arial" w:cs="Arial" w:eastAsia="Arial" w:hAnsi="Arial"/>
                <w:sz w:val="20"/>
                <w:szCs w:val="20"/>
                <w:b w:val="1"/>
                <w:bCs w:val="1"/>
                <w:color w:val="auto"/>
                <w:w w:val="98"/>
              </w:rPr>
              <w:t>25.6%</w:t>
            </w:r>
          </w:p>
        </w:tc>
        <w:tc>
          <w:tcPr>
            <w:tcW w:w="900" w:type="dxa"/>
            <w:vAlign w:val="bottom"/>
            <w:gridSpan w:val="2"/>
            <w:vMerge w:val="restart"/>
          </w:tcPr>
          <w:p>
            <w:pPr>
              <w:jc w:val="center"/>
              <w:ind w:left="3"/>
              <w:spacing w:after="0"/>
              <w:rPr>
                <w:sz w:val="20"/>
                <w:szCs w:val="20"/>
                <w:color w:val="auto"/>
              </w:rPr>
            </w:pPr>
            <w:r>
              <w:rPr>
                <w:rFonts w:ascii="Arial" w:cs="Arial" w:eastAsia="Arial" w:hAnsi="Arial"/>
                <w:sz w:val="20"/>
                <w:szCs w:val="20"/>
                <w:b w:val="1"/>
                <w:bCs w:val="1"/>
                <w:color w:val="auto"/>
                <w:w w:val="99"/>
              </w:rPr>
              <w:t>969,472</w:t>
            </w:r>
          </w:p>
        </w:tc>
        <w:tc>
          <w:tcPr>
            <w:tcW w:w="108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b w:val="1"/>
                <w:bCs w:val="1"/>
                <w:color w:val="auto"/>
                <w:w w:val="96"/>
              </w:rPr>
              <w:t>1,303,815</w:t>
            </w:r>
          </w:p>
        </w:tc>
        <w:tc>
          <w:tcPr>
            <w:tcW w:w="13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b w:val="1"/>
                <w:bCs w:val="1"/>
                <w:color w:val="auto"/>
                <w:w w:val="98"/>
              </w:rPr>
              <w:t>34.5%</w:t>
            </w:r>
          </w:p>
        </w:tc>
        <w:tc>
          <w:tcPr>
            <w:tcW w:w="0" w:type="dxa"/>
            <w:vAlign w:val="bottom"/>
          </w:tcPr>
          <w:p>
            <w:pPr>
              <w:spacing w:after="0"/>
              <w:rPr>
                <w:sz w:val="1"/>
                <w:szCs w:val="1"/>
                <w:color w:val="auto"/>
              </w:rPr>
            </w:pPr>
          </w:p>
        </w:tc>
      </w:tr>
      <w:tr>
        <w:trPr>
          <w:trHeight w:val="163"/>
        </w:trPr>
        <w:tc>
          <w:tcPr>
            <w:tcW w:w="3060" w:type="dxa"/>
            <w:vAlign w:val="bottom"/>
            <w:tcBorders>
              <w:left w:val="single" w:sz="8" w:color="auto"/>
              <w:right w:val="single" w:sz="8" w:color="auto"/>
            </w:tcBorders>
            <w:vMerge w:val="restart"/>
          </w:tcPr>
          <w:p>
            <w:pPr>
              <w:ind w:left="140"/>
              <w:spacing w:after="0" w:line="216" w:lineRule="exact"/>
              <w:rPr>
                <w:sz w:val="20"/>
                <w:szCs w:val="20"/>
                <w:color w:val="auto"/>
              </w:rPr>
            </w:pPr>
            <w:r>
              <w:rPr>
                <w:rFonts w:ascii="Arial" w:cs="Arial" w:eastAsia="Arial" w:hAnsi="Arial"/>
                <w:sz w:val="20"/>
                <w:szCs w:val="20"/>
                <w:b w:val="1"/>
                <w:bCs w:val="1"/>
                <w:color w:val="auto"/>
              </w:rPr>
              <w:t>provisions</w:t>
            </w:r>
          </w:p>
        </w:tc>
        <w:tc>
          <w:tcPr>
            <w:tcW w:w="92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tcBorders>
              <w:right w:val="single" w:sz="8" w:color="auto"/>
            </w:tcBorders>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right w:val="single" w:sz="8" w:color="auto"/>
            </w:tcBorders>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80" w:type="dxa"/>
            <w:vAlign w:val="bottom"/>
            <w:tcBorders>
              <w:right w:val="single" w:sz="8" w:color="auto"/>
            </w:tcBorders>
            <w:gridSpan w:val="2"/>
            <w:vMerge w:val="continue"/>
          </w:tcPr>
          <w:p>
            <w:pPr>
              <w:spacing w:after="0"/>
              <w:rPr>
                <w:sz w:val="14"/>
                <w:szCs w:val="14"/>
                <w:color w:val="auto"/>
              </w:rPr>
            </w:pPr>
          </w:p>
        </w:tc>
        <w:tc>
          <w:tcPr>
            <w:tcW w:w="1340" w:type="dxa"/>
            <w:vAlign w:val="bottom"/>
            <w:tcBorders>
              <w:right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060" w:type="dxa"/>
            <w:vAlign w:val="bottom"/>
            <w:tcBorders>
              <w:left w:val="single" w:sz="8" w:color="auto"/>
              <w:right w:val="single" w:sz="8" w:color="auto"/>
            </w:tcBorders>
            <w:vMerge w:val="continue"/>
          </w:tcPr>
          <w:p>
            <w:pPr>
              <w:spacing w:after="0"/>
              <w:rPr>
                <w:sz w:val="4"/>
                <w:szCs w:val="4"/>
                <w:color w:val="auto"/>
              </w:rPr>
            </w:pPr>
          </w:p>
        </w:tc>
        <w:tc>
          <w:tcPr>
            <w:tcW w:w="9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Borders>
              <w:right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Non-financial income</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w w:val="98"/>
              </w:rPr>
              <w:t>22,207</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98"/>
              </w:rPr>
              <w:t>29,708</w:t>
            </w:r>
          </w:p>
        </w:tc>
        <w:tc>
          <w:tcPr>
            <w:tcW w:w="840" w:type="dxa"/>
            <w:vAlign w:val="bottom"/>
          </w:tcPr>
          <w:p>
            <w:pPr>
              <w:jc w:val="center"/>
              <w:ind w:left="62"/>
              <w:spacing w:after="0" w:line="214" w:lineRule="exact"/>
              <w:rPr>
                <w:sz w:val="20"/>
                <w:szCs w:val="20"/>
                <w:color w:val="auto"/>
              </w:rPr>
            </w:pPr>
            <w:r>
              <w:rPr>
                <w:rFonts w:ascii="Arial" w:cs="Arial" w:eastAsia="Arial" w:hAnsi="Arial"/>
                <w:sz w:val="20"/>
                <w:szCs w:val="20"/>
                <w:color w:val="auto"/>
                <w:w w:val="98"/>
              </w:rPr>
              <w:t>30,844</w:t>
            </w:r>
          </w:p>
        </w:tc>
        <w:tc>
          <w:tcPr>
            <w:tcW w:w="160" w:type="dxa"/>
            <w:vAlign w:val="bottom"/>
            <w:tcBorders>
              <w:right w:val="single" w:sz="8" w:color="auto"/>
            </w:tcBorders>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6"/>
              </w:rPr>
              <w:t>3.8%</w:t>
            </w:r>
          </w:p>
        </w:tc>
        <w:tc>
          <w:tcPr>
            <w:tcW w:w="100" w:type="dxa"/>
            <w:vAlign w:val="bottom"/>
          </w:tcPr>
          <w:p>
            <w:pPr>
              <w:spacing w:after="0"/>
              <w:rPr>
                <w:sz w:val="18"/>
                <w:szCs w:val="18"/>
                <w:color w:val="auto"/>
              </w:rPr>
            </w:pPr>
          </w:p>
        </w:tc>
        <w:tc>
          <w:tcPr>
            <w:tcW w:w="860" w:type="dxa"/>
            <w:vAlign w:val="bottom"/>
            <w:tcBorders>
              <w:right w:val="single" w:sz="8" w:color="auto"/>
            </w:tcBorders>
          </w:tcPr>
          <w:p>
            <w:pPr>
              <w:jc w:val="center"/>
              <w:ind w:right="42"/>
              <w:spacing w:after="0" w:line="214" w:lineRule="exact"/>
              <w:rPr>
                <w:sz w:val="20"/>
                <w:szCs w:val="20"/>
                <w:color w:val="auto"/>
              </w:rPr>
            </w:pPr>
            <w:r>
              <w:rPr>
                <w:rFonts w:ascii="Arial" w:cs="Arial" w:eastAsia="Arial" w:hAnsi="Arial"/>
                <w:sz w:val="20"/>
                <w:szCs w:val="20"/>
                <w:color w:val="auto"/>
                <w:w w:val="98"/>
              </w:rPr>
              <w:t>38.9%</w:t>
            </w:r>
          </w:p>
        </w:tc>
        <w:tc>
          <w:tcPr>
            <w:tcW w:w="900" w:type="dxa"/>
            <w:vAlign w:val="bottom"/>
            <w:gridSpan w:val="2"/>
          </w:tcPr>
          <w:p>
            <w:pPr>
              <w:jc w:val="center"/>
              <w:ind w:left="3"/>
              <w:spacing w:after="0" w:line="214" w:lineRule="exact"/>
              <w:rPr>
                <w:sz w:val="20"/>
                <w:szCs w:val="20"/>
                <w:color w:val="auto"/>
              </w:rPr>
            </w:pPr>
            <w:r>
              <w:rPr>
                <w:rFonts w:ascii="Arial" w:cs="Arial" w:eastAsia="Arial" w:hAnsi="Arial"/>
                <w:sz w:val="20"/>
                <w:szCs w:val="20"/>
                <w:color w:val="auto"/>
                <w:w w:val="98"/>
              </w:rPr>
              <w:t>67,098</w:t>
            </w:r>
          </w:p>
        </w:tc>
        <w:tc>
          <w:tcPr>
            <w:tcW w:w="960" w:type="dxa"/>
            <w:vAlign w:val="bottom"/>
          </w:tcPr>
          <w:p>
            <w:pPr>
              <w:jc w:val="center"/>
              <w:ind w:left="103"/>
              <w:spacing w:after="0" w:line="214" w:lineRule="exact"/>
              <w:rPr>
                <w:sz w:val="20"/>
                <w:szCs w:val="20"/>
                <w:color w:val="auto"/>
              </w:rPr>
            </w:pPr>
            <w:r>
              <w:rPr>
                <w:rFonts w:ascii="Arial" w:cs="Arial" w:eastAsia="Arial" w:hAnsi="Arial"/>
                <w:sz w:val="20"/>
                <w:szCs w:val="20"/>
                <w:color w:val="auto"/>
                <w:w w:val="98"/>
              </w:rPr>
              <w:t>91,172</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8"/>
              </w:rPr>
              <w:t>35.9%</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Total expenses</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w w:val="96"/>
              </w:rPr>
              <w:t>-269,221</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98"/>
              </w:rPr>
              <w:t>-290,293</w:t>
            </w:r>
          </w:p>
        </w:tc>
        <w:tc>
          <w:tcPr>
            <w:tcW w:w="1000" w:type="dxa"/>
            <w:vAlign w:val="bottom"/>
            <w:tcBorders>
              <w:right w:val="single" w:sz="8" w:color="auto"/>
            </w:tcBorders>
            <w:gridSpan w:val="2"/>
          </w:tcPr>
          <w:p>
            <w:pPr>
              <w:jc w:val="center"/>
              <w:ind w:right="20"/>
              <w:spacing w:after="0" w:line="214" w:lineRule="exact"/>
              <w:rPr>
                <w:sz w:val="20"/>
                <w:szCs w:val="20"/>
                <w:color w:val="auto"/>
              </w:rPr>
            </w:pPr>
            <w:r>
              <w:rPr>
                <w:rFonts w:ascii="Arial" w:cs="Arial" w:eastAsia="Arial" w:hAnsi="Arial"/>
                <w:sz w:val="20"/>
                <w:szCs w:val="20"/>
                <w:color w:val="auto"/>
                <w:w w:val="98"/>
              </w:rPr>
              <w:t>-291,817</w:t>
            </w: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6"/>
              </w:rPr>
              <w:t>0.5%</w:t>
            </w:r>
          </w:p>
        </w:tc>
        <w:tc>
          <w:tcPr>
            <w:tcW w:w="100" w:type="dxa"/>
            <w:vAlign w:val="bottom"/>
          </w:tcPr>
          <w:p>
            <w:pPr>
              <w:spacing w:after="0"/>
              <w:rPr>
                <w:sz w:val="18"/>
                <w:szCs w:val="18"/>
                <w:color w:val="auto"/>
              </w:rPr>
            </w:pPr>
          </w:p>
        </w:tc>
        <w:tc>
          <w:tcPr>
            <w:tcW w:w="860" w:type="dxa"/>
            <w:vAlign w:val="bottom"/>
            <w:tcBorders>
              <w:right w:val="single" w:sz="8" w:color="auto"/>
            </w:tcBorders>
          </w:tcPr>
          <w:p>
            <w:pPr>
              <w:jc w:val="center"/>
              <w:ind w:right="42"/>
              <w:spacing w:after="0" w:line="214" w:lineRule="exact"/>
              <w:rPr>
                <w:sz w:val="20"/>
                <w:szCs w:val="20"/>
                <w:color w:val="auto"/>
              </w:rPr>
            </w:pPr>
            <w:r>
              <w:rPr>
                <w:rFonts w:ascii="Arial" w:cs="Arial" w:eastAsia="Arial" w:hAnsi="Arial"/>
                <w:sz w:val="20"/>
                <w:szCs w:val="20"/>
                <w:color w:val="auto"/>
                <w:w w:val="96"/>
              </w:rPr>
              <w:t>8.4%</w:t>
            </w:r>
          </w:p>
        </w:tc>
        <w:tc>
          <w:tcPr>
            <w:tcW w:w="900" w:type="dxa"/>
            <w:vAlign w:val="bottom"/>
            <w:gridSpan w:val="2"/>
          </w:tcPr>
          <w:p>
            <w:pPr>
              <w:jc w:val="center"/>
              <w:spacing w:after="0" w:line="214" w:lineRule="exact"/>
              <w:rPr>
                <w:sz w:val="20"/>
                <w:szCs w:val="20"/>
                <w:color w:val="auto"/>
              </w:rPr>
            </w:pPr>
            <w:r>
              <w:rPr>
                <w:rFonts w:ascii="Arial" w:cs="Arial" w:eastAsia="Arial" w:hAnsi="Arial"/>
                <w:sz w:val="20"/>
                <w:szCs w:val="20"/>
                <w:color w:val="auto"/>
                <w:w w:val="98"/>
              </w:rPr>
              <w:t>-809,437</w:t>
            </w:r>
          </w:p>
        </w:tc>
        <w:tc>
          <w:tcPr>
            <w:tcW w:w="960" w:type="dxa"/>
            <w:vAlign w:val="bottom"/>
          </w:tcPr>
          <w:p>
            <w:pPr>
              <w:jc w:val="center"/>
              <w:ind w:left="83"/>
              <w:spacing w:after="0" w:line="214" w:lineRule="exact"/>
              <w:rPr>
                <w:sz w:val="20"/>
                <w:szCs w:val="20"/>
                <w:color w:val="auto"/>
              </w:rPr>
            </w:pPr>
            <w:r>
              <w:rPr>
                <w:rFonts w:ascii="Arial" w:cs="Arial" w:eastAsia="Arial" w:hAnsi="Arial"/>
                <w:sz w:val="20"/>
                <w:szCs w:val="20"/>
                <w:color w:val="auto"/>
                <w:w w:val="98"/>
              </w:rPr>
              <w:t>-870,139</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6"/>
              </w:rPr>
              <w:t>7.5%</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Translation result</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rPr>
              <w:t>0</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89"/>
              </w:rPr>
              <w:t>0</w:t>
            </w:r>
          </w:p>
        </w:tc>
        <w:tc>
          <w:tcPr>
            <w:tcW w:w="840" w:type="dxa"/>
            <w:vAlign w:val="bottom"/>
          </w:tcPr>
          <w:p>
            <w:pPr>
              <w:jc w:val="center"/>
              <w:ind w:left="42"/>
              <w:spacing w:after="0" w:line="214" w:lineRule="exact"/>
              <w:rPr>
                <w:sz w:val="20"/>
                <w:szCs w:val="20"/>
                <w:color w:val="auto"/>
              </w:rPr>
            </w:pPr>
            <w:r>
              <w:rPr>
                <w:rFonts w:ascii="Arial" w:cs="Arial" w:eastAsia="Arial" w:hAnsi="Arial"/>
                <w:sz w:val="20"/>
                <w:szCs w:val="20"/>
                <w:color w:val="auto"/>
                <w:w w:val="89"/>
              </w:rPr>
              <w:t>0</w:t>
            </w:r>
          </w:p>
        </w:tc>
        <w:tc>
          <w:tcPr>
            <w:tcW w:w="160" w:type="dxa"/>
            <w:vAlign w:val="bottom"/>
            <w:tcBorders>
              <w:right w:val="single" w:sz="8" w:color="auto"/>
            </w:tcBorders>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6"/>
              </w:rPr>
              <w:t>0.0%</w:t>
            </w:r>
          </w:p>
        </w:tc>
        <w:tc>
          <w:tcPr>
            <w:tcW w:w="100" w:type="dxa"/>
            <w:vAlign w:val="bottom"/>
          </w:tcPr>
          <w:p>
            <w:pPr>
              <w:spacing w:after="0"/>
              <w:rPr>
                <w:sz w:val="18"/>
                <w:szCs w:val="18"/>
                <w:color w:val="auto"/>
              </w:rPr>
            </w:pPr>
          </w:p>
        </w:tc>
        <w:tc>
          <w:tcPr>
            <w:tcW w:w="860" w:type="dxa"/>
            <w:vAlign w:val="bottom"/>
            <w:tcBorders>
              <w:right w:val="single" w:sz="8" w:color="auto"/>
            </w:tcBorders>
          </w:tcPr>
          <w:p>
            <w:pPr>
              <w:jc w:val="center"/>
              <w:ind w:right="42"/>
              <w:spacing w:after="0" w:line="214" w:lineRule="exact"/>
              <w:rPr>
                <w:sz w:val="20"/>
                <w:szCs w:val="20"/>
                <w:color w:val="auto"/>
              </w:rPr>
            </w:pPr>
            <w:r>
              <w:rPr>
                <w:rFonts w:ascii="Arial" w:cs="Arial" w:eastAsia="Arial" w:hAnsi="Arial"/>
                <w:sz w:val="20"/>
                <w:szCs w:val="20"/>
                <w:color w:val="auto"/>
                <w:w w:val="96"/>
              </w:rPr>
              <w:t>0.0%</w:t>
            </w:r>
          </w:p>
        </w:tc>
        <w:tc>
          <w:tcPr>
            <w:tcW w:w="620" w:type="dxa"/>
            <w:vAlign w:val="bottom"/>
          </w:tcPr>
          <w:p>
            <w:pPr>
              <w:jc w:val="center"/>
              <w:ind w:left="283"/>
              <w:spacing w:after="0" w:line="214" w:lineRule="exact"/>
              <w:rPr>
                <w:sz w:val="20"/>
                <w:szCs w:val="20"/>
                <w:color w:val="auto"/>
              </w:rPr>
            </w:pPr>
            <w:r>
              <w:rPr>
                <w:rFonts w:ascii="Arial" w:cs="Arial" w:eastAsia="Arial" w:hAnsi="Arial"/>
                <w:sz w:val="20"/>
                <w:szCs w:val="20"/>
                <w:color w:val="auto"/>
              </w:rPr>
              <w:t>0</w:t>
            </w:r>
          </w:p>
        </w:tc>
        <w:tc>
          <w:tcPr>
            <w:tcW w:w="280" w:type="dxa"/>
            <w:vAlign w:val="bottom"/>
          </w:tcPr>
          <w:p>
            <w:pPr>
              <w:spacing w:after="0"/>
              <w:rPr>
                <w:sz w:val="18"/>
                <w:szCs w:val="18"/>
                <w:color w:val="auto"/>
              </w:rPr>
            </w:pPr>
          </w:p>
        </w:tc>
        <w:tc>
          <w:tcPr>
            <w:tcW w:w="960" w:type="dxa"/>
            <w:vAlign w:val="bottom"/>
          </w:tcPr>
          <w:p>
            <w:pPr>
              <w:jc w:val="center"/>
              <w:ind w:left="83"/>
              <w:spacing w:after="0" w:line="214" w:lineRule="exact"/>
              <w:rPr>
                <w:sz w:val="20"/>
                <w:szCs w:val="20"/>
                <w:color w:val="auto"/>
              </w:rPr>
            </w:pPr>
            <w:r>
              <w:rPr>
                <w:rFonts w:ascii="Arial" w:cs="Arial" w:eastAsia="Arial" w:hAnsi="Arial"/>
                <w:sz w:val="20"/>
                <w:szCs w:val="20"/>
                <w:color w:val="auto"/>
                <w:w w:val="89"/>
              </w:rPr>
              <w:t>0</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6"/>
              </w:rPr>
              <w:t>0.0%</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20"/>
                <w:szCs w:val="20"/>
                <w:color w:val="auto"/>
              </w:rPr>
              <w:t>Income taxes</w:t>
            </w:r>
          </w:p>
        </w:tc>
        <w:tc>
          <w:tcPr>
            <w:tcW w:w="920" w:type="dxa"/>
            <w:vAlign w:val="bottom"/>
          </w:tcPr>
          <w:p>
            <w:pPr>
              <w:jc w:val="center"/>
              <w:spacing w:after="0" w:line="212" w:lineRule="exact"/>
              <w:rPr>
                <w:sz w:val="20"/>
                <w:szCs w:val="20"/>
                <w:color w:val="auto"/>
              </w:rPr>
            </w:pPr>
            <w:r>
              <w:rPr>
                <w:rFonts w:ascii="Arial" w:cs="Arial" w:eastAsia="Arial" w:hAnsi="Arial"/>
                <w:sz w:val="20"/>
                <w:szCs w:val="20"/>
                <w:color w:val="auto"/>
              </w:rPr>
              <w:t>-46,543</w:t>
            </w:r>
          </w:p>
        </w:tc>
        <w:tc>
          <w:tcPr>
            <w:tcW w:w="980" w:type="dxa"/>
            <w:vAlign w:val="bottom"/>
          </w:tcPr>
          <w:p>
            <w:pPr>
              <w:jc w:val="center"/>
              <w:spacing w:after="0" w:line="212" w:lineRule="exact"/>
              <w:rPr>
                <w:sz w:val="20"/>
                <w:szCs w:val="20"/>
                <w:color w:val="auto"/>
              </w:rPr>
            </w:pPr>
            <w:r>
              <w:rPr>
                <w:rFonts w:ascii="Arial" w:cs="Arial" w:eastAsia="Arial" w:hAnsi="Arial"/>
                <w:sz w:val="20"/>
                <w:szCs w:val="20"/>
                <w:color w:val="auto"/>
                <w:w w:val="97"/>
              </w:rPr>
              <w:t>-43,174</w:t>
            </w:r>
          </w:p>
        </w:tc>
        <w:tc>
          <w:tcPr>
            <w:tcW w:w="840" w:type="dxa"/>
            <w:vAlign w:val="bottom"/>
          </w:tcPr>
          <w:p>
            <w:pPr>
              <w:jc w:val="center"/>
              <w:ind w:left="42"/>
              <w:spacing w:after="0" w:line="212" w:lineRule="exact"/>
              <w:rPr>
                <w:sz w:val="20"/>
                <w:szCs w:val="20"/>
                <w:color w:val="auto"/>
              </w:rPr>
            </w:pPr>
            <w:r>
              <w:rPr>
                <w:rFonts w:ascii="Arial" w:cs="Arial" w:eastAsia="Arial" w:hAnsi="Arial"/>
                <w:sz w:val="20"/>
                <w:szCs w:val="20"/>
                <w:color w:val="auto"/>
                <w:w w:val="97"/>
              </w:rPr>
              <w:t>-57,174</w:t>
            </w:r>
          </w:p>
        </w:tc>
        <w:tc>
          <w:tcPr>
            <w:tcW w:w="160" w:type="dxa"/>
            <w:vAlign w:val="bottom"/>
            <w:tcBorders>
              <w:right w:val="single" w:sz="8" w:color="auto"/>
            </w:tcBorders>
          </w:tcPr>
          <w:p>
            <w:pPr>
              <w:spacing w:after="0"/>
              <w:rPr>
                <w:sz w:val="18"/>
                <w:szCs w:val="18"/>
                <w:color w:val="auto"/>
              </w:rPr>
            </w:pPr>
          </w:p>
        </w:tc>
        <w:tc>
          <w:tcPr>
            <w:tcW w:w="1000" w:type="dxa"/>
            <w:vAlign w:val="bottom"/>
          </w:tcPr>
          <w:p>
            <w:pPr>
              <w:jc w:val="center"/>
              <w:spacing w:after="0" w:line="212" w:lineRule="exact"/>
              <w:rPr>
                <w:sz w:val="20"/>
                <w:szCs w:val="20"/>
                <w:color w:val="auto"/>
              </w:rPr>
            </w:pPr>
            <w:r>
              <w:rPr>
                <w:rFonts w:ascii="Arial" w:cs="Arial" w:eastAsia="Arial" w:hAnsi="Arial"/>
                <w:sz w:val="20"/>
                <w:szCs w:val="20"/>
                <w:color w:val="auto"/>
                <w:w w:val="98"/>
              </w:rPr>
              <w:t>32.4%</w:t>
            </w:r>
          </w:p>
        </w:tc>
        <w:tc>
          <w:tcPr>
            <w:tcW w:w="100" w:type="dxa"/>
            <w:vAlign w:val="bottom"/>
          </w:tcPr>
          <w:p>
            <w:pPr>
              <w:spacing w:after="0"/>
              <w:rPr>
                <w:sz w:val="18"/>
                <w:szCs w:val="18"/>
                <w:color w:val="auto"/>
              </w:rPr>
            </w:pPr>
          </w:p>
        </w:tc>
        <w:tc>
          <w:tcPr>
            <w:tcW w:w="860" w:type="dxa"/>
            <w:vAlign w:val="bottom"/>
            <w:tcBorders>
              <w:right w:val="single" w:sz="8" w:color="auto"/>
            </w:tcBorders>
          </w:tcPr>
          <w:p>
            <w:pPr>
              <w:jc w:val="center"/>
              <w:ind w:right="42"/>
              <w:spacing w:after="0" w:line="212" w:lineRule="exact"/>
              <w:rPr>
                <w:sz w:val="20"/>
                <w:szCs w:val="20"/>
                <w:color w:val="auto"/>
              </w:rPr>
            </w:pPr>
            <w:r>
              <w:rPr>
                <w:rFonts w:ascii="Arial" w:cs="Arial" w:eastAsia="Arial" w:hAnsi="Arial"/>
                <w:sz w:val="20"/>
                <w:szCs w:val="20"/>
                <w:color w:val="auto"/>
                <w:w w:val="98"/>
              </w:rPr>
              <w:t>22.8%</w:t>
            </w:r>
          </w:p>
        </w:tc>
        <w:tc>
          <w:tcPr>
            <w:tcW w:w="900" w:type="dxa"/>
            <w:vAlign w:val="bottom"/>
            <w:gridSpan w:val="2"/>
          </w:tcPr>
          <w:p>
            <w:pPr>
              <w:jc w:val="center"/>
              <w:spacing w:after="0" w:line="212" w:lineRule="exact"/>
              <w:rPr>
                <w:sz w:val="20"/>
                <w:szCs w:val="20"/>
                <w:color w:val="auto"/>
              </w:rPr>
            </w:pPr>
            <w:r>
              <w:rPr>
                <w:rFonts w:ascii="Arial" w:cs="Arial" w:eastAsia="Arial" w:hAnsi="Arial"/>
                <w:sz w:val="20"/>
                <w:szCs w:val="20"/>
                <w:color w:val="auto"/>
                <w:w w:val="97"/>
              </w:rPr>
              <w:t>-80,858</w:t>
            </w:r>
          </w:p>
        </w:tc>
        <w:tc>
          <w:tcPr>
            <w:tcW w:w="960" w:type="dxa"/>
            <w:vAlign w:val="bottom"/>
          </w:tcPr>
          <w:p>
            <w:pPr>
              <w:jc w:val="center"/>
              <w:ind w:left="83"/>
              <w:spacing w:after="0" w:line="212" w:lineRule="exact"/>
              <w:rPr>
                <w:sz w:val="20"/>
                <w:szCs w:val="20"/>
                <w:color w:val="auto"/>
              </w:rPr>
            </w:pPr>
            <w:r>
              <w:rPr>
                <w:rFonts w:ascii="Arial" w:cs="Arial" w:eastAsia="Arial" w:hAnsi="Arial"/>
                <w:sz w:val="20"/>
                <w:szCs w:val="20"/>
                <w:color w:val="auto"/>
                <w:w w:val="98"/>
              </w:rPr>
              <w:t>-146,888</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gridSpan w:val="2"/>
          </w:tcPr>
          <w:p>
            <w:pPr>
              <w:jc w:val="center"/>
              <w:spacing w:after="0" w:line="212" w:lineRule="exact"/>
              <w:rPr>
                <w:sz w:val="20"/>
                <w:szCs w:val="20"/>
                <w:color w:val="auto"/>
              </w:rPr>
            </w:pPr>
            <w:r>
              <w:rPr>
                <w:rFonts w:ascii="Arial" w:cs="Arial" w:eastAsia="Arial" w:hAnsi="Arial"/>
                <w:sz w:val="20"/>
                <w:szCs w:val="20"/>
                <w:color w:val="auto"/>
                <w:w w:val="98"/>
              </w:rPr>
              <w:t>81.7%</w:t>
            </w:r>
          </w:p>
        </w:tc>
        <w:tc>
          <w:tcPr>
            <w:tcW w:w="0" w:type="dxa"/>
            <w:vAlign w:val="bottom"/>
          </w:tcPr>
          <w:p>
            <w:pPr>
              <w:spacing w:after="0"/>
              <w:rPr>
                <w:sz w:val="1"/>
                <w:szCs w:val="1"/>
                <w:color w:val="auto"/>
              </w:rPr>
            </w:pPr>
          </w:p>
        </w:tc>
      </w:tr>
      <w:tr>
        <w:trPr>
          <w:trHeight w:val="245"/>
        </w:trPr>
        <w:tc>
          <w:tcPr>
            <w:tcW w:w="30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Net income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76,915</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127,982</w:t>
            </w:r>
          </w:p>
        </w:tc>
        <w:tc>
          <w:tcPr>
            <w:tcW w:w="100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20"/>
                <w:szCs w:val="20"/>
                <w:b w:val="1"/>
                <w:bCs w:val="1"/>
                <w:color w:val="auto"/>
                <w:w w:val="96"/>
              </w:rPr>
              <w:t>147,042</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14.9%</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20"/>
                <w:szCs w:val="20"/>
                <w:b w:val="1"/>
                <w:bCs w:val="1"/>
                <w:color w:val="auto"/>
                <w:w w:val="98"/>
              </w:rPr>
              <w:t>91.2%</w:t>
            </w:r>
          </w:p>
        </w:tc>
        <w:tc>
          <w:tcPr>
            <w:tcW w:w="900" w:type="dxa"/>
            <w:vAlign w:val="bottom"/>
            <w:tcBorders>
              <w:bottom w:val="single" w:sz="8" w:color="auto"/>
            </w:tcBorders>
            <w:gridSpan w:val="2"/>
          </w:tcPr>
          <w:p>
            <w:pPr>
              <w:jc w:val="center"/>
              <w:ind w:left="3"/>
              <w:spacing w:after="0"/>
              <w:rPr>
                <w:sz w:val="20"/>
                <w:szCs w:val="20"/>
                <w:color w:val="auto"/>
              </w:rPr>
            </w:pPr>
            <w:r>
              <w:rPr>
                <w:rFonts w:ascii="Arial" w:cs="Arial" w:eastAsia="Arial" w:hAnsi="Arial"/>
                <w:sz w:val="20"/>
                <w:szCs w:val="20"/>
                <w:b w:val="1"/>
                <w:bCs w:val="1"/>
                <w:color w:val="auto"/>
                <w:w w:val="99"/>
              </w:rPr>
              <w:t>146,275</w:t>
            </w:r>
          </w:p>
        </w:tc>
        <w:tc>
          <w:tcPr>
            <w:tcW w:w="960" w:type="dxa"/>
            <w:vAlign w:val="bottom"/>
            <w:tcBorders>
              <w:bottom w:val="single" w:sz="8" w:color="auto"/>
            </w:tcBorders>
          </w:tcPr>
          <w:p>
            <w:pPr>
              <w:jc w:val="center"/>
              <w:ind w:left="83"/>
              <w:spacing w:after="0"/>
              <w:rPr>
                <w:sz w:val="20"/>
                <w:szCs w:val="20"/>
                <w:color w:val="auto"/>
              </w:rPr>
            </w:pPr>
            <w:r>
              <w:rPr>
                <w:rFonts w:ascii="Arial" w:cs="Arial" w:eastAsia="Arial" w:hAnsi="Arial"/>
                <w:sz w:val="20"/>
                <w:szCs w:val="20"/>
                <w:b w:val="1"/>
                <w:bCs w:val="1"/>
                <w:color w:val="auto"/>
                <w:w w:val="96"/>
              </w:rPr>
              <w:t>377,960</w:t>
            </w:r>
          </w:p>
        </w:tc>
        <w:tc>
          <w:tcPr>
            <w:tcW w:w="12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rPr>
              <w:t>158.4%</w:t>
            </w:r>
          </w:p>
        </w:tc>
        <w:tc>
          <w:tcPr>
            <w:tcW w:w="0" w:type="dxa"/>
            <w:vAlign w:val="bottom"/>
          </w:tcPr>
          <w:p>
            <w:pPr>
              <w:spacing w:after="0"/>
              <w:rPr>
                <w:sz w:val="1"/>
                <w:szCs w:val="1"/>
                <w:color w:val="auto"/>
              </w:rPr>
            </w:pPr>
          </w:p>
        </w:tc>
      </w:tr>
      <w:tr>
        <w:trPr>
          <w:trHeight w:val="194"/>
        </w:trPr>
        <w:tc>
          <w:tcPr>
            <w:tcW w:w="30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6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Efficiency ratio</w:t>
            </w:r>
          </w:p>
        </w:tc>
        <w:tc>
          <w:tcPr>
            <w:tcW w:w="920" w:type="dxa"/>
            <w:vAlign w:val="bottom"/>
          </w:tcPr>
          <w:p>
            <w:pPr>
              <w:jc w:val="center"/>
              <w:spacing w:after="0" w:line="193" w:lineRule="exact"/>
              <w:rPr>
                <w:sz w:val="20"/>
                <w:szCs w:val="20"/>
                <w:color w:val="auto"/>
              </w:rPr>
            </w:pPr>
            <w:r>
              <w:rPr>
                <w:rFonts w:ascii="Arial" w:cs="Arial" w:eastAsia="Arial" w:hAnsi="Arial"/>
                <w:sz w:val="20"/>
                <w:szCs w:val="20"/>
                <w:color w:val="auto"/>
                <w:w w:val="98"/>
              </w:rPr>
              <w:t>49.7%</w:t>
            </w:r>
          </w:p>
        </w:tc>
        <w:tc>
          <w:tcPr>
            <w:tcW w:w="980" w:type="dxa"/>
            <w:vAlign w:val="bottom"/>
          </w:tcPr>
          <w:p>
            <w:pPr>
              <w:jc w:val="center"/>
              <w:spacing w:after="0" w:line="193" w:lineRule="exact"/>
              <w:rPr>
                <w:sz w:val="20"/>
                <w:szCs w:val="20"/>
                <w:color w:val="auto"/>
              </w:rPr>
            </w:pPr>
            <w:r>
              <w:rPr>
                <w:rFonts w:ascii="Arial" w:cs="Arial" w:eastAsia="Arial" w:hAnsi="Arial"/>
                <w:sz w:val="20"/>
                <w:szCs w:val="20"/>
                <w:color w:val="auto"/>
                <w:w w:val="98"/>
              </w:rPr>
              <w:t>50.4%</w:t>
            </w:r>
          </w:p>
        </w:tc>
        <w:tc>
          <w:tcPr>
            <w:tcW w:w="840" w:type="dxa"/>
            <w:vAlign w:val="bottom"/>
          </w:tcPr>
          <w:p>
            <w:pPr>
              <w:jc w:val="center"/>
              <w:ind w:left="42"/>
              <w:spacing w:after="0" w:line="193" w:lineRule="exact"/>
              <w:rPr>
                <w:sz w:val="20"/>
                <w:szCs w:val="20"/>
                <w:color w:val="auto"/>
              </w:rPr>
            </w:pPr>
            <w:r>
              <w:rPr>
                <w:rFonts w:ascii="Arial" w:cs="Arial" w:eastAsia="Arial" w:hAnsi="Arial"/>
                <w:sz w:val="20"/>
                <w:szCs w:val="20"/>
                <w:color w:val="auto"/>
                <w:w w:val="95"/>
              </w:rPr>
              <w:t>49.6%</w:t>
            </w:r>
          </w:p>
        </w:tc>
        <w:tc>
          <w:tcPr>
            <w:tcW w:w="160" w:type="dxa"/>
            <w:vAlign w:val="bottom"/>
            <w:tcBorders>
              <w:right w:val="single" w:sz="8" w:color="auto"/>
            </w:tcBorders>
          </w:tcPr>
          <w:p>
            <w:pPr>
              <w:spacing w:after="0"/>
              <w:rPr>
                <w:sz w:val="16"/>
                <w:szCs w:val="16"/>
                <w:color w:val="auto"/>
              </w:rPr>
            </w:pPr>
          </w:p>
        </w:tc>
        <w:tc>
          <w:tcPr>
            <w:tcW w:w="1000" w:type="dxa"/>
            <w:vAlign w:val="bottom"/>
          </w:tcPr>
          <w:p>
            <w:pPr>
              <w:jc w:val="center"/>
              <w:spacing w:after="0" w:line="193" w:lineRule="exact"/>
              <w:rPr>
                <w:sz w:val="20"/>
                <w:szCs w:val="20"/>
                <w:color w:val="auto"/>
              </w:rPr>
            </w:pPr>
            <w:r>
              <w:rPr>
                <w:rFonts w:ascii="Arial" w:cs="Arial" w:eastAsia="Arial" w:hAnsi="Arial"/>
                <w:sz w:val="20"/>
                <w:szCs w:val="20"/>
                <w:color w:val="auto"/>
                <w:w w:val="98"/>
              </w:rPr>
              <w:t>-74 bps</w:t>
            </w:r>
          </w:p>
        </w:tc>
        <w:tc>
          <w:tcPr>
            <w:tcW w:w="100" w:type="dxa"/>
            <w:vAlign w:val="bottom"/>
          </w:tcPr>
          <w:p>
            <w:pPr>
              <w:spacing w:after="0"/>
              <w:rPr>
                <w:sz w:val="16"/>
                <w:szCs w:val="16"/>
                <w:color w:val="auto"/>
              </w:rPr>
            </w:pPr>
          </w:p>
        </w:tc>
        <w:tc>
          <w:tcPr>
            <w:tcW w:w="860" w:type="dxa"/>
            <w:vAlign w:val="bottom"/>
            <w:tcBorders>
              <w:right w:val="single" w:sz="8" w:color="auto"/>
            </w:tcBorders>
          </w:tcPr>
          <w:p>
            <w:pPr>
              <w:jc w:val="center"/>
              <w:ind w:right="42"/>
              <w:spacing w:after="0" w:line="193" w:lineRule="exact"/>
              <w:rPr>
                <w:sz w:val="20"/>
                <w:szCs w:val="20"/>
                <w:color w:val="auto"/>
              </w:rPr>
            </w:pPr>
            <w:r>
              <w:rPr>
                <w:rFonts w:ascii="Arial" w:cs="Arial" w:eastAsia="Arial" w:hAnsi="Arial"/>
                <w:sz w:val="20"/>
                <w:szCs w:val="20"/>
                <w:color w:val="auto"/>
              </w:rPr>
              <w:t>-7 bps</w:t>
            </w:r>
          </w:p>
        </w:tc>
        <w:tc>
          <w:tcPr>
            <w:tcW w:w="900" w:type="dxa"/>
            <w:vAlign w:val="bottom"/>
            <w:gridSpan w:val="2"/>
          </w:tcPr>
          <w:p>
            <w:pPr>
              <w:jc w:val="center"/>
              <w:spacing w:after="0" w:line="193" w:lineRule="exact"/>
              <w:rPr>
                <w:sz w:val="20"/>
                <w:szCs w:val="20"/>
                <w:color w:val="auto"/>
              </w:rPr>
            </w:pPr>
            <w:r>
              <w:rPr>
                <w:rFonts w:ascii="Arial" w:cs="Arial" w:eastAsia="Arial" w:hAnsi="Arial"/>
                <w:sz w:val="20"/>
                <w:szCs w:val="20"/>
                <w:color w:val="auto"/>
                <w:w w:val="97"/>
              </w:rPr>
              <w:t>55.36%</w:t>
            </w:r>
          </w:p>
        </w:tc>
        <w:tc>
          <w:tcPr>
            <w:tcW w:w="960" w:type="dxa"/>
            <w:vAlign w:val="bottom"/>
          </w:tcPr>
          <w:p>
            <w:pPr>
              <w:jc w:val="center"/>
              <w:ind w:left="83"/>
              <w:spacing w:after="0" w:line="193" w:lineRule="exact"/>
              <w:rPr>
                <w:sz w:val="20"/>
                <w:szCs w:val="20"/>
                <w:color w:val="auto"/>
              </w:rPr>
            </w:pPr>
            <w:r>
              <w:rPr>
                <w:rFonts w:ascii="Arial" w:cs="Arial" w:eastAsia="Arial" w:hAnsi="Arial"/>
                <w:sz w:val="20"/>
                <w:szCs w:val="20"/>
                <w:color w:val="auto"/>
                <w:w w:val="97"/>
              </w:rPr>
              <w:t>50.94%</w:t>
            </w:r>
          </w:p>
        </w:tc>
        <w:tc>
          <w:tcPr>
            <w:tcW w:w="12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gridSpan w:val="2"/>
          </w:tcPr>
          <w:p>
            <w:pPr>
              <w:jc w:val="center"/>
              <w:spacing w:after="0" w:line="193" w:lineRule="exact"/>
              <w:rPr>
                <w:sz w:val="20"/>
                <w:szCs w:val="20"/>
                <w:color w:val="auto"/>
              </w:rPr>
            </w:pPr>
            <w:r>
              <w:rPr>
                <w:rFonts w:ascii="Arial" w:cs="Arial" w:eastAsia="Arial" w:hAnsi="Arial"/>
                <w:sz w:val="20"/>
                <w:szCs w:val="20"/>
                <w:color w:val="auto"/>
                <w:w w:val="97"/>
              </w:rPr>
              <w:t>-450 bps</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ROAE</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w w:val="98"/>
              </w:rPr>
              <w:t>13.9%</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98"/>
              </w:rPr>
              <w:t>20.3%</w:t>
            </w:r>
          </w:p>
        </w:tc>
        <w:tc>
          <w:tcPr>
            <w:tcW w:w="840" w:type="dxa"/>
            <w:vAlign w:val="bottom"/>
          </w:tcPr>
          <w:p>
            <w:pPr>
              <w:jc w:val="center"/>
              <w:ind w:left="42"/>
              <w:spacing w:after="0" w:line="214" w:lineRule="exact"/>
              <w:rPr>
                <w:sz w:val="20"/>
                <w:szCs w:val="20"/>
                <w:color w:val="auto"/>
              </w:rPr>
            </w:pPr>
            <w:r>
              <w:rPr>
                <w:rFonts w:ascii="Arial" w:cs="Arial" w:eastAsia="Arial" w:hAnsi="Arial"/>
                <w:sz w:val="20"/>
                <w:szCs w:val="20"/>
                <w:color w:val="auto"/>
                <w:w w:val="95"/>
              </w:rPr>
              <w:t>22.1%</w:t>
            </w:r>
          </w:p>
        </w:tc>
        <w:tc>
          <w:tcPr>
            <w:tcW w:w="160" w:type="dxa"/>
            <w:vAlign w:val="bottom"/>
            <w:tcBorders>
              <w:right w:val="single" w:sz="8" w:color="auto"/>
            </w:tcBorders>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8"/>
              </w:rPr>
              <w:t>184 bps</w:t>
            </w:r>
          </w:p>
        </w:tc>
        <w:tc>
          <w:tcPr>
            <w:tcW w:w="100" w:type="dxa"/>
            <w:vAlign w:val="bottom"/>
          </w:tcPr>
          <w:p>
            <w:pPr>
              <w:spacing w:after="0"/>
              <w:rPr>
                <w:sz w:val="18"/>
                <w:szCs w:val="18"/>
                <w:color w:val="auto"/>
              </w:rPr>
            </w:pPr>
          </w:p>
        </w:tc>
        <w:tc>
          <w:tcPr>
            <w:tcW w:w="860" w:type="dxa"/>
            <w:vAlign w:val="bottom"/>
            <w:tcBorders>
              <w:right w:val="single" w:sz="8" w:color="auto"/>
            </w:tcBorders>
          </w:tcPr>
          <w:p>
            <w:pPr>
              <w:jc w:val="center"/>
              <w:ind w:right="62"/>
              <w:spacing w:after="0" w:line="214" w:lineRule="exact"/>
              <w:rPr>
                <w:sz w:val="20"/>
                <w:szCs w:val="20"/>
                <w:color w:val="auto"/>
              </w:rPr>
            </w:pPr>
            <w:r>
              <w:rPr>
                <w:rFonts w:ascii="Arial" w:cs="Arial" w:eastAsia="Arial" w:hAnsi="Arial"/>
                <w:sz w:val="20"/>
                <w:szCs w:val="20"/>
                <w:color w:val="auto"/>
                <w:w w:val="98"/>
              </w:rPr>
              <w:t>816 bps</w:t>
            </w:r>
          </w:p>
        </w:tc>
        <w:tc>
          <w:tcPr>
            <w:tcW w:w="900" w:type="dxa"/>
            <w:vAlign w:val="bottom"/>
            <w:gridSpan w:val="2"/>
          </w:tcPr>
          <w:p>
            <w:pPr>
              <w:jc w:val="center"/>
              <w:ind w:left="3"/>
              <w:spacing w:after="0" w:line="214" w:lineRule="exact"/>
              <w:rPr>
                <w:sz w:val="20"/>
                <w:szCs w:val="20"/>
                <w:color w:val="auto"/>
              </w:rPr>
            </w:pPr>
            <w:r>
              <w:rPr>
                <w:rFonts w:ascii="Arial" w:cs="Arial" w:eastAsia="Arial" w:hAnsi="Arial"/>
                <w:sz w:val="20"/>
                <w:szCs w:val="20"/>
                <w:color w:val="auto"/>
                <w:w w:val="98"/>
              </w:rPr>
              <w:t>9.16%</w:t>
            </w:r>
          </w:p>
        </w:tc>
        <w:tc>
          <w:tcPr>
            <w:tcW w:w="960" w:type="dxa"/>
            <w:vAlign w:val="bottom"/>
          </w:tcPr>
          <w:p>
            <w:pPr>
              <w:jc w:val="center"/>
              <w:ind w:left="83"/>
              <w:spacing w:after="0" w:line="214" w:lineRule="exact"/>
              <w:rPr>
                <w:sz w:val="20"/>
                <w:szCs w:val="20"/>
                <w:color w:val="auto"/>
              </w:rPr>
            </w:pPr>
            <w:r>
              <w:rPr>
                <w:rFonts w:ascii="Arial" w:cs="Arial" w:eastAsia="Arial" w:hAnsi="Arial"/>
                <w:sz w:val="20"/>
                <w:szCs w:val="20"/>
                <w:color w:val="auto"/>
                <w:w w:val="97"/>
              </w:rPr>
              <w:t>20.09%</w:t>
            </w:r>
          </w:p>
        </w:tc>
        <w:tc>
          <w:tcPr>
            <w:tcW w:w="1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7"/>
              </w:rPr>
              <w:t>1090 bps</w:t>
            </w: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ROAE incl. Goowdill</w:t>
            </w:r>
          </w:p>
        </w:tc>
        <w:tc>
          <w:tcPr>
            <w:tcW w:w="920" w:type="dxa"/>
            <w:vAlign w:val="bottom"/>
          </w:tcPr>
          <w:p>
            <w:pPr>
              <w:jc w:val="center"/>
              <w:spacing w:after="0"/>
              <w:rPr>
                <w:sz w:val="20"/>
                <w:szCs w:val="20"/>
                <w:color w:val="auto"/>
              </w:rPr>
            </w:pPr>
            <w:r>
              <w:rPr>
                <w:rFonts w:ascii="Arial" w:cs="Arial" w:eastAsia="Arial" w:hAnsi="Arial"/>
                <w:sz w:val="20"/>
                <w:szCs w:val="20"/>
                <w:color w:val="auto"/>
                <w:w w:val="98"/>
              </w:rPr>
              <w:t>13.2%</w:t>
            </w:r>
          </w:p>
        </w:tc>
        <w:tc>
          <w:tcPr>
            <w:tcW w:w="980" w:type="dxa"/>
            <w:vAlign w:val="bottom"/>
          </w:tcPr>
          <w:p>
            <w:pPr>
              <w:jc w:val="center"/>
              <w:spacing w:after="0"/>
              <w:rPr>
                <w:sz w:val="20"/>
                <w:szCs w:val="20"/>
                <w:color w:val="auto"/>
              </w:rPr>
            </w:pPr>
            <w:r>
              <w:rPr>
                <w:rFonts w:ascii="Arial" w:cs="Arial" w:eastAsia="Arial" w:hAnsi="Arial"/>
                <w:sz w:val="20"/>
                <w:szCs w:val="20"/>
                <w:color w:val="auto"/>
                <w:w w:val="98"/>
              </w:rPr>
              <w:t>19.4%</w:t>
            </w:r>
          </w:p>
        </w:tc>
        <w:tc>
          <w:tcPr>
            <w:tcW w:w="840" w:type="dxa"/>
            <w:vAlign w:val="bottom"/>
          </w:tcPr>
          <w:p>
            <w:pPr>
              <w:jc w:val="center"/>
              <w:ind w:left="42"/>
              <w:spacing w:after="0"/>
              <w:rPr>
                <w:sz w:val="20"/>
                <w:szCs w:val="20"/>
                <w:color w:val="auto"/>
              </w:rPr>
            </w:pPr>
            <w:r>
              <w:rPr>
                <w:rFonts w:ascii="Arial" w:cs="Arial" w:eastAsia="Arial" w:hAnsi="Arial"/>
                <w:sz w:val="20"/>
                <w:szCs w:val="20"/>
                <w:color w:val="auto"/>
                <w:w w:val="95"/>
              </w:rPr>
              <w:t>21.2%</w:t>
            </w:r>
          </w:p>
        </w:tc>
        <w:tc>
          <w:tcPr>
            <w:tcW w:w="160" w:type="dxa"/>
            <w:vAlign w:val="bottom"/>
            <w:tcBorders>
              <w:right w:val="single" w:sz="8" w:color="auto"/>
            </w:tcBorders>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98"/>
              </w:rPr>
              <w:t>178 bps</w:t>
            </w:r>
          </w:p>
        </w:tc>
        <w:tc>
          <w:tcPr>
            <w:tcW w:w="100" w:type="dxa"/>
            <w:vAlign w:val="bottom"/>
          </w:tcPr>
          <w:p>
            <w:pPr>
              <w:spacing w:after="0"/>
              <w:rPr>
                <w:sz w:val="21"/>
                <w:szCs w:val="21"/>
                <w:color w:val="auto"/>
              </w:rPr>
            </w:pPr>
          </w:p>
        </w:tc>
        <w:tc>
          <w:tcPr>
            <w:tcW w:w="860" w:type="dxa"/>
            <w:vAlign w:val="bottom"/>
            <w:tcBorders>
              <w:right w:val="single" w:sz="8" w:color="auto"/>
            </w:tcBorders>
          </w:tcPr>
          <w:p>
            <w:pPr>
              <w:jc w:val="center"/>
              <w:ind w:right="62"/>
              <w:spacing w:after="0"/>
              <w:rPr>
                <w:sz w:val="20"/>
                <w:szCs w:val="20"/>
                <w:color w:val="auto"/>
              </w:rPr>
            </w:pPr>
            <w:r>
              <w:rPr>
                <w:rFonts w:ascii="Arial" w:cs="Arial" w:eastAsia="Arial" w:hAnsi="Arial"/>
                <w:sz w:val="20"/>
                <w:szCs w:val="20"/>
                <w:color w:val="auto"/>
                <w:w w:val="98"/>
              </w:rPr>
              <w:t>792 bps</w:t>
            </w:r>
          </w:p>
        </w:tc>
        <w:tc>
          <w:tcPr>
            <w:tcW w:w="900" w:type="dxa"/>
            <w:vAlign w:val="bottom"/>
            <w:tcBorders>
              <w:bottom w:val="single" w:sz="8" w:color="auto"/>
            </w:tcBorders>
            <w:gridSpan w:val="2"/>
          </w:tcPr>
          <w:p>
            <w:pPr>
              <w:jc w:val="center"/>
              <w:ind w:left="3"/>
              <w:spacing w:after="0"/>
              <w:rPr>
                <w:sz w:val="20"/>
                <w:szCs w:val="20"/>
                <w:color w:val="auto"/>
              </w:rPr>
            </w:pPr>
            <w:r>
              <w:rPr>
                <w:rFonts w:ascii="Arial" w:cs="Arial" w:eastAsia="Arial" w:hAnsi="Arial"/>
                <w:sz w:val="20"/>
                <w:szCs w:val="20"/>
                <w:color w:val="auto"/>
                <w:w w:val="98"/>
              </w:rPr>
              <w:t>8.60%</w:t>
            </w:r>
          </w:p>
        </w:tc>
        <w:tc>
          <w:tcPr>
            <w:tcW w:w="960" w:type="dxa"/>
            <w:vAlign w:val="bottom"/>
            <w:tcBorders>
              <w:bottom w:val="single" w:sz="8" w:color="auto"/>
            </w:tcBorders>
          </w:tcPr>
          <w:p>
            <w:pPr>
              <w:jc w:val="center"/>
              <w:ind w:left="83"/>
              <w:spacing w:after="0"/>
              <w:rPr>
                <w:sz w:val="20"/>
                <w:szCs w:val="20"/>
                <w:color w:val="auto"/>
              </w:rPr>
            </w:pPr>
            <w:r>
              <w:rPr>
                <w:rFonts w:ascii="Arial" w:cs="Arial" w:eastAsia="Arial" w:hAnsi="Arial"/>
                <w:sz w:val="20"/>
                <w:szCs w:val="20"/>
                <w:color w:val="auto"/>
                <w:w w:val="97"/>
              </w:rPr>
              <w:t>19.02%</w:t>
            </w:r>
          </w:p>
        </w:tc>
        <w:tc>
          <w:tcPr>
            <w:tcW w:w="12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1040 bps</w:t>
            </w:r>
          </w:p>
        </w:tc>
        <w:tc>
          <w:tcPr>
            <w:tcW w:w="0" w:type="dxa"/>
            <w:vAlign w:val="bottom"/>
          </w:tcPr>
          <w:p>
            <w:pPr>
              <w:spacing w:after="0"/>
              <w:rPr>
                <w:sz w:val="1"/>
                <w:szCs w:val="1"/>
                <w:color w:val="auto"/>
              </w:rPr>
            </w:pPr>
          </w:p>
        </w:tc>
      </w:tr>
      <w:tr>
        <w:trPr>
          <w:trHeight w:val="179"/>
        </w:trPr>
        <w:tc>
          <w:tcPr>
            <w:tcW w:w="3060" w:type="dxa"/>
            <w:vAlign w:val="bottom"/>
            <w:tcBorders>
              <w:left w:val="single" w:sz="8" w:color="auto"/>
              <w:right w:val="single" w:sz="8" w:color="auto"/>
            </w:tcBorders>
          </w:tcPr>
          <w:p>
            <w:pPr>
              <w:ind w:left="20"/>
              <w:spacing w:after="0" w:line="180" w:lineRule="exact"/>
              <w:rPr>
                <w:sz w:val="20"/>
                <w:szCs w:val="20"/>
                <w:color w:val="auto"/>
              </w:rPr>
            </w:pPr>
            <w:r>
              <w:rPr>
                <w:rFonts w:ascii="Arial" w:cs="Arial" w:eastAsia="Arial" w:hAnsi="Arial"/>
                <w:sz w:val="20"/>
                <w:szCs w:val="20"/>
                <w:color w:val="auto"/>
              </w:rPr>
              <w:t>L/D ratio</w:t>
            </w:r>
          </w:p>
        </w:tc>
        <w:tc>
          <w:tcPr>
            <w:tcW w:w="920" w:type="dxa"/>
            <w:vAlign w:val="bottom"/>
          </w:tcPr>
          <w:p>
            <w:pPr>
              <w:jc w:val="center"/>
              <w:spacing w:after="0" w:line="180" w:lineRule="exact"/>
              <w:rPr>
                <w:sz w:val="20"/>
                <w:szCs w:val="20"/>
                <w:color w:val="auto"/>
              </w:rPr>
            </w:pPr>
            <w:r>
              <w:rPr>
                <w:rFonts w:ascii="Arial" w:cs="Arial" w:eastAsia="Arial" w:hAnsi="Arial"/>
                <w:sz w:val="20"/>
                <w:szCs w:val="20"/>
                <w:color w:val="auto"/>
              </w:rPr>
              <w:t>154.2%</w:t>
            </w:r>
          </w:p>
        </w:tc>
        <w:tc>
          <w:tcPr>
            <w:tcW w:w="980" w:type="dxa"/>
            <w:vAlign w:val="bottom"/>
          </w:tcPr>
          <w:p>
            <w:pPr>
              <w:jc w:val="center"/>
              <w:spacing w:after="0" w:line="180" w:lineRule="exact"/>
              <w:rPr>
                <w:sz w:val="20"/>
                <w:szCs w:val="20"/>
                <w:color w:val="auto"/>
              </w:rPr>
            </w:pPr>
            <w:r>
              <w:rPr>
                <w:rFonts w:ascii="Arial" w:cs="Arial" w:eastAsia="Arial" w:hAnsi="Arial"/>
                <w:sz w:val="20"/>
                <w:szCs w:val="20"/>
                <w:color w:val="auto"/>
                <w:w w:val="97"/>
              </w:rPr>
              <w:t>161.2%</w:t>
            </w:r>
          </w:p>
        </w:tc>
        <w:tc>
          <w:tcPr>
            <w:tcW w:w="840" w:type="dxa"/>
            <w:vAlign w:val="bottom"/>
          </w:tcPr>
          <w:p>
            <w:pPr>
              <w:jc w:val="center"/>
              <w:ind w:left="42"/>
              <w:spacing w:after="0" w:line="180" w:lineRule="exact"/>
              <w:rPr>
                <w:sz w:val="20"/>
                <w:szCs w:val="20"/>
                <w:color w:val="auto"/>
              </w:rPr>
            </w:pPr>
            <w:r>
              <w:rPr>
                <w:rFonts w:ascii="Arial" w:cs="Arial" w:eastAsia="Arial" w:hAnsi="Arial"/>
                <w:sz w:val="20"/>
                <w:szCs w:val="20"/>
                <w:color w:val="auto"/>
                <w:w w:val="97"/>
              </w:rPr>
              <w:t>154.9%</w:t>
            </w:r>
          </w:p>
        </w:tc>
        <w:tc>
          <w:tcPr>
            <w:tcW w:w="160" w:type="dxa"/>
            <w:vAlign w:val="bottom"/>
            <w:tcBorders>
              <w:right w:val="single" w:sz="8" w:color="auto"/>
            </w:tcBorders>
          </w:tcPr>
          <w:p>
            <w:pPr>
              <w:spacing w:after="0"/>
              <w:rPr>
                <w:sz w:val="15"/>
                <w:szCs w:val="15"/>
                <w:color w:val="auto"/>
              </w:rPr>
            </w:pPr>
          </w:p>
        </w:tc>
        <w:tc>
          <w:tcPr>
            <w:tcW w:w="1000" w:type="dxa"/>
            <w:vAlign w:val="bottom"/>
          </w:tcPr>
          <w:p>
            <w:pPr>
              <w:jc w:val="center"/>
              <w:spacing w:after="0" w:line="180" w:lineRule="exact"/>
              <w:rPr>
                <w:sz w:val="20"/>
                <w:szCs w:val="20"/>
                <w:color w:val="auto"/>
              </w:rPr>
            </w:pPr>
            <w:r>
              <w:rPr>
                <w:rFonts w:ascii="Arial" w:cs="Arial" w:eastAsia="Arial" w:hAnsi="Arial"/>
                <w:sz w:val="20"/>
                <w:szCs w:val="20"/>
                <w:color w:val="auto"/>
                <w:w w:val="97"/>
              </w:rPr>
              <w:t>-626 bps</w:t>
            </w:r>
          </w:p>
        </w:tc>
        <w:tc>
          <w:tcPr>
            <w:tcW w:w="100" w:type="dxa"/>
            <w:vAlign w:val="bottom"/>
          </w:tcPr>
          <w:p>
            <w:pPr>
              <w:spacing w:after="0"/>
              <w:rPr>
                <w:sz w:val="15"/>
                <w:szCs w:val="15"/>
                <w:color w:val="auto"/>
              </w:rPr>
            </w:pPr>
          </w:p>
        </w:tc>
        <w:tc>
          <w:tcPr>
            <w:tcW w:w="860" w:type="dxa"/>
            <w:vAlign w:val="bottom"/>
            <w:tcBorders>
              <w:right w:val="single" w:sz="8" w:color="auto"/>
            </w:tcBorders>
          </w:tcPr>
          <w:p>
            <w:pPr>
              <w:jc w:val="center"/>
              <w:ind w:right="42"/>
              <w:spacing w:after="0" w:line="180" w:lineRule="exact"/>
              <w:rPr>
                <w:sz w:val="20"/>
                <w:szCs w:val="20"/>
                <w:color w:val="auto"/>
              </w:rPr>
            </w:pPr>
            <w:r>
              <w:rPr>
                <w:rFonts w:ascii="Arial" w:cs="Arial" w:eastAsia="Arial" w:hAnsi="Arial"/>
                <w:sz w:val="20"/>
                <w:szCs w:val="20"/>
                <w:color w:val="auto"/>
                <w:w w:val="99"/>
              </w:rPr>
              <w:t>74 bps</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IOL ratio</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w w:val="96"/>
              </w:rPr>
              <w:t>8.0%</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96"/>
              </w:rPr>
              <w:t>6.8%</w:t>
            </w:r>
          </w:p>
        </w:tc>
        <w:tc>
          <w:tcPr>
            <w:tcW w:w="840" w:type="dxa"/>
            <w:vAlign w:val="bottom"/>
          </w:tcPr>
          <w:p>
            <w:pPr>
              <w:jc w:val="center"/>
              <w:ind w:left="42"/>
              <w:spacing w:after="0" w:line="214" w:lineRule="exact"/>
              <w:rPr>
                <w:sz w:val="20"/>
                <w:szCs w:val="20"/>
                <w:color w:val="auto"/>
              </w:rPr>
            </w:pPr>
            <w:r>
              <w:rPr>
                <w:rFonts w:ascii="Arial" w:cs="Arial" w:eastAsia="Arial" w:hAnsi="Arial"/>
                <w:sz w:val="20"/>
                <w:szCs w:val="20"/>
                <w:color w:val="auto"/>
              </w:rPr>
              <w:t>6.6%</w:t>
            </w:r>
          </w:p>
        </w:tc>
        <w:tc>
          <w:tcPr>
            <w:tcW w:w="160" w:type="dxa"/>
            <w:vAlign w:val="bottom"/>
            <w:tcBorders>
              <w:right w:val="single" w:sz="8" w:color="auto"/>
            </w:tcBorders>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8"/>
              </w:rPr>
              <w:t>-23 bps</w:t>
            </w:r>
          </w:p>
        </w:tc>
        <w:tc>
          <w:tcPr>
            <w:tcW w:w="96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7"/>
              </w:rPr>
              <w:t>-147 bps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NPL ratio</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w w:val="96"/>
              </w:rPr>
              <w:t>8.4%</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96"/>
              </w:rPr>
              <w:t>7.3%</w:t>
            </w:r>
          </w:p>
        </w:tc>
        <w:tc>
          <w:tcPr>
            <w:tcW w:w="840" w:type="dxa"/>
            <w:vAlign w:val="bottom"/>
          </w:tcPr>
          <w:p>
            <w:pPr>
              <w:jc w:val="center"/>
              <w:ind w:left="42"/>
              <w:spacing w:after="0" w:line="214" w:lineRule="exact"/>
              <w:rPr>
                <w:sz w:val="20"/>
                <w:szCs w:val="20"/>
                <w:color w:val="auto"/>
              </w:rPr>
            </w:pPr>
            <w:r>
              <w:rPr>
                <w:rFonts w:ascii="Arial" w:cs="Arial" w:eastAsia="Arial" w:hAnsi="Arial"/>
                <w:sz w:val="20"/>
                <w:szCs w:val="20"/>
                <w:color w:val="auto"/>
              </w:rPr>
              <w:t>7.1%</w:t>
            </w:r>
          </w:p>
        </w:tc>
        <w:tc>
          <w:tcPr>
            <w:tcW w:w="160" w:type="dxa"/>
            <w:vAlign w:val="bottom"/>
            <w:tcBorders>
              <w:right w:val="single" w:sz="8" w:color="auto"/>
            </w:tcBorders>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8"/>
              </w:rPr>
              <w:t>-19 bps</w:t>
            </w:r>
          </w:p>
        </w:tc>
        <w:tc>
          <w:tcPr>
            <w:tcW w:w="96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7"/>
              </w:rPr>
              <w:t>-127 bps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Coverage of IOLs</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rPr>
              <w:t>139.4%</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97"/>
              </w:rPr>
              <w:t>119.3%</w:t>
            </w:r>
          </w:p>
        </w:tc>
        <w:tc>
          <w:tcPr>
            <w:tcW w:w="840" w:type="dxa"/>
            <w:vAlign w:val="bottom"/>
          </w:tcPr>
          <w:p>
            <w:pPr>
              <w:jc w:val="center"/>
              <w:ind w:left="42"/>
              <w:spacing w:after="0" w:line="214" w:lineRule="exact"/>
              <w:rPr>
                <w:sz w:val="20"/>
                <w:szCs w:val="20"/>
                <w:color w:val="auto"/>
              </w:rPr>
            </w:pPr>
            <w:r>
              <w:rPr>
                <w:rFonts w:ascii="Arial" w:cs="Arial" w:eastAsia="Arial" w:hAnsi="Arial"/>
                <w:sz w:val="20"/>
                <w:szCs w:val="20"/>
                <w:color w:val="auto"/>
                <w:w w:val="97"/>
              </w:rPr>
              <w:t>116.1%</w:t>
            </w:r>
          </w:p>
        </w:tc>
        <w:tc>
          <w:tcPr>
            <w:tcW w:w="160" w:type="dxa"/>
            <w:vAlign w:val="bottom"/>
            <w:tcBorders>
              <w:right w:val="single" w:sz="8" w:color="auto"/>
            </w:tcBorders>
          </w:tcPr>
          <w:p>
            <w:pPr>
              <w:spacing w:after="0"/>
              <w:rPr>
                <w:sz w:val="18"/>
                <w:szCs w:val="18"/>
                <w:color w:val="auto"/>
              </w:rPr>
            </w:pPr>
          </w:p>
        </w:tc>
        <w:tc>
          <w:tcPr>
            <w:tcW w:w="1000" w:type="dxa"/>
            <w:vAlign w:val="bottom"/>
          </w:tcPr>
          <w:p>
            <w:pPr>
              <w:jc w:val="center"/>
              <w:spacing w:after="0" w:line="214" w:lineRule="exact"/>
              <w:rPr>
                <w:sz w:val="20"/>
                <w:szCs w:val="20"/>
                <w:color w:val="auto"/>
              </w:rPr>
            </w:pPr>
            <w:r>
              <w:rPr>
                <w:rFonts w:ascii="Arial" w:cs="Arial" w:eastAsia="Arial" w:hAnsi="Arial"/>
                <w:sz w:val="20"/>
                <w:szCs w:val="20"/>
                <w:color w:val="auto"/>
                <w:w w:val="97"/>
              </w:rPr>
              <w:t>-322 bps</w:t>
            </w:r>
          </w:p>
        </w:tc>
        <w:tc>
          <w:tcPr>
            <w:tcW w:w="96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8"/>
              </w:rPr>
              <w:t>-2336 bps</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60" w:type="dxa"/>
            <w:vAlign w:val="bottom"/>
            <w:tcBorders>
              <w:left w:val="single" w:sz="8" w:color="auto"/>
              <w:right w:val="single" w:sz="8" w:color="auto"/>
            </w:tcBorders>
          </w:tcPr>
          <w:p>
            <w:pPr>
              <w:ind w:left="20"/>
              <w:spacing w:after="0" w:line="206" w:lineRule="exact"/>
              <w:rPr>
                <w:sz w:val="20"/>
                <w:szCs w:val="20"/>
                <w:color w:val="auto"/>
              </w:rPr>
            </w:pPr>
            <w:r>
              <w:rPr>
                <w:rFonts w:ascii="Arial" w:cs="Arial" w:eastAsia="Arial" w:hAnsi="Arial"/>
                <w:sz w:val="20"/>
                <w:szCs w:val="20"/>
                <w:color w:val="auto"/>
              </w:rPr>
              <w:t>Coverage of NPLs</w:t>
            </w:r>
          </w:p>
        </w:tc>
        <w:tc>
          <w:tcPr>
            <w:tcW w:w="920" w:type="dxa"/>
            <w:vAlign w:val="bottom"/>
          </w:tcPr>
          <w:p>
            <w:pPr>
              <w:jc w:val="center"/>
              <w:spacing w:after="0" w:line="206" w:lineRule="exact"/>
              <w:rPr>
                <w:sz w:val="20"/>
                <w:szCs w:val="20"/>
                <w:color w:val="auto"/>
              </w:rPr>
            </w:pPr>
            <w:r>
              <w:rPr>
                <w:rFonts w:ascii="Arial" w:cs="Arial" w:eastAsia="Arial" w:hAnsi="Arial"/>
                <w:sz w:val="20"/>
                <w:szCs w:val="20"/>
                <w:color w:val="auto"/>
              </w:rPr>
              <w:t>133.3%</w:t>
            </w:r>
          </w:p>
        </w:tc>
        <w:tc>
          <w:tcPr>
            <w:tcW w:w="980" w:type="dxa"/>
            <w:vAlign w:val="bottom"/>
          </w:tcPr>
          <w:p>
            <w:pPr>
              <w:jc w:val="center"/>
              <w:spacing w:after="0" w:line="206" w:lineRule="exact"/>
              <w:rPr>
                <w:sz w:val="20"/>
                <w:szCs w:val="20"/>
                <w:color w:val="auto"/>
              </w:rPr>
            </w:pPr>
            <w:r>
              <w:rPr>
                <w:rFonts w:ascii="Arial" w:cs="Arial" w:eastAsia="Arial" w:hAnsi="Arial"/>
                <w:sz w:val="20"/>
                <w:szCs w:val="20"/>
                <w:color w:val="auto"/>
                <w:w w:val="97"/>
              </w:rPr>
              <w:t>110.7%</w:t>
            </w:r>
          </w:p>
        </w:tc>
        <w:tc>
          <w:tcPr>
            <w:tcW w:w="840" w:type="dxa"/>
            <w:vAlign w:val="bottom"/>
          </w:tcPr>
          <w:p>
            <w:pPr>
              <w:jc w:val="center"/>
              <w:ind w:left="42"/>
              <w:spacing w:after="0" w:line="206" w:lineRule="exact"/>
              <w:rPr>
                <w:sz w:val="20"/>
                <w:szCs w:val="20"/>
                <w:color w:val="auto"/>
              </w:rPr>
            </w:pPr>
            <w:r>
              <w:rPr>
                <w:rFonts w:ascii="Arial" w:cs="Arial" w:eastAsia="Arial" w:hAnsi="Arial"/>
                <w:sz w:val="20"/>
                <w:szCs w:val="20"/>
                <w:color w:val="auto"/>
                <w:w w:val="97"/>
              </w:rPr>
              <w:t>106.8%</w:t>
            </w:r>
          </w:p>
        </w:tc>
        <w:tc>
          <w:tcPr>
            <w:tcW w:w="160" w:type="dxa"/>
            <w:vAlign w:val="bottom"/>
            <w:tcBorders>
              <w:right w:val="single" w:sz="8" w:color="auto"/>
            </w:tcBorders>
          </w:tcPr>
          <w:p>
            <w:pPr>
              <w:spacing w:after="0"/>
              <w:rPr>
                <w:sz w:val="17"/>
                <w:szCs w:val="17"/>
                <w:color w:val="auto"/>
              </w:rPr>
            </w:pPr>
          </w:p>
        </w:tc>
        <w:tc>
          <w:tcPr>
            <w:tcW w:w="1000" w:type="dxa"/>
            <w:vAlign w:val="bottom"/>
          </w:tcPr>
          <w:p>
            <w:pPr>
              <w:jc w:val="center"/>
              <w:spacing w:after="0" w:line="206" w:lineRule="exact"/>
              <w:rPr>
                <w:sz w:val="20"/>
                <w:szCs w:val="20"/>
                <w:color w:val="auto"/>
              </w:rPr>
            </w:pPr>
            <w:r>
              <w:rPr>
                <w:rFonts w:ascii="Arial" w:cs="Arial" w:eastAsia="Arial" w:hAnsi="Arial"/>
                <w:sz w:val="20"/>
                <w:szCs w:val="20"/>
                <w:color w:val="auto"/>
                <w:w w:val="97"/>
              </w:rPr>
              <w:t>-387 bps</w:t>
            </w:r>
          </w:p>
        </w:tc>
        <w:tc>
          <w:tcPr>
            <w:tcW w:w="960" w:type="dxa"/>
            <w:vAlign w:val="bottom"/>
            <w:tcBorders>
              <w:right w:val="single" w:sz="8" w:color="auto"/>
            </w:tcBorders>
            <w:gridSpan w:val="2"/>
          </w:tcPr>
          <w:p>
            <w:pPr>
              <w:jc w:val="center"/>
              <w:spacing w:after="0" w:line="206" w:lineRule="exact"/>
              <w:rPr>
                <w:sz w:val="20"/>
                <w:szCs w:val="20"/>
                <w:color w:val="auto"/>
              </w:rPr>
            </w:pPr>
            <w:r>
              <w:rPr>
                <w:rFonts w:ascii="Arial" w:cs="Arial" w:eastAsia="Arial" w:hAnsi="Arial"/>
                <w:sz w:val="20"/>
                <w:szCs w:val="20"/>
                <w:color w:val="auto"/>
                <w:w w:val="98"/>
              </w:rPr>
              <w:t>-2644 bps</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right w:val="single" w:sz="8" w:color="auto"/>
            </w:tcBorders>
          </w:tcPr>
          <w:p>
            <w:pPr>
              <w:ind w:left="20"/>
              <w:spacing w:after="0" w:line="223" w:lineRule="exact"/>
              <w:rPr>
                <w:sz w:val="20"/>
                <w:szCs w:val="20"/>
                <w:color w:val="auto"/>
              </w:rPr>
            </w:pPr>
            <w:r>
              <w:rPr>
                <w:rFonts w:ascii="Arial" w:cs="Arial" w:eastAsia="Arial" w:hAnsi="Arial"/>
                <w:sz w:val="16"/>
                <w:szCs w:val="16"/>
                <w:color w:val="auto"/>
              </w:rPr>
              <w:t xml:space="preserve">Branches </w:t>
            </w:r>
            <w:r>
              <w:rPr>
                <w:rFonts w:ascii="Arial" w:cs="Arial" w:eastAsia="Arial" w:hAnsi="Arial"/>
                <w:sz w:val="25"/>
                <w:szCs w:val="25"/>
                <w:color w:val="auto"/>
                <w:vertAlign w:val="superscript"/>
              </w:rPr>
              <w:t>(1)</w:t>
            </w:r>
          </w:p>
        </w:tc>
        <w:tc>
          <w:tcPr>
            <w:tcW w:w="920" w:type="dxa"/>
            <w:vAlign w:val="bottom"/>
          </w:tcPr>
          <w:p>
            <w:pPr>
              <w:jc w:val="center"/>
              <w:spacing w:after="0" w:line="223" w:lineRule="exact"/>
              <w:rPr>
                <w:sz w:val="20"/>
                <w:szCs w:val="20"/>
                <w:color w:val="auto"/>
              </w:rPr>
            </w:pPr>
            <w:r>
              <w:rPr>
                <w:rFonts w:ascii="Arial" w:cs="Arial" w:eastAsia="Arial" w:hAnsi="Arial"/>
                <w:sz w:val="20"/>
                <w:szCs w:val="20"/>
                <w:color w:val="auto"/>
                <w:w w:val="95"/>
              </w:rPr>
              <w:t>318</w:t>
            </w:r>
          </w:p>
        </w:tc>
        <w:tc>
          <w:tcPr>
            <w:tcW w:w="980" w:type="dxa"/>
            <w:vAlign w:val="bottom"/>
          </w:tcPr>
          <w:p>
            <w:pPr>
              <w:jc w:val="center"/>
              <w:spacing w:after="0" w:line="223" w:lineRule="exact"/>
              <w:rPr>
                <w:sz w:val="20"/>
                <w:szCs w:val="20"/>
                <w:color w:val="auto"/>
              </w:rPr>
            </w:pPr>
            <w:r>
              <w:rPr>
                <w:rFonts w:ascii="Arial" w:cs="Arial" w:eastAsia="Arial" w:hAnsi="Arial"/>
                <w:sz w:val="20"/>
                <w:szCs w:val="20"/>
                <w:color w:val="auto"/>
                <w:w w:val="95"/>
              </w:rPr>
              <w:t>304</w:t>
            </w:r>
          </w:p>
        </w:tc>
        <w:tc>
          <w:tcPr>
            <w:tcW w:w="840" w:type="dxa"/>
            <w:vAlign w:val="bottom"/>
          </w:tcPr>
          <w:p>
            <w:pPr>
              <w:jc w:val="center"/>
              <w:ind w:left="42"/>
              <w:spacing w:after="0" w:line="223" w:lineRule="exact"/>
              <w:rPr>
                <w:sz w:val="20"/>
                <w:szCs w:val="20"/>
                <w:color w:val="auto"/>
              </w:rPr>
            </w:pPr>
            <w:r>
              <w:rPr>
                <w:rFonts w:ascii="Arial" w:cs="Arial" w:eastAsia="Arial" w:hAnsi="Arial"/>
                <w:sz w:val="20"/>
                <w:szCs w:val="20"/>
                <w:color w:val="auto"/>
              </w:rPr>
              <w:t>297</w:t>
            </w:r>
          </w:p>
        </w:tc>
        <w:tc>
          <w:tcPr>
            <w:tcW w:w="160" w:type="dxa"/>
            <w:vAlign w:val="bottom"/>
            <w:tcBorders>
              <w:right w:val="single" w:sz="8" w:color="auto"/>
            </w:tcBorders>
          </w:tcPr>
          <w:p>
            <w:pPr>
              <w:spacing w:after="0"/>
              <w:rPr>
                <w:sz w:val="19"/>
                <w:szCs w:val="19"/>
                <w:color w:val="auto"/>
              </w:rPr>
            </w:pPr>
          </w:p>
        </w:tc>
        <w:tc>
          <w:tcPr>
            <w:tcW w:w="1000" w:type="dxa"/>
            <w:vAlign w:val="bottom"/>
          </w:tcPr>
          <w:p>
            <w:pPr>
              <w:jc w:val="center"/>
              <w:spacing w:after="0" w:line="223" w:lineRule="exact"/>
              <w:rPr>
                <w:sz w:val="20"/>
                <w:szCs w:val="20"/>
                <w:color w:val="auto"/>
              </w:rPr>
            </w:pPr>
            <w:r>
              <w:rPr>
                <w:rFonts w:ascii="Arial" w:cs="Arial" w:eastAsia="Arial" w:hAnsi="Arial"/>
                <w:sz w:val="20"/>
                <w:szCs w:val="20"/>
                <w:color w:val="auto"/>
              </w:rPr>
              <w:t>-7</w:t>
            </w:r>
          </w:p>
        </w:tc>
        <w:tc>
          <w:tcPr>
            <w:tcW w:w="100" w:type="dxa"/>
            <w:vAlign w:val="bottom"/>
          </w:tcPr>
          <w:p>
            <w:pPr>
              <w:spacing w:after="0"/>
              <w:rPr>
                <w:sz w:val="19"/>
                <w:szCs w:val="19"/>
                <w:color w:val="auto"/>
              </w:rPr>
            </w:pPr>
          </w:p>
        </w:tc>
        <w:tc>
          <w:tcPr>
            <w:tcW w:w="860" w:type="dxa"/>
            <w:vAlign w:val="bottom"/>
            <w:tcBorders>
              <w:right w:val="single" w:sz="8" w:color="auto"/>
            </w:tcBorders>
          </w:tcPr>
          <w:p>
            <w:pPr>
              <w:jc w:val="center"/>
              <w:ind w:right="42"/>
              <w:spacing w:after="0" w:line="223" w:lineRule="exact"/>
              <w:rPr>
                <w:sz w:val="20"/>
                <w:szCs w:val="20"/>
                <w:color w:val="auto"/>
              </w:rPr>
            </w:pPr>
            <w:r>
              <w:rPr>
                <w:rFonts w:ascii="Arial" w:cs="Arial" w:eastAsia="Arial" w:hAnsi="Arial"/>
                <w:sz w:val="20"/>
                <w:szCs w:val="20"/>
                <w:color w:val="auto"/>
                <w:w w:val="96"/>
              </w:rPr>
              <w:t>-21</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Employees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9,874</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9,593</w:t>
            </w:r>
          </w:p>
        </w:tc>
        <w:tc>
          <w:tcPr>
            <w:tcW w:w="840" w:type="dxa"/>
            <w:vAlign w:val="bottom"/>
            <w:tcBorders>
              <w:bottom w:val="single" w:sz="8" w:color="auto"/>
            </w:tcBorders>
          </w:tcPr>
          <w:p>
            <w:pPr>
              <w:jc w:val="center"/>
              <w:ind w:left="42"/>
              <w:spacing w:after="0"/>
              <w:rPr>
                <w:sz w:val="20"/>
                <w:szCs w:val="20"/>
                <w:color w:val="auto"/>
              </w:rPr>
            </w:pPr>
            <w:r>
              <w:rPr>
                <w:rFonts w:ascii="Arial" w:cs="Arial" w:eastAsia="Arial" w:hAnsi="Arial"/>
                <w:sz w:val="20"/>
                <w:szCs w:val="20"/>
                <w:color w:val="auto"/>
                <w:w w:val="99"/>
              </w:rPr>
              <w:t>9,596</w:t>
            </w:r>
          </w:p>
        </w:tc>
        <w:tc>
          <w:tcPr>
            <w:tcW w:w="160" w:type="dxa"/>
            <w:vAlign w:val="bottom"/>
            <w:tcBorders>
              <w:bottom w:val="single" w:sz="8" w:color="auto"/>
              <w:right w:val="single" w:sz="8" w:color="auto"/>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3</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right w:val="single" w:sz="8" w:color="auto"/>
            </w:tcBorders>
          </w:tcPr>
          <w:p>
            <w:pPr>
              <w:jc w:val="center"/>
              <w:ind w:right="42"/>
              <w:spacing w:after="0"/>
              <w:rPr>
                <w:sz w:val="20"/>
                <w:szCs w:val="20"/>
                <w:color w:val="auto"/>
              </w:rPr>
            </w:pPr>
            <w:r>
              <w:rPr>
                <w:rFonts w:ascii="Arial" w:cs="Arial" w:eastAsia="Arial" w:hAnsi="Arial"/>
                <w:sz w:val="20"/>
                <w:szCs w:val="20"/>
                <w:color w:val="auto"/>
                <w:w w:val="99"/>
              </w:rPr>
              <w:t>-278</w:t>
            </w: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Includes Banco de la Nacion branches, which in September 21, June 22 and September 22 were 34.</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68" w:name="page69"/>
    <w:bookmarkEnd w:id="68"/>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12.5.7. Prima AFP</w:t>
      </w: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Prima AFP</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(In S/ thousands, IFRS)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Borders>
              <w:top w:val="single" w:sz="8" w:color="auto"/>
            </w:tcBorders>
            <w:shd w:val="clear" w:color="auto" w:fill="2AD2C9"/>
          </w:tcPr>
          <w:p>
            <w:pPr>
              <w:spacing w:after="0"/>
              <w:rPr>
                <w:sz w:val="18"/>
                <w:szCs w:val="18"/>
                <w:color w:val="auto"/>
              </w:rPr>
            </w:pPr>
          </w:p>
        </w:tc>
        <w:tc>
          <w:tcPr>
            <w:tcW w:w="120" w:type="dxa"/>
            <w:vAlign w:val="bottom"/>
            <w:tcBorders>
              <w:top w:val="single" w:sz="8" w:color="auto"/>
              <w:right w:val="single" w:sz="8" w:color="2AD2C9"/>
            </w:tcBorders>
            <w:shd w:val="clear" w:color="auto" w:fill="2AD2C9"/>
          </w:tcPr>
          <w:p>
            <w:pPr>
              <w:spacing w:after="0"/>
              <w:rPr>
                <w:sz w:val="18"/>
                <w:szCs w:val="18"/>
                <w:color w:val="auto"/>
              </w:rPr>
            </w:pPr>
          </w:p>
        </w:tc>
        <w:tc>
          <w:tcPr>
            <w:tcW w:w="940" w:type="dxa"/>
            <w:vAlign w:val="bottom"/>
            <w:tcBorders>
              <w:top w:val="single" w:sz="8" w:color="auto"/>
            </w:tcBorders>
            <w:vMerge w:val="restart"/>
            <w:shd w:val="clear" w:color="auto" w:fill="2AD2C9"/>
          </w:tcPr>
          <w:p>
            <w:pPr>
              <w:jc w:val="center"/>
              <w:ind w:right="370"/>
              <w:spacing w:after="0"/>
              <w:rPr>
                <w:sz w:val="20"/>
                <w:szCs w:val="20"/>
                <w:color w:val="auto"/>
              </w:rPr>
            </w:pPr>
            <w:r>
              <w:rPr>
                <w:rFonts w:ascii="Arial" w:cs="Arial" w:eastAsia="Arial" w:hAnsi="Arial"/>
                <w:sz w:val="20"/>
                <w:szCs w:val="20"/>
                <w:b w:val="1"/>
                <w:bCs w:val="1"/>
                <w:color w:val="FFFFFF"/>
                <w:w w:val="98"/>
              </w:rPr>
              <w:t>3Q21</w:t>
            </w:r>
          </w:p>
        </w:tc>
        <w:tc>
          <w:tcPr>
            <w:tcW w:w="960" w:type="dxa"/>
            <w:vAlign w:val="bottom"/>
            <w:tcBorders>
              <w:top w:val="single" w:sz="8" w:color="auto"/>
              <w:right w:val="single" w:sz="8" w:color="2AD2C9"/>
            </w:tcBorders>
            <w:shd w:val="clear" w:color="auto" w:fill="2AD2C9"/>
          </w:tcPr>
          <w:p>
            <w:pPr>
              <w:ind w:left="180"/>
              <w:spacing w:after="0" w:line="217" w:lineRule="exact"/>
              <w:rPr>
                <w:sz w:val="20"/>
                <w:szCs w:val="20"/>
                <w:color w:val="auto"/>
              </w:rPr>
            </w:pPr>
            <w:r>
              <w:rPr>
                <w:rFonts w:ascii="Arial" w:cs="Arial" w:eastAsia="Arial" w:hAnsi="Arial"/>
                <w:sz w:val="20"/>
                <w:szCs w:val="20"/>
                <w:b w:val="1"/>
                <w:bCs w:val="1"/>
                <w:color w:val="FFFFFF"/>
              </w:rPr>
              <w:t>As of</w:t>
            </w:r>
          </w:p>
        </w:tc>
        <w:tc>
          <w:tcPr>
            <w:tcW w:w="980" w:type="dxa"/>
            <w:vAlign w:val="bottom"/>
            <w:tcBorders>
              <w:top w:val="single" w:sz="8" w:color="auto"/>
            </w:tcBorders>
            <w:vMerge w:val="restart"/>
            <w:shd w:val="clear" w:color="auto" w:fill="2AD2C9"/>
          </w:tcPr>
          <w:p>
            <w:pPr>
              <w:jc w:val="center"/>
              <w:ind w:left="88"/>
              <w:spacing w:after="0"/>
              <w:rPr>
                <w:sz w:val="20"/>
                <w:szCs w:val="20"/>
                <w:color w:val="auto"/>
              </w:rPr>
            </w:pPr>
            <w:r>
              <w:rPr>
                <w:rFonts w:ascii="Arial" w:cs="Arial" w:eastAsia="Arial" w:hAnsi="Arial"/>
                <w:sz w:val="20"/>
                <w:szCs w:val="20"/>
                <w:b w:val="1"/>
                <w:bCs w:val="1"/>
                <w:color w:val="FFFFFF"/>
                <w:w w:val="98"/>
              </w:rPr>
              <w:t>3Q22</w:t>
            </w:r>
          </w:p>
        </w:tc>
        <w:tc>
          <w:tcPr>
            <w:tcW w:w="180" w:type="dxa"/>
            <w:vAlign w:val="bottom"/>
            <w:tcBorders>
              <w:top w:val="single" w:sz="8" w:color="auto"/>
              <w:right w:val="single" w:sz="8" w:color="auto"/>
            </w:tcBorders>
            <w:shd w:val="clear" w:color="auto" w:fill="2AD2C9"/>
          </w:tcPr>
          <w:p>
            <w:pPr>
              <w:spacing w:after="0"/>
              <w:rPr>
                <w:sz w:val="18"/>
                <w:szCs w:val="18"/>
                <w:color w:val="auto"/>
              </w:rPr>
            </w:pPr>
          </w:p>
        </w:tc>
        <w:tc>
          <w:tcPr>
            <w:tcW w:w="2220" w:type="dxa"/>
            <w:vAlign w:val="bottom"/>
            <w:tcBorders>
              <w:top w:val="single" w:sz="8" w:color="auto"/>
              <w:right w:val="single" w:sz="8" w:color="auto"/>
            </w:tcBorders>
            <w:gridSpan w:val="3"/>
            <w:shd w:val="clear" w:color="auto" w:fill="2AD2C9"/>
          </w:tcPr>
          <w:p>
            <w:pPr>
              <w:ind w:left="640"/>
              <w:spacing w:after="0" w:line="217" w:lineRule="exact"/>
              <w:rPr>
                <w:sz w:val="20"/>
                <w:szCs w:val="20"/>
                <w:color w:val="auto"/>
              </w:rPr>
            </w:pPr>
            <w:r>
              <w:rPr>
                <w:rFonts w:ascii="Arial" w:cs="Arial" w:eastAsia="Arial" w:hAnsi="Arial"/>
                <w:sz w:val="20"/>
                <w:szCs w:val="20"/>
                <w:b w:val="1"/>
                <w:bCs w:val="1"/>
                <w:color w:val="FFFFFF"/>
              </w:rPr>
              <w:t>% change</w:t>
            </w:r>
          </w:p>
        </w:tc>
        <w:tc>
          <w:tcPr>
            <w:tcW w:w="0" w:type="dxa"/>
            <w:vAlign w:val="bottom"/>
          </w:tcPr>
          <w:p>
            <w:pPr>
              <w:spacing w:after="0"/>
              <w:rPr>
                <w:sz w:val="1"/>
                <w:szCs w:val="1"/>
                <w:color w:val="auto"/>
              </w:rPr>
            </w:pPr>
          </w:p>
        </w:tc>
      </w:tr>
      <w:tr>
        <w:trPr>
          <w:trHeight w:val="245"/>
        </w:trPr>
        <w:tc>
          <w:tcPr>
            <w:tcW w:w="3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shd w:val="clear" w:color="auto" w:fill="2AD2C9"/>
          </w:tcPr>
          <w:p>
            <w:pPr>
              <w:spacing w:after="0"/>
              <w:rPr>
                <w:sz w:val="21"/>
                <w:szCs w:val="21"/>
                <w:color w:val="auto"/>
              </w:rPr>
            </w:pPr>
          </w:p>
        </w:tc>
        <w:tc>
          <w:tcPr>
            <w:tcW w:w="120" w:type="dxa"/>
            <w:vAlign w:val="bottom"/>
            <w:tcBorders>
              <w:bottom w:val="single" w:sz="8" w:color="auto"/>
              <w:right w:val="single" w:sz="8" w:color="2AD2C9"/>
            </w:tcBorders>
            <w:shd w:val="clear" w:color="auto" w:fill="2AD2C9"/>
          </w:tcPr>
          <w:p>
            <w:pPr>
              <w:spacing w:after="0"/>
              <w:rPr>
                <w:sz w:val="21"/>
                <w:szCs w:val="21"/>
                <w:color w:val="auto"/>
              </w:rPr>
            </w:pPr>
          </w:p>
        </w:tc>
        <w:tc>
          <w:tcPr>
            <w:tcW w:w="940" w:type="dxa"/>
            <w:vAlign w:val="bottom"/>
            <w:tcBorders>
              <w:bottom w:val="single" w:sz="8" w:color="auto"/>
            </w:tcBorders>
            <w:vMerge w:val="continue"/>
            <w:shd w:val="clear" w:color="auto" w:fill="2AD2C9"/>
          </w:tcPr>
          <w:p>
            <w:pPr>
              <w:spacing w:after="0"/>
              <w:rPr>
                <w:sz w:val="21"/>
                <w:szCs w:val="21"/>
                <w:color w:val="auto"/>
              </w:rPr>
            </w:pPr>
          </w:p>
        </w:tc>
        <w:tc>
          <w:tcPr>
            <w:tcW w:w="960" w:type="dxa"/>
            <w:vAlign w:val="bottom"/>
            <w:tcBorders>
              <w:bottom w:val="single" w:sz="8" w:color="auto"/>
              <w:right w:val="single" w:sz="8" w:color="2AD2C9"/>
            </w:tcBorders>
            <w:shd w:val="clear" w:color="auto" w:fill="2AD2C9"/>
          </w:tcPr>
          <w:p>
            <w:pPr>
              <w:jc w:val="center"/>
              <w:ind w:right="28"/>
              <w:spacing w:after="0"/>
              <w:rPr>
                <w:sz w:val="20"/>
                <w:szCs w:val="20"/>
                <w:color w:val="auto"/>
              </w:rPr>
            </w:pPr>
            <w:r>
              <w:rPr>
                <w:rFonts w:ascii="Arial" w:cs="Arial" w:eastAsia="Arial" w:hAnsi="Arial"/>
                <w:sz w:val="20"/>
                <w:szCs w:val="20"/>
                <w:b w:val="1"/>
                <w:bCs w:val="1"/>
                <w:color w:val="FFFFFF"/>
                <w:w w:val="98"/>
              </w:rPr>
              <w:t>2Q22</w:t>
            </w:r>
          </w:p>
        </w:tc>
        <w:tc>
          <w:tcPr>
            <w:tcW w:w="980" w:type="dxa"/>
            <w:vAlign w:val="bottom"/>
            <w:tcBorders>
              <w:bottom w:val="single" w:sz="8" w:color="auto"/>
            </w:tcBorders>
            <w:vMerge w:val="continue"/>
            <w:shd w:val="clear" w:color="auto" w:fill="2AD2C9"/>
          </w:tcPr>
          <w:p>
            <w:pPr>
              <w:spacing w:after="0"/>
              <w:rPr>
                <w:sz w:val="21"/>
                <w:szCs w:val="21"/>
                <w:color w:val="auto"/>
              </w:rPr>
            </w:pPr>
          </w:p>
        </w:tc>
        <w:tc>
          <w:tcPr>
            <w:tcW w:w="180" w:type="dxa"/>
            <w:vAlign w:val="bottom"/>
            <w:tcBorders>
              <w:bottom w:val="single" w:sz="8" w:color="auto"/>
              <w:right w:val="single" w:sz="8" w:color="auto"/>
            </w:tcBorders>
            <w:shd w:val="clear" w:color="auto" w:fill="2AD2C9"/>
          </w:tcPr>
          <w:p>
            <w:pPr>
              <w:spacing w:after="0"/>
              <w:rPr>
                <w:sz w:val="21"/>
                <w:szCs w:val="21"/>
                <w:color w:val="auto"/>
              </w:rPr>
            </w:pPr>
          </w:p>
        </w:tc>
        <w:tc>
          <w:tcPr>
            <w:tcW w:w="920" w:type="dxa"/>
            <w:vAlign w:val="bottom"/>
            <w:tcBorders>
              <w:bottom w:val="single" w:sz="8" w:color="auto"/>
            </w:tcBorders>
            <w:gridSpan w:val="2"/>
            <w:shd w:val="clear" w:color="auto" w:fill="2AD2C9"/>
          </w:tcPr>
          <w:p>
            <w:pPr>
              <w:ind w:left="340"/>
              <w:spacing w:after="0"/>
              <w:rPr>
                <w:sz w:val="20"/>
                <w:szCs w:val="20"/>
                <w:color w:val="auto"/>
              </w:rPr>
            </w:pPr>
            <w:r>
              <w:rPr>
                <w:rFonts w:ascii="Arial" w:cs="Arial" w:eastAsia="Arial" w:hAnsi="Arial"/>
                <w:sz w:val="20"/>
                <w:szCs w:val="20"/>
                <w:b w:val="1"/>
                <w:bCs w:val="1"/>
                <w:color w:val="FFFFFF"/>
              </w:rPr>
              <w:t>QoQ</w:t>
            </w:r>
          </w:p>
        </w:tc>
        <w:tc>
          <w:tcPr>
            <w:tcW w:w="1300" w:type="dxa"/>
            <w:vAlign w:val="bottom"/>
            <w:tcBorders>
              <w:bottom w:val="single" w:sz="8" w:color="auto"/>
              <w:right w:val="single" w:sz="8" w:color="auto"/>
            </w:tcBorders>
            <w:shd w:val="clear" w:color="auto" w:fill="2AD2C9"/>
          </w:tcPr>
          <w:p>
            <w:pPr>
              <w:ind w:left="540"/>
              <w:spacing w:after="0"/>
              <w:rPr>
                <w:sz w:val="20"/>
                <w:szCs w:val="20"/>
                <w:color w:val="auto"/>
              </w:rPr>
            </w:pPr>
            <w:r>
              <w:rPr>
                <w:rFonts w:ascii="Arial" w:cs="Arial" w:eastAsia="Arial" w:hAnsi="Arial"/>
                <w:sz w:val="20"/>
                <w:szCs w:val="20"/>
                <w:b w:val="1"/>
                <w:bCs w:val="1"/>
                <w:color w:val="FFFFFF"/>
              </w:rPr>
              <w:t>YoY</w:t>
            </w:r>
          </w:p>
        </w:tc>
        <w:tc>
          <w:tcPr>
            <w:tcW w:w="0" w:type="dxa"/>
            <w:vAlign w:val="bottom"/>
          </w:tcPr>
          <w:p>
            <w:pPr>
              <w:spacing w:after="0"/>
              <w:rPr>
                <w:sz w:val="1"/>
                <w:szCs w:val="1"/>
                <w:color w:val="auto"/>
              </w:rPr>
            </w:pPr>
          </w:p>
        </w:tc>
      </w:tr>
      <w:tr>
        <w:trPr>
          <w:trHeight w:val="193"/>
        </w:trPr>
        <w:tc>
          <w:tcPr>
            <w:tcW w:w="3200" w:type="dxa"/>
            <w:vAlign w:val="bottom"/>
            <w:tcBorders>
              <w:left w:val="single" w:sz="8" w:color="auto"/>
            </w:tcBorders>
          </w:tcPr>
          <w:p>
            <w:pPr>
              <w:ind w:left="20"/>
              <w:spacing w:after="0" w:line="193" w:lineRule="exact"/>
              <w:rPr>
                <w:sz w:val="20"/>
                <w:szCs w:val="20"/>
                <w:color w:val="auto"/>
              </w:rPr>
            </w:pPr>
            <w:r>
              <w:rPr>
                <w:rFonts w:ascii="Arial" w:cs="Arial" w:eastAsia="Arial" w:hAnsi="Arial"/>
                <w:sz w:val="20"/>
                <w:szCs w:val="20"/>
                <w:color w:val="auto"/>
              </w:rPr>
              <w:t>Total assets</w:t>
            </w:r>
          </w:p>
        </w:tc>
        <w:tc>
          <w:tcPr>
            <w:tcW w:w="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250"/>
              <w:spacing w:after="0" w:line="193" w:lineRule="exact"/>
              <w:rPr>
                <w:sz w:val="20"/>
                <w:szCs w:val="20"/>
                <w:color w:val="auto"/>
              </w:rPr>
            </w:pPr>
            <w:r>
              <w:rPr>
                <w:rFonts w:ascii="Arial" w:cs="Arial" w:eastAsia="Arial" w:hAnsi="Arial"/>
                <w:sz w:val="20"/>
                <w:szCs w:val="20"/>
                <w:color w:val="auto"/>
                <w:w w:val="99"/>
              </w:rPr>
              <w:t>796,553</w:t>
            </w:r>
          </w:p>
        </w:tc>
        <w:tc>
          <w:tcPr>
            <w:tcW w:w="960" w:type="dxa"/>
            <w:vAlign w:val="bottom"/>
          </w:tcPr>
          <w:p>
            <w:pPr>
              <w:jc w:val="center"/>
              <w:ind w:right="28"/>
              <w:spacing w:after="0" w:line="193" w:lineRule="exact"/>
              <w:rPr>
                <w:sz w:val="20"/>
                <w:szCs w:val="20"/>
                <w:color w:val="auto"/>
              </w:rPr>
            </w:pPr>
            <w:r>
              <w:rPr>
                <w:rFonts w:ascii="Arial" w:cs="Arial" w:eastAsia="Arial" w:hAnsi="Arial"/>
                <w:sz w:val="20"/>
                <w:szCs w:val="20"/>
                <w:color w:val="auto"/>
                <w:w w:val="99"/>
              </w:rPr>
              <w:t>694,432</w:t>
            </w:r>
          </w:p>
        </w:tc>
        <w:tc>
          <w:tcPr>
            <w:tcW w:w="980" w:type="dxa"/>
            <w:vAlign w:val="bottom"/>
          </w:tcPr>
          <w:p>
            <w:pPr>
              <w:jc w:val="center"/>
              <w:ind w:left="88"/>
              <w:spacing w:after="0" w:line="193" w:lineRule="exact"/>
              <w:rPr>
                <w:sz w:val="20"/>
                <w:szCs w:val="20"/>
                <w:color w:val="auto"/>
              </w:rPr>
            </w:pPr>
            <w:r>
              <w:rPr>
                <w:rFonts w:ascii="Arial" w:cs="Arial" w:eastAsia="Arial" w:hAnsi="Arial"/>
                <w:sz w:val="20"/>
                <w:szCs w:val="20"/>
                <w:color w:val="auto"/>
                <w:w w:val="99"/>
              </w:rPr>
              <w:t>734,766</w:t>
            </w:r>
          </w:p>
        </w:tc>
        <w:tc>
          <w:tcPr>
            <w:tcW w:w="180" w:type="dxa"/>
            <w:vAlign w:val="bottom"/>
            <w:tcBorders>
              <w:right w:val="single" w:sz="8" w:color="auto"/>
            </w:tcBorders>
          </w:tcPr>
          <w:p>
            <w:pPr>
              <w:spacing w:after="0"/>
              <w:rPr>
                <w:sz w:val="16"/>
                <w:szCs w:val="16"/>
                <w:color w:val="auto"/>
              </w:rPr>
            </w:pPr>
          </w:p>
        </w:tc>
        <w:tc>
          <w:tcPr>
            <w:tcW w:w="920" w:type="dxa"/>
            <w:vAlign w:val="bottom"/>
            <w:gridSpan w:val="2"/>
          </w:tcPr>
          <w:p>
            <w:pPr>
              <w:ind w:left="320"/>
              <w:spacing w:after="0" w:line="193" w:lineRule="exact"/>
              <w:rPr>
                <w:sz w:val="20"/>
                <w:szCs w:val="20"/>
                <w:color w:val="auto"/>
              </w:rPr>
            </w:pPr>
            <w:r>
              <w:rPr>
                <w:rFonts w:ascii="Arial" w:cs="Arial" w:eastAsia="Arial" w:hAnsi="Arial"/>
                <w:sz w:val="20"/>
                <w:szCs w:val="20"/>
                <w:color w:val="auto"/>
              </w:rPr>
              <w:t>5.8%</w:t>
            </w:r>
          </w:p>
        </w:tc>
        <w:tc>
          <w:tcPr>
            <w:tcW w:w="1300" w:type="dxa"/>
            <w:vAlign w:val="bottom"/>
            <w:tcBorders>
              <w:right w:val="single" w:sz="8" w:color="auto"/>
            </w:tcBorders>
          </w:tcPr>
          <w:p>
            <w:pPr>
              <w:jc w:val="center"/>
              <w:ind w:left="48"/>
              <w:spacing w:after="0" w:line="193" w:lineRule="exact"/>
              <w:rPr>
                <w:sz w:val="20"/>
                <w:szCs w:val="20"/>
                <w:color w:val="auto"/>
              </w:rPr>
            </w:pPr>
            <w:r>
              <w:rPr>
                <w:rFonts w:ascii="Arial" w:cs="Arial" w:eastAsia="Arial" w:hAnsi="Arial"/>
                <w:sz w:val="20"/>
                <w:szCs w:val="20"/>
                <w:color w:val="auto"/>
                <w:w w:val="99"/>
              </w:rPr>
              <w:t>-7.8%</w:t>
            </w:r>
          </w:p>
        </w:tc>
        <w:tc>
          <w:tcPr>
            <w:tcW w:w="0" w:type="dxa"/>
            <w:vAlign w:val="bottom"/>
          </w:tcPr>
          <w:p>
            <w:pPr>
              <w:spacing w:after="0"/>
              <w:rPr>
                <w:sz w:val="1"/>
                <w:szCs w:val="1"/>
                <w:color w:val="auto"/>
              </w:rPr>
            </w:pPr>
          </w:p>
        </w:tc>
      </w:tr>
      <w:tr>
        <w:trPr>
          <w:trHeight w:val="214"/>
        </w:trPr>
        <w:tc>
          <w:tcPr>
            <w:tcW w:w="3200" w:type="dxa"/>
            <w:vAlign w:val="bottom"/>
            <w:tcBorders>
              <w:left w:val="single" w:sz="8" w:color="auto"/>
            </w:tcBorders>
          </w:tcPr>
          <w:p>
            <w:pPr>
              <w:ind w:left="20"/>
              <w:spacing w:after="0" w:line="214" w:lineRule="exact"/>
              <w:rPr>
                <w:sz w:val="20"/>
                <w:szCs w:val="20"/>
                <w:color w:val="auto"/>
              </w:rPr>
            </w:pPr>
            <w:r>
              <w:rPr>
                <w:rFonts w:ascii="Arial" w:cs="Arial" w:eastAsia="Arial" w:hAnsi="Arial"/>
                <w:sz w:val="20"/>
                <w:szCs w:val="20"/>
                <w:color w:val="auto"/>
              </w:rPr>
              <w:t>Total liabilities</w:t>
            </w:r>
          </w:p>
        </w:tc>
        <w:tc>
          <w:tcPr>
            <w:tcW w:w="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center"/>
              <w:ind w:right="250"/>
              <w:spacing w:after="0" w:line="214" w:lineRule="exact"/>
              <w:rPr>
                <w:sz w:val="20"/>
                <w:szCs w:val="20"/>
                <w:color w:val="auto"/>
              </w:rPr>
            </w:pPr>
            <w:r>
              <w:rPr>
                <w:rFonts w:ascii="Arial" w:cs="Arial" w:eastAsia="Arial" w:hAnsi="Arial"/>
                <w:sz w:val="20"/>
                <w:szCs w:val="20"/>
                <w:color w:val="auto"/>
                <w:w w:val="99"/>
              </w:rPr>
              <w:t>257,554</w:t>
            </w:r>
          </w:p>
        </w:tc>
        <w:tc>
          <w:tcPr>
            <w:tcW w:w="960" w:type="dxa"/>
            <w:vAlign w:val="bottom"/>
          </w:tcPr>
          <w:p>
            <w:pPr>
              <w:jc w:val="center"/>
              <w:ind w:right="28"/>
              <w:spacing w:after="0" w:line="214" w:lineRule="exact"/>
              <w:rPr>
                <w:sz w:val="20"/>
                <w:szCs w:val="20"/>
                <w:color w:val="auto"/>
              </w:rPr>
            </w:pPr>
            <w:r>
              <w:rPr>
                <w:rFonts w:ascii="Arial" w:cs="Arial" w:eastAsia="Arial" w:hAnsi="Arial"/>
                <w:sz w:val="20"/>
                <w:szCs w:val="20"/>
                <w:color w:val="auto"/>
                <w:w w:val="99"/>
              </w:rPr>
              <w:t>268,858</w:t>
            </w:r>
          </w:p>
        </w:tc>
        <w:tc>
          <w:tcPr>
            <w:tcW w:w="980" w:type="dxa"/>
            <w:vAlign w:val="bottom"/>
          </w:tcPr>
          <w:p>
            <w:pPr>
              <w:jc w:val="center"/>
              <w:ind w:left="88"/>
              <w:spacing w:after="0" w:line="214" w:lineRule="exact"/>
              <w:rPr>
                <w:sz w:val="20"/>
                <w:szCs w:val="20"/>
                <w:color w:val="auto"/>
              </w:rPr>
            </w:pPr>
            <w:r>
              <w:rPr>
                <w:rFonts w:ascii="Arial" w:cs="Arial" w:eastAsia="Arial" w:hAnsi="Arial"/>
                <w:sz w:val="20"/>
                <w:szCs w:val="20"/>
                <w:color w:val="auto"/>
                <w:w w:val="99"/>
              </w:rPr>
              <w:t>278,345</w:t>
            </w:r>
          </w:p>
        </w:tc>
        <w:tc>
          <w:tcPr>
            <w:tcW w:w="180" w:type="dxa"/>
            <w:vAlign w:val="bottom"/>
            <w:tcBorders>
              <w:right w:val="single" w:sz="8" w:color="auto"/>
            </w:tcBorders>
          </w:tcPr>
          <w:p>
            <w:pPr>
              <w:spacing w:after="0"/>
              <w:rPr>
                <w:sz w:val="18"/>
                <w:szCs w:val="18"/>
                <w:color w:val="auto"/>
              </w:rPr>
            </w:pPr>
          </w:p>
        </w:tc>
        <w:tc>
          <w:tcPr>
            <w:tcW w:w="920" w:type="dxa"/>
            <w:vAlign w:val="bottom"/>
            <w:gridSpan w:val="2"/>
          </w:tcPr>
          <w:p>
            <w:pPr>
              <w:ind w:left="320"/>
              <w:spacing w:after="0" w:line="214" w:lineRule="exact"/>
              <w:rPr>
                <w:sz w:val="20"/>
                <w:szCs w:val="20"/>
                <w:color w:val="auto"/>
              </w:rPr>
            </w:pPr>
            <w:r>
              <w:rPr>
                <w:rFonts w:ascii="Arial" w:cs="Arial" w:eastAsia="Arial" w:hAnsi="Arial"/>
                <w:sz w:val="20"/>
                <w:szCs w:val="20"/>
                <w:color w:val="auto"/>
              </w:rPr>
              <w:t>3.5%</w:t>
            </w:r>
          </w:p>
        </w:tc>
        <w:tc>
          <w:tcPr>
            <w:tcW w:w="1300" w:type="dxa"/>
            <w:vAlign w:val="bottom"/>
            <w:tcBorders>
              <w:right w:val="single" w:sz="8" w:color="auto"/>
            </w:tcBorders>
          </w:tcPr>
          <w:p>
            <w:pPr>
              <w:jc w:val="center"/>
              <w:ind w:left="48"/>
              <w:spacing w:after="0" w:line="214" w:lineRule="exact"/>
              <w:rPr>
                <w:sz w:val="20"/>
                <w:szCs w:val="20"/>
                <w:color w:val="auto"/>
              </w:rPr>
            </w:pPr>
            <w:r>
              <w:rPr>
                <w:rFonts w:ascii="Arial" w:cs="Arial" w:eastAsia="Arial" w:hAnsi="Arial"/>
                <w:sz w:val="20"/>
                <w:szCs w:val="20"/>
                <w:color w:val="auto"/>
                <w:w w:val="96"/>
              </w:rPr>
              <w:t>8.1%</w:t>
            </w:r>
          </w:p>
        </w:tc>
        <w:tc>
          <w:tcPr>
            <w:tcW w:w="0" w:type="dxa"/>
            <w:vAlign w:val="bottom"/>
          </w:tcPr>
          <w:p>
            <w:pPr>
              <w:spacing w:after="0"/>
              <w:rPr>
                <w:sz w:val="1"/>
                <w:szCs w:val="1"/>
                <w:color w:val="auto"/>
              </w:rPr>
            </w:pPr>
          </w:p>
        </w:tc>
      </w:tr>
      <w:tr>
        <w:trPr>
          <w:trHeight w:val="243"/>
        </w:trPr>
        <w:tc>
          <w:tcPr>
            <w:tcW w:w="32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20"/>
                <w:szCs w:val="20"/>
                <w:color w:val="auto"/>
              </w:rPr>
              <w:t>Net shareholders' equity</w:t>
            </w:r>
          </w:p>
        </w:tc>
        <w:tc>
          <w:tcPr>
            <w:tcW w:w="9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20" w:type="dxa"/>
            <w:vAlign w:val="bottom"/>
            <w:tcBorders>
              <w:bottom w:val="single" w:sz="8" w:color="auto"/>
              <w:right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center"/>
              <w:ind w:right="250"/>
              <w:spacing w:after="0"/>
              <w:rPr>
                <w:sz w:val="20"/>
                <w:szCs w:val="20"/>
                <w:color w:val="auto"/>
              </w:rPr>
            </w:pPr>
            <w:r>
              <w:rPr>
                <w:rFonts w:ascii="Arial" w:cs="Arial" w:eastAsia="Arial" w:hAnsi="Arial"/>
                <w:sz w:val="20"/>
                <w:szCs w:val="20"/>
                <w:color w:val="auto"/>
                <w:w w:val="99"/>
              </w:rPr>
              <w:t>538,999</w:t>
            </w: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20"/>
                <w:szCs w:val="20"/>
                <w:color w:val="auto"/>
                <w:w w:val="99"/>
              </w:rPr>
              <w:t>425,574</w:t>
            </w:r>
          </w:p>
        </w:tc>
        <w:tc>
          <w:tcPr>
            <w:tcW w:w="980" w:type="dxa"/>
            <w:vAlign w:val="bottom"/>
            <w:tcBorders>
              <w:bottom w:val="single" w:sz="8" w:color="auto"/>
            </w:tcBorders>
          </w:tcPr>
          <w:p>
            <w:pPr>
              <w:jc w:val="center"/>
              <w:ind w:left="88"/>
              <w:spacing w:after="0"/>
              <w:rPr>
                <w:sz w:val="20"/>
                <w:szCs w:val="20"/>
                <w:color w:val="auto"/>
              </w:rPr>
            </w:pPr>
            <w:r>
              <w:rPr>
                <w:rFonts w:ascii="Arial" w:cs="Arial" w:eastAsia="Arial" w:hAnsi="Arial"/>
                <w:sz w:val="20"/>
                <w:szCs w:val="20"/>
                <w:color w:val="auto"/>
                <w:w w:val="99"/>
              </w:rPr>
              <w:t>456,421</w:t>
            </w:r>
          </w:p>
        </w:tc>
        <w:tc>
          <w:tcPr>
            <w:tcW w:w="18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gridSpan w:val="2"/>
          </w:tcPr>
          <w:p>
            <w:pPr>
              <w:ind w:left="320"/>
              <w:spacing w:after="0"/>
              <w:rPr>
                <w:sz w:val="20"/>
                <w:szCs w:val="20"/>
                <w:color w:val="auto"/>
              </w:rPr>
            </w:pPr>
            <w:r>
              <w:rPr>
                <w:rFonts w:ascii="Arial" w:cs="Arial" w:eastAsia="Arial" w:hAnsi="Arial"/>
                <w:sz w:val="20"/>
                <w:szCs w:val="20"/>
                <w:color w:val="auto"/>
              </w:rPr>
              <w:t>7.2%</w:t>
            </w:r>
          </w:p>
        </w:tc>
        <w:tc>
          <w:tcPr>
            <w:tcW w:w="1300" w:type="dxa"/>
            <w:vAlign w:val="bottom"/>
            <w:tcBorders>
              <w:bottom w:val="single" w:sz="8" w:color="auto"/>
              <w:right w:val="single" w:sz="8" w:color="auto"/>
            </w:tcBorders>
          </w:tcPr>
          <w:p>
            <w:pPr>
              <w:jc w:val="center"/>
              <w:ind w:left="68"/>
              <w:spacing w:after="0"/>
              <w:rPr>
                <w:sz w:val="20"/>
                <w:szCs w:val="20"/>
                <w:color w:val="auto"/>
              </w:rPr>
            </w:pPr>
            <w:r>
              <w:rPr>
                <w:rFonts w:ascii="Arial" w:cs="Arial" w:eastAsia="Arial" w:hAnsi="Arial"/>
                <w:sz w:val="20"/>
                <w:szCs w:val="20"/>
                <w:color w:val="auto"/>
                <w:w w:val="97"/>
              </w:rPr>
              <w:t>-15.3%</w:t>
            </w:r>
          </w:p>
        </w:tc>
        <w:tc>
          <w:tcPr>
            <w:tcW w:w="0" w:type="dxa"/>
            <w:vAlign w:val="bottom"/>
          </w:tcPr>
          <w:p>
            <w:pPr>
              <w:spacing w:after="0"/>
              <w:rPr>
                <w:sz w:val="1"/>
                <w:szCs w:val="1"/>
                <w:color w:val="auto"/>
              </w:rPr>
            </w:pPr>
          </w:p>
        </w:tc>
      </w:tr>
      <w:tr>
        <w:trPr>
          <w:trHeight w:val="248"/>
        </w:trPr>
        <w:tc>
          <w:tcPr>
            <w:tcW w:w="320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tcPr>
          <w:p>
            <w:pPr>
              <w:spacing w:after="0"/>
              <w:rPr>
                <w:sz w:val="21"/>
                <w:szCs w:val="21"/>
                <w:color w:val="auto"/>
              </w:rPr>
            </w:pPr>
          </w:p>
        </w:tc>
        <w:tc>
          <w:tcPr>
            <w:tcW w:w="1920" w:type="dxa"/>
            <w:vAlign w:val="bottom"/>
            <w:tcBorders>
              <w:bottom w:val="single" w:sz="8" w:color="auto"/>
            </w:tcBorders>
            <w:gridSpan w:val="3"/>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3200" w:type="dxa"/>
            <w:vAlign w:val="bottom"/>
            <w:tcBorders>
              <w:right w:val="single" w:sz="8" w:color="auto"/>
            </w:tcBorders>
          </w:tcPr>
          <w:p>
            <w:pPr>
              <w:spacing w:after="0"/>
              <w:rPr>
                <w:sz w:val="15"/>
                <w:szCs w:val="15"/>
                <w:color w:val="auto"/>
              </w:rPr>
            </w:pPr>
          </w:p>
        </w:tc>
        <w:tc>
          <w:tcPr>
            <w:tcW w:w="920" w:type="dxa"/>
            <w:vAlign w:val="bottom"/>
            <w:shd w:val="clear" w:color="auto" w:fill="2AD2C9"/>
          </w:tcPr>
          <w:p>
            <w:pPr>
              <w:spacing w:after="0"/>
              <w:rPr>
                <w:sz w:val="15"/>
                <w:szCs w:val="15"/>
                <w:color w:val="auto"/>
              </w:rPr>
            </w:pPr>
          </w:p>
        </w:tc>
        <w:tc>
          <w:tcPr>
            <w:tcW w:w="900" w:type="dxa"/>
            <w:vAlign w:val="bottom"/>
            <w:shd w:val="clear" w:color="auto" w:fill="2AD2C9"/>
          </w:tcPr>
          <w:p>
            <w:pPr>
              <w:ind w:left="140"/>
              <w:spacing w:after="0" w:line="177" w:lineRule="exact"/>
              <w:rPr>
                <w:sz w:val="20"/>
                <w:szCs w:val="20"/>
                <w:color w:val="auto"/>
              </w:rPr>
            </w:pPr>
            <w:r>
              <w:rPr>
                <w:rFonts w:ascii="Arial" w:cs="Arial" w:eastAsia="Arial" w:hAnsi="Arial"/>
                <w:sz w:val="18"/>
                <w:szCs w:val="18"/>
                <w:b w:val="1"/>
                <w:bCs w:val="1"/>
                <w:color w:val="FFFFFF"/>
              </w:rPr>
              <w:t>Quarter</w:t>
            </w:r>
          </w:p>
        </w:tc>
        <w:tc>
          <w:tcPr>
            <w:tcW w:w="620" w:type="dxa"/>
            <w:vAlign w:val="bottom"/>
            <w:tcBorders>
              <w:right w:val="single" w:sz="8" w:color="2AD2C9"/>
            </w:tcBorders>
            <w:shd w:val="clear" w:color="auto" w:fill="2AD2C9"/>
          </w:tcPr>
          <w:p>
            <w:pPr>
              <w:spacing w:after="0"/>
              <w:rPr>
                <w:sz w:val="15"/>
                <w:szCs w:val="15"/>
                <w:color w:val="auto"/>
              </w:rPr>
            </w:pPr>
          </w:p>
        </w:tc>
        <w:tc>
          <w:tcPr>
            <w:tcW w:w="200" w:type="dxa"/>
            <w:vAlign w:val="bottom"/>
            <w:shd w:val="clear" w:color="auto" w:fill="2AD2C9"/>
          </w:tcPr>
          <w:p>
            <w:pPr>
              <w:spacing w:after="0"/>
              <w:rPr>
                <w:sz w:val="15"/>
                <w:szCs w:val="15"/>
                <w:color w:val="auto"/>
              </w:rPr>
            </w:pPr>
          </w:p>
        </w:tc>
        <w:tc>
          <w:tcPr>
            <w:tcW w:w="120" w:type="dxa"/>
            <w:vAlign w:val="bottom"/>
            <w:tcBorders>
              <w:right w:val="single" w:sz="8" w:color="auto"/>
            </w:tcBorders>
            <w:shd w:val="clear" w:color="auto" w:fill="2AD2C9"/>
          </w:tcPr>
          <w:p>
            <w:pPr>
              <w:spacing w:after="0"/>
              <w:rPr>
                <w:sz w:val="15"/>
                <w:szCs w:val="15"/>
                <w:color w:val="auto"/>
              </w:rPr>
            </w:pPr>
          </w:p>
        </w:tc>
        <w:tc>
          <w:tcPr>
            <w:tcW w:w="1900" w:type="dxa"/>
            <w:vAlign w:val="bottom"/>
            <w:tcBorders>
              <w:right w:val="single" w:sz="8" w:color="auto"/>
            </w:tcBorders>
            <w:gridSpan w:val="2"/>
            <w:shd w:val="clear" w:color="auto" w:fill="2AD2C9"/>
          </w:tcPr>
          <w:p>
            <w:pPr>
              <w:ind w:left="520"/>
              <w:spacing w:after="0" w:line="177" w:lineRule="exact"/>
              <w:rPr>
                <w:sz w:val="20"/>
                <w:szCs w:val="20"/>
                <w:color w:val="auto"/>
              </w:rPr>
            </w:pPr>
            <w:r>
              <w:rPr>
                <w:rFonts w:ascii="Arial" w:cs="Arial" w:eastAsia="Arial" w:hAnsi="Arial"/>
                <w:sz w:val="18"/>
                <w:szCs w:val="18"/>
                <w:b w:val="1"/>
                <w:bCs w:val="1"/>
                <w:color w:val="FFFFFF"/>
              </w:rPr>
              <w:t>% change</w:t>
            </w:r>
          </w:p>
        </w:tc>
        <w:tc>
          <w:tcPr>
            <w:tcW w:w="1920" w:type="dxa"/>
            <w:vAlign w:val="bottom"/>
            <w:tcBorders>
              <w:right w:val="single" w:sz="8" w:color="auto"/>
            </w:tcBorders>
            <w:gridSpan w:val="3"/>
            <w:shd w:val="clear" w:color="auto" w:fill="2AD2C9"/>
          </w:tcPr>
          <w:p>
            <w:pPr>
              <w:ind w:left="720"/>
              <w:spacing w:after="0" w:line="177" w:lineRule="exact"/>
              <w:rPr>
                <w:sz w:val="20"/>
                <w:szCs w:val="20"/>
                <w:color w:val="auto"/>
              </w:rPr>
            </w:pPr>
            <w:r>
              <w:rPr>
                <w:rFonts w:ascii="Arial" w:cs="Arial" w:eastAsia="Arial" w:hAnsi="Arial"/>
                <w:sz w:val="18"/>
                <w:szCs w:val="18"/>
                <w:b w:val="1"/>
                <w:bCs w:val="1"/>
                <w:color w:val="FFFFFF"/>
              </w:rPr>
              <w:t>As of</w:t>
            </w:r>
          </w:p>
        </w:tc>
        <w:tc>
          <w:tcPr>
            <w:tcW w:w="160" w:type="dxa"/>
            <w:vAlign w:val="bottom"/>
            <w:shd w:val="clear" w:color="auto" w:fill="2AD2C9"/>
          </w:tcPr>
          <w:p>
            <w:pPr>
              <w:spacing w:after="0"/>
              <w:rPr>
                <w:sz w:val="15"/>
                <w:szCs w:val="15"/>
                <w:color w:val="auto"/>
              </w:rPr>
            </w:pPr>
          </w:p>
        </w:tc>
        <w:tc>
          <w:tcPr>
            <w:tcW w:w="1300" w:type="dxa"/>
            <w:vAlign w:val="bottom"/>
            <w:tcBorders>
              <w:right w:val="single" w:sz="8" w:color="auto"/>
            </w:tcBorders>
            <w:shd w:val="clear" w:color="auto" w:fill="2AD2C9"/>
          </w:tcPr>
          <w:p>
            <w:pPr>
              <w:jc w:val="center"/>
              <w:ind w:right="88"/>
              <w:spacing w:after="0" w:line="177" w:lineRule="exact"/>
              <w:rPr>
                <w:sz w:val="20"/>
                <w:szCs w:val="20"/>
                <w:color w:val="auto"/>
              </w:rPr>
            </w:pPr>
            <w:r>
              <w:rPr>
                <w:rFonts w:ascii="Arial" w:cs="Arial" w:eastAsia="Arial" w:hAnsi="Arial"/>
                <w:sz w:val="18"/>
                <w:szCs w:val="18"/>
                <w:b w:val="1"/>
                <w:bCs w:val="1"/>
                <w:color w:val="FFFFFF"/>
                <w:w w:val="99"/>
              </w:rPr>
              <w:t>% change</w:t>
            </w:r>
          </w:p>
        </w:tc>
        <w:tc>
          <w:tcPr>
            <w:tcW w:w="0" w:type="dxa"/>
            <w:vAlign w:val="bottom"/>
          </w:tcPr>
          <w:p>
            <w:pPr>
              <w:spacing w:after="0"/>
              <w:rPr>
                <w:sz w:val="1"/>
                <w:szCs w:val="1"/>
                <w:color w:val="auto"/>
              </w:rPr>
            </w:pPr>
          </w:p>
        </w:tc>
      </w:tr>
      <w:tr>
        <w:trPr>
          <w:trHeight w:val="245"/>
        </w:trPr>
        <w:tc>
          <w:tcPr>
            <w:tcW w:w="320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90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2Q22</w:t>
            </w:r>
          </w:p>
        </w:tc>
        <w:tc>
          <w:tcPr>
            <w:tcW w:w="820" w:type="dxa"/>
            <w:vAlign w:val="bottom"/>
            <w:tcBorders>
              <w:bottom w:val="single" w:sz="8" w:color="auto"/>
            </w:tcBorders>
            <w:gridSpan w:val="2"/>
            <w:shd w:val="clear" w:color="auto" w:fill="2AD2C9"/>
          </w:tcPr>
          <w:p>
            <w:pPr>
              <w:jc w:val="center"/>
              <w:ind w:left="11"/>
              <w:spacing w:after="0"/>
              <w:rPr>
                <w:sz w:val="20"/>
                <w:szCs w:val="20"/>
                <w:color w:val="auto"/>
              </w:rPr>
            </w:pPr>
            <w:r>
              <w:rPr>
                <w:rFonts w:ascii="Arial" w:cs="Arial" w:eastAsia="Arial" w:hAnsi="Arial"/>
                <w:sz w:val="18"/>
                <w:szCs w:val="18"/>
                <w:b w:val="1"/>
                <w:bCs w:val="1"/>
                <w:color w:val="FFFFFF"/>
                <w:w w:val="99"/>
              </w:rPr>
              <w:t>3Q22</w:t>
            </w:r>
          </w:p>
        </w:tc>
        <w:tc>
          <w:tcPr>
            <w:tcW w:w="120" w:type="dxa"/>
            <w:vAlign w:val="bottom"/>
            <w:tcBorders>
              <w:bottom w:val="single" w:sz="8" w:color="auto"/>
              <w:right w:val="single" w:sz="8" w:color="auto"/>
            </w:tcBorders>
            <w:shd w:val="clear" w:color="auto" w:fill="2AD2C9"/>
          </w:tcPr>
          <w:p>
            <w:pPr>
              <w:spacing w:after="0"/>
              <w:rPr>
                <w:sz w:val="21"/>
                <w:szCs w:val="21"/>
                <w:color w:val="auto"/>
              </w:rPr>
            </w:pP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rPr>
              <w:t>QoQ</w:t>
            </w:r>
          </w:p>
        </w:tc>
        <w:tc>
          <w:tcPr>
            <w:tcW w:w="960" w:type="dxa"/>
            <w:vAlign w:val="bottom"/>
            <w:tcBorders>
              <w:bottom w:val="single" w:sz="8" w:color="auto"/>
              <w:right w:val="single" w:sz="8" w:color="auto"/>
            </w:tcBorders>
            <w:shd w:val="clear" w:color="auto" w:fill="2AD2C9"/>
          </w:tcPr>
          <w:p>
            <w:pPr>
              <w:ind w:left="320"/>
              <w:spacing w:after="0"/>
              <w:rPr>
                <w:sz w:val="20"/>
                <w:szCs w:val="20"/>
                <w:color w:val="auto"/>
              </w:rPr>
            </w:pPr>
            <w:r>
              <w:rPr>
                <w:rFonts w:ascii="Arial" w:cs="Arial" w:eastAsia="Arial" w:hAnsi="Arial"/>
                <w:sz w:val="18"/>
                <w:szCs w:val="18"/>
                <w:b w:val="1"/>
                <w:bCs w:val="1"/>
                <w:color w:val="FFFFFF"/>
              </w:rPr>
              <w:t>YoY</w:t>
            </w:r>
          </w:p>
        </w:tc>
        <w:tc>
          <w:tcPr>
            <w:tcW w:w="98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20"/>
                <w:szCs w:val="20"/>
                <w:b w:val="1"/>
                <w:bCs w:val="1"/>
                <w:color w:val="FFFFFF"/>
              </w:rPr>
              <w:t>Sep 21</w:t>
            </w:r>
          </w:p>
        </w:tc>
        <w:tc>
          <w:tcPr>
            <w:tcW w:w="940" w:type="dxa"/>
            <w:vAlign w:val="bottom"/>
            <w:tcBorders>
              <w:bottom w:val="single" w:sz="8" w:color="auto"/>
              <w:right w:val="single" w:sz="8" w:color="auto"/>
            </w:tcBorders>
            <w:gridSpan w:val="2"/>
            <w:shd w:val="clear" w:color="auto" w:fill="2AD2C9"/>
          </w:tcPr>
          <w:p>
            <w:pPr>
              <w:ind w:left="120"/>
              <w:spacing w:after="0"/>
              <w:rPr>
                <w:sz w:val="20"/>
                <w:szCs w:val="20"/>
                <w:color w:val="auto"/>
              </w:rPr>
            </w:pPr>
            <w:r>
              <w:rPr>
                <w:rFonts w:ascii="Arial" w:cs="Arial" w:eastAsia="Arial" w:hAnsi="Arial"/>
                <w:sz w:val="20"/>
                <w:szCs w:val="20"/>
                <w:b w:val="1"/>
                <w:bCs w:val="1"/>
                <w:color w:val="FFFFFF"/>
              </w:rPr>
              <w:t>Sep 22</w:t>
            </w:r>
          </w:p>
        </w:tc>
        <w:tc>
          <w:tcPr>
            <w:tcW w:w="1460" w:type="dxa"/>
            <w:vAlign w:val="bottom"/>
            <w:tcBorders>
              <w:bottom w:val="single" w:sz="8" w:color="auto"/>
              <w:right w:val="single" w:sz="8" w:color="auto"/>
            </w:tcBorders>
            <w:gridSpan w:val="2"/>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Sep 22 / Sep 21</w:t>
            </w:r>
          </w:p>
        </w:tc>
        <w:tc>
          <w:tcPr>
            <w:tcW w:w="0" w:type="dxa"/>
            <w:vAlign w:val="bottom"/>
          </w:tcPr>
          <w:p>
            <w:pPr>
              <w:spacing w:after="0"/>
              <w:rPr>
                <w:sz w:val="1"/>
                <w:szCs w:val="1"/>
                <w:color w:val="auto"/>
              </w:rPr>
            </w:pPr>
          </w:p>
        </w:tc>
      </w:tr>
      <w:tr>
        <w:trPr>
          <w:trHeight w:val="182"/>
        </w:trPr>
        <w:tc>
          <w:tcPr>
            <w:tcW w:w="3200" w:type="dxa"/>
            <w:vAlign w:val="bottom"/>
            <w:tcBorders>
              <w:left w:val="single" w:sz="8" w:color="auto"/>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Income from commissions</w:t>
            </w:r>
          </w:p>
        </w:tc>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98"/>
              </w:rPr>
              <w:t>94,620</w:t>
            </w:r>
          </w:p>
        </w:tc>
        <w:tc>
          <w:tcPr>
            <w:tcW w:w="900" w:type="dxa"/>
            <w:vAlign w:val="bottom"/>
          </w:tcPr>
          <w:p>
            <w:pPr>
              <w:jc w:val="center"/>
              <w:spacing w:after="0" w:line="182" w:lineRule="exact"/>
              <w:rPr>
                <w:sz w:val="20"/>
                <w:szCs w:val="20"/>
                <w:color w:val="auto"/>
              </w:rPr>
            </w:pPr>
            <w:r>
              <w:rPr>
                <w:rFonts w:ascii="Arial" w:cs="Arial" w:eastAsia="Arial" w:hAnsi="Arial"/>
                <w:sz w:val="18"/>
                <w:szCs w:val="18"/>
                <w:color w:val="auto"/>
                <w:w w:val="98"/>
              </w:rPr>
              <w:t>98,749</w:t>
            </w:r>
          </w:p>
        </w:tc>
        <w:tc>
          <w:tcPr>
            <w:tcW w:w="820" w:type="dxa"/>
            <w:vAlign w:val="bottom"/>
            <w:gridSpan w:val="2"/>
          </w:tcPr>
          <w:p>
            <w:pPr>
              <w:jc w:val="center"/>
              <w:ind w:left="31"/>
              <w:spacing w:after="0" w:line="182" w:lineRule="exact"/>
              <w:rPr>
                <w:sz w:val="20"/>
                <w:szCs w:val="20"/>
                <w:color w:val="auto"/>
              </w:rPr>
            </w:pPr>
            <w:r>
              <w:rPr>
                <w:rFonts w:ascii="Arial" w:cs="Arial" w:eastAsia="Arial" w:hAnsi="Arial"/>
                <w:sz w:val="18"/>
                <w:szCs w:val="18"/>
                <w:color w:val="auto"/>
                <w:w w:val="98"/>
              </w:rPr>
              <w:t>93,922</w:t>
            </w:r>
          </w:p>
        </w:tc>
        <w:tc>
          <w:tcPr>
            <w:tcW w:w="120" w:type="dxa"/>
            <w:vAlign w:val="bottom"/>
            <w:tcBorders>
              <w:right w:val="single" w:sz="8" w:color="auto"/>
            </w:tcBorders>
          </w:tcPr>
          <w:p>
            <w:pPr>
              <w:spacing w:after="0"/>
              <w:rPr>
                <w:sz w:val="15"/>
                <w:szCs w:val="15"/>
                <w:color w:val="auto"/>
              </w:rPr>
            </w:pPr>
          </w:p>
        </w:tc>
        <w:tc>
          <w:tcPr>
            <w:tcW w:w="940" w:type="dxa"/>
            <w:vAlign w:val="bottom"/>
          </w:tcPr>
          <w:p>
            <w:pPr>
              <w:jc w:val="center"/>
              <w:spacing w:after="0" w:line="182" w:lineRule="exact"/>
              <w:rPr>
                <w:sz w:val="20"/>
                <w:szCs w:val="20"/>
                <w:color w:val="auto"/>
              </w:rPr>
            </w:pPr>
            <w:r>
              <w:rPr>
                <w:rFonts w:ascii="Arial" w:cs="Arial" w:eastAsia="Arial" w:hAnsi="Arial"/>
                <w:sz w:val="18"/>
                <w:szCs w:val="18"/>
                <w:color w:val="auto"/>
              </w:rPr>
              <w:t>-4.9%</w:t>
            </w:r>
          </w:p>
        </w:tc>
        <w:tc>
          <w:tcPr>
            <w:tcW w:w="9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rPr>
              <w:t>-0.7%</w:t>
            </w:r>
          </w:p>
        </w:tc>
        <w:tc>
          <w:tcPr>
            <w:tcW w:w="980" w:type="dxa"/>
            <w:vAlign w:val="bottom"/>
          </w:tcPr>
          <w:p>
            <w:pPr>
              <w:jc w:val="center"/>
              <w:spacing w:after="0" w:line="182" w:lineRule="exact"/>
              <w:rPr>
                <w:sz w:val="20"/>
                <w:szCs w:val="20"/>
                <w:color w:val="auto"/>
              </w:rPr>
            </w:pPr>
            <w:r>
              <w:rPr>
                <w:rFonts w:ascii="Arial" w:cs="Arial" w:eastAsia="Arial" w:hAnsi="Arial"/>
                <w:sz w:val="18"/>
                <w:szCs w:val="18"/>
                <w:color w:val="auto"/>
                <w:w w:val="98"/>
              </w:rPr>
              <w:t>289,552</w:t>
            </w:r>
          </w:p>
        </w:tc>
        <w:tc>
          <w:tcPr>
            <w:tcW w:w="940" w:type="dxa"/>
            <w:vAlign w:val="bottom"/>
            <w:tcBorders>
              <w:right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w w:val="98"/>
              </w:rPr>
              <w:t>285,863</w:t>
            </w:r>
          </w:p>
        </w:tc>
        <w:tc>
          <w:tcPr>
            <w:tcW w:w="160" w:type="dxa"/>
            <w:vAlign w:val="bottom"/>
          </w:tcPr>
          <w:p>
            <w:pPr>
              <w:spacing w:after="0"/>
              <w:rPr>
                <w:sz w:val="15"/>
                <w:szCs w:val="15"/>
                <w:color w:val="auto"/>
              </w:rPr>
            </w:pPr>
          </w:p>
        </w:tc>
        <w:tc>
          <w:tcPr>
            <w:tcW w:w="1300" w:type="dxa"/>
            <w:vAlign w:val="bottom"/>
            <w:tcBorders>
              <w:right w:val="single" w:sz="8" w:color="auto"/>
            </w:tcBorders>
          </w:tcPr>
          <w:p>
            <w:pPr>
              <w:jc w:val="center"/>
              <w:ind w:right="88"/>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1"/>
        </w:trPr>
        <w:tc>
          <w:tcPr>
            <w:tcW w:w="3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Administrative and sale expenses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(42,006)</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8"/>
              </w:rPr>
              <w:t>(45,786)</w:t>
            </w:r>
          </w:p>
        </w:tc>
        <w:tc>
          <w:tcPr>
            <w:tcW w:w="820" w:type="dxa"/>
            <w:vAlign w:val="bottom"/>
            <w:gridSpan w:val="2"/>
          </w:tcPr>
          <w:p>
            <w:pPr>
              <w:jc w:val="center"/>
              <w:ind w:left="31"/>
              <w:spacing w:after="0" w:line="201" w:lineRule="exact"/>
              <w:rPr>
                <w:sz w:val="20"/>
                <w:szCs w:val="20"/>
                <w:color w:val="auto"/>
              </w:rPr>
            </w:pPr>
            <w:r>
              <w:rPr>
                <w:rFonts w:ascii="Arial" w:cs="Arial" w:eastAsia="Arial" w:hAnsi="Arial"/>
                <w:sz w:val="18"/>
                <w:szCs w:val="18"/>
                <w:color w:val="auto"/>
                <w:w w:val="98"/>
              </w:rPr>
              <w:t>(40,561)</w:t>
            </w:r>
          </w:p>
        </w:tc>
        <w:tc>
          <w:tcPr>
            <w:tcW w:w="120" w:type="dxa"/>
            <w:vAlign w:val="bottom"/>
            <w:tcBorders>
              <w:right w:val="single" w:sz="8" w:color="auto"/>
            </w:tcBorders>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-11.4%</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-3.4%</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8"/>
              </w:rPr>
              <w:t>(119,296)</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8"/>
              </w:rPr>
              <w:t>(130,147)</w:t>
            </w:r>
          </w:p>
        </w:tc>
        <w:tc>
          <w:tcPr>
            <w:tcW w:w="160" w:type="dxa"/>
            <w:vAlign w:val="bottom"/>
          </w:tcPr>
          <w:p>
            <w:pPr>
              <w:spacing w:after="0"/>
              <w:rPr>
                <w:sz w:val="17"/>
                <w:szCs w:val="17"/>
                <w:color w:val="auto"/>
              </w:rPr>
            </w:pPr>
          </w:p>
        </w:tc>
        <w:tc>
          <w:tcPr>
            <w:tcW w:w="1300" w:type="dxa"/>
            <w:vAlign w:val="bottom"/>
            <w:tcBorders>
              <w:right w:val="single" w:sz="8" w:color="auto"/>
            </w:tcBorders>
          </w:tcPr>
          <w:p>
            <w:pPr>
              <w:jc w:val="center"/>
              <w:ind w:right="88"/>
              <w:spacing w:after="0" w:line="201" w:lineRule="exact"/>
              <w:rPr>
                <w:sz w:val="20"/>
                <w:szCs w:val="20"/>
                <w:color w:val="auto"/>
              </w:rPr>
            </w:pPr>
            <w:r>
              <w:rPr>
                <w:rFonts w:ascii="Arial" w:cs="Arial" w:eastAsia="Arial" w:hAnsi="Arial"/>
                <w:sz w:val="18"/>
                <w:szCs w:val="18"/>
                <w:color w:val="auto"/>
                <w:w w:val="97"/>
              </w:rPr>
              <w:t>9.1%</w:t>
            </w:r>
          </w:p>
        </w:tc>
        <w:tc>
          <w:tcPr>
            <w:tcW w:w="0" w:type="dxa"/>
            <w:vAlign w:val="bottom"/>
          </w:tcPr>
          <w:p>
            <w:pPr>
              <w:spacing w:after="0"/>
              <w:rPr>
                <w:sz w:val="1"/>
                <w:szCs w:val="1"/>
                <w:color w:val="auto"/>
              </w:rPr>
            </w:pPr>
          </w:p>
        </w:tc>
      </w:tr>
      <w:tr>
        <w:trPr>
          <w:trHeight w:val="201"/>
        </w:trPr>
        <w:tc>
          <w:tcPr>
            <w:tcW w:w="3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Depreciation and amortization</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(5,845)</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8"/>
              </w:rPr>
              <w:t>(6,247)</w:t>
            </w:r>
          </w:p>
        </w:tc>
        <w:tc>
          <w:tcPr>
            <w:tcW w:w="820" w:type="dxa"/>
            <w:vAlign w:val="bottom"/>
            <w:gridSpan w:val="2"/>
          </w:tcPr>
          <w:p>
            <w:pPr>
              <w:jc w:val="center"/>
              <w:ind w:left="11"/>
              <w:spacing w:after="0" w:line="201" w:lineRule="exact"/>
              <w:rPr>
                <w:sz w:val="20"/>
                <w:szCs w:val="20"/>
                <w:color w:val="auto"/>
              </w:rPr>
            </w:pPr>
            <w:r>
              <w:rPr>
                <w:rFonts w:ascii="Arial" w:cs="Arial" w:eastAsia="Arial" w:hAnsi="Arial"/>
                <w:sz w:val="18"/>
                <w:szCs w:val="18"/>
                <w:color w:val="auto"/>
                <w:w w:val="98"/>
              </w:rPr>
              <w:t>(6,449)</w:t>
            </w:r>
          </w:p>
        </w:tc>
        <w:tc>
          <w:tcPr>
            <w:tcW w:w="120" w:type="dxa"/>
            <w:vAlign w:val="bottom"/>
            <w:tcBorders>
              <w:right w:val="single" w:sz="8" w:color="auto"/>
            </w:tcBorders>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7"/>
              </w:rPr>
              <w:t>3.2%</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rPr>
              <w:t>10.3%</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8"/>
              </w:rPr>
              <w:t>(17,310)</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(18,910)</w:t>
            </w:r>
          </w:p>
        </w:tc>
        <w:tc>
          <w:tcPr>
            <w:tcW w:w="160" w:type="dxa"/>
            <w:vAlign w:val="bottom"/>
          </w:tcPr>
          <w:p>
            <w:pPr>
              <w:spacing w:after="0"/>
              <w:rPr>
                <w:sz w:val="17"/>
                <w:szCs w:val="17"/>
                <w:color w:val="auto"/>
              </w:rPr>
            </w:pPr>
          </w:p>
        </w:tc>
        <w:tc>
          <w:tcPr>
            <w:tcW w:w="1300" w:type="dxa"/>
            <w:vAlign w:val="bottom"/>
            <w:tcBorders>
              <w:right w:val="single" w:sz="8" w:color="auto"/>
            </w:tcBorders>
          </w:tcPr>
          <w:p>
            <w:pPr>
              <w:jc w:val="center"/>
              <w:ind w:right="88"/>
              <w:spacing w:after="0" w:line="201" w:lineRule="exact"/>
              <w:rPr>
                <w:sz w:val="20"/>
                <w:szCs w:val="20"/>
                <w:color w:val="auto"/>
              </w:rPr>
            </w:pPr>
            <w:r>
              <w:rPr>
                <w:rFonts w:ascii="Arial" w:cs="Arial" w:eastAsia="Arial" w:hAnsi="Arial"/>
                <w:sz w:val="18"/>
                <w:szCs w:val="18"/>
                <w:color w:val="auto"/>
                <w:w w:val="97"/>
              </w:rPr>
              <w:t>9.2%</w:t>
            </w:r>
          </w:p>
        </w:tc>
        <w:tc>
          <w:tcPr>
            <w:tcW w:w="0" w:type="dxa"/>
            <w:vAlign w:val="bottom"/>
          </w:tcPr>
          <w:p>
            <w:pPr>
              <w:spacing w:after="0"/>
              <w:rPr>
                <w:sz w:val="1"/>
                <w:szCs w:val="1"/>
                <w:color w:val="auto"/>
              </w:rPr>
            </w:pPr>
          </w:p>
        </w:tc>
      </w:tr>
      <w:tr>
        <w:trPr>
          <w:trHeight w:val="201"/>
        </w:trPr>
        <w:tc>
          <w:tcPr>
            <w:tcW w:w="3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rPr>
              <w:t>Operating income</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46,769</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46,717</w:t>
            </w:r>
          </w:p>
        </w:tc>
        <w:tc>
          <w:tcPr>
            <w:tcW w:w="820" w:type="dxa"/>
            <w:vAlign w:val="bottom"/>
            <w:gridSpan w:val="2"/>
          </w:tcPr>
          <w:p>
            <w:pPr>
              <w:jc w:val="center"/>
              <w:ind w:left="31"/>
              <w:spacing w:after="0" w:line="201" w:lineRule="exact"/>
              <w:rPr>
                <w:sz w:val="20"/>
                <w:szCs w:val="20"/>
                <w:color w:val="auto"/>
              </w:rPr>
            </w:pPr>
            <w:r>
              <w:rPr>
                <w:rFonts w:ascii="Arial" w:cs="Arial" w:eastAsia="Arial" w:hAnsi="Arial"/>
                <w:sz w:val="18"/>
                <w:szCs w:val="18"/>
                <w:b w:val="1"/>
                <w:bCs w:val="1"/>
                <w:color w:val="auto"/>
                <w:w w:val="98"/>
              </w:rPr>
              <w:t>46,913</w:t>
            </w:r>
          </w:p>
        </w:tc>
        <w:tc>
          <w:tcPr>
            <w:tcW w:w="120" w:type="dxa"/>
            <w:vAlign w:val="bottom"/>
            <w:tcBorders>
              <w:right w:val="single" w:sz="8" w:color="auto"/>
            </w:tcBorders>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7"/>
              </w:rPr>
              <w:t>0.4%</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0.3%</w:t>
            </w:r>
          </w:p>
        </w:tc>
        <w:tc>
          <w:tcPr>
            <w:tcW w:w="9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152,946</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w w:val="98"/>
              </w:rPr>
              <w:t>136,807</w:t>
            </w:r>
          </w:p>
        </w:tc>
        <w:tc>
          <w:tcPr>
            <w:tcW w:w="160" w:type="dxa"/>
            <w:vAlign w:val="bottom"/>
          </w:tcPr>
          <w:p>
            <w:pPr>
              <w:spacing w:after="0"/>
              <w:rPr>
                <w:sz w:val="17"/>
                <w:szCs w:val="17"/>
                <w:color w:val="auto"/>
              </w:rPr>
            </w:pPr>
          </w:p>
        </w:tc>
        <w:tc>
          <w:tcPr>
            <w:tcW w:w="1300" w:type="dxa"/>
            <w:vAlign w:val="bottom"/>
            <w:tcBorders>
              <w:right w:val="single" w:sz="8" w:color="auto"/>
            </w:tcBorders>
          </w:tcPr>
          <w:p>
            <w:pPr>
              <w:jc w:val="center"/>
              <w:ind w:right="88"/>
              <w:spacing w:after="0" w:line="201" w:lineRule="exact"/>
              <w:rPr>
                <w:sz w:val="20"/>
                <w:szCs w:val="20"/>
                <w:color w:val="auto"/>
              </w:rPr>
            </w:pPr>
            <w:r>
              <w:rPr>
                <w:rFonts w:ascii="Arial" w:cs="Arial" w:eastAsia="Arial" w:hAnsi="Arial"/>
                <w:sz w:val="18"/>
                <w:szCs w:val="18"/>
                <w:b w:val="1"/>
                <w:bCs w:val="1"/>
                <w:color w:val="auto"/>
                <w:w w:val="98"/>
              </w:rPr>
              <w:t>-10.6%</w:t>
            </w:r>
          </w:p>
        </w:tc>
        <w:tc>
          <w:tcPr>
            <w:tcW w:w="0" w:type="dxa"/>
            <w:vAlign w:val="bottom"/>
          </w:tcPr>
          <w:p>
            <w:pPr>
              <w:spacing w:after="0"/>
              <w:rPr>
                <w:sz w:val="1"/>
                <w:szCs w:val="1"/>
                <w:color w:val="auto"/>
              </w:rPr>
            </w:pPr>
          </w:p>
        </w:tc>
      </w:tr>
      <w:tr>
        <w:trPr>
          <w:trHeight w:val="201"/>
        </w:trPr>
        <w:tc>
          <w:tcPr>
            <w:tcW w:w="3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Other income and expenses, net</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8"/>
              </w:rPr>
              <w:t>(2,371)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8"/>
              </w:rPr>
              <w:t>(17,121)</w:t>
            </w:r>
          </w:p>
        </w:tc>
        <w:tc>
          <w:tcPr>
            <w:tcW w:w="820" w:type="dxa"/>
            <w:vAlign w:val="bottom"/>
            <w:gridSpan w:val="2"/>
            <w:vMerge w:val="restart"/>
          </w:tcPr>
          <w:p>
            <w:pPr>
              <w:jc w:val="center"/>
              <w:ind w:left="11"/>
              <w:spacing w:after="0"/>
              <w:rPr>
                <w:sz w:val="20"/>
                <w:szCs w:val="20"/>
                <w:color w:val="auto"/>
              </w:rPr>
            </w:pPr>
            <w:r>
              <w:rPr>
                <w:rFonts w:ascii="Arial" w:cs="Arial" w:eastAsia="Arial" w:hAnsi="Arial"/>
                <w:sz w:val="18"/>
                <w:szCs w:val="18"/>
                <w:color w:val="auto"/>
                <w:w w:val="98"/>
              </w:rPr>
              <w:t>(1,469)</w:t>
            </w:r>
          </w:p>
        </w:tc>
        <w:tc>
          <w:tcPr>
            <w:tcW w:w="120" w:type="dxa"/>
            <w:vAlign w:val="bottom"/>
            <w:tcBorders>
              <w:right w:val="single" w:sz="8" w:color="auto"/>
            </w:tcBorders>
          </w:tcPr>
          <w:p>
            <w:pPr>
              <w:spacing w:after="0"/>
              <w:rPr>
                <w:sz w:val="17"/>
                <w:szCs w:val="17"/>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8"/>
              </w:rPr>
              <w:t>-91.4%</w:t>
            </w: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-38.0%</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7"/>
              </w:rPr>
              <w:t>2,652</w:t>
            </w:r>
          </w:p>
        </w:tc>
        <w:tc>
          <w:tcPr>
            <w:tcW w:w="9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rPr>
              <w:t>(22,723)</w:t>
            </w:r>
          </w:p>
        </w:tc>
        <w:tc>
          <w:tcPr>
            <w:tcW w:w="160" w:type="dxa"/>
            <w:vAlign w:val="bottom"/>
          </w:tcPr>
          <w:p>
            <w:pPr>
              <w:spacing w:after="0"/>
              <w:rPr>
                <w:sz w:val="17"/>
                <w:szCs w:val="17"/>
                <w:color w:val="auto"/>
              </w:rPr>
            </w:pPr>
          </w:p>
        </w:tc>
        <w:tc>
          <w:tcPr>
            <w:tcW w:w="130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18"/>
                <w:szCs w:val="18"/>
                <w:color w:val="auto"/>
              </w:rPr>
              <w:t>-956.9%</w:t>
            </w:r>
          </w:p>
        </w:tc>
        <w:tc>
          <w:tcPr>
            <w:tcW w:w="0" w:type="dxa"/>
            <w:vAlign w:val="bottom"/>
          </w:tcPr>
          <w:p>
            <w:pPr>
              <w:spacing w:after="0"/>
              <w:rPr>
                <w:sz w:val="1"/>
                <w:szCs w:val="1"/>
                <w:color w:val="auto"/>
              </w:rPr>
            </w:pPr>
          </w:p>
        </w:tc>
      </w:tr>
      <w:tr>
        <w:trPr>
          <w:trHeight w:val="128"/>
        </w:trPr>
        <w:tc>
          <w:tcPr>
            <w:tcW w:w="3200" w:type="dxa"/>
            <w:vAlign w:val="bottom"/>
            <w:tcBorders>
              <w:left w:val="single" w:sz="8" w:color="auto"/>
              <w:right w:val="single" w:sz="8" w:color="auto"/>
            </w:tcBorders>
            <w:vMerge w:val="restart"/>
          </w:tcPr>
          <w:p>
            <w:pPr>
              <w:ind w:left="180"/>
              <w:spacing w:after="0" w:line="201" w:lineRule="exact"/>
              <w:rPr>
                <w:sz w:val="20"/>
                <w:szCs w:val="20"/>
                <w:color w:val="auto"/>
              </w:rPr>
            </w:pPr>
            <w:r>
              <w:rPr>
                <w:rFonts w:ascii="Arial" w:cs="Arial" w:eastAsia="Arial" w:hAnsi="Arial"/>
                <w:sz w:val="18"/>
                <w:szCs w:val="18"/>
                <w:color w:val="auto"/>
              </w:rPr>
              <w:t>(profitability of lace)*</w:t>
            </w:r>
          </w:p>
        </w:tc>
        <w:tc>
          <w:tcPr>
            <w:tcW w:w="9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40" w:type="dxa"/>
            <w:vAlign w:val="bottom"/>
            <w:vMerge w:val="continue"/>
          </w:tcPr>
          <w:p>
            <w:pPr>
              <w:spacing w:after="0"/>
              <w:rPr>
                <w:sz w:val="11"/>
                <w:szCs w:val="11"/>
                <w:color w:val="auto"/>
              </w:rPr>
            </w:pPr>
          </w:p>
        </w:tc>
        <w:tc>
          <w:tcPr>
            <w:tcW w:w="960" w:type="dxa"/>
            <w:vAlign w:val="bottom"/>
            <w:tcBorders>
              <w:right w:val="single" w:sz="8" w:color="auto"/>
            </w:tcBorders>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3200" w:type="dxa"/>
            <w:vAlign w:val="bottom"/>
            <w:tcBorders>
              <w:left w:val="single" w:sz="8" w:color="auto"/>
              <w:right w:val="single" w:sz="8" w:color="auto"/>
            </w:tcBorders>
            <w:vMerge w:val="continue"/>
          </w:tcPr>
          <w:p>
            <w:pPr>
              <w:spacing w:after="0"/>
              <w:rPr>
                <w:sz w:val="6"/>
                <w:szCs w:val="6"/>
                <w:color w:val="auto"/>
              </w:rPr>
            </w:pPr>
          </w:p>
        </w:tc>
        <w:tc>
          <w:tcPr>
            <w:tcW w:w="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940" w:type="dxa"/>
            <w:vAlign w:val="bottom"/>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3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Income tax</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8"/>
              </w:rPr>
              <w:t>(13,592)</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8"/>
              </w:rPr>
              <w:t>(16,032)</w:t>
            </w:r>
          </w:p>
        </w:tc>
        <w:tc>
          <w:tcPr>
            <w:tcW w:w="820" w:type="dxa"/>
            <w:vAlign w:val="bottom"/>
            <w:gridSpan w:val="2"/>
          </w:tcPr>
          <w:p>
            <w:pPr>
              <w:jc w:val="center"/>
              <w:ind w:left="31"/>
              <w:spacing w:after="0" w:line="201" w:lineRule="exact"/>
              <w:rPr>
                <w:sz w:val="20"/>
                <w:szCs w:val="20"/>
                <w:color w:val="auto"/>
              </w:rPr>
            </w:pPr>
            <w:r>
              <w:rPr>
                <w:rFonts w:ascii="Arial" w:cs="Arial" w:eastAsia="Arial" w:hAnsi="Arial"/>
                <w:sz w:val="18"/>
                <w:szCs w:val="18"/>
                <w:color w:val="auto"/>
                <w:w w:val="98"/>
              </w:rPr>
              <w:t>(14,762)</w:t>
            </w:r>
          </w:p>
        </w:tc>
        <w:tc>
          <w:tcPr>
            <w:tcW w:w="120" w:type="dxa"/>
            <w:vAlign w:val="bottom"/>
            <w:tcBorders>
              <w:right w:val="single" w:sz="8" w:color="auto"/>
            </w:tcBorders>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rPr>
              <w:t>-7.9%</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8.6%</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8"/>
              </w:rPr>
              <w:t>(45,953)</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rPr>
              <w:t>(43,989)</w:t>
            </w:r>
          </w:p>
        </w:tc>
        <w:tc>
          <w:tcPr>
            <w:tcW w:w="160" w:type="dxa"/>
            <w:vAlign w:val="bottom"/>
          </w:tcPr>
          <w:p>
            <w:pPr>
              <w:spacing w:after="0"/>
              <w:rPr>
                <w:sz w:val="17"/>
                <w:szCs w:val="17"/>
                <w:color w:val="auto"/>
              </w:rPr>
            </w:pPr>
          </w:p>
        </w:tc>
        <w:tc>
          <w:tcPr>
            <w:tcW w:w="1300" w:type="dxa"/>
            <w:vAlign w:val="bottom"/>
            <w:tcBorders>
              <w:right w:val="single" w:sz="8" w:color="auto"/>
            </w:tcBorders>
          </w:tcPr>
          <w:p>
            <w:pPr>
              <w:jc w:val="center"/>
              <w:ind w:right="88"/>
              <w:spacing w:after="0" w:line="201"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1"/>
        </w:trPr>
        <w:tc>
          <w:tcPr>
            <w:tcW w:w="3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b w:val="1"/>
                <w:bCs w:val="1"/>
                <w:color w:val="auto"/>
                <w:w w:val="98"/>
              </w:rPr>
              <w:t>Net income before translation results</w:t>
            </w:r>
          </w:p>
        </w:tc>
        <w:tc>
          <w:tcPr>
            <w:tcW w:w="92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30,806</w:t>
            </w:r>
          </w:p>
        </w:tc>
        <w:tc>
          <w:tcPr>
            <w:tcW w:w="90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13,563</w:t>
            </w:r>
          </w:p>
        </w:tc>
        <w:tc>
          <w:tcPr>
            <w:tcW w:w="820" w:type="dxa"/>
            <w:vAlign w:val="bottom"/>
            <w:gridSpan w:val="2"/>
          </w:tcPr>
          <w:p>
            <w:pPr>
              <w:jc w:val="center"/>
              <w:ind w:left="31"/>
              <w:spacing w:after="0" w:line="201" w:lineRule="exact"/>
              <w:rPr>
                <w:sz w:val="20"/>
                <w:szCs w:val="20"/>
                <w:color w:val="auto"/>
              </w:rPr>
            </w:pPr>
            <w:r>
              <w:rPr>
                <w:rFonts w:ascii="Arial" w:cs="Arial" w:eastAsia="Arial" w:hAnsi="Arial"/>
                <w:sz w:val="18"/>
                <w:szCs w:val="18"/>
                <w:b w:val="1"/>
                <w:bCs w:val="1"/>
                <w:color w:val="auto"/>
                <w:w w:val="98"/>
              </w:rPr>
              <w:t>30,681</w:t>
            </w:r>
          </w:p>
        </w:tc>
        <w:tc>
          <w:tcPr>
            <w:tcW w:w="120" w:type="dxa"/>
            <w:vAlign w:val="bottom"/>
            <w:tcBorders>
              <w:right w:val="single" w:sz="8" w:color="auto"/>
            </w:tcBorders>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126.2%</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rPr>
              <w:t>-0.4%</w:t>
            </w:r>
          </w:p>
        </w:tc>
        <w:tc>
          <w:tcPr>
            <w:tcW w:w="980" w:type="dxa"/>
            <w:vAlign w:val="bottom"/>
          </w:tcPr>
          <w:p>
            <w:pPr>
              <w:jc w:val="center"/>
              <w:spacing w:after="0" w:line="201" w:lineRule="exact"/>
              <w:rPr>
                <w:sz w:val="20"/>
                <w:szCs w:val="20"/>
                <w:color w:val="auto"/>
              </w:rPr>
            </w:pPr>
            <w:r>
              <w:rPr>
                <w:rFonts w:ascii="Arial" w:cs="Arial" w:eastAsia="Arial" w:hAnsi="Arial"/>
                <w:sz w:val="18"/>
                <w:szCs w:val="18"/>
                <w:b w:val="1"/>
                <w:bCs w:val="1"/>
                <w:color w:val="auto"/>
                <w:w w:val="98"/>
              </w:rPr>
              <w:t>109,646</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70,095</w:t>
            </w:r>
          </w:p>
        </w:tc>
        <w:tc>
          <w:tcPr>
            <w:tcW w:w="160" w:type="dxa"/>
            <w:vAlign w:val="bottom"/>
          </w:tcPr>
          <w:p>
            <w:pPr>
              <w:spacing w:after="0"/>
              <w:rPr>
                <w:sz w:val="17"/>
                <w:szCs w:val="17"/>
                <w:color w:val="auto"/>
              </w:rPr>
            </w:pPr>
          </w:p>
        </w:tc>
        <w:tc>
          <w:tcPr>
            <w:tcW w:w="1300" w:type="dxa"/>
            <w:vAlign w:val="bottom"/>
            <w:tcBorders>
              <w:right w:val="single" w:sz="8" w:color="auto"/>
            </w:tcBorders>
          </w:tcPr>
          <w:p>
            <w:pPr>
              <w:jc w:val="center"/>
              <w:ind w:right="88"/>
              <w:spacing w:after="0" w:line="201" w:lineRule="exact"/>
              <w:rPr>
                <w:sz w:val="20"/>
                <w:szCs w:val="20"/>
                <w:color w:val="auto"/>
              </w:rPr>
            </w:pPr>
            <w:r>
              <w:rPr>
                <w:rFonts w:ascii="Arial" w:cs="Arial" w:eastAsia="Arial" w:hAnsi="Arial"/>
                <w:sz w:val="18"/>
                <w:szCs w:val="18"/>
                <w:b w:val="1"/>
                <w:bCs w:val="1"/>
                <w:color w:val="auto"/>
                <w:w w:val="98"/>
              </w:rPr>
              <w:t>-36.1%</w:t>
            </w:r>
          </w:p>
        </w:tc>
        <w:tc>
          <w:tcPr>
            <w:tcW w:w="0" w:type="dxa"/>
            <w:vAlign w:val="bottom"/>
          </w:tcPr>
          <w:p>
            <w:pPr>
              <w:spacing w:after="0"/>
              <w:rPr>
                <w:sz w:val="1"/>
                <w:szCs w:val="1"/>
                <w:color w:val="auto"/>
              </w:rPr>
            </w:pPr>
          </w:p>
        </w:tc>
      </w:tr>
      <w:tr>
        <w:trPr>
          <w:trHeight w:val="201"/>
        </w:trPr>
        <w:tc>
          <w:tcPr>
            <w:tcW w:w="3200" w:type="dxa"/>
            <w:vAlign w:val="bottom"/>
            <w:tcBorders>
              <w:left w:val="single" w:sz="8" w:color="auto"/>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Translations results</w:t>
            </w:r>
          </w:p>
        </w:tc>
        <w:tc>
          <w:tcPr>
            <w:tcW w:w="920" w:type="dxa"/>
            <w:vAlign w:val="bottom"/>
          </w:tcPr>
          <w:p>
            <w:pPr>
              <w:jc w:val="center"/>
              <w:spacing w:after="0" w:line="201" w:lineRule="exact"/>
              <w:rPr>
                <w:sz w:val="20"/>
                <w:szCs w:val="20"/>
                <w:color w:val="auto"/>
              </w:rPr>
            </w:pPr>
            <w:r>
              <w:rPr>
                <w:rFonts w:ascii="Arial" w:cs="Arial" w:eastAsia="Arial" w:hAnsi="Arial"/>
                <w:sz w:val="18"/>
                <w:szCs w:val="18"/>
                <w:color w:val="auto"/>
                <w:w w:val="99"/>
              </w:rPr>
              <w:t>891</w:t>
            </w: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529</w:t>
            </w:r>
          </w:p>
        </w:tc>
        <w:tc>
          <w:tcPr>
            <w:tcW w:w="620" w:type="dxa"/>
            <w:vAlign w:val="bottom"/>
          </w:tcPr>
          <w:p>
            <w:pPr>
              <w:jc w:val="center"/>
              <w:ind w:left="211"/>
              <w:spacing w:after="0" w:line="201" w:lineRule="exact"/>
              <w:rPr>
                <w:sz w:val="20"/>
                <w:szCs w:val="20"/>
                <w:color w:val="auto"/>
              </w:rPr>
            </w:pPr>
            <w:r>
              <w:rPr>
                <w:rFonts w:ascii="Arial" w:cs="Arial" w:eastAsia="Arial" w:hAnsi="Arial"/>
                <w:sz w:val="18"/>
                <w:szCs w:val="18"/>
                <w:color w:val="auto"/>
                <w:w w:val="99"/>
              </w:rPr>
              <w:t>49</w:t>
            </w:r>
          </w:p>
        </w:tc>
        <w:tc>
          <w:tcPr>
            <w:tcW w:w="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940" w:type="dxa"/>
            <w:vAlign w:val="bottom"/>
          </w:tcPr>
          <w:p>
            <w:pPr>
              <w:jc w:val="center"/>
              <w:spacing w:after="0" w:line="201" w:lineRule="exact"/>
              <w:rPr>
                <w:sz w:val="20"/>
                <w:szCs w:val="20"/>
                <w:color w:val="auto"/>
              </w:rPr>
            </w:pPr>
            <w:r>
              <w:rPr>
                <w:rFonts w:ascii="Arial" w:cs="Arial" w:eastAsia="Arial" w:hAnsi="Arial"/>
                <w:sz w:val="18"/>
                <w:szCs w:val="18"/>
                <w:color w:val="auto"/>
                <w:w w:val="98"/>
              </w:rPr>
              <w:t>-90.7%</w:t>
            </w:r>
          </w:p>
        </w:tc>
        <w:tc>
          <w:tcPr>
            <w:tcW w:w="9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-94.5%</w:t>
            </w:r>
          </w:p>
        </w:tc>
        <w:tc>
          <w:tcPr>
            <w:tcW w:w="980" w:type="dxa"/>
            <w:vAlign w:val="bottom"/>
          </w:tcPr>
          <w:p>
            <w:pPr>
              <w:jc w:val="center"/>
              <w:spacing w:after="0" w:line="201" w:lineRule="exact"/>
              <w:rPr>
                <w:sz w:val="20"/>
                <w:szCs w:val="20"/>
                <w:color w:val="auto"/>
              </w:rPr>
            </w:pPr>
            <w:r>
              <w:rPr>
                <w:rFonts w:ascii="Arial" w:cs="Arial" w:eastAsia="Arial" w:hAnsi="Arial"/>
                <w:sz w:val="18"/>
                <w:szCs w:val="18"/>
                <w:color w:val="auto"/>
                <w:w w:val="99"/>
              </w:rPr>
              <w:t>948</w:t>
            </w:r>
          </w:p>
        </w:tc>
        <w:tc>
          <w:tcPr>
            <w:tcW w:w="9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5"/>
              </w:rPr>
              <w:t>(838)</w:t>
            </w:r>
          </w:p>
        </w:tc>
        <w:tc>
          <w:tcPr>
            <w:tcW w:w="160" w:type="dxa"/>
            <w:vAlign w:val="bottom"/>
          </w:tcPr>
          <w:p>
            <w:pPr>
              <w:spacing w:after="0"/>
              <w:rPr>
                <w:sz w:val="17"/>
                <w:szCs w:val="17"/>
                <w:color w:val="auto"/>
              </w:rPr>
            </w:pPr>
          </w:p>
        </w:tc>
        <w:tc>
          <w:tcPr>
            <w:tcW w:w="1300" w:type="dxa"/>
            <w:vAlign w:val="bottom"/>
            <w:tcBorders>
              <w:right w:val="single" w:sz="8" w:color="auto"/>
            </w:tcBorders>
          </w:tcPr>
          <w:p>
            <w:pPr>
              <w:jc w:val="center"/>
              <w:ind w:right="88"/>
              <w:spacing w:after="0" w:line="201" w:lineRule="exact"/>
              <w:rPr>
                <w:sz w:val="20"/>
                <w:szCs w:val="20"/>
                <w:color w:val="auto"/>
              </w:rPr>
            </w:pPr>
            <w:r>
              <w:rPr>
                <w:rFonts w:ascii="Arial" w:cs="Arial" w:eastAsia="Arial" w:hAnsi="Arial"/>
                <w:sz w:val="18"/>
                <w:szCs w:val="18"/>
                <w:color w:val="auto"/>
              </w:rPr>
              <w:t>-188.3%</w:t>
            </w:r>
          </w:p>
        </w:tc>
        <w:tc>
          <w:tcPr>
            <w:tcW w:w="0" w:type="dxa"/>
            <w:vAlign w:val="bottom"/>
          </w:tcPr>
          <w:p>
            <w:pPr>
              <w:spacing w:after="0"/>
              <w:rPr>
                <w:sz w:val="1"/>
                <w:szCs w:val="1"/>
                <w:color w:val="auto"/>
              </w:rPr>
            </w:pPr>
          </w:p>
        </w:tc>
      </w:tr>
      <w:tr>
        <w:trPr>
          <w:trHeight w:val="226"/>
        </w:trPr>
        <w:tc>
          <w:tcPr>
            <w:tcW w:w="3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31,697</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14,092</w:t>
            </w:r>
          </w:p>
        </w:tc>
        <w:tc>
          <w:tcPr>
            <w:tcW w:w="820" w:type="dxa"/>
            <w:vAlign w:val="bottom"/>
            <w:tcBorders>
              <w:bottom w:val="single" w:sz="8" w:color="auto"/>
            </w:tcBorders>
            <w:gridSpan w:val="2"/>
          </w:tcPr>
          <w:p>
            <w:pPr>
              <w:jc w:val="center"/>
              <w:ind w:left="31"/>
              <w:spacing w:after="0"/>
              <w:rPr>
                <w:sz w:val="20"/>
                <w:szCs w:val="20"/>
                <w:color w:val="auto"/>
              </w:rPr>
            </w:pPr>
            <w:r>
              <w:rPr>
                <w:rFonts w:ascii="Arial" w:cs="Arial" w:eastAsia="Arial" w:hAnsi="Arial"/>
                <w:sz w:val="18"/>
                <w:szCs w:val="18"/>
                <w:b w:val="1"/>
                <w:bCs w:val="1"/>
                <w:color w:val="auto"/>
                <w:w w:val="98"/>
              </w:rPr>
              <w:t>30,730</w:t>
            </w:r>
          </w:p>
        </w:tc>
        <w:tc>
          <w:tcPr>
            <w:tcW w:w="12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118.1%</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-3.0%</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110,594</w:t>
            </w:r>
          </w:p>
        </w:tc>
        <w:tc>
          <w:tcPr>
            <w:tcW w:w="94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69,257</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8"/>
                <w:szCs w:val="18"/>
                <w:b w:val="1"/>
                <w:bCs w:val="1"/>
                <w:color w:val="auto"/>
                <w:w w:val="98"/>
              </w:rPr>
              <w:t>-37.4%</w:t>
            </w:r>
          </w:p>
        </w:tc>
        <w:tc>
          <w:tcPr>
            <w:tcW w:w="0" w:type="dxa"/>
            <w:vAlign w:val="bottom"/>
          </w:tcPr>
          <w:p>
            <w:pPr>
              <w:spacing w:after="0"/>
              <w:rPr>
                <w:sz w:val="1"/>
                <w:szCs w:val="1"/>
                <w:color w:val="auto"/>
              </w:rPr>
            </w:pPr>
          </w:p>
        </w:tc>
      </w:tr>
      <w:tr>
        <w:trPr>
          <w:trHeight w:val="208"/>
        </w:trPr>
        <w:tc>
          <w:tcPr>
            <w:tcW w:w="3200" w:type="dxa"/>
            <w:vAlign w:val="bottom"/>
            <w:tcBorders>
              <w:left w:val="single" w:sz="8" w:color="auto"/>
              <w:bottom w:val="single" w:sz="8" w:color="auto"/>
              <w:right w:val="single" w:sz="8" w:color="auto"/>
            </w:tcBorders>
          </w:tcPr>
          <w:p>
            <w:pPr>
              <w:ind w:left="20"/>
              <w:spacing w:after="0" w:line="201" w:lineRule="exact"/>
              <w:rPr>
                <w:sz w:val="20"/>
                <w:szCs w:val="20"/>
                <w:color w:val="auto"/>
              </w:rPr>
            </w:pPr>
            <w:r>
              <w:rPr>
                <w:rFonts w:ascii="Arial" w:cs="Arial" w:eastAsia="Arial" w:hAnsi="Arial"/>
                <w:sz w:val="15"/>
                <w:szCs w:val="15"/>
                <w:b w:val="1"/>
                <w:bCs w:val="1"/>
                <w:color w:val="auto"/>
              </w:rPr>
              <w:t xml:space="preserve">ROAE </w:t>
            </w:r>
            <w:r>
              <w:rPr>
                <w:rFonts w:ascii="Arial" w:cs="Arial" w:eastAsia="Arial" w:hAnsi="Arial"/>
                <w:sz w:val="23"/>
                <w:szCs w:val="23"/>
                <w:b w:val="1"/>
                <w:bCs w:val="1"/>
                <w:color w:val="auto"/>
                <w:vertAlign w:val="superscript"/>
              </w:rPr>
              <w:t>(1)</w:t>
            </w:r>
          </w:p>
        </w:tc>
        <w:tc>
          <w:tcPr>
            <w:tcW w:w="92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21.4%</w:t>
            </w:r>
          </w:p>
        </w:tc>
        <w:tc>
          <w:tcPr>
            <w:tcW w:w="90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13.5%</w:t>
            </w:r>
          </w:p>
        </w:tc>
        <w:tc>
          <w:tcPr>
            <w:tcW w:w="820" w:type="dxa"/>
            <w:vAlign w:val="bottom"/>
            <w:tcBorders>
              <w:bottom w:val="single" w:sz="8" w:color="auto"/>
            </w:tcBorders>
            <w:gridSpan w:val="2"/>
          </w:tcPr>
          <w:p>
            <w:pPr>
              <w:jc w:val="center"/>
              <w:ind w:left="31"/>
              <w:spacing w:after="0" w:line="201" w:lineRule="exact"/>
              <w:rPr>
                <w:sz w:val="20"/>
                <w:szCs w:val="20"/>
                <w:color w:val="auto"/>
              </w:rPr>
            </w:pPr>
            <w:r>
              <w:rPr>
                <w:rFonts w:ascii="Arial" w:cs="Arial" w:eastAsia="Arial" w:hAnsi="Arial"/>
                <w:sz w:val="18"/>
                <w:szCs w:val="18"/>
                <w:b w:val="1"/>
                <w:bCs w:val="1"/>
                <w:color w:val="auto"/>
                <w:w w:val="97"/>
              </w:rPr>
              <w:t>27.9%</w:t>
            </w:r>
          </w:p>
        </w:tc>
        <w:tc>
          <w:tcPr>
            <w:tcW w:w="12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8"/>
              </w:rPr>
              <w:t>1441 bps</w:t>
            </w:r>
          </w:p>
        </w:tc>
        <w:tc>
          <w:tcPr>
            <w:tcW w:w="960" w:type="dxa"/>
            <w:vAlign w:val="bottom"/>
            <w:tcBorders>
              <w:bottom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b w:val="1"/>
                <w:bCs w:val="1"/>
                <w:color w:val="auto"/>
              </w:rPr>
              <w:t>644 bps</w:t>
            </w:r>
          </w:p>
        </w:tc>
        <w:tc>
          <w:tcPr>
            <w:tcW w:w="980" w:type="dxa"/>
            <w:vAlign w:val="bottom"/>
            <w:tcBorders>
              <w:bottom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7"/>
              </w:rPr>
              <w:t>23.8%</w:t>
            </w:r>
          </w:p>
        </w:tc>
        <w:tc>
          <w:tcPr>
            <w:tcW w:w="940" w:type="dxa"/>
            <w:vAlign w:val="bottom"/>
            <w:tcBorders>
              <w:bottom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rPr>
              <w:t>17.9%</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ind w:right="88"/>
              <w:spacing w:after="0" w:line="201" w:lineRule="exact"/>
              <w:rPr>
                <w:sz w:val="20"/>
                <w:szCs w:val="20"/>
                <w:color w:val="auto"/>
              </w:rPr>
            </w:pPr>
            <w:r>
              <w:rPr>
                <w:rFonts w:ascii="Arial" w:cs="Arial" w:eastAsia="Arial" w:hAnsi="Arial"/>
                <w:sz w:val="18"/>
                <w:szCs w:val="18"/>
                <w:b w:val="1"/>
                <w:bCs w:val="1"/>
                <w:color w:val="auto"/>
                <w:w w:val="98"/>
              </w:rPr>
              <w:t>-589 bps</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80" w:hanging="173"/>
        <w:spacing w:after="0"/>
        <w:tabs>
          <w:tab w:leader="none" w:pos="180"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profitability of lace and mutual funds is being presented net of taxes, for which the retroactive change was made (it was presented gross before)</w:t>
      </w:r>
    </w:p>
    <w:p>
      <w:pPr>
        <w:spacing w:after="0" w:line="7"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Net shareholders' equity includes unrealized gains from Prima's investment portfolio.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Funds under management</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640" w:type="dxa"/>
            <w:vAlign w:val="bottom"/>
            <w:tcBorders>
              <w:top w:val="single" w:sz="8" w:color="auto"/>
              <w:left w:val="single" w:sz="8" w:color="auto"/>
              <w:bottom w:val="single" w:sz="8" w:color="auto"/>
              <w:right w:val="single" w:sz="8" w:color="auto"/>
            </w:tcBorders>
            <w:gridSpan w:val="2"/>
            <w:shd w:val="clear" w:color="auto" w:fill="2AD2C9"/>
          </w:tcPr>
          <w:p>
            <w:pPr>
              <w:ind w:left="40"/>
              <w:spacing w:after="0"/>
              <w:rPr>
                <w:sz w:val="20"/>
                <w:szCs w:val="20"/>
                <w:color w:val="auto"/>
              </w:rPr>
            </w:pPr>
            <w:r>
              <w:rPr>
                <w:rFonts w:ascii="Arial" w:cs="Arial" w:eastAsia="Arial" w:hAnsi="Arial"/>
                <w:sz w:val="20"/>
                <w:szCs w:val="20"/>
                <w:b w:val="1"/>
                <w:bCs w:val="1"/>
                <w:color w:val="FFFFFF"/>
              </w:rPr>
              <w:t>Funds under management</w:t>
            </w:r>
          </w:p>
        </w:tc>
        <w:tc>
          <w:tcPr>
            <w:tcW w:w="1060" w:type="dxa"/>
            <w:vAlign w:val="bottom"/>
            <w:tcBorders>
              <w:top w:val="single" w:sz="8" w:color="auto"/>
              <w:bottom w:val="single" w:sz="8" w:color="auto"/>
            </w:tcBorders>
            <w:shd w:val="clear" w:color="auto" w:fill="2AD2C9"/>
          </w:tcPr>
          <w:p>
            <w:pPr>
              <w:ind w:left="220"/>
              <w:spacing w:after="0"/>
              <w:rPr>
                <w:sz w:val="20"/>
                <w:szCs w:val="20"/>
                <w:color w:val="auto"/>
              </w:rPr>
            </w:pPr>
            <w:r>
              <w:rPr>
                <w:rFonts w:ascii="Arial" w:cs="Arial" w:eastAsia="Arial" w:hAnsi="Arial"/>
                <w:sz w:val="20"/>
                <w:szCs w:val="20"/>
                <w:b w:val="1"/>
                <w:bCs w:val="1"/>
                <w:color w:val="FFFFFF"/>
              </w:rPr>
              <w:t>Jun 22</w:t>
            </w:r>
          </w:p>
        </w:tc>
        <w:tc>
          <w:tcPr>
            <w:tcW w:w="1160" w:type="dxa"/>
            <w:vAlign w:val="bottom"/>
            <w:tcBorders>
              <w:top w:val="single" w:sz="8" w:color="auto"/>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20"/>
                <w:szCs w:val="20"/>
                <w:b w:val="1"/>
                <w:bCs w:val="1"/>
                <w:color w:val="FFFFFF"/>
              </w:rPr>
              <w:t>% share</w:t>
            </w:r>
          </w:p>
        </w:tc>
        <w:tc>
          <w:tcPr>
            <w:tcW w:w="1080" w:type="dxa"/>
            <w:vAlign w:val="bottom"/>
            <w:tcBorders>
              <w:top w:val="single" w:sz="8" w:color="auto"/>
              <w:bottom w:val="single" w:sz="8" w:color="auto"/>
            </w:tcBorders>
            <w:shd w:val="clear" w:color="auto" w:fill="2AD2C9"/>
          </w:tcPr>
          <w:p>
            <w:pPr>
              <w:ind w:left="240"/>
              <w:spacing w:after="0"/>
              <w:rPr>
                <w:sz w:val="20"/>
                <w:szCs w:val="20"/>
                <w:color w:val="auto"/>
              </w:rPr>
            </w:pPr>
            <w:r>
              <w:rPr>
                <w:rFonts w:ascii="Arial" w:cs="Arial" w:eastAsia="Arial" w:hAnsi="Arial"/>
                <w:sz w:val="20"/>
                <w:szCs w:val="20"/>
                <w:b w:val="1"/>
                <w:bCs w:val="1"/>
                <w:color w:val="FFFFFF"/>
              </w:rPr>
              <w:t>Sep 22</w:t>
            </w:r>
          </w:p>
        </w:tc>
        <w:tc>
          <w:tcPr>
            <w:tcW w:w="1180" w:type="dxa"/>
            <w:vAlign w:val="bottom"/>
            <w:tcBorders>
              <w:top w:val="single" w:sz="8" w:color="auto"/>
              <w:bottom w:val="single" w:sz="8" w:color="auto"/>
              <w:right w:val="single" w:sz="8" w:color="auto"/>
            </w:tcBorders>
            <w:shd w:val="clear" w:color="auto" w:fill="2AD2C9"/>
          </w:tcPr>
          <w:p>
            <w:pPr>
              <w:ind w:left="220"/>
              <w:spacing w:after="0"/>
              <w:rPr>
                <w:sz w:val="20"/>
                <w:szCs w:val="20"/>
                <w:color w:val="auto"/>
              </w:rPr>
            </w:pPr>
            <w:r>
              <w:rPr>
                <w:rFonts w:ascii="Arial" w:cs="Arial" w:eastAsia="Arial" w:hAnsi="Arial"/>
                <w:sz w:val="20"/>
                <w:szCs w:val="20"/>
                <w:b w:val="1"/>
                <w:bCs w:val="1"/>
                <w:color w:val="FFFFFF"/>
              </w:rPr>
              <w:t>% share</w:t>
            </w:r>
          </w:p>
        </w:tc>
      </w:tr>
      <w:tr>
        <w:trPr>
          <w:trHeight w:val="193"/>
        </w:trPr>
        <w:tc>
          <w:tcPr>
            <w:tcW w:w="5640" w:type="dxa"/>
            <w:vAlign w:val="bottom"/>
            <w:tcBorders>
              <w:left w:val="single" w:sz="8" w:color="auto"/>
              <w:right w:val="single" w:sz="8" w:color="auto"/>
            </w:tcBorders>
            <w:gridSpan w:val="2"/>
          </w:tcPr>
          <w:p>
            <w:pPr>
              <w:ind w:left="40"/>
              <w:spacing w:after="0" w:line="193" w:lineRule="exact"/>
              <w:rPr>
                <w:sz w:val="20"/>
                <w:szCs w:val="20"/>
                <w:color w:val="auto"/>
              </w:rPr>
            </w:pPr>
            <w:r>
              <w:rPr>
                <w:rFonts w:ascii="Arial" w:cs="Arial" w:eastAsia="Arial" w:hAnsi="Arial"/>
                <w:sz w:val="20"/>
                <w:szCs w:val="20"/>
                <w:color w:val="auto"/>
              </w:rPr>
              <w:t>Fund 0</w:t>
            </w:r>
          </w:p>
        </w:tc>
        <w:tc>
          <w:tcPr>
            <w:tcW w:w="1060" w:type="dxa"/>
            <w:vAlign w:val="bottom"/>
          </w:tcPr>
          <w:p>
            <w:pPr>
              <w:jc w:val="center"/>
              <w:spacing w:after="0" w:line="193" w:lineRule="exact"/>
              <w:rPr>
                <w:sz w:val="20"/>
                <w:szCs w:val="20"/>
                <w:color w:val="auto"/>
              </w:rPr>
            </w:pPr>
            <w:r>
              <w:rPr>
                <w:rFonts w:ascii="Arial" w:cs="Arial" w:eastAsia="Arial" w:hAnsi="Arial"/>
                <w:sz w:val="20"/>
                <w:szCs w:val="20"/>
                <w:color w:val="auto"/>
                <w:w w:val="95"/>
              </w:rPr>
              <w:t>1,325</w:t>
            </w:r>
          </w:p>
        </w:tc>
        <w:tc>
          <w:tcPr>
            <w:tcW w:w="11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3.6%</w:t>
            </w:r>
          </w:p>
        </w:tc>
        <w:tc>
          <w:tcPr>
            <w:tcW w:w="1080" w:type="dxa"/>
            <w:vAlign w:val="bottom"/>
          </w:tcPr>
          <w:p>
            <w:pPr>
              <w:jc w:val="center"/>
              <w:spacing w:after="0" w:line="193" w:lineRule="exact"/>
              <w:rPr>
                <w:sz w:val="20"/>
                <w:szCs w:val="20"/>
                <w:color w:val="auto"/>
              </w:rPr>
            </w:pPr>
            <w:r>
              <w:rPr>
                <w:rFonts w:ascii="Arial" w:cs="Arial" w:eastAsia="Arial" w:hAnsi="Arial"/>
                <w:sz w:val="20"/>
                <w:szCs w:val="20"/>
                <w:color w:val="auto"/>
                <w:w w:val="95"/>
              </w:rPr>
              <w:t>1,321</w:t>
            </w:r>
          </w:p>
        </w:tc>
        <w:tc>
          <w:tcPr>
            <w:tcW w:w="118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4.3%</w:t>
            </w:r>
          </w:p>
        </w:tc>
      </w:tr>
      <w:tr>
        <w:trPr>
          <w:trHeight w:val="214"/>
        </w:trPr>
        <w:tc>
          <w:tcPr>
            <w:tcW w:w="5640" w:type="dxa"/>
            <w:vAlign w:val="bottom"/>
            <w:tcBorders>
              <w:left w:val="single" w:sz="8" w:color="auto"/>
              <w:right w:val="single" w:sz="8" w:color="auto"/>
            </w:tcBorders>
            <w:gridSpan w:val="2"/>
          </w:tcPr>
          <w:p>
            <w:pPr>
              <w:ind w:left="40"/>
              <w:spacing w:after="0" w:line="214" w:lineRule="exact"/>
              <w:rPr>
                <w:sz w:val="20"/>
                <w:szCs w:val="20"/>
                <w:color w:val="auto"/>
              </w:rPr>
            </w:pPr>
            <w:r>
              <w:rPr>
                <w:rFonts w:ascii="Arial" w:cs="Arial" w:eastAsia="Arial" w:hAnsi="Arial"/>
                <w:sz w:val="20"/>
                <w:szCs w:val="20"/>
                <w:color w:val="auto"/>
              </w:rPr>
              <w:t>Fund 1</w:t>
            </w:r>
          </w:p>
        </w:tc>
        <w:tc>
          <w:tcPr>
            <w:tcW w:w="1060" w:type="dxa"/>
            <w:vAlign w:val="bottom"/>
          </w:tcPr>
          <w:p>
            <w:pPr>
              <w:jc w:val="center"/>
              <w:spacing w:after="0" w:line="214" w:lineRule="exact"/>
              <w:rPr>
                <w:sz w:val="20"/>
                <w:szCs w:val="20"/>
                <w:color w:val="auto"/>
              </w:rPr>
            </w:pPr>
            <w:r>
              <w:rPr>
                <w:rFonts w:ascii="Arial" w:cs="Arial" w:eastAsia="Arial" w:hAnsi="Arial"/>
                <w:sz w:val="20"/>
                <w:szCs w:val="20"/>
                <w:color w:val="auto"/>
                <w:w w:val="95"/>
              </w:rPr>
              <w:t>5,522</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15.0%</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w w:val="95"/>
              </w:rPr>
              <w:t>5,078</w:t>
            </w:r>
          </w:p>
        </w:tc>
        <w:tc>
          <w:tcPr>
            <w:tcW w:w="118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16.5%</w:t>
            </w:r>
          </w:p>
        </w:tc>
      </w:tr>
      <w:tr>
        <w:trPr>
          <w:trHeight w:val="214"/>
        </w:trPr>
        <w:tc>
          <w:tcPr>
            <w:tcW w:w="5640" w:type="dxa"/>
            <w:vAlign w:val="bottom"/>
            <w:tcBorders>
              <w:left w:val="single" w:sz="8" w:color="auto"/>
              <w:right w:val="single" w:sz="8" w:color="auto"/>
            </w:tcBorders>
            <w:gridSpan w:val="2"/>
          </w:tcPr>
          <w:p>
            <w:pPr>
              <w:ind w:left="40"/>
              <w:spacing w:after="0" w:line="214" w:lineRule="exact"/>
              <w:rPr>
                <w:sz w:val="20"/>
                <w:szCs w:val="20"/>
                <w:color w:val="auto"/>
              </w:rPr>
            </w:pPr>
            <w:r>
              <w:rPr>
                <w:rFonts w:ascii="Arial" w:cs="Arial" w:eastAsia="Arial" w:hAnsi="Arial"/>
                <w:sz w:val="20"/>
                <w:szCs w:val="20"/>
                <w:color w:val="auto"/>
              </w:rPr>
              <w:t>Fund 2</w:t>
            </w:r>
          </w:p>
        </w:tc>
        <w:tc>
          <w:tcPr>
            <w:tcW w:w="1060" w:type="dxa"/>
            <w:vAlign w:val="bottom"/>
          </w:tcPr>
          <w:p>
            <w:pPr>
              <w:jc w:val="center"/>
              <w:spacing w:after="0" w:line="214" w:lineRule="exact"/>
              <w:rPr>
                <w:sz w:val="20"/>
                <w:szCs w:val="20"/>
                <w:color w:val="auto"/>
              </w:rPr>
            </w:pPr>
            <w:r>
              <w:rPr>
                <w:rFonts w:ascii="Arial" w:cs="Arial" w:eastAsia="Arial" w:hAnsi="Arial"/>
                <w:sz w:val="20"/>
                <w:szCs w:val="20"/>
                <w:color w:val="auto"/>
                <w:w w:val="98"/>
              </w:rPr>
              <w:t>25,567</w:t>
            </w:r>
          </w:p>
        </w:tc>
        <w:tc>
          <w:tcPr>
            <w:tcW w:w="11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69.5%</w:t>
            </w:r>
          </w:p>
        </w:tc>
        <w:tc>
          <w:tcPr>
            <w:tcW w:w="1080" w:type="dxa"/>
            <w:vAlign w:val="bottom"/>
          </w:tcPr>
          <w:p>
            <w:pPr>
              <w:jc w:val="center"/>
              <w:spacing w:after="0" w:line="214" w:lineRule="exact"/>
              <w:rPr>
                <w:sz w:val="20"/>
                <w:szCs w:val="20"/>
                <w:color w:val="auto"/>
              </w:rPr>
            </w:pPr>
            <w:r>
              <w:rPr>
                <w:rFonts w:ascii="Arial" w:cs="Arial" w:eastAsia="Arial" w:hAnsi="Arial"/>
                <w:sz w:val="20"/>
                <w:szCs w:val="20"/>
                <w:color w:val="auto"/>
                <w:w w:val="98"/>
              </w:rPr>
              <w:t>20,517</w:t>
            </w:r>
          </w:p>
        </w:tc>
        <w:tc>
          <w:tcPr>
            <w:tcW w:w="118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66.7%</w:t>
            </w:r>
          </w:p>
        </w:tc>
      </w:tr>
      <w:tr>
        <w:trPr>
          <w:trHeight w:val="243"/>
        </w:trPr>
        <w:tc>
          <w:tcPr>
            <w:tcW w:w="5640" w:type="dxa"/>
            <w:vAlign w:val="bottom"/>
            <w:tcBorders>
              <w:left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20"/>
                <w:szCs w:val="20"/>
                <w:color w:val="auto"/>
              </w:rPr>
              <w:t>Fund 3</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4,374</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11.9%</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3,840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12.5%</w:t>
            </w:r>
          </w:p>
        </w:tc>
      </w:tr>
      <w:tr>
        <w:trPr>
          <w:trHeight w:val="221"/>
        </w:trPr>
        <w:tc>
          <w:tcPr>
            <w:tcW w:w="5640" w:type="dxa"/>
            <w:vAlign w:val="bottom"/>
            <w:tcBorders>
              <w:left w:val="single" w:sz="8" w:color="auto"/>
              <w:bottom w:val="single" w:sz="8" w:color="auto"/>
              <w:right w:val="single" w:sz="8" w:color="auto"/>
            </w:tcBorders>
            <w:gridSpan w:val="2"/>
          </w:tcPr>
          <w:p>
            <w:pPr>
              <w:ind w:left="40"/>
              <w:spacing w:after="0" w:line="214" w:lineRule="exact"/>
              <w:rPr>
                <w:sz w:val="20"/>
                <w:szCs w:val="20"/>
                <w:color w:val="auto"/>
              </w:rPr>
            </w:pPr>
            <w:r>
              <w:rPr>
                <w:rFonts w:ascii="Arial" w:cs="Arial" w:eastAsia="Arial" w:hAnsi="Arial"/>
                <w:sz w:val="20"/>
                <w:szCs w:val="20"/>
                <w:color w:val="auto"/>
              </w:rPr>
              <w:t>Total S/ Millions</w:t>
            </w:r>
          </w:p>
        </w:tc>
        <w:tc>
          <w:tcPr>
            <w:tcW w:w="106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36,789</w:t>
            </w:r>
          </w:p>
        </w:tc>
        <w:tc>
          <w:tcPr>
            <w:tcW w:w="11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100%</w:t>
            </w:r>
          </w:p>
        </w:tc>
        <w:tc>
          <w:tcPr>
            <w:tcW w:w="10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30,755</w:t>
            </w:r>
          </w:p>
        </w:tc>
        <w:tc>
          <w:tcPr>
            <w:tcW w:w="118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100%</w:t>
            </w:r>
          </w:p>
        </w:tc>
      </w:tr>
      <w:tr>
        <w:trPr>
          <w:trHeight w:val="151"/>
        </w:trPr>
        <w:tc>
          <w:tcPr>
            <w:tcW w:w="564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Source: SBS.</w:t>
            </w:r>
          </w:p>
        </w:tc>
        <w:tc>
          <w:tcPr>
            <w:tcW w:w="10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331"/>
        </w:trPr>
        <w:tc>
          <w:tcPr>
            <w:tcW w:w="56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Nominal profitability over the last 12 months</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
        </w:trPr>
        <w:tc>
          <w:tcPr>
            <w:tcW w:w="4120" w:type="dxa"/>
            <w:vAlign w:val="bottom"/>
            <w:tcBorders>
              <w:left w:val="single" w:sz="8" w:color="auto"/>
            </w:tcBorders>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500" w:type="dxa"/>
            <w:vAlign w:val="bottom"/>
            <w:tcBorders>
              <w:bottom w:val="single" w:sz="8" w:color="auto"/>
              <w:right w:val="single" w:sz="8" w:color="auto"/>
            </w:tcBorders>
          </w:tcPr>
          <w:p>
            <w:pPr>
              <w:spacing w:after="0"/>
              <w:rPr>
                <w:sz w:val="21"/>
                <w:szCs w:val="21"/>
                <w:color w:val="auto"/>
              </w:rPr>
            </w:pPr>
          </w:p>
        </w:tc>
        <w:tc>
          <w:tcPr>
            <w:tcW w:w="1660" w:type="dxa"/>
            <w:vAlign w:val="bottom"/>
            <w:tcBorders>
              <w:top w:val="single" w:sz="8" w:color="auto"/>
              <w:bottom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20"/>
                <w:szCs w:val="20"/>
                <w:b w:val="1"/>
                <w:bCs w:val="1"/>
                <w:color w:val="FFFFFF"/>
              </w:rPr>
              <w:t>Jun 22 / Jun 21</w:t>
            </w:r>
          </w:p>
        </w:tc>
        <w:tc>
          <w:tcPr>
            <w:tcW w:w="1700" w:type="dxa"/>
            <w:vAlign w:val="bottom"/>
            <w:tcBorders>
              <w:top w:val="single" w:sz="8" w:color="auto"/>
              <w:bottom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20"/>
                <w:szCs w:val="20"/>
                <w:b w:val="1"/>
                <w:bCs w:val="1"/>
                <w:color w:val="FFFFFF"/>
              </w:rPr>
              <w:t>Sep 22 / Sep 21</w:t>
            </w:r>
          </w:p>
        </w:tc>
      </w:tr>
      <w:tr>
        <w:trPr>
          <w:trHeight w:val="193"/>
        </w:trPr>
        <w:tc>
          <w:tcPr>
            <w:tcW w:w="450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Fund 0</w:t>
            </w:r>
          </w:p>
        </w:tc>
        <w:tc>
          <w:tcPr>
            <w:tcW w:w="16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2.3%</w:t>
            </w:r>
          </w:p>
        </w:tc>
        <w:tc>
          <w:tcPr>
            <w:tcW w:w="17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3.7%</w:t>
            </w:r>
          </w:p>
        </w:tc>
      </w:tr>
      <w:tr>
        <w:trPr>
          <w:trHeight w:val="214"/>
        </w:trPr>
        <w:tc>
          <w:tcPr>
            <w:tcW w:w="45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Fund 1</w:t>
            </w:r>
          </w:p>
        </w:tc>
        <w:tc>
          <w:tcPr>
            <w:tcW w:w="16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-8.9%</w:t>
            </w:r>
          </w:p>
        </w:tc>
        <w:tc>
          <w:tcPr>
            <w:tcW w:w="17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-8.4%</w:t>
            </w:r>
          </w:p>
        </w:tc>
      </w:tr>
      <w:tr>
        <w:trPr>
          <w:trHeight w:val="214"/>
        </w:trPr>
        <w:tc>
          <w:tcPr>
            <w:tcW w:w="450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Fund 2</w:t>
            </w:r>
          </w:p>
        </w:tc>
        <w:tc>
          <w:tcPr>
            <w:tcW w:w="16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-7.0%</w:t>
            </w:r>
          </w:p>
        </w:tc>
        <w:tc>
          <w:tcPr>
            <w:tcW w:w="17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-8.1%</w:t>
            </w:r>
          </w:p>
        </w:tc>
      </w:tr>
      <w:tr>
        <w:trPr>
          <w:trHeight w:val="243"/>
        </w:trPr>
        <w:tc>
          <w:tcPr>
            <w:tcW w:w="4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Fund 3</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-2.7%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-7.1%</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AFP commissions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94"/>
        </w:trPr>
        <w:tc>
          <w:tcPr>
            <w:tcW w:w="2000" w:type="dxa"/>
            <w:vAlign w:val="bottom"/>
            <w:tcBorders>
              <w:top w:val="single" w:sz="8" w:color="auto"/>
              <w:left w:val="single" w:sz="8" w:color="auto"/>
              <w:bottom w:val="single" w:sz="8" w:color="auto"/>
            </w:tcBorders>
            <w:shd w:val="clear" w:color="auto" w:fill="2AD2C9"/>
          </w:tcPr>
          <w:p>
            <w:pPr>
              <w:ind w:left="40"/>
              <w:spacing w:after="0"/>
              <w:rPr>
                <w:sz w:val="20"/>
                <w:szCs w:val="20"/>
                <w:color w:val="auto"/>
              </w:rPr>
            </w:pPr>
            <w:r>
              <w:rPr>
                <w:rFonts w:ascii="Arial" w:cs="Arial" w:eastAsia="Arial" w:hAnsi="Arial"/>
                <w:sz w:val="14"/>
                <w:szCs w:val="14"/>
                <w:b w:val="1"/>
                <w:bCs w:val="1"/>
                <w:color w:val="FFFFFF"/>
              </w:rPr>
              <w:t>Fee based on flow</w:t>
            </w:r>
          </w:p>
        </w:tc>
        <w:tc>
          <w:tcPr>
            <w:tcW w:w="2020" w:type="dxa"/>
            <w:vAlign w:val="bottom"/>
            <w:tcBorders>
              <w:top w:val="single" w:sz="8" w:color="auto"/>
              <w:bottom w:val="single" w:sz="8" w:color="auto"/>
              <w:right w:val="single" w:sz="8" w:color="auto"/>
            </w:tcBorders>
            <w:shd w:val="clear" w:color="auto" w:fill="2AD2C9"/>
          </w:tcPr>
          <w:p>
            <w:pPr>
              <w:jc w:val="right"/>
              <w:ind w:right="829"/>
              <w:spacing w:after="0"/>
              <w:rPr>
                <w:sz w:val="20"/>
                <w:szCs w:val="20"/>
                <w:color w:val="auto"/>
              </w:rPr>
            </w:pPr>
            <w:r>
              <w:rPr>
                <w:rFonts w:ascii="Arial" w:cs="Arial" w:eastAsia="Arial" w:hAnsi="Arial"/>
                <w:sz w:val="14"/>
                <w:szCs w:val="14"/>
                <w:color w:val="FFFFFF"/>
              </w:rPr>
              <w:t>1.60%</w:t>
            </w:r>
          </w:p>
        </w:tc>
        <w:tc>
          <w:tcPr>
            <w:tcW w:w="7220" w:type="dxa"/>
            <w:vAlign w:val="bottom"/>
            <w:tcBorders>
              <w:top w:val="single" w:sz="8" w:color="auto"/>
              <w:bottom w:val="single" w:sz="8" w:color="auto"/>
              <w:right w:val="single" w:sz="8" w:color="auto"/>
            </w:tcBorders>
            <w:shd w:val="clear" w:color="auto" w:fill="2AD2C9"/>
          </w:tcPr>
          <w:p>
            <w:pPr>
              <w:spacing w:after="0"/>
              <w:rPr>
                <w:sz w:val="20"/>
                <w:szCs w:val="20"/>
                <w:color w:val="auto"/>
              </w:rPr>
            </w:pPr>
            <w:r>
              <w:rPr>
                <w:rFonts w:ascii="Arial" w:cs="Arial" w:eastAsia="Arial" w:hAnsi="Arial"/>
                <w:sz w:val="14"/>
                <w:szCs w:val="14"/>
                <w:color w:val="FFFFFF"/>
              </w:rPr>
              <w:t>Applied to the affiliates' monthly remuneration.</w:t>
            </w:r>
          </w:p>
        </w:tc>
        <w:tc>
          <w:tcPr>
            <w:tcW w:w="0" w:type="dxa"/>
            <w:vAlign w:val="bottom"/>
          </w:tcPr>
          <w:p>
            <w:pPr>
              <w:spacing w:after="0"/>
              <w:rPr>
                <w:sz w:val="1"/>
                <w:szCs w:val="1"/>
                <w:color w:val="auto"/>
              </w:rPr>
            </w:pPr>
          </w:p>
        </w:tc>
      </w:tr>
      <w:tr>
        <w:trPr>
          <w:trHeight w:val="199"/>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Mixed fee</w:t>
            </w:r>
          </w:p>
        </w:tc>
        <w:tc>
          <w:tcPr>
            <w:tcW w:w="2020" w:type="dxa"/>
            <w:vAlign w:val="bottom"/>
            <w:tcBorders>
              <w:right w:val="single" w:sz="8" w:color="auto"/>
            </w:tcBorders>
          </w:tcPr>
          <w:p>
            <w:pPr>
              <w:spacing w:after="0"/>
              <w:rPr>
                <w:sz w:val="17"/>
                <w:szCs w:val="17"/>
                <w:color w:val="auto"/>
              </w:rPr>
            </w:pPr>
          </w:p>
        </w:tc>
        <w:tc>
          <w:tcPr>
            <w:tcW w:w="7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2000" w:type="dxa"/>
            <w:vAlign w:val="bottom"/>
            <w:tcBorders>
              <w:left w:val="single" w:sz="8" w:color="auto"/>
            </w:tcBorders>
          </w:tcPr>
          <w:p>
            <w:pPr>
              <w:ind w:left="40"/>
              <w:spacing w:after="0"/>
              <w:rPr>
                <w:sz w:val="20"/>
                <w:szCs w:val="20"/>
                <w:color w:val="auto"/>
              </w:rPr>
            </w:pPr>
            <w:r>
              <w:rPr>
                <w:rFonts w:ascii="Arial" w:cs="Arial" w:eastAsia="Arial" w:hAnsi="Arial"/>
                <w:sz w:val="14"/>
                <w:szCs w:val="14"/>
                <w:b w:val="1"/>
                <w:bCs w:val="1"/>
                <w:color w:val="auto"/>
              </w:rPr>
              <w:t>Flow</w:t>
            </w:r>
          </w:p>
        </w:tc>
        <w:tc>
          <w:tcPr>
            <w:tcW w:w="2020" w:type="dxa"/>
            <w:vAlign w:val="bottom"/>
            <w:tcBorders>
              <w:right w:val="single" w:sz="8" w:color="auto"/>
            </w:tcBorders>
          </w:tcPr>
          <w:p>
            <w:pPr>
              <w:jc w:val="right"/>
              <w:ind w:right="829"/>
              <w:spacing w:after="0"/>
              <w:rPr>
                <w:sz w:val="20"/>
                <w:szCs w:val="20"/>
                <w:color w:val="auto"/>
              </w:rPr>
            </w:pPr>
            <w:r>
              <w:rPr>
                <w:rFonts w:ascii="Arial" w:cs="Arial" w:eastAsia="Arial" w:hAnsi="Arial"/>
                <w:sz w:val="14"/>
                <w:szCs w:val="14"/>
                <w:color w:val="auto"/>
              </w:rPr>
              <w:t>0.18%</w:t>
            </w: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Applied to the affiliates' monthly remuneration since June 2017. Feb 17- may 17 =0.87%.</w:t>
            </w:r>
          </w:p>
        </w:tc>
        <w:tc>
          <w:tcPr>
            <w:tcW w:w="0" w:type="dxa"/>
            <w:vAlign w:val="bottom"/>
          </w:tcPr>
          <w:p>
            <w:pPr>
              <w:spacing w:after="0"/>
              <w:rPr>
                <w:sz w:val="1"/>
                <w:szCs w:val="1"/>
                <w:color w:val="auto"/>
              </w:rPr>
            </w:pPr>
          </w:p>
        </w:tc>
      </w:tr>
      <w:tr>
        <w:trPr>
          <w:trHeight w:val="314"/>
        </w:trPr>
        <w:tc>
          <w:tcPr>
            <w:tcW w:w="2000" w:type="dxa"/>
            <w:vAlign w:val="bottom"/>
            <w:tcBorders>
              <w:left w:val="single" w:sz="8" w:color="auto"/>
            </w:tcBorders>
            <w:vMerge w:val="restart"/>
          </w:tcPr>
          <w:p>
            <w:pPr>
              <w:ind w:left="40"/>
              <w:spacing w:after="0"/>
              <w:rPr>
                <w:sz w:val="20"/>
                <w:szCs w:val="20"/>
                <w:color w:val="auto"/>
              </w:rPr>
            </w:pPr>
            <w:r>
              <w:rPr>
                <w:rFonts w:ascii="Arial" w:cs="Arial" w:eastAsia="Arial" w:hAnsi="Arial"/>
                <w:sz w:val="14"/>
                <w:szCs w:val="14"/>
                <w:color w:val="auto"/>
              </w:rPr>
              <w:t>Balance</w:t>
            </w:r>
          </w:p>
        </w:tc>
        <w:tc>
          <w:tcPr>
            <w:tcW w:w="2020" w:type="dxa"/>
            <w:vAlign w:val="bottom"/>
            <w:tcBorders>
              <w:right w:val="single" w:sz="8" w:color="auto"/>
            </w:tcBorders>
            <w:vMerge w:val="restart"/>
          </w:tcPr>
          <w:p>
            <w:pPr>
              <w:jc w:val="right"/>
              <w:ind w:right="829"/>
              <w:spacing w:after="0"/>
              <w:rPr>
                <w:sz w:val="20"/>
                <w:szCs w:val="20"/>
                <w:color w:val="auto"/>
              </w:rPr>
            </w:pPr>
            <w:r>
              <w:rPr>
                <w:rFonts w:ascii="Arial" w:cs="Arial" w:eastAsia="Arial" w:hAnsi="Arial"/>
                <w:sz w:val="14"/>
                <w:szCs w:val="14"/>
                <w:color w:val="auto"/>
              </w:rPr>
              <w:t>1.25%</w:t>
            </w:r>
          </w:p>
        </w:tc>
        <w:tc>
          <w:tcPr>
            <w:tcW w:w="72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Applies annualy to the new balance since February 2013 for new affiliates to the system and beginning on June</w:t>
            </w:r>
          </w:p>
        </w:tc>
        <w:tc>
          <w:tcPr>
            <w:tcW w:w="0" w:type="dxa"/>
            <w:vAlign w:val="bottom"/>
          </w:tcPr>
          <w:p>
            <w:pPr>
              <w:spacing w:after="0"/>
              <w:rPr>
                <w:sz w:val="1"/>
                <w:szCs w:val="1"/>
                <w:color w:val="auto"/>
              </w:rPr>
            </w:pPr>
          </w:p>
        </w:tc>
      </w:tr>
      <w:tr>
        <w:trPr>
          <w:trHeight w:val="109"/>
        </w:trPr>
        <w:tc>
          <w:tcPr>
            <w:tcW w:w="2000" w:type="dxa"/>
            <w:vAlign w:val="bottom"/>
            <w:tcBorders>
              <w:left w:val="single" w:sz="8" w:color="auto"/>
            </w:tcBorders>
            <w:vMerge w:val="continue"/>
          </w:tcPr>
          <w:p>
            <w:pPr>
              <w:spacing w:after="0"/>
              <w:rPr>
                <w:sz w:val="9"/>
                <w:szCs w:val="9"/>
                <w:color w:val="auto"/>
              </w:rPr>
            </w:pPr>
          </w:p>
        </w:tc>
        <w:tc>
          <w:tcPr>
            <w:tcW w:w="2020" w:type="dxa"/>
            <w:vAlign w:val="bottom"/>
            <w:tcBorders>
              <w:right w:val="single" w:sz="8" w:color="auto"/>
            </w:tcBorders>
            <w:vMerge w:val="continue"/>
          </w:tcPr>
          <w:p>
            <w:pPr>
              <w:spacing w:after="0"/>
              <w:rPr>
                <w:sz w:val="9"/>
                <w:szCs w:val="9"/>
                <w:color w:val="auto"/>
              </w:rPr>
            </w:pPr>
          </w:p>
        </w:tc>
        <w:tc>
          <w:tcPr>
            <w:tcW w:w="722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2013 for old affiliates who have chosen this commission scheme.</w:t>
            </w:r>
          </w:p>
        </w:tc>
        <w:tc>
          <w:tcPr>
            <w:tcW w:w="0" w:type="dxa"/>
            <w:vAlign w:val="bottom"/>
          </w:tcPr>
          <w:p>
            <w:pPr>
              <w:spacing w:after="0"/>
              <w:rPr>
                <w:sz w:val="1"/>
                <w:szCs w:val="1"/>
                <w:color w:val="auto"/>
              </w:rPr>
            </w:pPr>
          </w:p>
        </w:tc>
      </w:tr>
      <w:tr>
        <w:trPr>
          <w:trHeight w:val="68"/>
        </w:trPr>
        <w:tc>
          <w:tcPr>
            <w:tcW w:w="2000" w:type="dxa"/>
            <w:vAlign w:val="bottom"/>
            <w:tcBorders>
              <w:left w:val="single" w:sz="8" w:color="auto"/>
              <w:bottom w:val="single" w:sz="8" w:color="auto"/>
            </w:tcBorders>
          </w:tcPr>
          <w:p>
            <w:pPr>
              <w:spacing w:after="0"/>
              <w:rPr>
                <w:sz w:val="5"/>
                <w:szCs w:val="5"/>
                <w:color w:val="auto"/>
              </w:rPr>
            </w:pPr>
          </w:p>
        </w:tc>
        <w:tc>
          <w:tcPr>
            <w:tcW w:w="2020" w:type="dxa"/>
            <w:vAlign w:val="bottom"/>
            <w:tcBorders>
              <w:bottom w:val="single" w:sz="8" w:color="auto"/>
              <w:right w:val="single" w:sz="8" w:color="auto"/>
            </w:tcBorders>
          </w:tcPr>
          <w:p>
            <w:pPr>
              <w:spacing w:after="0"/>
              <w:rPr>
                <w:sz w:val="5"/>
                <w:szCs w:val="5"/>
                <w:color w:val="auto"/>
              </w:rPr>
            </w:pPr>
          </w:p>
        </w:tc>
        <w:tc>
          <w:tcPr>
            <w:tcW w:w="72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Main indicators</w:t>
      </w:r>
    </w:p>
    <w:p>
      <w:pPr>
        <w:spacing w:after="0" w:line="158"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520" w:type="dxa"/>
            <w:vAlign w:val="bottom"/>
            <w:tcBorders>
              <w:top w:val="single" w:sz="8" w:color="auto"/>
              <w:left w:val="single" w:sz="8" w:color="auto"/>
              <w:right w:val="single" w:sz="8" w:color="auto"/>
            </w:tcBorders>
            <w:vMerge w:val="restart"/>
            <w:shd w:val="clear" w:color="auto" w:fill="2AD2C9"/>
          </w:tcPr>
          <w:p>
            <w:pPr>
              <w:ind w:left="40"/>
              <w:spacing w:after="0"/>
              <w:rPr>
                <w:sz w:val="20"/>
                <w:szCs w:val="20"/>
                <w:color w:val="auto"/>
              </w:rPr>
            </w:pPr>
            <w:r>
              <w:rPr>
                <w:rFonts w:ascii="Arial" w:cs="Arial" w:eastAsia="Arial" w:hAnsi="Arial"/>
                <w:sz w:val="20"/>
                <w:szCs w:val="20"/>
                <w:b w:val="1"/>
                <w:bCs w:val="1"/>
                <w:color w:val="FFFFFF"/>
              </w:rPr>
              <w:t>Main indicators and market share</w:t>
            </w:r>
          </w:p>
        </w:tc>
        <w:tc>
          <w:tcPr>
            <w:tcW w:w="1120" w:type="dxa"/>
            <w:vAlign w:val="bottom"/>
            <w:tcBorders>
              <w:top w:val="single" w:sz="8" w:color="auto"/>
            </w:tcBorders>
            <w:shd w:val="clear" w:color="auto" w:fill="2AD2C9"/>
          </w:tcPr>
          <w:p>
            <w:pPr>
              <w:ind w:left="280"/>
              <w:spacing w:after="0" w:line="217" w:lineRule="exact"/>
              <w:rPr>
                <w:sz w:val="20"/>
                <w:szCs w:val="20"/>
                <w:color w:val="auto"/>
              </w:rPr>
            </w:pPr>
            <w:r>
              <w:rPr>
                <w:rFonts w:ascii="Arial" w:cs="Arial" w:eastAsia="Arial" w:hAnsi="Arial"/>
                <w:sz w:val="20"/>
                <w:szCs w:val="20"/>
                <w:b w:val="1"/>
                <w:bCs w:val="1"/>
                <w:color w:val="FFFFFF"/>
              </w:rPr>
              <w:t>Prima</w:t>
            </w:r>
          </w:p>
        </w:tc>
        <w:tc>
          <w:tcPr>
            <w:tcW w:w="1140" w:type="dxa"/>
            <w:vAlign w:val="bottom"/>
            <w:tcBorders>
              <w:top w:val="single" w:sz="8" w:color="auto"/>
            </w:tcBorders>
            <w:shd w:val="clear" w:color="auto" w:fill="2AD2C9"/>
          </w:tcPr>
          <w:p>
            <w:pPr>
              <w:ind w:left="200"/>
              <w:spacing w:after="0" w:line="217" w:lineRule="exact"/>
              <w:rPr>
                <w:sz w:val="20"/>
                <w:szCs w:val="20"/>
                <w:color w:val="auto"/>
              </w:rPr>
            </w:pPr>
            <w:r>
              <w:rPr>
                <w:rFonts w:ascii="Arial" w:cs="Arial" w:eastAsia="Arial" w:hAnsi="Arial"/>
                <w:sz w:val="20"/>
                <w:szCs w:val="20"/>
                <w:b w:val="1"/>
                <w:bCs w:val="1"/>
                <w:color w:val="FFFFFF"/>
              </w:rPr>
              <w:t>System</w:t>
            </w:r>
          </w:p>
        </w:tc>
        <w:tc>
          <w:tcPr>
            <w:tcW w:w="1120" w:type="dxa"/>
            <w:vAlign w:val="bottom"/>
            <w:tcBorders>
              <w:top w:val="single" w:sz="8" w:color="auto"/>
              <w:right w:val="single" w:sz="8" w:color="auto"/>
            </w:tcBorders>
            <w:shd w:val="clear" w:color="auto" w:fill="2AD2C9"/>
          </w:tcPr>
          <w:p>
            <w:pPr>
              <w:ind w:left="160"/>
              <w:spacing w:after="0" w:line="217" w:lineRule="exact"/>
              <w:rPr>
                <w:sz w:val="20"/>
                <w:szCs w:val="20"/>
                <w:color w:val="auto"/>
              </w:rPr>
            </w:pPr>
            <w:r>
              <w:rPr>
                <w:rFonts w:ascii="Arial" w:cs="Arial" w:eastAsia="Arial" w:hAnsi="Arial"/>
                <w:sz w:val="20"/>
                <w:szCs w:val="20"/>
                <w:b w:val="1"/>
                <w:bCs w:val="1"/>
                <w:color w:val="FFFFFF"/>
              </w:rPr>
              <w:t>% share</w:t>
            </w:r>
          </w:p>
        </w:tc>
        <w:tc>
          <w:tcPr>
            <w:tcW w:w="1140" w:type="dxa"/>
            <w:vAlign w:val="bottom"/>
            <w:tcBorders>
              <w:top w:val="single" w:sz="8" w:color="auto"/>
            </w:tcBorders>
            <w:shd w:val="clear" w:color="auto" w:fill="2AD2C9"/>
          </w:tcPr>
          <w:p>
            <w:pPr>
              <w:ind w:left="300"/>
              <w:spacing w:after="0" w:line="217" w:lineRule="exact"/>
              <w:rPr>
                <w:sz w:val="20"/>
                <w:szCs w:val="20"/>
                <w:color w:val="auto"/>
              </w:rPr>
            </w:pPr>
            <w:r>
              <w:rPr>
                <w:rFonts w:ascii="Arial" w:cs="Arial" w:eastAsia="Arial" w:hAnsi="Arial"/>
                <w:sz w:val="20"/>
                <w:szCs w:val="20"/>
                <w:b w:val="1"/>
                <w:bCs w:val="1"/>
                <w:color w:val="FFFFFF"/>
              </w:rPr>
              <w:t>Prima</w:t>
            </w:r>
          </w:p>
        </w:tc>
        <w:tc>
          <w:tcPr>
            <w:tcW w:w="1160" w:type="dxa"/>
            <w:vAlign w:val="bottom"/>
            <w:tcBorders>
              <w:top w:val="single" w:sz="8" w:color="auto"/>
            </w:tcBorders>
            <w:shd w:val="clear" w:color="auto" w:fill="2AD2C9"/>
          </w:tcPr>
          <w:p>
            <w:pPr>
              <w:ind w:left="240"/>
              <w:spacing w:after="0" w:line="217" w:lineRule="exact"/>
              <w:rPr>
                <w:sz w:val="20"/>
                <w:szCs w:val="20"/>
                <w:color w:val="auto"/>
              </w:rPr>
            </w:pPr>
            <w:r>
              <w:rPr>
                <w:rFonts w:ascii="Arial" w:cs="Arial" w:eastAsia="Arial" w:hAnsi="Arial"/>
                <w:sz w:val="20"/>
                <w:szCs w:val="20"/>
                <w:b w:val="1"/>
                <w:bCs w:val="1"/>
                <w:color w:val="FFFFFF"/>
              </w:rPr>
              <w:t>System</w:t>
            </w:r>
          </w:p>
        </w:tc>
        <w:tc>
          <w:tcPr>
            <w:tcW w:w="1040" w:type="dxa"/>
            <w:vAlign w:val="bottom"/>
            <w:tcBorders>
              <w:top w:val="single" w:sz="8" w:color="auto"/>
              <w:right w:val="single" w:sz="8" w:color="auto"/>
            </w:tcBorders>
            <w:shd w:val="clear" w:color="auto" w:fill="2AD2C9"/>
          </w:tcPr>
          <w:p>
            <w:pPr>
              <w:ind w:left="120"/>
              <w:spacing w:after="0" w:line="217" w:lineRule="exact"/>
              <w:rPr>
                <w:sz w:val="20"/>
                <w:szCs w:val="20"/>
                <w:color w:val="auto"/>
              </w:rPr>
            </w:pPr>
            <w:r>
              <w:rPr>
                <w:rFonts w:ascii="Arial" w:cs="Arial" w:eastAsia="Arial" w:hAnsi="Arial"/>
                <w:sz w:val="20"/>
                <w:szCs w:val="20"/>
                <w:b w:val="1"/>
                <w:bCs w:val="1"/>
                <w:color w:val="FFFFFF"/>
              </w:rPr>
              <w:t>% share</w:t>
            </w:r>
          </w:p>
        </w:tc>
        <w:tc>
          <w:tcPr>
            <w:tcW w:w="0" w:type="dxa"/>
            <w:vAlign w:val="bottom"/>
          </w:tcPr>
          <w:p>
            <w:pPr>
              <w:spacing w:after="0"/>
              <w:rPr>
                <w:sz w:val="1"/>
                <w:szCs w:val="1"/>
                <w:color w:val="auto"/>
              </w:rPr>
            </w:pPr>
          </w:p>
        </w:tc>
      </w:tr>
      <w:tr>
        <w:trPr>
          <w:trHeight w:val="163"/>
        </w:trPr>
        <w:tc>
          <w:tcPr>
            <w:tcW w:w="4520" w:type="dxa"/>
            <w:vAlign w:val="bottom"/>
            <w:tcBorders>
              <w:left w:val="single" w:sz="8" w:color="auto"/>
              <w:right w:val="single" w:sz="8" w:color="auto"/>
            </w:tcBorders>
            <w:vMerge w:val="continue"/>
            <w:shd w:val="clear" w:color="auto" w:fill="2AD2C9"/>
          </w:tcPr>
          <w:p>
            <w:pPr>
              <w:spacing w:after="0"/>
              <w:rPr>
                <w:sz w:val="14"/>
                <w:szCs w:val="14"/>
                <w:color w:val="auto"/>
              </w:rPr>
            </w:pPr>
          </w:p>
        </w:tc>
        <w:tc>
          <w:tcPr>
            <w:tcW w:w="1120" w:type="dxa"/>
            <w:vAlign w:val="bottom"/>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2Q22</w:t>
            </w:r>
          </w:p>
        </w:tc>
        <w:tc>
          <w:tcPr>
            <w:tcW w:w="1140" w:type="dxa"/>
            <w:vAlign w:val="bottom"/>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2Q22</w:t>
            </w:r>
          </w:p>
        </w:tc>
        <w:tc>
          <w:tcPr>
            <w:tcW w:w="112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2Q22</w:t>
            </w:r>
          </w:p>
        </w:tc>
        <w:tc>
          <w:tcPr>
            <w:tcW w:w="1140" w:type="dxa"/>
            <w:vAlign w:val="bottom"/>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3Q22</w:t>
            </w:r>
          </w:p>
        </w:tc>
        <w:tc>
          <w:tcPr>
            <w:tcW w:w="1160" w:type="dxa"/>
            <w:vAlign w:val="bottom"/>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3Q22</w:t>
            </w:r>
          </w:p>
        </w:tc>
        <w:tc>
          <w:tcPr>
            <w:tcW w:w="104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3Q22</w:t>
            </w:r>
          </w:p>
        </w:tc>
        <w:tc>
          <w:tcPr>
            <w:tcW w:w="0" w:type="dxa"/>
            <w:vAlign w:val="bottom"/>
          </w:tcPr>
          <w:p>
            <w:pPr>
              <w:spacing w:after="0"/>
              <w:rPr>
                <w:sz w:val="1"/>
                <w:szCs w:val="1"/>
                <w:color w:val="auto"/>
              </w:rPr>
            </w:pPr>
          </w:p>
        </w:tc>
      </w:tr>
      <w:tr>
        <w:trPr>
          <w:trHeight w:val="82"/>
        </w:trPr>
        <w:tc>
          <w:tcPr>
            <w:tcW w:w="4520" w:type="dxa"/>
            <w:vAlign w:val="bottom"/>
            <w:tcBorders>
              <w:left w:val="single" w:sz="8" w:color="auto"/>
              <w:bottom w:val="single" w:sz="8" w:color="auto"/>
              <w:right w:val="single" w:sz="8" w:color="auto"/>
            </w:tcBorders>
            <w:shd w:val="clear" w:color="auto" w:fill="2AD2C9"/>
          </w:tcPr>
          <w:p>
            <w:pPr>
              <w:spacing w:after="0"/>
              <w:rPr>
                <w:sz w:val="7"/>
                <w:szCs w:val="7"/>
                <w:color w:val="auto"/>
              </w:rPr>
            </w:pPr>
          </w:p>
        </w:tc>
        <w:tc>
          <w:tcPr>
            <w:tcW w:w="1120" w:type="dxa"/>
            <w:vAlign w:val="bottom"/>
            <w:tcBorders>
              <w:bottom w:val="single" w:sz="8" w:color="auto"/>
            </w:tcBorders>
            <w:vMerge w:val="continue"/>
            <w:shd w:val="clear" w:color="auto" w:fill="2AD2C9"/>
          </w:tcPr>
          <w:p>
            <w:pPr>
              <w:spacing w:after="0"/>
              <w:rPr>
                <w:sz w:val="7"/>
                <w:szCs w:val="7"/>
                <w:color w:val="auto"/>
              </w:rPr>
            </w:pPr>
          </w:p>
        </w:tc>
        <w:tc>
          <w:tcPr>
            <w:tcW w:w="1140" w:type="dxa"/>
            <w:vAlign w:val="bottom"/>
            <w:tcBorders>
              <w:bottom w:val="single" w:sz="8" w:color="auto"/>
            </w:tcBorders>
            <w:vMerge w:val="continue"/>
            <w:shd w:val="clear" w:color="auto" w:fill="2AD2C9"/>
          </w:tcPr>
          <w:p>
            <w:pPr>
              <w:spacing w:after="0"/>
              <w:rPr>
                <w:sz w:val="7"/>
                <w:szCs w:val="7"/>
                <w:color w:val="auto"/>
              </w:rPr>
            </w:pPr>
          </w:p>
        </w:tc>
        <w:tc>
          <w:tcPr>
            <w:tcW w:w="112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1140" w:type="dxa"/>
            <w:vAlign w:val="bottom"/>
            <w:tcBorders>
              <w:bottom w:val="single" w:sz="8" w:color="auto"/>
            </w:tcBorders>
            <w:vMerge w:val="continue"/>
            <w:shd w:val="clear" w:color="auto" w:fill="2AD2C9"/>
          </w:tcPr>
          <w:p>
            <w:pPr>
              <w:spacing w:after="0"/>
              <w:rPr>
                <w:sz w:val="7"/>
                <w:szCs w:val="7"/>
                <w:color w:val="auto"/>
              </w:rPr>
            </w:pPr>
          </w:p>
        </w:tc>
        <w:tc>
          <w:tcPr>
            <w:tcW w:w="1160" w:type="dxa"/>
            <w:vAlign w:val="bottom"/>
            <w:tcBorders>
              <w:bottom w:val="single" w:sz="8" w:color="auto"/>
            </w:tcBorders>
            <w:vMerge w:val="continue"/>
            <w:shd w:val="clear" w:color="auto" w:fill="2AD2C9"/>
          </w:tcPr>
          <w:p>
            <w:pPr>
              <w:spacing w:after="0"/>
              <w:rPr>
                <w:sz w:val="7"/>
                <w:szCs w:val="7"/>
                <w:color w:val="auto"/>
              </w:rPr>
            </w:pPr>
          </w:p>
        </w:tc>
        <w:tc>
          <w:tcPr>
            <w:tcW w:w="1040" w:type="dxa"/>
            <w:vAlign w:val="bottom"/>
            <w:tcBorders>
              <w:bottom w:val="single" w:sz="8" w:color="auto"/>
              <w:right w:val="single" w:sz="8" w:color="auto"/>
            </w:tcBorders>
            <w:vMerge w:val="continue"/>
            <w:shd w:val="clear" w:color="auto" w:fill="2AD2C9"/>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4520" w:type="dxa"/>
            <w:vAlign w:val="bottom"/>
            <w:tcBorders>
              <w:left w:val="single" w:sz="8" w:color="auto"/>
              <w:right w:val="single" w:sz="8" w:color="auto"/>
            </w:tcBorders>
          </w:tcPr>
          <w:p>
            <w:pPr>
              <w:ind w:left="40"/>
              <w:spacing w:after="0" w:line="184" w:lineRule="exact"/>
              <w:rPr>
                <w:sz w:val="20"/>
                <w:szCs w:val="20"/>
                <w:color w:val="auto"/>
              </w:rPr>
            </w:pPr>
            <w:r>
              <w:rPr>
                <w:rFonts w:ascii="Arial" w:cs="Arial" w:eastAsia="Arial" w:hAnsi="Arial"/>
                <w:sz w:val="20"/>
                <w:szCs w:val="20"/>
                <w:color w:val="auto"/>
              </w:rPr>
              <w:t>Affiliates</w:t>
            </w:r>
          </w:p>
        </w:tc>
        <w:tc>
          <w:tcPr>
            <w:tcW w:w="1120" w:type="dxa"/>
            <w:vAlign w:val="bottom"/>
          </w:tcPr>
          <w:p>
            <w:pPr>
              <w:jc w:val="center"/>
              <w:spacing w:after="0" w:line="184" w:lineRule="exact"/>
              <w:rPr>
                <w:sz w:val="20"/>
                <w:szCs w:val="20"/>
                <w:color w:val="auto"/>
              </w:rPr>
            </w:pPr>
            <w:r>
              <w:rPr>
                <w:rFonts w:ascii="Arial" w:cs="Arial" w:eastAsia="Arial" w:hAnsi="Arial"/>
                <w:sz w:val="20"/>
                <w:szCs w:val="20"/>
                <w:color w:val="auto"/>
                <w:w w:val="98"/>
              </w:rPr>
              <w:t>2,347,956</w:t>
            </w:r>
          </w:p>
        </w:tc>
        <w:tc>
          <w:tcPr>
            <w:tcW w:w="1140" w:type="dxa"/>
            <w:vAlign w:val="bottom"/>
          </w:tcPr>
          <w:p>
            <w:pPr>
              <w:jc w:val="center"/>
              <w:spacing w:after="0" w:line="184" w:lineRule="exact"/>
              <w:rPr>
                <w:sz w:val="20"/>
                <w:szCs w:val="20"/>
                <w:color w:val="auto"/>
              </w:rPr>
            </w:pPr>
            <w:r>
              <w:rPr>
                <w:rFonts w:ascii="Arial" w:cs="Arial" w:eastAsia="Arial" w:hAnsi="Arial"/>
                <w:sz w:val="20"/>
                <w:szCs w:val="20"/>
                <w:color w:val="auto"/>
                <w:w w:val="96"/>
              </w:rPr>
              <w:t>8,529,346</w:t>
            </w:r>
          </w:p>
        </w:tc>
        <w:tc>
          <w:tcPr>
            <w:tcW w:w="112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5"/>
              </w:rPr>
              <w:t>27.5%</w:t>
            </w:r>
          </w:p>
        </w:tc>
        <w:tc>
          <w:tcPr>
            <w:tcW w:w="1140" w:type="dxa"/>
            <w:vAlign w:val="bottom"/>
          </w:tcPr>
          <w:p>
            <w:pPr>
              <w:jc w:val="center"/>
              <w:spacing w:after="0" w:line="184" w:lineRule="exact"/>
              <w:rPr>
                <w:sz w:val="20"/>
                <w:szCs w:val="20"/>
                <w:color w:val="auto"/>
              </w:rPr>
            </w:pPr>
            <w:r>
              <w:rPr>
                <w:rFonts w:ascii="Arial" w:cs="Arial" w:eastAsia="Arial" w:hAnsi="Arial"/>
                <w:sz w:val="20"/>
                <w:szCs w:val="20"/>
                <w:color w:val="auto"/>
                <w:w w:val="96"/>
              </w:rPr>
              <w:t>2,346,509</w:t>
            </w:r>
          </w:p>
        </w:tc>
        <w:tc>
          <w:tcPr>
            <w:tcW w:w="1160" w:type="dxa"/>
            <w:vAlign w:val="bottom"/>
          </w:tcPr>
          <w:p>
            <w:pPr>
              <w:jc w:val="center"/>
              <w:spacing w:after="0" w:line="184" w:lineRule="exact"/>
              <w:rPr>
                <w:sz w:val="20"/>
                <w:szCs w:val="20"/>
                <w:color w:val="auto"/>
              </w:rPr>
            </w:pPr>
            <w:r>
              <w:rPr>
                <w:rFonts w:ascii="Arial" w:cs="Arial" w:eastAsia="Arial" w:hAnsi="Arial"/>
                <w:sz w:val="20"/>
                <w:szCs w:val="20"/>
                <w:color w:val="auto"/>
                <w:w w:val="98"/>
              </w:rPr>
              <w:t>8,684,144</w:t>
            </w:r>
          </w:p>
        </w:tc>
        <w:tc>
          <w:tcPr>
            <w:tcW w:w="104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8"/>
              </w:rPr>
              <w:t>27.0%</w:t>
            </w:r>
          </w:p>
        </w:tc>
        <w:tc>
          <w:tcPr>
            <w:tcW w:w="0" w:type="dxa"/>
            <w:vAlign w:val="bottom"/>
          </w:tcPr>
          <w:p>
            <w:pPr>
              <w:spacing w:after="0"/>
              <w:rPr>
                <w:sz w:val="1"/>
                <w:szCs w:val="1"/>
                <w:color w:val="auto"/>
              </w:rPr>
            </w:pPr>
          </w:p>
        </w:tc>
      </w:tr>
      <w:tr>
        <w:trPr>
          <w:trHeight w:val="223"/>
        </w:trPr>
        <w:tc>
          <w:tcPr>
            <w:tcW w:w="4520" w:type="dxa"/>
            <w:vAlign w:val="bottom"/>
            <w:tcBorders>
              <w:left w:val="single" w:sz="8" w:color="auto"/>
              <w:right w:val="single" w:sz="8" w:color="auto"/>
            </w:tcBorders>
          </w:tcPr>
          <w:p>
            <w:pPr>
              <w:ind w:left="40"/>
              <w:spacing w:after="0" w:line="223" w:lineRule="exact"/>
              <w:rPr>
                <w:sz w:val="20"/>
                <w:szCs w:val="20"/>
                <w:color w:val="auto"/>
              </w:rPr>
            </w:pPr>
            <w:r>
              <w:rPr>
                <w:rFonts w:ascii="Arial" w:cs="Arial" w:eastAsia="Arial" w:hAnsi="Arial"/>
                <w:sz w:val="16"/>
                <w:szCs w:val="16"/>
                <w:color w:val="auto"/>
              </w:rPr>
              <w:t xml:space="preserve">New affiliations </w:t>
            </w:r>
            <w:r>
              <w:rPr>
                <w:rFonts w:ascii="Arial" w:cs="Arial" w:eastAsia="Arial" w:hAnsi="Arial"/>
                <w:sz w:val="25"/>
                <w:szCs w:val="25"/>
                <w:color w:val="auto"/>
                <w:vertAlign w:val="superscript"/>
              </w:rPr>
              <w:t>(1)</w:t>
            </w:r>
          </w:p>
        </w:tc>
        <w:tc>
          <w:tcPr>
            <w:tcW w:w="1120" w:type="dxa"/>
            <w:vAlign w:val="bottom"/>
          </w:tcPr>
          <w:p>
            <w:pPr>
              <w:spacing w:after="0"/>
              <w:rPr>
                <w:sz w:val="19"/>
                <w:szCs w:val="19"/>
                <w:color w:val="auto"/>
              </w:rPr>
            </w:pPr>
          </w:p>
        </w:tc>
        <w:tc>
          <w:tcPr>
            <w:tcW w:w="1140" w:type="dxa"/>
            <w:vAlign w:val="bottom"/>
          </w:tcPr>
          <w:p>
            <w:pPr>
              <w:jc w:val="center"/>
              <w:spacing w:after="0" w:line="223" w:lineRule="exact"/>
              <w:rPr>
                <w:sz w:val="20"/>
                <w:szCs w:val="20"/>
                <w:color w:val="auto"/>
              </w:rPr>
            </w:pPr>
            <w:r>
              <w:rPr>
                <w:rFonts w:ascii="Arial" w:cs="Arial" w:eastAsia="Arial" w:hAnsi="Arial"/>
                <w:sz w:val="20"/>
                <w:szCs w:val="20"/>
                <w:color w:val="auto"/>
                <w:w w:val="96"/>
              </w:rPr>
              <w:t>144,713</w:t>
            </w:r>
          </w:p>
        </w:tc>
        <w:tc>
          <w:tcPr>
            <w:tcW w:w="112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0.0%</w:t>
            </w:r>
          </w:p>
        </w:tc>
        <w:tc>
          <w:tcPr>
            <w:tcW w:w="1140" w:type="dxa"/>
            <w:vAlign w:val="bottom"/>
          </w:tcPr>
          <w:p>
            <w:pPr>
              <w:spacing w:after="0"/>
              <w:rPr>
                <w:sz w:val="19"/>
                <w:szCs w:val="19"/>
                <w:color w:val="auto"/>
              </w:rPr>
            </w:pPr>
          </w:p>
        </w:tc>
        <w:tc>
          <w:tcPr>
            <w:tcW w:w="1160" w:type="dxa"/>
            <w:vAlign w:val="bottom"/>
          </w:tcPr>
          <w:p>
            <w:pPr>
              <w:jc w:val="center"/>
              <w:spacing w:after="0" w:line="223" w:lineRule="exact"/>
              <w:rPr>
                <w:sz w:val="20"/>
                <w:szCs w:val="20"/>
                <w:color w:val="auto"/>
              </w:rPr>
            </w:pPr>
            <w:r>
              <w:rPr>
                <w:rFonts w:ascii="Arial" w:cs="Arial" w:eastAsia="Arial" w:hAnsi="Arial"/>
                <w:sz w:val="20"/>
                <w:szCs w:val="20"/>
                <w:color w:val="auto"/>
                <w:w w:val="99"/>
              </w:rPr>
              <w:t>158,592</w:t>
            </w:r>
          </w:p>
        </w:tc>
        <w:tc>
          <w:tcPr>
            <w:tcW w:w="104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6"/>
              </w:rPr>
              <w:t>0.0%</w:t>
            </w:r>
          </w:p>
        </w:tc>
        <w:tc>
          <w:tcPr>
            <w:tcW w:w="0" w:type="dxa"/>
            <w:vAlign w:val="bottom"/>
          </w:tcPr>
          <w:p>
            <w:pPr>
              <w:spacing w:after="0"/>
              <w:rPr>
                <w:sz w:val="1"/>
                <w:szCs w:val="1"/>
                <w:color w:val="auto"/>
              </w:rPr>
            </w:pPr>
          </w:p>
        </w:tc>
      </w:tr>
      <w:tr>
        <w:trPr>
          <w:trHeight w:val="214"/>
        </w:trPr>
        <w:tc>
          <w:tcPr>
            <w:tcW w:w="452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Funds under management (S/ Millions)</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8"/>
              </w:rPr>
              <w:t>36,789</w:t>
            </w:r>
          </w:p>
        </w:tc>
        <w:tc>
          <w:tcPr>
            <w:tcW w:w="1140" w:type="dxa"/>
            <w:vAlign w:val="bottom"/>
          </w:tcPr>
          <w:p>
            <w:pPr>
              <w:jc w:val="center"/>
              <w:spacing w:after="0" w:line="214" w:lineRule="exact"/>
              <w:rPr>
                <w:sz w:val="20"/>
                <w:szCs w:val="20"/>
                <w:color w:val="auto"/>
              </w:rPr>
            </w:pPr>
            <w:r>
              <w:rPr>
                <w:rFonts w:ascii="Arial" w:cs="Arial" w:eastAsia="Arial" w:hAnsi="Arial"/>
                <w:sz w:val="20"/>
                <w:szCs w:val="20"/>
                <w:color w:val="auto"/>
                <w:w w:val="96"/>
              </w:rPr>
              <w:t>122,771</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30.0%</w:t>
            </w:r>
          </w:p>
        </w:tc>
        <w:tc>
          <w:tcPr>
            <w:tcW w:w="1140" w:type="dxa"/>
            <w:vAlign w:val="bottom"/>
          </w:tcPr>
          <w:p>
            <w:pPr>
              <w:jc w:val="center"/>
              <w:spacing w:after="0" w:line="214" w:lineRule="exact"/>
              <w:rPr>
                <w:sz w:val="20"/>
                <w:szCs w:val="20"/>
                <w:color w:val="auto"/>
              </w:rPr>
            </w:pPr>
            <w:r>
              <w:rPr>
                <w:rFonts w:ascii="Arial" w:cs="Arial" w:eastAsia="Arial" w:hAnsi="Arial"/>
                <w:sz w:val="20"/>
                <w:szCs w:val="20"/>
                <w:color w:val="auto"/>
                <w:w w:val="98"/>
              </w:rPr>
              <w:t>30,755</w:t>
            </w:r>
          </w:p>
        </w:tc>
        <w:tc>
          <w:tcPr>
            <w:tcW w:w="1160" w:type="dxa"/>
            <w:vAlign w:val="bottom"/>
          </w:tcPr>
          <w:p>
            <w:pPr>
              <w:jc w:val="center"/>
              <w:spacing w:after="0" w:line="214" w:lineRule="exact"/>
              <w:rPr>
                <w:sz w:val="20"/>
                <w:szCs w:val="20"/>
                <w:color w:val="auto"/>
              </w:rPr>
            </w:pPr>
            <w:r>
              <w:rPr>
                <w:rFonts w:ascii="Arial" w:cs="Arial" w:eastAsia="Arial" w:hAnsi="Arial"/>
                <w:sz w:val="20"/>
                <w:szCs w:val="20"/>
                <w:color w:val="auto"/>
                <w:w w:val="99"/>
              </w:rPr>
              <w:t>103,106</w:t>
            </w:r>
          </w:p>
        </w:tc>
        <w:tc>
          <w:tcPr>
            <w:tcW w:w="10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29.8%</w:t>
            </w:r>
          </w:p>
        </w:tc>
        <w:tc>
          <w:tcPr>
            <w:tcW w:w="0" w:type="dxa"/>
            <w:vAlign w:val="bottom"/>
          </w:tcPr>
          <w:p>
            <w:pPr>
              <w:spacing w:after="0"/>
              <w:rPr>
                <w:sz w:val="1"/>
                <w:szCs w:val="1"/>
                <w:color w:val="auto"/>
              </w:rPr>
            </w:pPr>
          </w:p>
        </w:tc>
      </w:tr>
      <w:tr>
        <w:trPr>
          <w:trHeight w:val="206"/>
        </w:trPr>
        <w:tc>
          <w:tcPr>
            <w:tcW w:w="4520" w:type="dxa"/>
            <w:vAlign w:val="bottom"/>
            <w:tcBorders>
              <w:left w:val="single" w:sz="8" w:color="auto"/>
              <w:right w:val="single" w:sz="8" w:color="auto"/>
            </w:tcBorders>
          </w:tcPr>
          <w:p>
            <w:pPr>
              <w:ind w:left="40"/>
              <w:spacing w:after="0" w:line="206" w:lineRule="exact"/>
              <w:rPr>
                <w:sz w:val="20"/>
                <w:szCs w:val="20"/>
                <w:color w:val="auto"/>
              </w:rPr>
            </w:pPr>
            <w:r>
              <w:rPr>
                <w:rFonts w:ascii="Arial" w:cs="Arial" w:eastAsia="Arial" w:hAnsi="Arial"/>
                <w:sz w:val="20"/>
                <w:szCs w:val="20"/>
                <w:color w:val="auto"/>
              </w:rPr>
              <w:t>Collections (S/ Millions)</w:t>
            </w:r>
          </w:p>
        </w:tc>
        <w:tc>
          <w:tcPr>
            <w:tcW w:w="1120" w:type="dxa"/>
            <w:vAlign w:val="bottom"/>
          </w:tcPr>
          <w:p>
            <w:pPr>
              <w:jc w:val="center"/>
              <w:spacing w:after="0" w:line="206" w:lineRule="exact"/>
              <w:rPr>
                <w:sz w:val="20"/>
                <w:szCs w:val="20"/>
                <w:color w:val="auto"/>
              </w:rPr>
            </w:pPr>
            <w:r>
              <w:rPr>
                <w:rFonts w:ascii="Arial" w:cs="Arial" w:eastAsia="Arial" w:hAnsi="Arial"/>
                <w:sz w:val="20"/>
                <w:szCs w:val="20"/>
                <w:color w:val="auto"/>
                <w:w w:val="98"/>
              </w:rPr>
              <w:t>1054</w:t>
            </w:r>
          </w:p>
        </w:tc>
        <w:tc>
          <w:tcPr>
            <w:tcW w:w="1140" w:type="dxa"/>
            <w:vAlign w:val="bottom"/>
          </w:tcPr>
          <w:p>
            <w:pPr>
              <w:jc w:val="center"/>
              <w:spacing w:after="0" w:line="206" w:lineRule="exact"/>
              <w:rPr>
                <w:sz w:val="20"/>
                <w:szCs w:val="20"/>
                <w:color w:val="auto"/>
              </w:rPr>
            </w:pPr>
            <w:r>
              <w:rPr>
                <w:rFonts w:ascii="Arial" w:cs="Arial" w:eastAsia="Arial" w:hAnsi="Arial"/>
                <w:sz w:val="20"/>
                <w:szCs w:val="20"/>
                <w:color w:val="auto"/>
                <w:w w:val="99"/>
              </w:rPr>
              <w:t>3,666</w:t>
            </w:r>
          </w:p>
        </w:tc>
        <w:tc>
          <w:tcPr>
            <w:tcW w:w="112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5"/>
              </w:rPr>
              <w:t>28.8%</w:t>
            </w:r>
          </w:p>
        </w:tc>
        <w:tc>
          <w:tcPr>
            <w:tcW w:w="1140" w:type="dxa"/>
            <w:vAlign w:val="bottom"/>
          </w:tcPr>
          <w:p>
            <w:pPr>
              <w:jc w:val="center"/>
              <w:spacing w:after="0" w:line="206" w:lineRule="exact"/>
              <w:rPr>
                <w:sz w:val="20"/>
                <w:szCs w:val="20"/>
                <w:color w:val="auto"/>
              </w:rPr>
            </w:pPr>
            <w:r>
              <w:rPr>
                <w:rFonts w:ascii="Arial" w:cs="Arial" w:eastAsia="Arial" w:hAnsi="Arial"/>
                <w:sz w:val="20"/>
                <w:szCs w:val="20"/>
                <w:color w:val="auto"/>
              </w:rPr>
              <w:t>982</w:t>
            </w:r>
          </w:p>
        </w:tc>
        <w:tc>
          <w:tcPr>
            <w:tcW w:w="1160" w:type="dxa"/>
            <w:vAlign w:val="bottom"/>
          </w:tcPr>
          <w:p>
            <w:pPr>
              <w:jc w:val="center"/>
              <w:spacing w:after="0" w:line="206" w:lineRule="exact"/>
              <w:rPr>
                <w:sz w:val="20"/>
                <w:szCs w:val="20"/>
                <w:color w:val="auto"/>
              </w:rPr>
            </w:pPr>
            <w:r>
              <w:rPr>
                <w:rFonts w:ascii="Arial" w:cs="Arial" w:eastAsia="Arial" w:hAnsi="Arial"/>
                <w:sz w:val="20"/>
                <w:szCs w:val="20"/>
                <w:color w:val="auto"/>
                <w:w w:val="95"/>
              </w:rPr>
              <w:t>3,641</w:t>
            </w:r>
          </w:p>
        </w:tc>
        <w:tc>
          <w:tcPr>
            <w:tcW w:w="10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8"/>
              </w:rPr>
              <w:t>27.0%</w:t>
            </w:r>
          </w:p>
        </w:tc>
        <w:tc>
          <w:tcPr>
            <w:tcW w:w="0" w:type="dxa"/>
            <w:vAlign w:val="bottom"/>
          </w:tcPr>
          <w:p>
            <w:pPr>
              <w:spacing w:after="0"/>
              <w:rPr>
                <w:sz w:val="1"/>
                <w:szCs w:val="1"/>
                <w:color w:val="auto"/>
              </w:rPr>
            </w:pPr>
          </w:p>
        </w:tc>
      </w:tr>
      <w:tr>
        <w:trPr>
          <w:trHeight w:val="214"/>
        </w:trPr>
        <w:tc>
          <w:tcPr>
            <w:tcW w:w="452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16"/>
                <w:szCs w:val="16"/>
                <w:color w:val="auto"/>
              </w:rPr>
              <w:t xml:space="preserve">Voluntary contributions (S/ Millions) </w:t>
            </w:r>
            <w:r>
              <w:rPr>
                <w:rFonts w:ascii="Arial" w:cs="Arial" w:eastAsia="Arial" w:hAnsi="Arial"/>
                <w:sz w:val="24"/>
                <w:szCs w:val="24"/>
                <w:color w:val="auto"/>
                <w:vertAlign w:val="superscript"/>
              </w:rPr>
              <w:t>(3)</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5"/>
              </w:rPr>
              <w:t>820</w:t>
            </w:r>
          </w:p>
        </w:tc>
        <w:tc>
          <w:tcPr>
            <w:tcW w:w="1140" w:type="dxa"/>
            <w:vAlign w:val="bottom"/>
          </w:tcPr>
          <w:p>
            <w:pPr>
              <w:jc w:val="center"/>
              <w:spacing w:after="0" w:line="214" w:lineRule="exact"/>
              <w:rPr>
                <w:sz w:val="20"/>
                <w:szCs w:val="20"/>
                <w:color w:val="auto"/>
              </w:rPr>
            </w:pPr>
            <w:r>
              <w:rPr>
                <w:rFonts w:ascii="Arial" w:cs="Arial" w:eastAsia="Arial" w:hAnsi="Arial"/>
                <w:sz w:val="20"/>
                <w:szCs w:val="20"/>
                <w:color w:val="auto"/>
                <w:w w:val="99"/>
              </w:rPr>
              <w:t>2,180</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37.6%</w:t>
            </w:r>
          </w:p>
        </w:tc>
        <w:tc>
          <w:tcPr>
            <w:tcW w:w="1140" w:type="dxa"/>
            <w:vAlign w:val="bottom"/>
          </w:tcPr>
          <w:p>
            <w:pPr>
              <w:jc w:val="center"/>
              <w:spacing w:after="0" w:line="214" w:lineRule="exact"/>
              <w:rPr>
                <w:sz w:val="20"/>
                <w:szCs w:val="20"/>
                <w:color w:val="auto"/>
              </w:rPr>
            </w:pPr>
            <w:r>
              <w:rPr>
                <w:rFonts w:ascii="Arial" w:cs="Arial" w:eastAsia="Arial" w:hAnsi="Arial"/>
                <w:sz w:val="20"/>
                <w:szCs w:val="20"/>
                <w:color w:val="auto"/>
              </w:rPr>
              <w:t>810</w:t>
            </w:r>
          </w:p>
        </w:tc>
        <w:tc>
          <w:tcPr>
            <w:tcW w:w="1160" w:type="dxa"/>
            <w:vAlign w:val="bottom"/>
          </w:tcPr>
          <w:p>
            <w:pPr>
              <w:jc w:val="center"/>
              <w:spacing w:after="0" w:line="214" w:lineRule="exact"/>
              <w:rPr>
                <w:sz w:val="20"/>
                <w:szCs w:val="20"/>
                <w:color w:val="auto"/>
              </w:rPr>
            </w:pPr>
            <w:r>
              <w:rPr>
                <w:rFonts w:ascii="Arial" w:cs="Arial" w:eastAsia="Arial" w:hAnsi="Arial"/>
                <w:sz w:val="20"/>
                <w:szCs w:val="20"/>
                <w:color w:val="auto"/>
                <w:w w:val="95"/>
              </w:rPr>
              <w:t>2,214</w:t>
            </w:r>
          </w:p>
        </w:tc>
        <w:tc>
          <w:tcPr>
            <w:tcW w:w="10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36.6%</w:t>
            </w:r>
          </w:p>
        </w:tc>
        <w:tc>
          <w:tcPr>
            <w:tcW w:w="0" w:type="dxa"/>
            <w:vAlign w:val="bottom"/>
          </w:tcPr>
          <w:p>
            <w:pPr>
              <w:spacing w:after="0"/>
              <w:rPr>
                <w:sz w:val="1"/>
                <w:szCs w:val="1"/>
                <w:color w:val="auto"/>
              </w:rPr>
            </w:pPr>
          </w:p>
        </w:tc>
      </w:tr>
      <w:tr>
        <w:trPr>
          <w:trHeight w:val="251"/>
        </w:trPr>
        <w:tc>
          <w:tcPr>
            <w:tcW w:w="4520" w:type="dxa"/>
            <w:vAlign w:val="bottom"/>
            <w:tcBorders>
              <w:left w:val="single" w:sz="8" w:color="auto"/>
              <w:bottom w:val="single" w:sz="8" w:color="auto"/>
              <w:right w:val="single" w:sz="8" w:color="auto"/>
            </w:tcBorders>
          </w:tcPr>
          <w:p>
            <w:pPr>
              <w:ind w:left="40"/>
              <w:spacing w:after="0" w:line="245" w:lineRule="exact"/>
              <w:rPr>
                <w:sz w:val="20"/>
                <w:szCs w:val="20"/>
                <w:color w:val="auto"/>
              </w:rPr>
            </w:pPr>
            <w:r>
              <w:rPr>
                <w:rFonts w:ascii="Arial" w:cs="Arial" w:eastAsia="Arial" w:hAnsi="Arial"/>
                <w:sz w:val="18"/>
                <w:szCs w:val="18"/>
                <w:color w:val="auto"/>
              </w:rPr>
              <w:t xml:space="preserve">RAM (S/ Millions) </w:t>
            </w:r>
            <w:r>
              <w:rPr>
                <w:rFonts w:ascii="Arial" w:cs="Arial" w:eastAsia="Arial" w:hAnsi="Arial"/>
                <w:sz w:val="28"/>
                <w:szCs w:val="28"/>
                <w:color w:val="auto"/>
                <w:vertAlign w:val="superscript"/>
              </w:rPr>
              <w:t>(2)</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1,468</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4,733</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31.0%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1,409</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4,538</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31.1%</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2"/>
          <w:szCs w:val="12"/>
          <w:color w:val="auto"/>
        </w:rPr>
        <w:t>Source: SBS</w:t>
      </w:r>
    </w:p>
    <w:p>
      <w:pPr>
        <w:ind w:left="180" w:hanging="173"/>
        <w:spacing w:after="0" w:line="232" w:lineRule="auto"/>
        <w:tabs>
          <w:tab w:leader="none" w:pos="1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June 2019, another AFP has the exclusivity of affiliations.</w:t>
      </w:r>
    </w:p>
    <w:p>
      <w:pPr>
        <w:ind w:left="180" w:hanging="173"/>
        <w:spacing w:after="0"/>
        <w:tabs>
          <w:tab w:leader="none" w:pos="18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Prima AFP estimate: Average of aggregated income for flow during the last 4 months, excluding special collections and voluntary contribution fees.</w:t>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0" w:gutter="0" w:footer="0" w:header="0"/>
        </w:sectPr>
      </w:pPr>
    </w:p>
    <w:bookmarkStart w:id="69" w:name="page70"/>
    <w:bookmarkEnd w:id="69"/>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12.5.8. Grupo Pacifico</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GRUPO PACIFICO</w:t>
      </w: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(S/ in thousands )</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5680" w:type="dxa"/>
            <w:vAlign w:val="bottom"/>
            <w:tcBorders>
              <w:right w:val="single" w:sz="8" w:color="auto"/>
            </w:tcBorders>
          </w:tcPr>
          <w:p>
            <w:pPr>
              <w:spacing w:after="0"/>
              <w:rPr>
                <w:sz w:val="18"/>
                <w:szCs w:val="18"/>
                <w:color w:val="auto"/>
              </w:rPr>
            </w:pPr>
          </w:p>
        </w:tc>
        <w:tc>
          <w:tcPr>
            <w:tcW w:w="1100" w:type="dxa"/>
            <w:vAlign w:val="bottom"/>
            <w:tcBorders>
              <w:top w:val="single" w:sz="8" w:color="auto"/>
            </w:tcBorders>
            <w:vMerge w:val="restart"/>
            <w:shd w:val="clear" w:color="auto" w:fill="2AD2C9"/>
          </w:tcPr>
          <w:p>
            <w:pPr>
              <w:ind w:left="240"/>
              <w:spacing w:after="0"/>
              <w:rPr>
                <w:sz w:val="20"/>
                <w:szCs w:val="20"/>
                <w:color w:val="auto"/>
              </w:rPr>
            </w:pPr>
            <w:r>
              <w:rPr>
                <w:rFonts w:ascii="Arial" w:cs="Arial" w:eastAsia="Arial" w:hAnsi="Arial"/>
                <w:sz w:val="20"/>
                <w:szCs w:val="20"/>
                <w:b w:val="1"/>
                <w:bCs w:val="1"/>
                <w:color w:val="FFFFFF"/>
              </w:rPr>
              <w:t>Sep 21</w:t>
            </w:r>
          </w:p>
        </w:tc>
        <w:tc>
          <w:tcPr>
            <w:tcW w:w="1120" w:type="dxa"/>
            <w:vAlign w:val="bottom"/>
            <w:tcBorders>
              <w:top w:val="single" w:sz="8" w:color="auto"/>
            </w:tcBorders>
            <w:shd w:val="clear" w:color="auto" w:fill="2AD2C9"/>
          </w:tcPr>
          <w:p>
            <w:pPr>
              <w:jc w:val="center"/>
              <w:spacing w:after="0" w:line="217" w:lineRule="exact"/>
              <w:rPr>
                <w:sz w:val="20"/>
                <w:szCs w:val="20"/>
                <w:color w:val="auto"/>
              </w:rPr>
            </w:pPr>
            <w:r>
              <w:rPr>
                <w:rFonts w:ascii="Arial" w:cs="Arial" w:eastAsia="Arial" w:hAnsi="Arial"/>
                <w:sz w:val="20"/>
                <w:szCs w:val="20"/>
                <w:b w:val="1"/>
                <w:bCs w:val="1"/>
                <w:color w:val="FFFFFF"/>
                <w:w w:val="99"/>
              </w:rPr>
              <w:t>As of</w:t>
            </w:r>
          </w:p>
        </w:tc>
        <w:tc>
          <w:tcPr>
            <w:tcW w:w="1140" w:type="dxa"/>
            <w:vAlign w:val="bottom"/>
            <w:tcBorders>
              <w:top w:val="single" w:sz="8" w:color="auto"/>
              <w:right w:val="single" w:sz="8" w:color="auto"/>
            </w:tcBorders>
            <w:vMerge w:val="restart"/>
            <w:shd w:val="clear" w:color="auto" w:fill="2AD2C9"/>
          </w:tcPr>
          <w:p>
            <w:pPr>
              <w:ind w:left="240"/>
              <w:spacing w:after="0"/>
              <w:rPr>
                <w:sz w:val="20"/>
                <w:szCs w:val="20"/>
                <w:color w:val="auto"/>
              </w:rPr>
            </w:pPr>
            <w:r>
              <w:rPr>
                <w:rFonts w:ascii="Arial" w:cs="Arial" w:eastAsia="Arial" w:hAnsi="Arial"/>
                <w:sz w:val="20"/>
                <w:szCs w:val="20"/>
                <w:b w:val="1"/>
                <w:bCs w:val="1"/>
                <w:color w:val="FFFFFF"/>
              </w:rPr>
              <w:t>Sep 22</w:t>
            </w:r>
          </w:p>
        </w:tc>
        <w:tc>
          <w:tcPr>
            <w:tcW w:w="2200" w:type="dxa"/>
            <w:vAlign w:val="bottom"/>
            <w:tcBorders>
              <w:top w:val="single" w:sz="8" w:color="auto"/>
              <w:right w:val="single" w:sz="8" w:color="auto"/>
            </w:tcBorders>
            <w:gridSpan w:val="2"/>
            <w:shd w:val="clear" w:color="auto" w:fill="2AD2C9"/>
          </w:tcPr>
          <w:p>
            <w:pPr>
              <w:ind w:left="660"/>
              <w:spacing w:after="0" w:line="217" w:lineRule="exact"/>
              <w:rPr>
                <w:sz w:val="20"/>
                <w:szCs w:val="20"/>
                <w:color w:val="auto"/>
              </w:rPr>
            </w:pPr>
            <w:r>
              <w:rPr>
                <w:rFonts w:ascii="Arial" w:cs="Arial" w:eastAsia="Arial" w:hAnsi="Arial"/>
                <w:sz w:val="20"/>
                <w:szCs w:val="20"/>
                <w:b w:val="1"/>
                <w:bCs w:val="1"/>
                <w:color w:val="FFFFFF"/>
              </w:rPr>
              <w:t>% change</w:t>
            </w:r>
          </w:p>
        </w:tc>
        <w:tc>
          <w:tcPr>
            <w:tcW w:w="0" w:type="dxa"/>
            <w:vAlign w:val="bottom"/>
          </w:tcPr>
          <w:p>
            <w:pPr>
              <w:spacing w:after="0"/>
              <w:rPr>
                <w:sz w:val="1"/>
                <w:szCs w:val="1"/>
                <w:color w:val="auto"/>
              </w:rPr>
            </w:pPr>
          </w:p>
        </w:tc>
      </w:tr>
      <w:tr>
        <w:trPr>
          <w:trHeight w:val="245"/>
        </w:trPr>
        <w:tc>
          <w:tcPr>
            <w:tcW w:w="568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tcBorders>
            <w:vMerge w:val="continue"/>
            <w:shd w:val="clear" w:color="auto" w:fill="2AD2C9"/>
          </w:tcPr>
          <w:p>
            <w:pPr>
              <w:spacing w:after="0"/>
              <w:rPr>
                <w:sz w:val="21"/>
                <w:szCs w:val="21"/>
                <w:color w:val="auto"/>
              </w:rPr>
            </w:pPr>
          </w:p>
        </w:tc>
        <w:tc>
          <w:tcPr>
            <w:tcW w:w="11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7"/>
              </w:rPr>
              <w:t>Jun 22</w:t>
            </w:r>
          </w:p>
        </w:tc>
        <w:tc>
          <w:tcPr>
            <w:tcW w:w="1140" w:type="dxa"/>
            <w:vAlign w:val="bottom"/>
            <w:tcBorders>
              <w:bottom w:val="single" w:sz="8" w:color="auto"/>
              <w:right w:val="single" w:sz="8" w:color="auto"/>
            </w:tcBorders>
            <w:vMerge w:val="continue"/>
            <w:shd w:val="clear" w:color="auto" w:fill="2AD2C9"/>
          </w:tcPr>
          <w:p>
            <w:pPr>
              <w:spacing w:after="0"/>
              <w:rPr>
                <w:sz w:val="21"/>
                <w:szCs w:val="21"/>
                <w:color w:val="auto"/>
              </w:rPr>
            </w:pPr>
          </w:p>
        </w:tc>
        <w:tc>
          <w:tcPr>
            <w:tcW w:w="1080" w:type="dxa"/>
            <w:vAlign w:val="bottom"/>
            <w:tcBorders>
              <w:bottom w:val="single" w:sz="8" w:color="auto"/>
            </w:tcBorders>
            <w:shd w:val="clear" w:color="auto" w:fill="2AD2C9"/>
          </w:tcPr>
          <w:p>
            <w:pPr>
              <w:ind w:left="340"/>
              <w:spacing w:after="0"/>
              <w:rPr>
                <w:sz w:val="20"/>
                <w:szCs w:val="20"/>
                <w:color w:val="auto"/>
              </w:rPr>
            </w:pPr>
            <w:r>
              <w:rPr>
                <w:rFonts w:ascii="Arial" w:cs="Arial" w:eastAsia="Arial" w:hAnsi="Arial"/>
                <w:sz w:val="20"/>
                <w:szCs w:val="20"/>
                <w:b w:val="1"/>
                <w:bCs w:val="1"/>
                <w:color w:val="FFFFFF"/>
              </w:rPr>
              <w:t>QoQ</w:t>
            </w:r>
          </w:p>
        </w:tc>
        <w:tc>
          <w:tcPr>
            <w:tcW w:w="1120" w:type="dxa"/>
            <w:vAlign w:val="bottom"/>
            <w:tcBorders>
              <w:bottom w:val="single" w:sz="8" w:color="auto"/>
              <w:right w:val="single" w:sz="8" w:color="auto"/>
            </w:tcBorders>
            <w:shd w:val="clear" w:color="auto" w:fill="2AD2C9"/>
          </w:tcPr>
          <w:p>
            <w:pPr>
              <w:ind w:left="380"/>
              <w:spacing w:after="0"/>
              <w:rPr>
                <w:sz w:val="20"/>
                <w:szCs w:val="20"/>
                <w:color w:val="auto"/>
              </w:rPr>
            </w:pPr>
            <w:r>
              <w:rPr>
                <w:rFonts w:ascii="Arial" w:cs="Arial" w:eastAsia="Arial" w:hAnsi="Arial"/>
                <w:sz w:val="20"/>
                <w:szCs w:val="20"/>
                <w:b w:val="1"/>
                <w:bCs w:val="1"/>
                <w:color w:val="FFFFFF"/>
              </w:rPr>
              <w:t>YoY</w:t>
            </w:r>
          </w:p>
        </w:tc>
        <w:tc>
          <w:tcPr>
            <w:tcW w:w="0" w:type="dxa"/>
            <w:vAlign w:val="bottom"/>
          </w:tcPr>
          <w:p>
            <w:pPr>
              <w:spacing w:after="0"/>
              <w:rPr>
                <w:sz w:val="1"/>
                <w:szCs w:val="1"/>
                <w:color w:val="auto"/>
              </w:rPr>
            </w:pPr>
          </w:p>
        </w:tc>
      </w:tr>
      <w:tr>
        <w:trPr>
          <w:trHeight w:val="184"/>
        </w:trPr>
        <w:tc>
          <w:tcPr>
            <w:tcW w:w="5680" w:type="dxa"/>
            <w:vAlign w:val="bottom"/>
            <w:tcBorders>
              <w:left w:val="single" w:sz="8" w:color="auto"/>
              <w:right w:val="single" w:sz="8" w:color="auto"/>
            </w:tcBorders>
          </w:tcPr>
          <w:p>
            <w:pPr>
              <w:ind w:left="20"/>
              <w:spacing w:after="0" w:line="184" w:lineRule="exact"/>
              <w:rPr>
                <w:sz w:val="20"/>
                <w:szCs w:val="20"/>
                <w:color w:val="auto"/>
              </w:rPr>
            </w:pPr>
            <w:r>
              <w:rPr>
                <w:rFonts w:ascii="Arial" w:cs="Arial" w:eastAsia="Arial" w:hAnsi="Arial"/>
                <w:sz w:val="20"/>
                <w:szCs w:val="20"/>
                <w:color w:val="auto"/>
              </w:rPr>
              <w:t>Total assets</w:t>
            </w:r>
          </w:p>
        </w:tc>
        <w:tc>
          <w:tcPr>
            <w:tcW w:w="1100" w:type="dxa"/>
            <w:vAlign w:val="bottom"/>
          </w:tcPr>
          <w:p>
            <w:pPr>
              <w:jc w:val="center"/>
              <w:spacing w:after="0" w:line="184" w:lineRule="exact"/>
              <w:rPr>
                <w:sz w:val="20"/>
                <w:szCs w:val="20"/>
                <w:color w:val="auto"/>
              </w:rPr>
            </w:pPr>
            <w:r>
              <w:rPr>
                <w:rFonts w:ascii="Arial" w:cs="Arial" w:eastAsia="Arial" w:hAnsi="Arial"/>
                <w:sz w:val="20"/>
                <w:szCs w:val="20"/>
                <w:color w:val="auto"/>
                <w:w w:val="97"/>
              </w:rPr>
              <w:t>15,949,391</w:t>
            </w:r>
          </w:p>
        </w:tc>
        <w:tc>
          <w:tcPr>
            <w:tcW w:w="1120" w:type="dxa"/>
            <w:vAlign w:val="bottom"/>
          </w:tcPr>
          <w:p>
            <w:pPr>
              <w:jc w:val="center"/>
              <w:spacing w:after="0" w:line="184" w:lineRule="exact"/>
              <w:rPr>
                <w:sz w:val="20"/>
                <w:szCs w:val="20"/>
                <w:color w:val="auto"/>
              </w:rPr>
            </w:pPr>
            <w:r>
              <w:rPr>
                <w:rFonts w:ascii="Arial" w:cs="Arial" w:eastAsia="Arial" w:hAnsi="Arial"/>
                <w:sz w:val="20"/>
                <w:szCs w:val="20"/>
                <w:color w:val="auto"/>
                <w:w w:val="97"/>
              </w:rPr>
              <w:t>15,229,244</w:t>
            </w:r>
          </w:p>
        </w:tc>
        <w:tc>
          <w:tcPr>
            <w:tcW w:w="114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7"/>
              </w:rPr>
              <w:t>15,302,437</w:t>
            </w:r>
          </w:p>
        </w:tc>
        <w:tc>
          <w:tcPr>
            <w:tcW w:w="1080" w:type="dxa"/>
            <w:vAlign w:val="bottom"/>
          </w:tcPr>
          <w:p>
            <w:pPr>
              <w:ind w:left="340"/>
              <w:spacing w:after="0" w:line="184" w:lineRule="exact"/>
              <w:rPr>
                <w:sz w:val="20"/>
                <w:szCs w:val="20"/>
                <w:color w:val="auto"/>
              </w:rPr>
            </w:pPr>
            <w:r>
              <w:rPr>
                <w:rFonts w:ascii="Arial" w:cs="Arial" w:eastAsia="Arial" w:hAnsi="Arial"/>
                <w:sz w:val="20"/>
                <w:szCs w:val="20"/>
                <w:color w:val="auto"/>
              </w:rPr>
              <w:t>0.5%</w:t>
            </w:r>
          </w:p>
        </w:tc>
        <w:tc>
          <w:tcPr>
            <w:tcW w:w="1120" w:type="dxa"/>
            <w:vAlign w:val="bottom"/>
            <w:tcBorders>
              <w:right w:val="single" w:sz="8" w:color="auto"/>
            </w:tcBorders>
          </w:tcPr>
          <w:p>
            <w:pPr>
              <w:jc w:val="center"/>
              <w:spacing w:after="0" w:line="184" w:lineRule="exact"/>
              <w:rPr>
                <w:sz w:val="20"/>
                <w:szCs w:val="20"/>
                <w:color w:val="auto"/>
              </w:rPr>
            </w:pPr>
            <w:r>
              <w:rPr>
                <w:rFonts w:ascii="Arial" w:cs="Arial" w:eastAsia="Arial" w:hAnsi="Arial"/>
                <w:sz w:val="20"/>
                <w:szCs w:val="20"/>
                <w:color w:val="auto"/>
                <w:w w:val="99"/>
              </w:rPr>
              <w:t>-4.1%</w:t>
            </w:r>
          </w:p>
        </w:tc>
        <w:tc>
          <w:tcPr>
            <w:tcW w:w="0" w:type="dxa"/>
            <w:vAlign w:val="bottom"/>
          </w:tcPr>
          <w:p>
            <w:pPr>
              <w:spacing w:after="0"/>
              <w:rPr>
                <w:sz w:val="1"/>
                <w:szCs w:val="1"/>
                <w:color w:val="auto"/>
              </w:rPr>
            </w:pPr>
          </w:p>
        </w:tc>
      </w:tr>
      <w:tr>
        <w:trPr>
          <w:trHeight w:val="223"/>
        </w:trPr>
        <w:tc>
          <w:tcPr>
            <w:tcW w:w="5680" w:type="dxa"/>
            <w:vAlign w:val="bottom"/>
            <w:tcBorders>
              <w:left w:val="single" w:sz="8" w:color="auto"/>
              <w:right w:val="single" w:sz="8" w:color="auto"/>
            </w:tcBorders>
          </w:tcPr>
          <w:p>
            <w:pPr>
              <w:ind w:left="20"/>
              <w:spacing w:after="0" w:line="223" w:lineRule="exact"/>
              <w:rPr>
                <w:sz w:val="20"/>
                <w:szCs w:val="20"/>
                <w:color w:val="auto"/>
              </w:rPr>
            </w:pPr>
            <w:r>
              <w:rPr>
                <w:rFonts w:ascii="Arial" w:cs="Arial" w:eastAsia="Arial" w:hAnsi="Arial"/>
                <w:sz w:val="16"/>
                <w:szCs w:val="16"/>
                <w:color w:val="auto"/>
              </w:rPr>
              <w:t xml:space="preserve">Invesment on securities </w:t>
            </w:r>
            <w:r>
              <w:rPr>
                <w:rFonts w:ascii="Arial" w:cs="Arial" w:eastAsia="Arial" w:hAnsi="Arial"/>
                <w:sz w:val="25"/>
                <w:szCs w:val="25"/>
                <w:color w:val="auto"/>
                <w:vertAlign w:val="superscript"/>
              </w:rPr>
              <w:t>(6)</w:t>
            </w:r>
          </w:p>
        </w:tc>
        <w:tc>
          <w:tcPr>
            <w:tcW w:w="1100" w:type="dxa"/>
            <w:vAlign w:val="bottom"/>
          </w:tcPr>
          <w:p>
            <w:pPr>
              <w:jc w:val="center"/>
              <w:spacing w:after="0" w:line="223" w:lineRule="exact"/>
              <w:rPr>
                <w:sz w:val="20"/>
                <w:szCs w:val="20"/>
                <w:color w:val="auto"/>
              </w:rPr>
            </w:pPr>
            <w:r>
              <w:rPr>
                <w:rFonts w:ascii="Arial" w:cs="Arial" w:eastAsia="Arial" w:hAnsi="Arial"/>
                <w:sz w:val="20"/>
                <w:szCs w:val="20"/>
                <w:color w:val="auto"/>
                <w:w w:val="97"/>
              </w:rPr>
              <w:t>12,129,220</w:t>
            </w:r>
          </w:p>
        </w:tc>
        <w:tc>
          <w:tcPr>
            <w:tcW w:w="1120" w:type="dxa"/>
            <w:vAlign w:val="bottom"/>
          </w:tcPr>
          <w:p>
            <w:pPr>
              <w:jc w:val="center"/>
              <w:spacing w:after="0" w:line="223" w:lineRule="exact"/>
              <w:rPr>
                <w:sz w:val="20"/>
                <w:szCs w:val="20"/>
                <w:color w:val="auto"/>
              </w:rPr>
            </w:pPr>
            <w:r>
              <w:rPr>
                <w:rFonts w:ascii="Arial" w:cs="Arial" w:eastAsia="Arial" w:hAnsi="Arial"/>
                <w:sz w:val="20"/>
                <w:szCs w:val="20"/>
                <w:color w:val="auto"/>
                <w:w w:val="95"/>
              </w:rPr>
              <w:t>11,573,077</w:t>
            </w:r>
          </w:p>
        </w:tc>
        <w:tc>
          <w:tcPr>
            <w:tcW w:w="114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5"/>
              </w:rPr>
              <w:t>11,776,123</w:t>
            </w:r>
          </w:p>
        </w:tc>
        <w:tc>
          <w:tcPr>
            <w:tcW w:w="1080" w:type="dxa"/>
            <w:vAlign w:val="bottom"/>
          </w:tcPr>
          <w:p>
            <w:pPr>
              <w:ind w:left="340"/>
              <w:spacing w:after="0" w:line="223" w:lineRule="exact"/>
              <w:rPr>
                <w:sz w:val="20"/>
                <w:szCs w:val="20"/>
                <w:color w:val="auto"/>
              </w:rPr>
            </w:pPr>
            <w:r>
              <w:rPr>
                <w:rFonts w:ascii="Arial" w:cs="Arial" w:eastAsia="Arial" w:hAnsi="Arial"/>
                <w:sz w:val="20"/>
                <w:szCs w:val="20"/>
                <w:color w:val="auto"/>
              </w:rPr>
              <w:t>1.8%</w:t>
            </w:r>
          </w:p>
        </w:tc>
        <w:tc>
          <w:tcPr>
            <w:tcW w:w="112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9"/>
              </w:rPr>
              <w:t>-2.9%</w:t>
            </w:r>
          </w:p>
        </w:tc>
        <w:tc>
          <w:tcPr>
            <w:tcW w:w="0" w:type="dxa"/>
            <w:vAlign w:val="bottom"/>
          </w:tcPr>
          <w:p>
            <w:pPr>
              <w:spacing w:after="0"/>
              <w:rPr>
                <w:sz w:val="1"/>
                <w:szCs w:val="1"/>
                <w:color w:val="auto"/>
              </w:rPr>
            </w:pPr>
          </w:p>
        </w:tc>
      </w:tr>
      <w:tr>
        <w:trPr>
          <w:trHeight w:val="214"/>
        </w:trPr>
        <w:tc>
          <w:tcPr>
            <w:tcW w:w="568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Technical reserves</w:t>
            </w:r>
          </w:p>
        </w:tc>
        <w:tc>
          <w:tcPr>
            <w:tcW w:w="1100" w:type="dxa"/>
            <w:vAlign w:val="bottom"/>
          </w:tcPr>
          <w:p>
            <w:pPr>
              <w:jc w:val="center"/>
              <w:spacing w:after="0" w:line="214" w:lineRule="exact"/>
              <w:rPr>
                <w:sz w:val="20"/>
                <w:szCs w:val="20"/>
                <w:color w:val="auto"/>
              </w:rPr>
            </w:pPr>
            <w:r>
              <w:rPr>
                <w:rFonts w:ascii="Arial" w:cs="Arial" w:eastAsia="Arial" w:hAnsi="Arial"/>
                <w:sz w:val="20"/>
                <w:szCs w:val="20"/>
                <w:color w:val="auto"/>
                <w:w w:val="97"/>
              </w:rPr>
              <w:t>12,531,003</w:t>
            </w:r>
          </w:p>
        </w:tc>
        <w:tc>
          <w:tcPr>
            <w:tcW w:w="1120" w:type="dxa"/>
            <w:vAlign w:val="bottom"/>
          </w:tcPr>
          <w:p>
            <w:pPr>
              <w:jc w:val="center"/>
              <w:spacing w:after="0" w:line="214" w:lineRule="exact"/>
              <w:rPr>
                <w:sz w:val="20"/>
                <w:szCs w:val="20"/>
                <w:color w:val="auto"/>
              </w:rPr>
            </w:pPr>
            <w:r>
              <w:rPr>
                <w:rFonts w:ascii="Arial" w:cs="Arial" w:eastAsia="Arial" w:hAnsi="Arial"/>
                <w:sz w:val="20"/>
                <w:szCs w:val="20"/>
                <w:color w:val="auto"/>
                <w:w w:val="95"/>
              </w:rPr>
              <w:t>11,707,217</w:t>
            </w:r>
          </w:p>
        </w:tc>
        <w:tc>
          <w:tcPr>
            <w:tcW w:w="11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11,715,964</w:t>
            </w:r>
          </w:p>
        </w:tc>
        <w:tc>
          <w:tcPr>
            <w:tcW w:w="1080" w:type="dxa"/>
            <w:vAlign w:val="bottom"/>
          </w:tcPr>
          <w:p>
            <w:pPr>
              <w:ind w:left="340"/>
              <w:spacing w:after="0" w:line="214" w:lineRule="exact"/>
              <w:rPr>
                <w:sz w:val="20"/>
                <w:szCs w:val="20"/>
                <w:color w:val="auto"/>
              </w:rPr>
            </w:pPr>
            <w:r>
              <w:rPr>
                <w:rFonts w:ascii="Arial" w:cs="Arial" w:eastAsia="Arial" w:hAnsi="Arial"/>
                <w:sz w:val="20"/>
                <w:szCs w:val="20"/>
                <w:color w:val="auto"/>
              </w:rPr>
              <w:t>0.1%</w:t>
            </w:r>
          </w:p>
        </w:tc>
        <w:tc>
          <w:tcPr>
            <w:tcW w:w="11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-6.5%</w:t>
            </w:r>
          </w:p>
        </w:tc>
        <w:tc>
          <w:tcPr>
            <w:tcW w:w="0" w:type="dxa"/>
            <w:vAlign w:val="bottom"/>
          </w:tcPr>
          <w:p>
            <w:pPr>
              <w:spacing w:after="0"/>
              <w:rPr>
                <w:sz w:val="1"/>
                <w:szCs w:val="1"/>
                <w:color w:val="auto"/>
              </w:rPr>
            </w:pPr>
          </w:p>
        </w:tc>
      </w:tr>
      <w:tr>
        <w:trPr>
          <w:trHeight w:val="243"/>
        </w:trPr>
        <w:tc>
          <w:tcPr>
            <w:tcW w:w="5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Net equity</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6"/>
              </w:rPr>
              <w:t>1,895,643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8"/>
              </w:rPr>
              <w:t>2,101,532</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2,104,227</w:t>
            </w: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20"/>
                <w:szCs w:val="20"/>
                <w:color w:val="auto"/>
              </w:rPr>
              <w:t>0.1%</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11.0%</w:t>
            </w: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060" w:type="dxa"/>
            <w:vAlign w:val="bottom"/>
            <w:tcBorders>
              <w:right w:val="single" w:sz="8" w:color="auto"/>
            </w:tcBorders>
          </w:tcPr>
          <w:p>
            <w:pPr>
              <w:spacing w:after="0"/>
              <w:rPr>
                <w:sz w:val="18"/>
                <w:szCs w:val="18"/>
                <w:color w:val="auto"/>
              </w:rPr>
            </w:pPr>
          </w:p>
        </w:tc>
        <w:tc>
          <w:tcPr>
            <w:tcW w:w="920" w:type="dxa"/>
            <w:vAlign w:val="bottom"/>
            <w:tcBorders>
              <w:top w:val="single" w:sz="8" w:color="auto"/>
            </w:tcBorders>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3Q21</w:t>
            </w:r>
          </w:p>
        </w:tc>
        <w:tc>
          <w:tcPr>
            <w:tcW w:w="960" w:type="dxa"/>
            <w:vAlign w:val="bottom"/>
            <w:tcBorders>
              <w:top w:val="single" w:sz="8" w:color="auto"/>
            </w:tcBorders>
            <w:shd w:val="clear" w:color="auto" w:fill="2AD2C9"/>
          </w:tcPr>
          <w:p>
            <w:pPr>
              <w:ind w:left="120"/>
              <w:spacing w:after="0" w:line="217" w:lineRule="exact"/>
              <w:rPr>
                <w:sz w:val="20"/>
                <w:szCs w:val="20"/>
                <w:color w:val="auto"/>
              </w:rPr>
            </w:pPr>
            <w:r>
              <w:rPr>
                <w:rFonts w:ascii="Arial" w:cs="Arial" w:eastAsia="Arial" w:hAnsi="Arial"/>
                <w:sz w:val="20"/>
                <w:szCs w:val="20"/>
                <w:b w:val="1"/>
                <w:bCs w:val="1"/>
                <w:color w:val="FFFFFF"/>
              </w:rPr>
              <w:t>Quarter</w:t>
            </w:r>
          </w:p>
        </w:tc>
        <w:tc>
          <w:tcPr>
            <w:tcW w:w="94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3Q22</w:t>
            </w:r>
          </w:p>
        </w:tc>
        <w:tc>
          <w:tcPr>
            <w:tcW w:w="1940" w:type="dxa"/>
            <w:vAlign w:val="bottom"/>
            <w:tcBorders>
              <w:top w:val="single" w:sz="8" w:color="auto"/>
              <w:right w:val="single" w:sz="8" w:color="auto"/>
            </w:tcBorders>
            <w:gridSpan w:val="2"/>
            <w:shd w:val="clear" w:color="auto" w:fill="2AD2C9"/>
          </w:tcPr>
          <w:p>
            <w:pPr>
              <w:jc w:val="center"/>
              <w:spacing w:after="0" w:line="217" w:lineRule="exact"/>
              <w:rPr>
                <w:sz w:val="20"/>
                <w:szCs w:val="20"/>
                <w:color w:val="auto"/>
              </w:rPr>
            </w:pPr>
            <w:r>
              <w:rPr>
                <w:rFonts w:ascii="Arial" w:cs="Arial" w:eastAsia="Arial" w:hAnsi="Arial"/>
                <w:sz w:val="20"/>
                <w:szCs w:val="20"/>
                <w:b w:val="1"/>
                <w:bCs w:val="1"/>
                <w:color w:val="FFFFFF"/>
                <w:w w:val="98"/>
              </w:rPr>
              <w:t>% change</w:t>
            </w:r>
          </w:p>
        </w:tc>
        <w:tc>
          <w:tcPr>
            <w:tcW w:w="2020" w:type="dxa"/>
            <w:vAlign w:val="bottom"/>
            <w:tcBorders>
              <w:top w:val="single" w:sz="8" w:color="auto"/>
              <w:right w:val="single" w:sz="8" w:color="auto"/>
            </w:tcBorders>
            <w:gridSpan w:val="2"/>
            <w:shd w:val="clear" w:color="auto" w:fill="2AD2C9"/>
          </w:tcPr>
          <w:p>
            <w:pPr>
              <w:jc w:val="center"/>
              <w:spacing w:after="0" w:line="217" w:lineRule="exact"/>
              <w:rPr>
                <w:sz w:val="20"/>
                <w:szCs w:val="20"/>
                <w:color w:val="auto"/>
              </w:rPr>
            </w:pPr>
            <w:r>
              <w:rPr>
                <w:rFonts w:ascii="Arial" w:cs="Arial" w:eastAsia="Arial" w:hAnsi="Arial"/>
                <w:sz w:val="20"/>
                <w:szCs w:val="20"/>
                <w:b w:val="1"/>
                <w:bCs w:val="1"/>
                <w:color w:val="FFFFFF"/>
                <w:w w:val="95"/>
              </w:rPr>
              <w:t>As of</w:t>
            </w:r>
          </w:p>
        </w:tc>
        <w:tc>
          <w:tcPr>
            <w:tcW w:w="1400" w:type="dxa"/>
            <w:vAlign w:val="bottom"/>
            <w:tcBorders>
              <w:top w:val="single" w:sz="8" w:color="auto"/>
              <w:right w:val="single" w:sz="8" w:color="auto"/>
            </w:tcBorders>
            <w:shd w:val="clear" w:color="auto" w:fill="2AD2C9"/>
          </w:tcPr>
          <w:p>
            <w:pPr>
              <w:jc w:val="center"/>
              <w:spacing w:after="0" w:line="217" w:lineRule="exact"/>
              <w:rPr>
                <w:sz w:val="20"/>
                <w:szCs w:val="20"/>
                <w:color w:val="auto"/>
              </w:rPr>
            </w:pPr>
            <w:r>
              <w:rPr>
                <w:rFonts w:ascii="Arial" w:cs="Arial" w:eastAsia="Arial" w:hAnsi="Arial"/>
                <w:sz w:val="20"/>
                <w:szCs w:val="20"/>
                <w:b w:val="1"/>
                <w:bCs w:val="1"/>
                <w:color w:val="FFFFFF"/>
                <w:w w:val="98"/>
              </w:rPr>
              <w:t>% change</w:t>
            </w:r>
          </w:p>
        </w:tc>
        <w:tc>
          <w:tcPr>
            <w:tcW w:w="0" w:type="dxa"/>
            <w:vAlign w:val="bottom"/>
          </w:tcPr>
          <w:p>
            <w:pPr>
              <w:spacing w:after="0"/>
              <w:rPr>
                <w:sz w:val="1"/>
                <w:szCs w:val="1"/>
                <w:color w:val="auto"/>
              </w:rPr>
            </w:pPr>
          </w:p>
        </w:tc>
      </w:tr>
      <w:tr>
        <w:trPr>
          <w:trHeight w:val="245"/>
        </w:trPr>
        <w:tc>
          <w:tcPr>
            <w:tcW w:w="3060" w:type="dxa"/>
            <w:vAlign w:val="bottom"/>
            <w:tcBorders>
              <w:bottom w:val="single" w:sz="8" w:color="auto"/>
              <w:right w:val="single" w:sz="8" w:color="auto"/>
            </w:tcBorders>
          </w:tcPr>
          <w:p>
            <w:pPr>
              <w:spacing w:after="0"/>
              <w:rPr>
                <w:sz w:val="21"/>
                <w:szCs w:val="21"/>
                <w:color w:val="auto"/>
              </w:rPr>
            </w:pPr>
          </w:p>
        </w:tc>
        <w:tc>
          <w:tcPr>
            <w:tcW w:w="920" w:type="dxa"/>
            <w:vAlign w:val="bottom"/>
            <w:tcBorders>
              <w:bottom w:val="single" w:sz="8" w:color="auto"/>
            </w:tcBorders>
            <w:vMerge w:val="continue"/>
            <w:shd w:val="clear" w:color="auto" w:fill="2AD2C9"/>
          </w:tcPr>
          <w:p>
            <w:pPr>
              <w:spacing w:after="0"/>
              <w:rPr>
                <w:sz w:val="21"/>
                <w:szCs w:val="21"/>
                <w:color w:val="auto"/>
              </w:rPr>
            </w:pPr>
          </w:p>
        </w:tc>
        <w:tc>
          <w:tcPr>
            <w:tcW w:w="9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2Q22</w:t>
            </w:r>
          </w:p>
        </w:tc>
        <w:tc>
          <w:tcPr>
            <w:tcW w:w="940" w:type="dxa"/>
            <w:vAlign w:val="bottom"/>
            <w:tcBorders>
              <w:bottom w:val="single" w:sz="8" w:color="auto"/>
              <w:right w:val="single" w:sz="8" w:color="auto"/>
            </w:tcBorders>
            <w:vMerge w:val="continue"/>
            <w:shd w:val="clear" w:color="auto" w:fill="2AD2C9"/>
          </w:tcPr>
          <w:p>
            <w:pPr>
              <w:spacing w:after="0"/>
              <w:rPr>
                <w:sz w:val="21"/>
                <w:szCs w:val="21"/>
                <w:color w:val="auto"/>
              </w:rPr>
            </w:pPr>
          </w:p>
        </w:tc>
        <w:tc>
          <w:tcPr>
            <w:tcW w:w="9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6"/>
              </w:rPr>
              <w:t>QoQ</w:t>
            </w:r>
          </w:p>
        </w:tc>
        <w:tc>
          <w:tcPr>
            <w:tcW w:w="10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2"/>
              </w:rPr>
              <w:t>YoY</w:t>
            </w:r>
          </w:p>
        </w:tc>
        <w:tc>
          <w:tcPr>
            <w:tcW w:w="980" w:type="dxa"/>
            <w:vAlign w:val="bottom"/>
            <w:tcBorders>
              <w:bottom w:val="single" w:sz="8" w:color="auto"/>
            </w:tcBorders>
            <w:shd w:val="clear" w:color="auto" w:fill="2AD2C9"/>
          </w:tcPr>
          <w:p>
            <w:pPr>
              <w:ind w:left="160"/>
              <w:spacing w:after="0"/>
              <w:rPr>
                <w:sz w:val="20"/>
                <w:szCs w:val="20"/>
                <w:color w:val="auto"/>
              </w:rPr>
            </w:pPr>
            <w:r>
              <w:rPr>
                <w:rFonts w:ascii="Arial" w:cs="Arial" w:eastAsia="Arial" w:hAnsi="Arial"/>
                <w:sz w:val="20"/>
                <w:szCs w:val="20"/>
                <w:b w:val="1"/>
                <w:bCs w:val="1"/>
                <w:color w:val="FFFFFF"/>
              </w:rPr>
              <w:t>Sep 21</w:t>
            </w:r>
          </w:p>
        </w:tc>
        <w:tc>
          <w:tcPr>
            <w:tcW w:w="1040" w:type="dxa"/>
            <w:vAlign w:val="bottom"/>
            <w:tcBorders>
              <w:bottom w:val="single" w:sz="8" w:color="auto"/>
              <w:right w:val="single" w:sz="8" w:color="auto"/>
            </w:tcBorders>
            <w:shd w:val="clear" w:color="auto" w:fill="2AD2C9"/>
          </w:tcPr>
          <w:p>
            <w:pPr>
              <w:ind w:left="180"/>
              <w:spacing w:after="0"/>
              <w:rPr>
                <w:sz w:val="20"/>
                <w:szCs w:val="20"/>
                <w:color w:val="auto"/>
              </w:rPr>
            </w:pPr>
            <w:r>
              <w:rPr>
                <w:rFonts w:ascii="Arial" w:cs="Arial" w:eastAsia="Arial" w:hAnsi="Arial"/>
                <w:sz w:val="20"/>
                <w:szCs w:val="20"/>
                <w:b w:val="1"/>
                <w:bCs w:val="1"/>
                <w:color w:val="FFFFFF"/>
              </w:rPr>
              <w:t>Sep 22</w:t>
            </w:r>
          </w:p>
        </w:tc>
        <w:tc>
          <w:tcPr>
            <w:tcW w:w="14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Sep 22/ Sep 21</w:t>
            </w:r>
          </w:p>
        </w:tc>
        <w:tc>
          <w:tcPr>
            <w:tcW w:w="0" w:type="dxa"/>
            <w:vAlign w:val="bottom"/>
          </w:tcPr>
          <w:p>
            <w:pPr>
              <w:spacing w:after="0"/>
              <w:rPr>
                <w:sz w:val="1"/>
                <w:szCs w:val="1"/>
                <w:color w:val="auto"/>
              </w:rPr>
            </w:pPr>
          </w:p>
        </w:tc>
      </w:tr>
      <w:tr>
        <w:trPr>
          <w:trHeight w:val="193"/>
        </w:trPr>
        <w:tc>
          <w:tcPr>
            <w:tcW w:w="306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20"/>
                <w:szCs w:val="20"/>
                <w:color w:val="auto"/>
              </w:rPr>
              <w:t>Net earned premiums</w:t>
            </w:r>
          </w:p>
        </w:tc>
        <w:tc>
          <w:tcPr>
            <w:tcW w:w="920" w:type="dxa"/>
            <w:vAlign w:val="bottom"/>
          </w:tcPr>
          <w:p>
            <w:pPr>
              <w:jc w:val="center"/>
              <w:spacing w:after="0" w:line="193" w:lineRule="exact"/>
              <w:rPr>
                <w:sz w:val="20"/>
                <w:szCs w:val="20"/>
                <w:color w:val="auto"/>
              </w:rPr>
            </w:pPr>
            <w:r>
              <w:rPr>
                <w:rFonts w:ascii="Arial" w:cs="Arial" w:eastAsia="Arial" w:hAnsi="Arial"/>
                <w:sz w:val="20"/>
                <w:szCs w:val="20"/>
                <w:color w:val="auto"/>
                <w:w w:val="99"/>
              </w:rPr>
              <w:t>677,204</w:t>
            </w:r>
          </w:p>
        </w:tc>
        <w:tc>
          <w:tcPr>
            <w:tcW w:w="960" w:type="dxa"/>
            <w:vAlign w:val="bottom"/>
          </w:tcPr>
          <w:p>
            <w:pPr>
              <w:jc w:val="center"/>
              <w:spacing w:after="0" w:line="193" w:lineRule="exact"/>
              <w:rPr>
                <w:sz w:val="20"/>
                <w:szCs w:val="20"/>
                <w:color w:val="auto"/>
              </w:rPr>
            </w:pPr>
            <w:r>
              <w:rPr>
                <w:rFonts w:ascii="Arial" w:cs="Arial" w:eastAsia="Arial" w:hAnsi="Arial"/>
                <w:sz w:val="20"/>
                <w:szCs w:val="20"/>
                <w:color w:val="auto"/>
                <w:w w:val="96"/>
              </w:rPr>
              <w:t>697,921</w:t>
            </w:r>
          </w:p>
        </w:tc>
        <w:tc>
          <w:tcPr>
            <w:tcW w:w="9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9"/>
              </w:rPr>
              <w:t>753,089</w:t>
            </w:r>
          </w:p>
        </w:tc>
        <w:tc>
          <w:tcPr>
            <w:tcW w:w="940" w:type="dxa"/>
            <w:vAlign w:val="bottom"/>
          </w:tcPr>
          <w:p>
            <w:pPr>
              <w:jc w:val="center"/>
              <w:spacing w:after="0" w:line="193" w:lineRule="exact"/>
              <w:rPr>
                <w:sz w:val="20"/>
                <w:szCs w:val="20"/>
                <w:color w:val="auto"/>
              </w:rPr>
            </w:pPr>
            <w:r>
              <w:rPr>
                <w:rFonts w:ascii="Arial" w:cs="Arial" w:eastAsia="Arial" w:hAnsi="Arial"/>
                <w:sz w:val="20"/>
                <w:szCs w:val="20"/>
                <w:color w:val="auto"/>
              </w:rPr>
              <w:t>7.9%</w:t>
            </w:r>
          </w:p>
        </w:tc>
        <w:tc>
          <w:tcPr>
            <w:tcW w:w="10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5"/>
              </w:rPr>
              <w:t>11.2%</w:t>
            </w:r>
          </w:p>
        </w:tc>
        <w:tc>
          <w:tcPr>
            <w:tcW w:w="980" w:type="dxa"/>
            <w:vAlign w:val="bottom"/>
          </w:tcPr>
          <w:p>
            <w:pPr>
              <w:jc w:val="center"/>
              <w:spacing w:after="0" w:line="193" w:lineRule="exact"/>
              <w:rPr>
                <w:sz w:val="20"/>
                <w:szCs w:val="20"/>
                <w:color w:val="auto"/>
              </w:rPr>
            </w:pPr>
            <w:r>
              <w:rPr>
                <w:rFonts w:ascii="Arial" w:cs="Arial" w:eastAsia="Arial" w:hAnsi="Arial"/>
                <w:sz w:val="20"/>
                <w:szCs w:val="20"/>
                <w:color w:val="auto"/>
                <w:w w:val="98"/>
              </w:rPr>
              <w:t>1,972,683</w:t>
            </w:r>
          </w:p>
        </w:tc>
        <w:tc>
          <w:tcPr>
            <w:tcW w:w="10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8"/>
              </w:rPr>
              <w:t>2,143,784</w:t>
            </w:r>
          </w:p>
        </w:tc>
        <w:tc>
          <w:tcPr>
            <w:tcW w:w="14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6"/>
              </w:rPr>
              <w:t>8.7%</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Net claims</w:t>
            </w:r>
          </w:p>
        </w:tc>
        <w:tc>
          <w:tcPr>
            <w:tcW w:w="2820" w:type="dxa"/>
            <w:vAlign w:val="bottom"/>
            <w:tcBorders>
              <w:right w:val="single" w:sz="8" w:color="auto"/>
            </w:tcBorders>
            <w:gridSpan w:val="3"/>
          </w:tcPr>
          <w:p>
            <w:pPr>
              <w:jc w:val="center"/>
              <w:spacing w:after="0" w:line="214" w:lineRule="exact"/>
              <w:rPr>
                <w:sz w:val="20"/>
                <w:szCs w:val="20"/>
                <w:color w:val="auto"/>
              </w:rPr>
            </w:pPr>
            <w:r>
              <w:rPr>
                <w:rFonts w:ascii="Arial" w:cs="Arial" w:eastAsia="Arial" w:hAnsi="Arial"/>
                <w:sz w:val="20"/>
                <w:szCs w:val="20"/>
                <w:color w:val="auto"/>
              </w:rPr>
              <w:t>(517,950) (492,257) (478,040)</w:t>
            </w:r>
          </w:p>
        </w:tc>
        <w:tc>
          <w:tcPr>
            <w:tcW w:w="940" w:type="dxa"/>
            <w:vAlign w:val="bottom"/>
          </w:tcPr>
          <w:p>
            <w:pPr>
              <w:jc w:val="center"/>
              <w:spacing w:after="0" w:line="214" w:lineRule="exact"/>
              <w:rPr>
                <w:sz w:val="20"/>
                <w:szCs w:val="20"/>
                <w:color w:val="auto"/>
              </w:rPr>
            </w:pPr>
            <w:r>
              <w:rPr>
                <w:rFonts w:ascii="Arial" w:cs="Arial" w:eastAsia="Arial" w:hAnsi="Arial"/>
                <w:sz w:val="20"/>
                <w:szCs w:val="20"/>
                <w:color w:val="auto"/>
                <w:w w:val="95"/>
              </w:rPr>
              <w:t>-2.9%</w:t>
            </w:r>
          </w:p>
        </w:tc>
        <w:tc>
          <w:tcPr>
            <w:tcW w:w="10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-7.7%</w:t>
            </w:r>
          </w:p>
        </w:tc>
        <w:tc>
          <w:tcPr>
            <w:tcW w:w="2020" w:type="dxa"/>
            <w:vAlign w:val="bottom"/>
            <w:tcBorders>
              <w:right w:val="single" w:sz="8" w:color="auto"/>
            </w:tcBorders>
            <w:gridSpan w:val="2"/>
          </w:tcPr>
          <w:p>
            <w:pPr>
              <w:jc w:val="right"/>
              <w:spacing w:after="0" w:line="214" w:lineRule="exact"/>
              <w:rPr>
                <w:sz w:val="20"/>
                <w:szCs w:val="20"/>
                <w:color w:val="auto"/>
              </w:rPr>
            </w:pPr>
            <w:r>
              <w:rPr>
                <w:rFonts w:ascii="Arial" w:cs="Arial" w:eastAsia="Arial" w:hAnsi="Arial"/>
                <w:sz w:val="20"/>
                <w:szCs w:val="20"/>
                <w:color w:val="auto"/>
                <w:w w:val="95"/>
              </w:rPr>
              <w:t>(1,837,191)(1,448,803)</w:t>
            </w:r>
          </w:p>
        </w:tc>
        <w:tc>
          <w:tcPr>
            <w:tcW w:w="14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-21.1%</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Net fees</w:t>
            </w:r>
          </w:p>
        </w:tc>
        <w:tc>
          <w:tcPr>
            <w:tcW w:w="2820" w:type="dxa"/>
            <w:vAlign w:val="bottom"/>
            <w:tcBorders>
              <w:right w:val="single" w:sz="8" w:color="auto"/>
            </w:tcBorders>
            <w:gridSpan w:val="3"/>
          </w:tcPr>
          <w:p>
            <w:pPr>
              <w:jc w:val="center"/>
              <w:spacing w:after="0" w:line="214" w:lineRule="exact"/>
              <w:rPr>
                <w:sz w:val="20"/>
                <w:szCs w:val="20"/>
                <w:color w:val="auto"/>
              </w:rPr>
            </w:pPr>
            <w:r>
              <w:rPr>
                <w:rFonts w:ascii="Arial" w:cs="Arial" w:eastAsia="Arial" w:hAnsi="Arial"/>
                <w:sz w:val="20"/>
                <w:szCs w:val="20"/>
                <w:color w:val="auto"/>
              </w:rPr>
              <w:t>(149,570) (152,233) (160,758)</w:t>
            </w:r>
          </w:p>
        </w:tc>
        <w:tc>
          <w:tcPr>
            <w:tcW w:w="940" w:type="dxa"/>
            <w:vAlign w:val="bottom"/>
          </w:tcPr>
          <w:p>
            <w:pPr>
              <w:jc w:val="center"/>
              <w:spacing w:after="0" w:line="214" w:lineRule="exact"/>
              <w:rPr>
                <w:sz w:val="20"/>
                <w:szCs w:val="20"/>
                <w:color w:val="auto"/>
              </w:rPr>
            </w:pPr>
            <w:r>
              <w:rPr>
                <w:rFonts w:ascii="Arial" w:cs="Arial" w:eastAsia="Arial" w:hAnsi="Arial"/>
                <w:sz w:val="20"/>
                <w:szCs w:val="20"/>
                <w:color w:val="auto"/>
              </w:rPr>
              <w:t>5.6%</w:t>
            </w:r>
          </w:p>
        </w:tc>
        <w:tc>
          <w:tcPr>
            <w:tcW w:w="10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7.5%</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98"/>
              </w:rPr>
              <w:t>(436,859)</w:t>
            </w:r>
          </w:p>
        </w:tc>
        <w:tc>
          <w:tcPr>
            <w:tcW w:w="10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(462,151)</w:t>
            </w:r>
          </w:p>
        </w:tc>
        <w:tc>
          <w:tcPr>
            <w:tcW w:w="14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5.8%</w:t>
            </w:r>
          </w:p>
        </w:tc>
        <w:tc>
          <w:tcPr>
            <w:tcW w:w="0" w:type="dxa"/>
            <w:vAlign w:val="bottom"/>
          </w:tcPr>
          <w:p>
            <w:pPr>
              <w:spacing w:after="0"/>
              <w:rPr>
                <w:sz w:val="1"/>
                <w:szCs w:val="1"/>
                <w:color w:val="auto"/>
              </w:rPr>
            </w:pPr>
          </w:p>
        </w:tc>
      </w:tr>
      <w:tr>
        <w:trPr>
          <w:trHeight w:val="212"/>
        </w:trPr>
        <w:tc>
          <w:tcPr>
            <w:tcW w:w="306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20"/>
                <w:szCs w:val="20"/>
                <w:color w:val="auto"/>
              </w:rPr>
              <w:t>Net underwriting expenses</w:t>
            </w:r>
          </w:p>
        </w:tc>
        <w:tc>
          <w:tcPr>
            <w:tcW w:w="920" w:type="dxa"/>
            <w:vAlign w:val="bottom"/>
          </w:tcPr>
          <w:p>
            <w:pPr>
              <w:jc w:val="center"/>
              <w:spacing w:after="0" w:line="212" w:lineRule="exact"/>
              <w:rPr>
                <w:sz w:val="20"/>
                <w:szCs w:val="20"/>
                <w:color w:val="auto"/>
              </w:rPr>
            </w:pPr>
            <w:r>
              <w:rPr>
                <w:rFonts w:ascii="Arial" w:cs="Arial" w:eastAsia="Arial" w:hAnsi="Arial"/>
                <w:sz w:val="20"/>
                <w:szCs w:val="20"/>
                <w:color w:val="auto"/>
                <w:w w:val="96"/>
              </w:rPr>
              <w:t>(35,798)</w:t>
            </w:r>
          </w:p>
        </w:tc>
        <w:tc>
          <w:tcPr>
            <w:tcW w:w="960" w:type="dxa"/>
            <w:vAlign w:val="bottom"/>
          </w:tcPr>
          <w:p>
            <w:pPr>
              <w:jc w:val="center"/>
              <w:spacing w:after="0" w:line="212" w:lineRule="exact"/>
              <w:rPr>
                <w:sz w:val="20"/>
                <w:szCs w:val="20"/>
                <w:color w:val="auto"/>
              </w:rPr>
            </w:pPr>
            <w:r>
              <w:rPr>
                <w:rFonts w:ascii="Arial" w:cs="Arial" w:eastAsia="Arial" w:hAnsi="Arial"/>
                <w:sz w:val="20"/>
                <w:szCs w:val="20"/>
                <w:color w:val="auto"/>
                <w:w w:val="99"/>
              </w:rPr>
              <w:t>(26,896)</w:t>
            </w:r>
          </w:p>
        </w:tc>
        <w:tc>
          <w:tcPr>
            <w:tcW w:w="94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6"/>
              </w:rPr>
              <w:t>(31,317)</w:t>
            </w:r>
          </w:p>
        </w:tc>
        <w:tc>
          <w:tcPr>
            <w:tcW w:w="940" w:type="dxa"/>
            <w:vAlign w:val="bottom"/>
          </w:tcPr>
          <w:p>
            <w:pPr>
              <w:jc w:val="center"/>
              <w:spacing w:after="0" w:line="212" w:lineRule="exact"/>
              <w:rPr>
                <w:sz w:val="20"/>
                <w:szCs w:val="20"/>
                <w:color w:val="auto"/>
              </w:rPr>
            </w:pPr>
            <w:r>
              <w:rPr>
                <w:rFonts w:ascii="Arial" w:cs="Arial" w:eastAsia="Arial" w:hAnsi="Arial"/>
                <w:sz w:val="20"/>
                <w:szCs w:val="20"/>
                <w:color w:val="auto"/>
                <w:w w:val="98"/>
              </w:rPr>
              <w:t>16.4%</w:t>
            </w:r>
          </w:p>
        </w:tc>
        <w:tc>
          <w:tcPr>
            <w:tcW w:w="100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7"/>
              </w:rPr>
              <w:t>-12.5%</w:t>
            </w:r>
          </w:p>
        </w:tc>
        <w:tc>
          <w:tcPr>
            <w:tcW w:w="980" w:type="dxa"/>
            <w:vAlign w:val="bottom"/>
          </w:tcPr>
          <w:p>
            <w:pPr>
              <w:jc w:val="center"/>
              <w:spacing w:after="0" w:line="212" w:lineRule="exact"/>
              <w:rPr>
                <w:sz w:val="20"/>
                <w:szCs w:val="20"/>
                <w:color w:val="auto"/>
              </w:rPr>
            </w:pPr>
            <w:r>
              <w:rPr>
                <w:rFonts w:ascii="Arial" w:cs="Arial" w:eastAsia="Arial" w:hAnsi="Arial"/>
                <w:sz w:val="20"/>
                <w:szCs w:val="20"/>
                <w:color w:val="auto"/>
                <w:w w:val="96"/>
              </w:rPr>
              <w:t>(97,152)</w:t>
            </w:r>
          </w:p>
        </w:tc>
        <w:tc>
          <w:tcPr>
            <w:tcW w:w="104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9"/>
              </w:rPr>
              <w:t>(88,821)</w:t>
            </w:r>
          </w:p>
        </w:tc>
        <w:tc>
          <w:tcPr>
            <w:tcW w:w="140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9"/>
              </w:rPr>
              <w:t>-8.6%</w:t>
            </w:r>
          </w:p>
        </w:tc>
        <w:tc>
          <w:tcPr>
            <w:tcW w:w="0" w:type="dxa"/>
            <w:vAlign w:val="bottom"/>
          </w:tcPr>
          <w:p>
            <w:pPr>
              <w:spacing w:after="0"/>
              <w:rPr>
                <w:sz w:val="1"/>
                <w:szCs w:val="1"/>
                <w:color w:val="auto"/>
              </w:rPr>
            </w:pPr>
          </w:p>
        </w:tc>
      </w:tr>
      <w:tr>
        <w:trPr>
          <w:trHeight w:val="270"/>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Underwriting result</w:t>
            </w:r>
          </w:p>
        </w:tc>
        <w:tc>
          <w:tcPr>
            <w:tcW w:w="920" w:type="dxa"/>
            <w:vAlign w:val="bottom"/>
          </w:tcPr>
          <w:p>
            <w:pPr>
              <w:jc w:val="center"/>
              <w:spacing w:after="0"/>
              <w:rPr>
                <w:sz w:val="20"/>
                <w:szCs w:val="20"/>
                <w:color w:val="auto"/>
              </w:rPr>
            </w:pPr>
            <w:r>
              <w:rPr>
                <w:rFonts w:ascii="Arial" w:cs="Arial" w:eastAsia="Arial" w:hAnsi="Arial"/>
                <w:sz w:val="20"/>
                <w:szCs w:val="20"/>
                <w:b w:val="1"/>
                <w:bCs w:val="1"/>
                <w:color w:val="auto"/>
                <w:w w:val="96"/>
              </w:rPr>
              <w:t>(26,115)</w:t>
            </w:r>
          </w:p>
        </w:tc>
        <w:tc>
          <w:tcPr>
            <w:tcW w:w="960" w:type="dxa"/>
            <w:vAlign w:val="bottom"/>
          </w:tcPr>
          <w:p>
            <w:pPr>
              <w:jc w:val="center"/>
              <w:spacing w:after="0"/>
              <w:rPr>
                <w:sz w:val="20"/>
                <w:szCs w:val="20"/>
                <w:color w:val="auto"/>
              </w:rPr>
            </w:pPr>
            <w:r>
              <w:rPr>
                <w:rFonts w:ascii="Arial" w:cs="Arial" w:eastAsia="Arial" w:hAnsi="Arial"/>
                <w:sz w:val="20"/>
                <w:szCs w:val="20"/>
                <w:b w:val="1"/>
                <w:bCs w:val="1"/>
                <w:color w:val="auto"/>
                <w:w w:val="98"/>
              </w:rPr>
              <w:t>26,535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82,975</w:t>
            </w:r>
          </w:p>
        </w:tc>
        <w:tc>
          <w:tcPr>
            <w:tcW w:w="940" w:type="dxa"/>
            <w:vAlign w:val="bottom"/>
          </w:tcPr>
          <w:p>
            <w:pPr>
              <w:jc w:val="center"/>
              <w:spacing w:after="0"/>
              <w:rPr>
                <w:sz w:val="20"/>
                <w:szCs w:val="20"/>
                <w:color w:val="auto"/>
              </w:rPr>
            </w:pPr>
            <w:r>
              <w:rPr>
                <w:rFonts w:ascii="Arial" w:cs="Arial" w:eastAsia="Arial" w:hAnsi="Arial"/>
                <w:sz w:val="20"/>
                <w:szCs w:val="20"/>
                <w:b w:val="1"/>
                <w:bCs w:val="1"/>
                <w:color w:val="auto"/>
                <w:w w:val="97"/>
              </w:rPr>
              <w:t>212.7%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-417.7%</w:t>
            </w:r>
          </w:p>
        </w:tc>
        <w:tc>
          <w:tcPr>
            <w:tcW w:w="980" w:type="dxa"/>
            <w:vAlign w:val="bottom"/>
          </w:tcPr>
          <w:p>
            <w:pPr>
              <w:jc w:val="center"/>
              <w:spacing w:after="0"/>
              <w:rPr>
                <w:sz w:val="20"/>
                <w:szCs w:val="20"/>
                <w:color w:val="auto"/>
              </w:rPr>
            </w:pPr>
            <w:r>
              <w:rPr>
                <w:rFonts w:ascii="Arial" w:cs="Arial" w:eastAsia="Arial" w:hAnsi="Arial"/>
                <w:sz w:val="20"/>
                <w:szCs w:val="20"/>
                <w:b w:val="1"/>
                <w:bCs w:val="1"/>
                <w:color w:val="auto"/>
                <w:w w:val="98"/>
              </w:rPr>
              <w:t>(398,519)</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144,008</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w:t>
            </w:r>
          </w:p>
        </w:tc>
        <w:tc>
          <w:tcPr>
            <w:tcW w:w="0" w:type="dxa"/>
            <w:vAlign w:val="bottom"/>
          </w:tcPr>
          <w:p>
            <w:pPr>
              <w:spacing w:after="0"/>
              <w:rPr>
                <w:sz w:val="1"/>
                <w:szCs w:val="1"/>
                <w:color w:val="auto"/>
              </w:rPr>
            </w:pPr>
          </w:p>
        </w:tc>
      </w:tr>
      <w:tr>
        <w:trPr>
          <w:trHeight w:val="392"/>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Net financial income</w:t>
            </w:r>
          </w:p>
        </w:tc>
        <w:tc>
          <w:tcPr>
            <w:tcW w:w="920" w:type="dxa"/>
            <w:vAlign w:val="bottom"/>
          </w:tcPr>
          <w:p>
            <w:pPr>
              <w:jc w:val="center"/>
              <w:spacing w:after="0"/>
              <w:rPr>
                <w:sz w:val="20"/>
                <w:szCs w:val="20"/>
                <w:color w:val="auto"/>
              </w:rPr>
            </w:pPr>
            <w:r>
              <w:rPr>
                <w:rFonts w:ascii="Arial" w:cs="Arial" w:eastAsia="Arial" w:hAnsi="Arial"/>
                <w:sz w:val="20"/>
                <w:szCs w:val="20"/>
                <w:color w:val="auto"/>
                <w:w w:val="99"/>
              </w:rPr>
              <w:t>182,019</w:t>
            </w:r>
          </w:p>
        </w:tc>
        <w:tc>
          <w:tcPr>
            <w:tcW w:w="960" w:type="dxa"/>
            <w:vAlign w:val="bottom"/>
          </w:tcPr>
          <w:p>
            <w:pPr>
              <w:jc w:val="center"/>
              <w:spacing w:after="0"/>
              <w:rPr>
                <w:sz w:val="20"/>
                <w:szCs w:val="20"/>
                <w:color w:val="auto"/>
              </w:rPr>
            </w:pPr>
            <w:r>
              <w:rPr>
                <w:rFonts w:ascii="Arial" w:cs="Arial" w:eastAsia="Arial" w:hAnsi="Arial"/>
                <w:sz w:val="20"/>
                <w:szCs w:val="20"/>
                <w:color w:val="auto"/>
                <w:w w:val="96"/>
              </w:rPr>
              <w:t>182,955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9"/>
              </w:rPr>
              <w:t>187,362</w:t>
            </w:r>
          </w:p>
        </w:tc>
        <w:tc>
          <w:tcPr>
            <w:tcW w:w="940" w:type="dxa"/>
            <w:vAlign w:val="bottom"/>
          </w:tcPr>
          <w:p>
            <w:pPr>
              <w:jc w:val="center"/>
              <w:spacing w:after="0"/>
              <w:rPr>
                <w:sz w:val="20"/>
                <w:szCs w:val="20"/>
                <w:color w:val="auto"/>
              </w:rPr>
            </w:pPr>
            <w:r>
              <w:rPr>
                <w:rFonts w:ascii="Arial" w:cs="Arial" w:eastAsia="Arial" w:hAnsi="Arial"/>
                <w:sz w:val="20"/>
                <w:szCs w:val="20"/>
                <w:color w:val="auto"/>
              </w:rPr>
              <w:t>2.4%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2.9%</w:t>
            </w:r>
          </w:p>
        </w:tc>
        <w:tc>
          <w:tcPr>
            <w:tcW w:w="980" w:type="dxa"/>
            <w:vAlign w:val="bottom"/>
          </w:tcPr>
          <w:p>
            <w:pPr>
              <w:jc w:val="center"/>
              <w:spacing w:after="0"/>
              <w:rPr>
                <w:sz w:val="20"/>
                <w:szCs w:val="20"/>
                <w:color w:val="auto"/>
              </w:rPr>
            </w:pPr>
            <w:r>
              <w:rPr>
                <w:rFonts w:ascii="Arial" w:cs="Arial" w:eastAsia="Arial" w:hAnsi="Arial"/>
                <w:sz w:val="20"/>
                <w:szCs w:val="20"/>
                <w:color w:val="auto"/>
                <w:w w:val="99"/>
              </w:rPr>
              <w:t>490,661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518,633</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6"/>
              </w:rPr>
              <w:t>5.7%</w:t>
            </w:r>
          </w:p>
        </w:tc>
        <w:tc>
          <w:tcPr>
            <w:tcW w:w="0" w:type="dxa"/>
            <w:vAlign w:val="bottom"/>
          </w:tcPr>
          <w:p>
            <w:pPr>
              <w:spacing w:after="0"/>
              <w:rPr>
                <w:sz w:val="1"/>
                <w:szCs w:val="1"/>
                <w:color w:val="auto"/>
              </w:rPr>
            </w:pPr>
          </w:p>
        </w:tc>
      </w:tr>
      <w:tr>
        <w:trPr>
          <w:trHeight w:val="402"/>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Total expenses</w:t>
            </w:r>
          </w:p>
        </w:tc>
        <w:tc>
          <w:tcPr>
            <w:tcW w:w="920" w:type="dxa"/>
            <w:vAlign w:val="bottom"/>
          </w:tcPr>
          <w:p>
            <w:pPr>
              <w:jc w:val="center"/>
              <w:spacing w:after="0"/>
              <w:rPr>
                <w:sz w:val="20"/>
                <w:szCs w:val="20"/>
                <w:color w:val="auto"/>
              </w:rPr>
            </w:pPr>
            <w:r>
              <w:rPr>
                <w:rFonts w:ascii="Arial" w:cs="Arial" w:eastAsia="Arial" w:hAnsi="Arial"/>
                <w:sz w:val="20"/>
                <w:szCs w:val="20"/>
                <w:color w:val="auto"/>
                <w:w w:val="93"/>
              </w:rPr>
              <w:t>(111,326)</w:t>
            </w:r>
          </w:p>
        </w:tc>
        <w:tc>
          <w:tcPr>
            <w:tcW w:w="1900" w:type="dxa"/>
            <w:vAlign w:val="bottom"/>
            <w:tcBorders>
              <w:right w:val="single" w:sz="8" w:color="auto"/>
            </w:tcBorders>
            <w:gridSpan w:val="2"/>
          </w:tcPr>
          <w:p>
            <w:pPr>
              <w:jc w:val="right"/>
              <w:spacing w:after="0"/>
              <w:rPr>
                <w:sz w:val="20"/>
                <w:szCs w:val="20"/>
                <w:color w:val="auto"/>
              </w:rPr>
            </w:pPr>
            <w:r>
              <w:rPr>
                <w:rFonts w:ascii="Arial" w:cs="Arial" w:eastAsia="Arial" w:hAnsi="Arial"/>
                <w:sz w:val="20"/>
                <w:szCs w:val="20"/>
                <w:color w:val="auto"/>
              </w:rPr>
              <w:t>(118,352) (123,397)</w:t>
            </w:r>
          </w:p>
        </w:tc>
        <w:tc>
          <w:tcPr>
            <w:tcW w:w="940" w:type="dxa"/>
            <w:vAlign w:val="bottom"/>
          </w:tcPr>
          <w:p>
            <w:pPr>
              <w:jc w:val="center"/>
              <w:spacing w:after="0"/>
              <w:rPr>
                <w:sz w:val="20"/>
                <w:szCs w:val="20"/>
                <w:color w:val="auto"/>
              </w:rPr>
            </w:pPr>
            <w:r>
              <w:rPr>
                <w:rFonts w:ascii="Arial" w:cs="Arial" w:eastAsia="Arial" w:hAnsi="Arial"/>
                <w:sz w:val="20"/>
                <w:szCs w:val="20"/>
                <w:color w:val="auto"/>
              </w:rPr>
              <w:t>4.3%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10.8%</w:t>
            </w:r>
          </w:p>
        </w:tc>
        <w:tc>
          <w:tcPr>
            <w:tcW w:w="980" w:type="dxa"/>
            <w:vAlign w:val="bottom"/>
          </w:tcPr>
          <w:p>
            <w:pPr>
              <w:jc w:val="center"/>
              <w:spacing w:after="0"/>
              <w:rPr>
                <w:sz w:val="20"/>
                <w:szCs w:val="20"/>
                <w:color w:val="auto"/>
              </w:rPr>
            </w:pPr>
            <w:r>
              <w:rPr>
                <w:rFonts w:ascii="Arial" w:cs="Arial" w:eastAsia="Arial" w:hAnsi="Arial"/>
                <w:sz w:val="20"/>
                <w:szCs w:val="20"/>
                <w:color w:val="auto"/>
                <w:w w:val="98"/>
              </w:rPr>
              <w:t>(324,006)</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(363,470)</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12.2%</w:t>
            </w:r>
          </w:p>
        </w:tc>
        <w:tc>
          <w:tcPr>
            <w:tcW w:w="0" w:type="dxa"/>
            <w:vAlign w:val="bottom"/>
          </w:tcPr>
          <w:p>
            <w:pPr>
              <w:spacing w:after="0"/>
              <w:rPr>
                <w:sz w:val="1"/>
                <w:szCs w:val="1"/>
                <w:color w:val="auto"/>
              </w:rPr>
            </w:pPr>
          </w:p>
        </w:tc>
      </w:tr>
      <w:tr>
        <w:trPr>
          <w:trHeight w:val="358"/>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Other income</w:t>
            </w:r>
          </w:p>
        </w:tc>
        <w:tc>
          <w:tcPr>
            <w:tcW w:w="920" w:type="dxa"/>
            <w:vAlign w:val="bottom"/>
          </w:tcPr>
          <w:p>
            <w:pPr>
              <w:jc w:val="center"/>
              <w:spacing w:after="0"/>
              <w:rPr>
                <w:sz w:val="20"/>
                <w:szCs w:val="20"/>
                <w:color w:val="auto"/>
              </w:rPr>
            </w:pPr>
            <w:r>
              <w:rPr>
                <w:rFonts w:ascii="Arial" w:cs="Arial" w:eastAsia="Arial" w:hAnsi="Arial"/>
                <w:sz w:val="20"/>
                <w:szCs w:val="20"/>
                <w:color w:val="auto"/>
                <w:w w:val="98"/>
              </w:rPr>
              <w:t>16,413</w:t>
            </w:r>
          </w:p>
        </w:tc>
        <w:tc>
          <w:tcPr>
            <w:tcW w:w="960" w:type="dxa"/>
            <w:vAlign w:val="bottom"/>
          </w:tcPr>
          <w:p>
            <w:pPr>
              <w:jc w:val="center"/>
              <w:spacing w:after="0"/>
              <w:rPr>
                <w:sz w:val="20"/>
                <w:szCs w:val="20"/>
                <w:color w:val="auto"/>
              </w:rPr>
            </w:pPr>
            <w:r>
              <w:rPr>
                <w:rFonts w:ascii="Arial" w:cs="Arial" w:eastAsia="Arial" w:hAnsi="Arial"/>
                <w:sz w:val="20"/>
                <w:szCs w:val="20"/>
                <w:color w:val="auto"/>
                <w:w w:val="99"/>
              </w:rPr>
              <w:t>6,109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6,494</w:t>
            </w:r>
          </w:p>
        </w:tc>
        <w:tc>
          <w:tcPr>
            <w:tcW w:w="940" w:type="dxa"/>
            <w:vAlign w:val="bottom"/>
          </w:tcPr>
          <w:p>
            <w:pPr>
              <w:jc w:val="center"/>
              <w:spacing w:after="0"/>
              <w:rPr>
                <w:sz w:val="20"/>
                <w:szCs w:val="20"/>
                <w:color w:val="auto"/>
              </w:rPr>
            </w:pPr>
            <w:r>
              <w:rPr>
                <w:rFonts w:ascii="Arial" w:cs="Arial" w:eastAsia="Arial" w:hAnsi="Arial"/>
                <w:sz w:val="20"/>
                <w:szCs w:val="20"/>
                <w:color w:val="auto"/>
              </w:rPr>
              <w:t>6.3%</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-60.4%</w:t>
            </w:r>
          </w:p>
        </w:tc>
        <w:tc>
          <w:tcPr>
            <w:tcW w:w="980" w:type="dxa"/>
            <w:vAlign w:val="bottom"/>
          </w:tcPr>
          <w:p>
            <w:pPr>
              <w:jc w:val="center"/>
              <w:spacing w:after="0"/>
              <w:rPr>
                <w:sz w:val="20"/>
                <w:szCs w:val="20"/>
                <w:color w:val="auto"/>
              </w:rPr>
            </w:pPr>
            <w:r>
              <w:rPr>
                <w:rFonts w:ascii="Arial" w:cs="Arial" w:eastAsia="Arial" w:hAnsi="Arial"/>
                <w:sz w:val="20"/>
                <w:szCs w:val="20"/>
                <w:color w:val="auto"/>
                <w:w w:val="98"/>
              </w:rPr>
              <w:t>29,832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24,942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-16.4%</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Traslations results</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w w:val="95"/>
              </w:rPr>
              <w:t>547</w:t>
            </w:r>
          </w:p>
        </w:tc>
        <w:tc>
          <w:tcPr>
            <w:tcW w:w="960" w:type="dxa"/>
            <w:vAlign w:val="bottom"/>
          </w:tcPr>
          <w:p>
            <w:pPr>
              <w:jc w:val="center"/>
              <w:spacing w:after="0" w:line="214" w:lineRule="exact"/>
              <w:rPr>
                <w:sz w:val="20"/>
                <w:szCs w:val="20"/>
                <w:color w:val="auto"/>
              </w:rPr>
            </w:pPr>
            <w:r>
              <w:rPr>
                <w:rFonts w:ascii="Arial" w:cs="Arial" w:eastAsia="Arial" w:hAnsi="Arial"/>
                <w:sz w:val="20"/>
                <w:szCs w:val="20"/>
                <w:color w:val="auto"/>
                <w:w w:val="98"/>
              </w:rPr>
              <w:t>(287)</w:t>
            </w:r>
          </w:p>
        </w:tc>
        <w:tc>
          <w:tcPr>
            <w:tcW w:w="9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1,603</w:t>
            </w:r>
          </w:p>
        </w:tc>
        <w:tc>
          <w:tcPr>
            <w:tcW w:w="940" w:type="dxa"/>
            <w:vAlign w:val="bottom"/>
          </w:tcPr>
          <w:p>
            <w:pPr>
              <w:jc w:val="center"/>
              <w:spacing w:after="0" w:line="214" w:lineRule="exact"/>
              <w:rPr>
                <w:sz w:val="20"/>
                <w:szCs w:val="20"/>
                <w:color w:val="auto"/>
              </w:rPr>
            </w:pPr>
            <w:r>
              <w:rPr>
                <w:rFonts w:ascii="Arial" w:cs="Arial" w:eastAsia="Arial" w:hAnsi="Arial"/>
                <w:sz w:val="20"/>
                <w:szCs w:val="20"/>
                <w:color w:val="auto"/>
                <w:w w:val="99"/>
              </w:rPr>
              <w:t>-657.9%</w:t>
            </w:r>
          </w:p>
        </w:tc>
        <w:tc>
          <w:tcPr>
            <w:tcW w:w="10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rPr>
              <w:t>193.2%</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95"/>
              </w:rPr>
              <w:t>1,022</w:t>
            </w:r>
          </w:p>
        </w:tc>
        <w:tc>
          <w:tcPr>
            <w:tcW w:w="10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(4,100)</w:t>
            </w:r>
          </w:p>
        </w:tc>
        <w:tc>
          <w:tcPr>
            <w:tcW w:w="14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5"/>
              </w:rPr>
              <w:t>n.a.</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EPS business deduction</w:t>
            </w:r>
          </w:p>
        </w:tc>
        <w:tc>
          <w:tcPr>
            <w:tcW w:w="920" w:type="dxa"/>
            <w:vAlign w:val="bottom"/>
          </w:tcPr>
          <w:p>
            <w:pPr>
              <w:jc w:val="center"/>
              <w:spacing w:after="0" w:line="214" w:lineRule="exact"/>
              <w:rPr>
                <w:sz w:val="20"/>
                <w:szCs w:val="20"/>
                <w:color w:val="auto"/>
              </w:rPr>
            </w:pPr>
            <w:r>
              <w:rPr>
                <w:rFonts w:ascii="Arial" w:cs="Arial" w:eastAsia="Arial" w:hAnsi="Arial"/>
                <w:sz w:val="20"/>
                <w:szCs w:val="20"/>
                <w:color w:val="auto"/>
                <w:w w:val="98"/>
              </w:rPr>
              <w:t>12,994</w:t>
            </w:r>
          </w:p>
        </w:tc>
        <w:tc>
          <w:tcPr>
            <w:tcW w:w="960" w:type="dxa"/>
            <w:vAlign w:val="bottom"/>
          </w:tcPr>
          <w:p>
            <w:pPr>
              <w:jc w:val="center"/>
              <w:spacing w:after="0" w:line="214" w:lineRule="exact"/>
              <w:rPr>
                <w:sz w:val="20"/>
                <w:szCs w:val="20"/>
                <w:color w:val="auto"/>
              </w:rPr>
            </w:pPr>
            <w:r>
              <w:rPr>
                <w:rFonts w:ascii="Arial" w:cs="Arial" w:eastAsia="Arial" w:hAnsi="Arial"/>
                <w:sz w:val="20"/>
                <w:szCs w:val="20"/>
                <w:color w:val="auto"/>
                <w:w w:val="98"/>
              </w:rPr>
              <w:t>17,941</w:t>
            </w:r>
          </w:p>
        </w:tc>
        <w:tc>
          <w:tcPr>
            <w:tcW w:w="9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17,393</w:t>
            </w:r>
          </w:p>
        </w:tc>
        <w:tc>
          <w:tcPr>
            <w:tcW w:w="940" w:type="dxa"/>
            <w:vAlign w:val="bottom"/>
          </w:tcPr>
          <w:p>
            <w:pPr>
              <w:jc w:val="center"/>
              <w:spacing w:after="0" w:line="214" w:lineRule="exact"/>
              <w:rPr>
                <w:sz w:val="20"/>
                <w:szCs w:val="20"/>
                <w:color w:val="auto"/>
              </w:rPr>
            </w:pPr>
            <w:r>
              <w:rPr>
                <w:rFonts w:ascii="Arial" w:cs="Arial" w:eastAsia="Arial" w:hAnsi="Arial"/>
                <w:sz w:val="20"/>
                <w:szCs w:val="20"/>
                <w:color w:val="auto"/>
                <w:w w:val="95"/>
              </w:rPr>
              <w:t>-3.1%</w:t>
            </w:r>
          </w:p>
        </w:tc>
        <w:tc>
          <w:tcPr>
            <w:tcW w:w="10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33.9%</w:t>
            </w:r>
          </w:p>
        </w:tc>
        <w:tc>
          <w:tcPr>
            <w:tcW w:w="980" w:type="dxa"/>
            <w:vAlign w:val="bottom"/>
          </w:tcPr>
          <w:p>
            <w:pPr>
              <w:jc w:val="center"/>
              <w:spacing w:after="0" w:line="214" w:lineRule="exact"/>
              <w:rPr>
                <w:sz w:val="20"/>
                <w:szCs w:val="20"/>
                <w:color w:val="auto"/>
              </w:rPr>
            </w:pPr>
            <w:r>
              <w:rPr>
                <w:rFonts w:ascii="Arial" w:cs="Arial" w:eastAsia="Arial" w:hAnsi="Arial"/>
                <w:sz w:val="20"/>
                <w:szCs w:val="20"/>
                <w:color w:val="auto"/>
                <w:w w:val="98"/>
              </w:rPr>
              <w:t>45,171</w:t>
            </w:r>
          </w:p>
        </w:tc>
        <w:tc>
          <w:tcPr>
            <w:tcW w:w="10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49,987</w:t>
            </w:r>
          </w:p>
        </w:tc>
        <w:tc>
          <w:tcPr>
            <w:tcW w:w="14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10.7%</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Medical Assistance insurance</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auto"/>
                <w:w w:val="95"/>
              </w:rPr>
              <w:t>-3.2%</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9"/>
              </w:rPr>
              <w:t>-4.1%</w:t>
            </w:r>
          </w:p>
        </w:tc>
        <w:tc>
          <w:tcPr>
            <w:tcW w:w="9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7"/>
              </w:rPr>
              <w:t>-15.6%</w:t>
            </w:r>
          </w:p>
        </w:tc>
        <w:tc>
          <w:tcPr>
            <w:tcW w:w="0" w:type="dxa"/>
            <w:vAlign w:val="bottom"/>
          </w:tcPr>
          <w:p>
            <w:pPr>
              <w:spacing w:after="0"/>
              <w:rPr>
                <w:sz w:val="1"/>
                <w:szCs w:val="1"/>
                <w:color w:val="auto"/>
              </w:rPr>
            </w:pPr>
          </w:p>
        </w:tc>
      </w:tr>
      <w:tr>
        <w:trPr>
          <w:trHeight w:val="151"/>
        </w:trPr>
        <w:tc>
          <w:tcPr>
            <w:tcW w:w="3060" w:type="dxa"/>
            <w:vAlign w:val="bottom"/>
            <w:tcBorders>
              <w:left w:val="single" w:sz="8" w:color="auto"/>
              <w:right w:val="single" w:sz="8" w:color="auto"/>
            </w:tcBorders>
            <w:vMerge w:val="restart"/>
          </w:tcPr>
          <w:p>
            <w:pPr>
              <w:ind w:left="140"/>
              <w:spacing w:after="0" w:line="214" w:lineRule="exact"/>
              <w:rPr>
                <w:sz w:val="20"/>
                <w:szCs w:val="20"/>
                <w:color w:val="auto"/>
              </w:rPr>
            </w:pPr>
            <w:r>
              <w:rPr>
                <w:rFonts w:ascii="Arial" w:cs="Arial" w:eastAsia="Arial" w:hAnsi="Arial"/>
                <w:sz w:val="20"/>
                <w:szCs w:val="20"/>
                <w:color w:val="auto"/>
              </w:rPr>
              <w:t>deduction</w:t>
            </w:r>
          </w:p>
        </w:tc>
        <w:tc>
          <w:tcPr>
            <w:tcW w:w="92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6"/>
              </w:rPr>
              <w:t>(10,426)</w:t>
            </w:r>
          </w:p>
        </w:tc>
        <w:tc>
          <w:tcPr>
            <w:tcW w:w="96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9"/>
              </w:rPr>
              <w:t>(10,329)</w:t>
            </w:r>
          </w:p>
        </w:tc>
        <w:tc>
          <w:tcPr>
            <w:tcW w:w="94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7"/>
              </w:rPr>
              <w:t>(9,999)</w:t>
            </w:r>
          </w:p>
        </w:tc>
        <w:tc>
          <w:tcPr>
            <w:tcW w:w="940" w:type="dxa"/>
            <w:vAlign w:val="bottom"/>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980" w:type="dxa"/>
            <w:vAlign w:val="bottom"/>
            <w:vMerge w:val="restart"/>
          </w:tcPr>
          <w:p>
            <w:pPr>
              <w:jc w:val="center"/>
              <w:spacing w:after="0" w:line="214" w:lineRule="exact"/>
              <w:rPr>
                <w:sz w:val="20"/>
                <w:szCs w:val="20"/>
                <w:color w:val="auto"/>
              </w:rPr>
            </w:pPr>
            <w:r>
              <w:rPr>
                <w:rFonts w:ascii="Arial" w:cs="Arial" w:eastAsia="Arial" w:hAnsi="Arial"/>
                <w:sz w:val="20"/>
                <w:szCs w:val="20"/>
                <w:color w:val="auto"/>
                <w:w w:val="96"/>
              </w:rPr>
              <w:t>(33,211)</w:t>
            </w:r>
          </w:p>
        </w:tc>
        <w:tc>
          <w:tcPr>
            <w:tcW w:w="104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9"/>
              </w:rPr>
              <w:t>(28,019)</w:t>
            </w:r>
          </w:p>
        </w:tc>
        <w:tc>
          <w:tcPr>
            <w:tcW w:w="1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306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980" w:type="dxa"/>
            <w:vAlign w:val="bottom"/>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Income tax</w:t>
            </w:r>
          </w:p>
        </w:tc>
        <w:tc>
          <w:tcPr>
            <w:tcW w:w="920" w:type="dxa"/>
            <w:vAlign w:val="bottom"/>
          </w:tcPr>
          <w:p>
            <w:pPr>
              <w:jc w:val="center"/>
              <w:spacing w:after="0"/>
              <w:rPr>
                <w:sz w:val="20"/>
                <w:szCs w:val="20"/>
                <w:color w:val="auto"/>
              </w:rPr>
            </w:pPr>
            <w:r>
              <w:rPr>
                <w:rFonts w:ascii="Arial" w:cs="Arial" w:eastAsia="Arial" w:hAnsi="Arial"/>
                <w:sz w:val="20"/>
                <w:szCs w:val="20"/>
                <w:color w:val="auto"/>
                <w:w w:val="98"/>
              </w:rPr>
              <w:t>(333)</w:t>
            </w:r>
          </w:p>
        </w:tc>
        <w:tc>
          <w:tcPr>
            <w:tcW w:w="960" w:type="dxa"/>
            <w:vAlign w:val="bottom"/>
          </w:tcPr>
          <w:p>
            <w:pPr>
              <w:jc w:val="center"/>
              <w:spacing w:after="0"/>
              <w:rPr>
                <w:sz w:val="20"/>
                <w:szCs w:val="20"/>
                <w:color w:val="auto"/>
              </w:rPr>
            </w:pPr>
            <w:r>
              <w:rPr>
                <w:rFonts w:ascii="Arial" w:cs="Arial" w:eastAsia="Arial" w:hAnsi="Arial"/>
                <w:sz w:val="20"/>
                <w:szCs w:val="20"/>
                <w:color w:val="auto"/>
                <w:w w:val="97"/>
              </w:rPr>
              <w:t>(3,510)</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(3,028)</w:t>
            </w:r>
          </w:p>
        </w:tc>
        <w:tc>
          <w:tcPr>
            <w:tcW w:w="940" w:type="dxa"/>
            <w:vAlign w:val="bottom"/>
          </w:tcPr>
          <w:p>
            <w:pPr>
              <w:jc w:val="center"/>
              <w:spacing w:after="0"/>
              <w:rPr>
                <w:sz w:val="20"/>
                <w:szCs w:val="20"/>
                <w:color w:val="auto"/>
              </w:rPr>
            </w:pPr>
            <w:r>
              <w:rPr>
                <w:rFonts w:ascii="Arial" w:cs="Arial" w:eastAsia="Arial" w:hAnsi="Arial"/>
                <w:sz w:val="20"/>
                <w:szCs w:val="20"/>
                <w:color w:val="auto"/>
                <w:w w:val="97"/>
              </w:rPr>
              <w:t>-13.7%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N/A</w:t>
            </w:r>
          </w:p>
        </w:tc>
        <w:tc>
          <w:tcPr>
            <w:tcW w:w="980" w:type="dxa"/>
            <w:vAlign w:val="bottom"/>
          </w:tcPr>
          <w:p>
            <w:pPr>
              <w:jc w:val="center"/>
              <w:spacing w:after="0"/>
              <w:rPr>
                <w:sz w:val="20"/>
                <w:szCs w:val="20"/>
                <w:color w:val="auto"/>
              </w:rPr>
            </w:pPr>
            <w:r>
              <w:rPr>
                <w:rFonts w:ascii="Arial" w:cs="Arial" w:eastAsia="Arial" w:hAnsi="Arial"/>
                <w:sz w:val="20"/>
                <w:szCs w:val="20"/>
                <w:color w:val="auto"/>
                <w:w w:val="97"/>
              </w:rPr>
              <w:t>(3,761)</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(9,222)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145.2%</w:t>
            </w:r>
          </w:p>
        </w:tc>
        <w:tc>
          <w:tcPr>
            <w:tcW w:w="0" w:type="dxa"/>
            <w:vAlign w:val="bottom"/>
          </w:tcPr>
          <w:p>
            <w:pPr>
              <w:spacing w:after="0"/>
              <w:rPr>
                <w:sz w:val="1"/>
                <w:szCs w:val="1"/>
                <w:color w:val="auto"/>
              </w:rPr>
            </w:pPr>
          </w:p>
        </w:tc>
      </w:tr>
      <w:tr>
        <w:trPr>
          <w:trHeight w:val="358"/>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Income before minority interest</w:t>
            </w:r>
          </w:p>
        </w:tc>
        <w:tc>
          <w:tcPr>
            <w:tcW w:w="920" w:type="dxa"/>
            <w:vAlign w:val="bottom"/>
          </w:tcPr>
          <w:p>
            <w:pPr>
              <w:jc w:val="center"/>
              <w:spacing w:after="0"/>
              <w:rPr>
                <w:sz w:val="20"/>
                <w:szCs w:val="20"/>
                <w:color w:val="auto"/>
              </w:rPr>
            </w:pPr>
            <w:r>
              <w:rPr>
                <w:rFonts w:ascii="Arial" w:cs="Arial" w:eastAsia="Arial" w:hAnsi="Arial"/>
                <w:sz w:val="20"/>
                <w:szCs w:val="20"/>
                <w:b w:val="1"/>
                <w:bCs w:val="1"/>
                <w:color w:val="auto"/>
                <w:w w:val="98"/>
              </w:rPr>
              <w:t>63,773</w:t>
            </w:r>
          </w:p>
        </w:tc>
        <w:tc>
          <w:tcPr>
            <w:tcW w:w="960" w:type="dxa"/>
            <w:vAlign w:val="bottom"/>
          </w:tcPr>
          <w:p>
            <w:pPr>
              <w:jc w:val="center"/>
              <w:spacing w:after="0"/>
              <w:rPr>
                <w:sz w:val="20"/>
                <w:szCs w:val="20"/>
                <w:color w:val="auto"/>
              </w:rPr>
            </w:pPr>
            <w:r>
              <w:rPr>
                <w:rFonts w:ascii="Arial" w:cs="Arial" w:eastAsia="Arial" w:hAnsi="Arial"/>
                <w:sz w:val="20"/>
                <w:szCs w:val="20"/>
                <w:b w:val="1"/>
                <w:bCs w:val="1"/>
                <w:color w:val="auto"/>
                <w:w w:val="96"/>
              </w:rPr>
              <w:t>101,063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159,402</w:t>
            </w:r>
          </w:p>
        </w:tc>
        <w:tc>
          <w:tcPr>
            <w:tcW w:w="940" w:type="dxa"/>
            <w:vAlign w:val="bottom"/>
          </w:tcPr>
          <w:p>
            <w:pPr>
              <w:jc w:val="center"/>
              <w:spacing w:after="0"/>
              <w:rPr>
                <w:sz w:val="20"/>
                <w:szCs w:val="20"/>
                <w:color w:val="auto"/>
              </w:rPr>
            </w:pPr>
            <w:r>
              <w:rPr>
                <w:rFonts w:ascii="Arial" w:cs="Arial" w:eastAsia="Arial" w:hAnsi="Arial"/>
                <w:sz w:val="20"/>
                <w:szCs w:val="20"/>
                <w:b w:val="1"/>
                <w:bCs w:val="1"/>
                <w:color w:val="auto"/>
                <w:w w:val="98"/>
              </w:rPr>
              <w:t>57.7%</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150.0%</w:t>
            </w:r>
          </w:p>
        </w:tc>
        <w:tc>
          <w:tcPr>
            <w:tcW w:w="980" w:type="dxa"/>
            <w:vAlign w:val="bottom"/>
          </w:tcPr>
          <w:p>
            <w:pPr>
              <w:jc w:val="center"/>
              <w:spacing w:after="0"/>
              <w:rPr>
                <w:sz w:val="20"/>
                <w:szCs w:val="20"/>
                <w:color w:val="auto"/>
              </w:rPr>
            </w:pPr>
            <w:r>
              <w:rPr>
                <w:rFonts w:ascii="Arial" w:cs="Arial" w:eastAsia="Arial" w:hAnsi="Arial"/>
                <w:sz w:val="20"/>
                <w:szCs w:val="20"/>
                <w:b w:val="1"/>
                <w:bCs w:val="1"/>
                <w:color w:val="auto"/>
                <w:w w:val="98"/>
              </w:rPr>
              <w:t>(192,812)</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332,759</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w:t>
            </w:r>
          </w:p>
        </w:tc>
        <w:tc>
          <w:tcPr>
            <w:tcW w:w="0" w:type="dxa"/>
            <w:vAlign w:val="bottom"/>
          </w:tcPr>
          <w:p>
            <w:pPr>
              <w:spacing w:after="0"/>
              <w:rPr>
                <w:sz w:val="1"/>
                <w:szCs w:val="1"/>
                <w:color w:val="auto"/>
              </w:rPr>
            </w:pPr>
          </w:p>
        </w:tc>
      </w:tr>
      <w:tr>
        <w:trPr>
          <w:trHeight w:val="258"/>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Non-controlling interest</w:t>
            </w:r>
          </w:p>
        </w:tc>
        <w:tc>
          <w:tcPr>
            <w:tcW w:w="920" w:type="dxa"/>
            <w:vAlign w:val="bottom"/>
          </w:tcPr>
          <w:p>
            <w:pPr>
              <w:jc w:val="center"/>
              <w:spacing w:after="0"/>
              <w:rPr>
                <w:sz w:val="20"/>
                <w:szCs w:val="20"/>
                <w:color w:val="auto"/>
              </w:rPr>
            </w:pPr>
            <w:r>
              <w:rPr>
                <w:rFonts w:ascii="Arial" w:cs="Arial" w:eastAsia="Arial" w:hAnsi="Arial"/>
                <w:sz w:val="20"/>
                <w:szCs w:val="20"/>
                <w:color w:val="auto"/>
                <w:w w:val="97"/>
              </w:rPr>
              <w:t>(1,245)</w:t>
            </w:r>
          </w:p>
        </w:tc>
        <w:tc>
          <w:tcPr>
            <w:tcW w:w="960" w:type="dxa"/>
            <w:vAlign w:val="bottom"/>
          </w:tcPr>
          <w:p>
            <w:pPr>
              <w:jc w:val="center"/>
              <w:spacing w:after="0"/>
              <w:rPr>
                <w:sz w:val="20"/>
                <w:szCs w:val="20"/>
                <w:color w:val="auto"/>
              </w:rPr>
            </w:pPr>
            <w:r>
              <w:rPr>
                <w:rFonts w:ascii="Arial" w:cs="Arial" w:eastAsia="Arial" w:hAnsi="Arial"/>
                <w:sz w:val="20"/>
                <w:szCs w:val="20"/>
                <w:color w:val="auto"/>
                <w:w w:val="97"/>
              </w:rPr>
              <w:t>(1,763)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(1,431)</w:t>
            </w:r>
          </w:p>
        </w:tc>
        <w:tc>
          <w:tcPr>
            <w:tcW w:w="940" w:type="dxa"/>
            <w:vAlign w:val="bottom"/>
          </w:tcPr>
          <w:p>
            <w:pPr>
              <w:jc w:val="center"/>
              <w:spacing w:after="0"/>
              <w:rPr>
                <w:sz w:val="20"/>
                <w:szCs w:val="20"/>
                <w:color w:val="auto"/>
              </w:rPr>
            </w:pPr>
            <w:r>
              <w:rPr>
                <w:rFonts w:ascii="Arial" w:cs="Arial" w:eastAsia="Arial" w:hAnsi="Arial"/>
                <w:sz w:val="20"/>
                <w:szCs w:val="20"/>
                <w:color w:val="auto"/>
                <w:w w:val="97"/>
              </w:rPr>
              <w:t>-18.8%</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14.9%</w:t>
            </w:r>
          </w:p>
        </w:tc>
        <w:tc>
          <w:tcPr>
            <w:tcW w:w="980" w:type="dxa"/>
            <w:vAlign w:val="bottom"/>
          </w:tcPr>
          <w:p>
            <w:pPr>
              <w:jc w:val="center"/>
              <w:spacing w:after="0"/>
              <w:rPr>
                <w:sz w:val="20"/>
                <w:szCs w:val="20"/>
                <w:color w:val="auto"/>
              </w:rPr>
            </w:pPr>
            <w:r>
              <w:rPr>
                <w:rFonts w:ascii="Arial" w:cs="Arial" w:eastAsia="Arial" w:hAnsi="Arial"/>
                <w:sz w:val="20"/>
                <w:szCs w:val="20"/>
                <w:color w:val="auto"/>
                <w:w w:val="97"/>
              </w:rPr>
              <w:t>(3,633)</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7"/>
              </w:rPr>
              <w:t>(4,542)</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25.0%</w:t>
            </w:r>
          </w:p>
        </w:tc>
        <w:tc>
          <w:tcPr>
            <w:tcW w:w="0" w:type="dxa"/>
            <w:vAlign w:val="bottom"/>
          </w:tcPr>
          <w:p>
            <w:pPr>
              <w:spacing w:after="0"/>
              <w:rPr>
                <w:sz w:val="1"/>
                <w:szCs w:val="1"/>
                <w:color w:val="auto"/>
              </w:rPr>
            </w:pPr>
          </w:p>
        </w:tc>
      </w:tr>
      <w:tr>
        <w:trPr>
          <w:trHeight w:val="387"/>
        </w:trPr>
        <w:tc>
          <w:tcPr>
            <w:tcW w:w="30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Net income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62,529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99,300</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157,972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59.1%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152.6%</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(196,445)</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6"/>
              </w:rPr>
              <w:t>328,217</w:t>
            </w:r>
          </w:p>
        </w:tc>
        <w:tc>
          <w:tcPr>
            <w:tcW w:w="1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n.a.</w:t>
            </w:r>
          </w:p>
        </w:tc>
        <w:tc>
          <w:tcPr>
            <w:tcW w:w="0" w:type="dxa"/>
            <w:vAlign w:val="bottom"/>
          </w:tcPr>
          <w:p>
            <w:pPr>
              <w:spacing w:after="0"/>
              <w:rPr>
                <w:sz w:val="1"/>
                <w:szCs w:val="1"/>
                <w:color w:val="auto"/>
              </w:rPr>
            </w:pPr>
          </w:p>
        </w:tc>
      </w:tr>
      <w:tr>
        <w:trPr>
          <w:trHeight w:val="194"/>
        </w:trPr>
        <w:tc>
          <w:tcPr>
            <w:tcW w:w="3060" w:type="dxa"/>
            <w:vAlign w:val="bottom"/>
            <w:tcBorders>
              <w:left w:val="single" w:sz="8" w:color="auto"/>
              <w:bottom w:val="single" w:sz="8" w:color="auto"/>
              <w:right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06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20"/>
                <w:szCs w:val="20"/>
                <w:b w:val="1"/>
                <w:bCs w:val="1"/>
                <w:color w:val="auto"/>
              </w:rPr>
              <w:t>Ratios</w:t>
            </w:r>
          </w:p>
        </w:tc>
        <w:tc>
          <w:tcPr>
            <w:tcW w:w="9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60" w:type="dxa"/>
            <w:vAlign w:val="bottom"/>
            <w:tcBorders>
              <w:left w:val="single" w:sz="8" w:color="auto"/>
              <w:right w:val="single" w:sz="8" w:color="auto"/>
            </w:tcBorders>
          </w:tcPr>
          <w:p>
            <w:pPr>
              <w:ind w:left="20"/>
              <w:spacing w:after="0" w:line="206" w:lineRule="exact"/>
              <w:rPr>
                <w:sz w:val="20"/>
                <w:szCs w:val="20"/>
                <w:color w:val="auto"/>
              </w:rPr>
            </w:pPr>
            <w:r>
              <w:rPr>
                <w:rFonts w:ascii="Arial" w:cs="Arial" w:eastAsia="Arial" w:hAnsi="Arial"/>
                <w:sz w:val="20"/>
                <w:szCs w:val="20"/>
                <w:color w:val="auto"/>
              </w:rPr>
              <w:t>Ceded</w:t>
            </w:r>
          </w:p>
        </w:tc>
        <w:tc>
          <w:tcPr>
            <w:tcW w:w="920" w:type="dxa"/>
            <w:vAlign w:val="bottom"/>
          </w:tcPr>
          <w:p>
            <w:pPr>
              <w:jc w:val="center"/>
              <w:ind w:left="102"/>
              <w:spacing w:after="0" w:line="206" w:lineRule="exact"/>
              <w:rPr>
                <w:sz w:val="20"/>
                <w:szCs w:val="20"/>
                <w:color w:val="auto"/>
              </w:rPr>
            </w:pPr>
            <w:r>
              <w:rPr>
                <w:rFonts w:ascii="Arial" w:cs="Arial" w:eastAsia="Arial" w:hAnsi="Arial"/>
                <w:sz w:val="20"/>
                <w:szCs w:val="20"/>
                <w:color w:val="auto"/>
                <w:w w:val="98"/>
              </w:rPr>
              <w:t>16.8%</w:t>
            </w:r>
          </w:p>
        </w:tc>
        <w:tc>
          <w:tcPr>
            <w:tcW w:w="960" w:type="dxa"/>
            <w:vAlign w:val="bottom"/>
          </w:tcPr>
          <w:p>
            <w:pPr>
              <w:jc w:val="center"/>
              <w:ind w:left="82"/>
              <w:spacing w:after="0" w:line="206" w:lineRule="exact"/>
              <w:rPr>
                <w:sz w:val="20"/>
                <w:szCs w:val="20"/>
                <w:color w:val="auto"/>
              </w:rPr>
            </w:pPr>
            <w:r>
              <w:rPr>
                <w:rFonts w:ascii="Arial" w:cs="Arial" w:eastAsia="Arial" w:hAnsi="Arial"/>
                <w:sz w:val="20"/>
                <w:szCs w:val="20"/>
                <w:color w:val="auto"/>
                <w:w w:val="95"/>
              </w:rPr>
              <w:t>14.2%</w:t>
            </w:r>
          </w:p>
        </w:tc>
        <w:tc>
          <w:tcPr>
            <w:tcW w:w="940" w:type="dxa"/>
            <w:vAlign w:val="bottom"/>
            <w:tcBorders>
              <w:right w:val="single" w:sz="8" w:color="auto"/>
            </w:tcBorders>
          </w:tcPr>
          <w:p>
            <w:pPr>
              <w:jc w:val="center"/>
              <w:ind w:left="42"/>
              <w:spacing w:after="0" w:line="206" w:lineRule="exact"/>
              <w:rPr>
                <w:sz w:val="20"/>
                <w:szCs w:val="20"/>
                <w:color w:val="auto"/>
              </w:rPr>
            </w:pPr>
            <w:r>
              <w:rPr>
                <w:rFonts w:ascii="Arial" w:cs="Arial" w:eastAsia="Arial" w:hAnsi="Arial"/>
                <w:sz w:val="20"/>
                <w:szCs w:val="20"/>
                <w:color w:val="auto"/>
                <w:w w:val="98"/>
              </w:rPr>
              <w:t>15.4%</w:t>
            </w:r>
          </w:p>
        </w:tc>
        <w:tc>
          <w:tcPr>
            <w:tcW w:w="940" w:type="dxa"/>
            <w:vAlign w:val="bottom"/>
          </w:tcPr>
          <w:p>
            <w:pPr>
              <w:jc w:val="center"/>
              <w:spacing w:after="0" w:line="206" w:lineRule="exact"/>
              <w:rPr>
                <w:sz w:val="20"/>
                <w:szCs w:val="20"/>
                <w:color w:val="auto"/>
              </w:rPr>
            </w:pPr>
            <w:r>
              <w:rPr>
                <w:rFonts w:ascii="Arial" w:cs="Arial" w:eastAsia="Arial" w:hAnsi="Arial"/>
                <w:sz w:val="20"/>
                <w:szCs w:val="20"/>
                <w:color w:val="auto"/>
                <w:w w:val="98"/>
              </w:rPr>
              <w:t>120 bps</w:t>
            </w:r>
          </w:p>
        </w:tc>
        <w:tc>
          <w:tcPr>
            <w:tcW w:w="100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7"/>
              </w:rPr>
              <w:t>-140 bps</w:t>
            </w:r>
          </w:p>
        </w:tc>
        <w:tc>
          <w:tcPr>
            <w:tcW w:w="980" w:type="dxa"/>
            <w:vAlign w:val="bottom"/>
          </w:tcPr>
          <w:p>
            <w:pPr>
              <w:jc w:val="center"/>
              <w:ind w:left="82"/>
              <w:spacing w:after="0" w:line="206" w:lineRule="exact"/>
              <w:rPr>
                <w:sz w:val="20"/>
                <w:szCs w:val="20"/>
                <w:color w:val="auto"/>
              </w:rPr>
            </w:pPr>
            <w:r>
              <w:rPr>
                <w:rFonts w:ascii="Arial" w:cs="Arial" w:eastAsia="Arial" w:hAnsi="Arial"/>
                <w:sz w:val="20"/>
                <w:szCs w:val="20"/>
                <w:color w:val="auto"/>
                <w:w w:val="98"/>
              </w:rPr>
              <w:t>16.9%</w:t>
            </w:r>
          </w:p>
        </w:tc>
        <w:tc>
          <w:tcPr>
            <w:tcW w:w="1040" w:type="dxa"/>
            <w:vAlign w:val="bottom"/>
            <w:tcBorders>
              <w:right w:val="single" w:sz="8" w:color="auto"/>
            </w:tcBorders>
          </w:tcPr>
          <w:p>
            <w:pPr>
              <w:jc w:val="center"/>
              <w:ind w:left="62"/>
              <w:spacing w:after="0" w:line="206" w:lineRule="exact"/>
              <w:rPr>
                <w:sz w:val="20"/>
                <w:szCs w:val="20"/>
                <w:color w:val="auto"/>
              </w:rPr>
            </w:pPr>
            <w:r>
              <w:rPr>
                <w:rFonts w:ascii="Arial" w:cs="Arial" w:eastAsia="Arial" w:hAnsi="Arial"/>
                <w:sz w:val="20"/>
                <w:szCs w:val="20"/>
                <w:color w:val="auto"/>
                <w:w w:val="98"/>
              </w:rPr>
              <w:t>17.2%</w:t>
            </w:r>
          </w:p>
        </w:tc>
        <w:tc>
          <w:tcPr>
            <w:tcW w:w="140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6"/>
              </w:rPr>
              <w:t>30 bps</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right w:val="single" w:sz="8" w:color="auto"/>
            </w:tcBorders>
          </w:tcPr>
          <w:p>
            <w:pPr>
              <w:ind w:left="20"/>
              <w:spacing w:after="0" w:line="223" w:lineRule="exact"/>
              <w:rPr>
                <w:sz w:val="20"/>
                <w:szCs w:val="20"/>
                <w:color w:val="auto"/>
              </w:rPr>
            </w:pPr>
            <w:r>
              <w:rPr>
                <w:rFonts w:ascii="Arial" w:cs="Arial" w:eastAsia="Arial" w:hAnsi="Arial"/>
                <w:sz w:val="16"/>
                <w:szCs w:val="16"/>
                <w:color w:val="auto"/>
              </w:rPr>
              <w:t xml:space="preserve">Loss ratio </w:t>
            </w:r>
            <w:r>
              <w:rPr>
                <w:rFonts w:ascii="Arial" w:cs="Arial" w:eastAsia="Arial" w:hAnsi="Arial"/>
                <w:sz w:val="25"/>
                <w:szCs w:val="25"/>
                <w:color w:val="auto"/>
                <w:vertAlign w:val="superscript"/>
              </w:rPr>
              <w:t>(1)</w:t>
            </w:r>
          </w:p>
        </w:tc>
        <w:tc>
          <w:tcPr>
            <w:tcW w:w="920" w:type="dxa"/>
            <w:vAlign w:val="bottom"/>
          </w:tcPr>
          <w:p>
            <w:pPr>
              <w:jc w:val="center"/>
              <w:ind w:left="102"/>
              <w:spacing w:after="0" w:line="223" w:lineRule="exact"/>
              <w:rPr>
                <w:sz w:val="20"/>
                <w:szCs w:val="20"/>
                <w:color w:val="auto"/>
              </w:rPr>
            </w:pPr>
            <w:r>
              <w:rPr>
                <w:rFonts w:ascii="Arial" w:cs="Arial" w:eastAsia="Arial" w:hAnsi="Arial"/>
                <w:sz w:val="20"/>
                <w:szCs w:val="20"/>
                <w:color w:val="auto"/>
              </w:rPr>
              <w:t>-76.5%</w:t>
            </w:r>
          </w:p>
        </w:tc>
        <w:tc>
          <w:tcPr>
            <w:tcW w:w="960" w:type="dxa"/>
            <w:vAlign w:val="bottom"/>
          </w:tcPr>
          <w:p>
            <w:pPr>
              <w:jc w:val="center"/>
              <w:ind w:left="82"/>
              <w:spacing w:after="0" w:line="223" w:lineRule="exact"/>
              <w:rPr>
                <w:sz w:val="20"/>
                <w:szCs w:val="20"/>
                <w:color w:val="auto"/>
              </w:rPr>
            </w:pPr>
            <w:r>
              <w:rPr>
                <w:rFonts w:ascii="Arial" w:cs="Arial" w:eastAsia="Arial" w:hAnsi="Arial"/>
                <w:sz w:val="20"/>
                <w:szCs w:val="20"/>
                <w:color w:val="auto"/>
                <w:w w:val="97"/>
              </w:rPr>
              <w:t>-70.5%</w:t>
            </w:r>
          </w:p>
        </w:tc>
        <w:tc>
          <w:tcPr>
            <w:tcW w:w="940" w:type="dxa"/>
            <w:vAlign w:val="bottom"/>
            <w:tcBorders>
              <w:right w:val="single" w:sz="8" w:color="auto"/>
            </w:tcBorders>
          </w:tcPr>
          <w:p>
            <w:pPr>
              <w:jc w:val="center"/>
              <w:ind w:left="62"/>
              <w:spacing w:after="0" w:line="223" w:lineRule="exact"/>
              <w:rPr>
                <w:sz w:val="20"/>
                <w:szCs w:val="20"/>
                <w:color w:val="auto"/>
              </w:rPr>
            </w:pPr>
            <w:r>
              <w:rPr>
                <w:rFonts w:ascii="Arial" w:cs="Arial" w:eastAsia="Arial" w:hAnsi="Arial"/>
                <w:sz w:val="20"/>
                <w:szCs w:val="20"/>
                <w:color w:val="auto"/>
                <w:w w:val="97"/>
              </w:rPr>
              <w:t>-63.5%</w:t>
            </w:r>
          </w:p>
        </w:tc>
        <w:tc>
          <w:tcPr>
            <w:tcW w:w="940" w:type="dxa"/>
            <w:vAlign w:val="bottom"/>
          </w:tcPr>
          <w:p>
            <w:pPr>
              <w:jc w:val="center"/>
              <w:spacing w:after="0" w:line="223" w:lineRule="exact"/>
              <w:rPr>
                <w:sz w:val="20"/>
                <w:szCs w:val="20"/>
                <w:color w:val="auto"/>
              </w:rPr>
            </w:pPr>
            <w:r>
              <w:rPr>
                <w:rFonts w:ascii="Arial" w:cs="Arial" w:eastAsia="Arial" w:hAnsi="Arial"/>
                <w:sz w:val="20"/>
                <w:szCs w:val="20"/>
                <w:color w:val="auto"/>
                <w:w w:val="98"/>
              </w:rPr>
              <w:t>700 bps</w:t>
            </w:r>
          </w:p>
        </w:tc>
        <w:tc>
          <w:tcPr>
            <w:tcW w:w="100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7"/>
              </w:rPr>
              <w:t>1300 bps</w:t>
            </w:r>
          </w:p>
        </w:tc>
        <w:tc>
          <w:tcPr>
            <w:tcW w:w="980" w:type="dxa"/>
            <w:vAlign w:val="bottom"/>
          </w:tcPr>
          <w:p>
            <w:pPr>
              <w:jc w:val="center"/>
              <w:ind w:left="82"/>
              <w:spacing w:after="0" w:line="223" w:lineRule="exact"/>
              <w:rPr>
                <w:sz w:val="20"/>
                <w:szCs w:val="20"/>
                <w:color w:val="auto"/>
              </w:rPr>
            </w:pPr>
            <w:r>
              <w:rPr>
                <w:rFonts w:ascii="Arial" w:cs="Arial" w:eastAsia="Arial" w:hAnsi="Arial"/>
                <w:sz w:val="20"/>
                <w:szCs w:val="20"/>
                <w:color w:val="auto"/>
              </w:rPr>
              <w:t>-93.1%</w:t>
            </w:r>
          </w:p>
        </w:tc>
        <w:tc>
          <w:tcPr>
            <w:tcW w:w="1040" w:type="dxa"/>
            <w:vAlign w:val="bottom"/>
            <w:tcBorders>
              <w:right w:val="single" w:sz="8" w:color="auto"/>
            </w:tcBorders>
          </w:tcPr>
          <w:p>
            <w:pPr>
              <w:jc w:val="center"/>
              <w:ind w:left="82"/>
              <w:spacing w:after="0" w:line="223" w:lineRule="exact"/>
              <w:rPr>
                <w:sz w:val="20"/>
                <w:szCs w:val="20"/>
                <w:color w:val="auto"/>
              </w:rPr>
            </w:pPr>
            <w:r>
              <w:rPr>
                <w:rFonts w:ascii="Arial" w:cs="Arial" w:eastAsia="Arial" w:hAnsi="Arial"/>
                <w:sz w:val="20"/>
                <w:szCs w:val="20"/>
                <w:color w:val="auto"/>
                <w:w w:val="97"/>
              </w:rPr>
              <w:t>-67.6%</w:t>
            </w:r>
          </w:p>
        </w:tc>
        <w:tc>
          <w:tcPr>
            <w:tcW w:w="140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7"/>
              </w:rPr>
              <w:t>2550 bps</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w w:val="97"/>
              </w:rPr>
              <w:t>Fees + underwriting expenses, net</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auto"/>
                <w:w w:val="96"/>
              </w:rPr>
              <w:t>20 bps</w:t>
            </w:r>
          </w:p>
        </w:tc>
        <w:tc>
          <w:tcPr>
            <w:tcW w:w="100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140 bps</w:t>
            </w:r>
          </w:p>
        </w:tc>
        <w:tc>
          <w:tcPr>
            <w:tcW w:w="0" w:type="dxa"/>
            <w:vAlign w:val="bottom"/>
          </w:tcPr>
          <w:p>
            <w:pPr>
              <w:spacing w:after="0"/>
              <w:rPr>
                <w:sz w:val="1"/>
                <w:szCs w:val="1"/>
                <w:color w:val="auto"/>
              </w:rPr>
            </w:pPr>
          </w:p>
        </w:tc>
      </w:tr>
      <w:tr>
        <w:trPr>
          <w:trHeight w:val="151"/>
        </w:trPr>
        <w:tc>
          <w:tcPr>
            <w:tcW w:w="3060" w:type="dxa"/>
            <w:vAlign w:val="bottom"/>
            <w:tcBorders>
              <w:left w:val="single" w:sz="8" w:color="auto"/>
              <w:right w:val="single" w:sz="8" w:color="auto"/>
            </w:tcBorders>
            <w:vMerge w:val="restart"/>
          </w:tcPr>
          <w:p>
            <w:pPr>
              <w:ind w:left="140"/>
              <w:spacing w:after="0" w:line="214" w:lineRule="exact"/>
              <w:rPr>
                <w:sz w:val="20"/>
                <w:szCs w:val="20"/>
                <w:color w:val="auto"/>
              </w:rPr>
            </w:pPr>
            <w:r>
              <w:rPr>
                <w:rFonts w:ascii="Arial" w:cs="Arial" w:eastAsia="Arial" w:hAnsi="Arial"/>
                <w:sz w:val="20"/>
                <w:szCs w:val="20"/>
                <w:color w:val="auto"/>
              </w:rPr>
              <w:t>/ net earned premiums</w:t>
            </w:r>
          </w:p>
        </w:tc>
        <w:tc>
          <w:tcPr>
            <w:tcW w:w="920" w:type="dxa"/>
            <w:vAlign w:val="bottom"/>
            <w:vMerge w:val="restart"/>
          </w:tcPr>
          <w:p>
            <w:pPr>
              <w:jc w:val="center"/>
              <w:ind w:left="102"/>
              <w:spacing w:after="0" w:line="214" w:lineRule="exact"/>
              <w:rPr>
                <w:sz w:val="20"/>
                <w:szCs w:val="20"/>
                <w:color w:val="auto"/>
              </w:rPr>
            </w:pPr>
            <w:r>
              <w:rPr>
                <w:rFonts w:ascii="Arial" w:cs="Arial" w:eastAsia="Arial" w:hAnsi="Arial"/>
                <w:sz w:val="20"/>
                <w:szCs w:val="20"/>
                <w:color w:val="auto"/>
              </w:rPr>
              <w:t>-27.4%</w:t>
            </w:r>
          </w:p>
        </w:tc>
        <w:tc>
          <w:tcPr>
            <w:tcW w:w="960" w:type="dxa"/>
            <w:vAlign w:val="bottom"/>
            <w:vMerge w:val="restart"/>
          </w:tcPr>
          <w:p>
            <w:pPr>
              <w:jc w:val="center"/>
              <w:ind w:left="82"/>
              <w:spacing w:after="0" w:line="214" w:lineRule="exact"/>
              <w:rPr>
                <w:sz w:val="20"/>
                <w:szCs w:val="20"/>
                <w:color w:val="auto"/>
              </w:rPr>
            </w:pPr>
            <w:r>
              <w:rPr>
                <w:rFonts w:ascii="Arial" w:cs="Arial" w:eastAsia="Arial" w:hAnsi="Arial"/>
                <w:sz w:val="20"/>
                <w:szCs w:val="20"/>
                <w:color w:val="auto"/>
                <w:w w:val="97"/>
              </w:rPr>
              <w:t>-25.7%</w:t>
            </w:r>
          </w:p>
        </w:tc>
        <w:tc>
          <w:tcPr>
            <w:tcW w:w="940" w:type="dxa"/>
            <w:vAlign w:val="bottom"/>
            <w:tcBorders>
              <w:right w:val="single" w:sz="8" w:color="auto"/>
            </w:tcBorders>
            <w:vMerge w:val="restart"/>
          </w:tcPr>
          <w:p>
            <w:pPr>
              <w:jc w:val="center"/>
              <w:ind w:left="62"/>
              <w:spacing w:after="0" w:line="214" w:lineRule="exact"/>
              <w:rPr>
                <w:sz w:val="20"/>
                <w:szCs w:val="20"/>
                <w:color w:val="auto"/>
              </w:rPr>
            </w:pPr>
            <w:r>
              <w:rPr>
                <w:rFonts w:ascii="Arial" w:cs="Arial" w:eastAsia="Arial" w:hAnsi="Arial"/>
                <w:sz w:val="20"/>
                <w:szCs w:val="20"/>
                <w:color w:val="auto"/>
                <w:w w:val="97"/>
              </w:rPr>
              <w:t>-25.5%</w:t>
            </w:r>
          </w:p>
        </w:tc>
        <w:tc>
          <w:tcPr>
            <w:tcW w:w="940" w:type="dxa"/>
            <w:vAlign w:val="bottom"/>
            <w:vMerge w:val="continue"/>
          </w:tcPr>
          <w:p>
            <w:pPr>
              <w:spacing w:after="0"/>
              <w:rPr>
                <w:sz w:val="13"/>
                <w:szCs w:val="13"/>
                <w:color w:val="auto"/>
              </w:rPr>
            </w:pPr>
          </w:p>
        </w:tc>
        <w:tc>
          <w:tcPr>
            <w:tcW w:w="1000" w:type="dxa"/>
            <w:vAlign w:val="bottom"/>
            <w:tcBorders>
              <w:right w:val="single" w:sz="8" w:color="auto"/>
            </w:tcBorders>
            <w:vMerge w:val="restart"/>
          </w:tcPr>
          <w:p>
            <w:pPr>
              <w:jc w:val="center"/>
              <w:spacing w:after="0" w:line="214" w:lineRule="exact"/>
              <w:rPr>
                <w:sz w:val="20"/>
                <w:szCs w:val="20"/>
                <w:color w:val="auto"/>
              </w:rPr>
            </w:pPr>
            <w:r>
              <w:rPr>
                <w:rFonts w:ascii="Arial" w:cs="Arial" w:eastAsia="Arial" w:hAnsi="Arial"/>
                <w:sz w:val="20"/>
                <w:szCs w:val="20"/>
                <w:color w:val="auto"/>
                <w:w w:val="98"/>
              </w:rPr>
              <w:t>190 bps</w:t>
            </w:r>
          </w:p>
        </w:tc>
        <w:tc>
          <w:tcPr>
            <w:tcW w:w="980" w:type="dxa"/>
            <w:vAlign w:val="bottom"/>
            <w:vMerge w:val="restart"/>
          </w:tcPr>
          <w:p>
            <w:pPr>
              <w:jc w:val="center"/>
              <w:ind w:left="82"/>
              <w:spacing w:after="0" w:line="214" w:lineRule="exact"/>
              <w:rPr>
                <w:sz w:val="20"/>
                <w:szCs w:val="20"/>
                <w:color w:val="auto"/>
              </w:rPr>
            </w:pPr>
            <w:r>
              <w:rPr>
                <w:rFonts w:ascii="Arial" w:cs="Arial" w:eastAsia="Arial" w:hAnsi="Arial"/>
                <w:sz w:val="20"/>
                <w:szCs w:val="20"/>
                <w:color w:val="auto"/>
              </w:rPr>
              <w:t>-27.1%</w:t>
            </w:r>
          </w:p>
        </w:tc>
        <w:tc>
          <w:tcPr>
            <w:tcW w:w="1040" w:type="dxa"/>
            <w:vAlign w:val="bottom"/>
            <w:tcBorders>
              <w:right w:val="single" w:sz="8" w:color="auto"/>
            </w:tcBorders>
            <w:vMerge w:val="restart"/>
          </w:tcPr>
          <w:p>
            <w:pPr>
              <w:jc w:val="center"/>
              <w:ind w:left="82"/>
              <w:spacing w:after="0" w:line="214" w:lineRule="exact"/>
              <w:rPr>
                <w:sz w:val="20"/>
                <w:szCs w:val="20"/>
                <w:color w:val="auto"/>
              </w:rPr>
            </w:pPr>
            <w:r>
              <w:rPr>
                <w:rFonts w:ascii="Arial" w:cs="Arial" w:eastAsia="Arial" w:hAnsi="Arial"/>
                <w:sz w:val="20"/>
                <w:szCs w:val="20"/>
                <w:color w:val="auto"/>
                <w:w w:val="97"/>
              </w:rPr>
              <w:t>-25.7%</w:t>
            </w:r>
          </w:p>
        </w:tc>
        <w:tc>
          <w:tcPr>
            <w:tcW w:w="1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4"/>
        </w:trPr>
        <w:tc>
          <w:tcPr>
            <w:tcW w:w="3060" w:type="dxa"/>
            <w:vAlign w:val="bottom"/>
            <w:tcBorders>
              <w:left w:val="single" w:sz="8" w:color="auto"/>
              <w:right w:val="single" w:sz="8" w:color="auto"/>
            </w:tcBorders>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940" w:type="dxa"/>
            <w:vAlign w:val="bottom"/>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040" w:type="dxa"/>
            <w:vAlign w:val="bottom"/>
            <w:tcBorders>
              <w:right w:val="single" w:sz="8" w:color="auto"/>
            </w:tcBorders>
            <w:vMerge w:val="continue"/>
          </w:tcPr>
          <w:p>
            <w:pPr>
              <w:spacing w:after="0"/>
              <w:rPr>
                <w:sz w:val="5"/>
                <w:szCs w:val="5"/>
                <w:color w:val="auto"/>
              </w:rPr>
            </w:pPr>
          </w:p>
        </w:tc>
        <w:tc>
          <w:tcPr>
            <w:tcW w:w="1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Operating expenses / net earned</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40" w:type="dxa"/>
            <w:vAlign w:val="bottom"/>
            <w:vMerge w:val="restart"/>
          </w:tcPr>
          <w:p>
            <w:pPr>
              <w:jc w:val="center"/>
              <w:spacing w:after="0"/>
              <w:rPr>
                <w:sz w:val="20"/>
                <w:szCs w:val="20"/>
                <w:color w:val="auto"/>
              </w:rPr>
            </w:pPr>
            <w:r>
              <w:rPr>
                <w:rFonts w:ascii="Arial" w:cs="Arial" w:eastAsia="Arial" w:hAnsi="Arial"/>
                <w:sz w:val="20"/>
                <w:szCs w:val="20"/>
                <w:color w:val="auto"/>
                <w:w w:val="96"/>
              </w:rPr>
              <w:t>60 bps</w:t>
            </w:r>
          </w:p>
        </w:tc>
        <w:tc>
          <w:tcPr>
            <w:tcW w:w="1000" w:type="dxa"/>
            <w:vAlign w:val="bottom"/>
            <w:tcBorders>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8"/>
              </w:rPr>
              <w:t>-60 bps</w:t>
            </w:r>
          </w:p>
        </w:tc>
        <w:tc>
          <w:tcPr>
            <w:tcW w:w="0" w:type="dxa"/>
            <w:vAlign w:val="bottom"/>
          </w:tcPr>
          <w:p>
            <w:pPr>
              <w:spacing w:after="0"/>
              <w:rPr>
                <w:sz w:val="1"/>
                <w:szCs w:val="1"/>
                <w:color w:val="auto"/>
              </w:rPr>
            </w:pPr>
          </w:p>
        </w:tc>
      </w:tr>
      <w:tr>
        <w:trPr>
          <w:trHeight w:val="151"/>
        </w:trPr>
        <w:tc>
          <w:tcPr>
            <w:tcW w:w="3060" w:type="dxa"/>
            <w:vAlign w:val="bottom"/>
            <w:tcBorders>
              <w:left w:val="single" w:sz="8" w:color="auto"/>
              <w:right w:val="single" w:sz="8" w:color="auto"/>
            </w:tcBorders>
            <w:vMerge w:val="restart"/>
          </w:tcPr>
          <w:p>
            <w:pPr>
              <w:ind w:left="140"/>
              <w:spacing w:after="0" w:line="206" w:lineRule="exact"/>
              <w:rPr>
                <w:sz w:val="20"/>
                <w:szCs w:val="20"/>
                <w:color w:val="auto"/>
              </w:rPr>
            </w:pPr>
            <w:r>
              <w:rPr>
                <w:rFonts w:ascii="Arial" w:cs="Arial" w:eastAsia="Arial" w:hAnsi="Arial"/>
                <w:sz w:val="20"/>
                <w:szCs w:val="20"/>
                <w:color w:val="auto"/>
              </w:rPr>
              <w:t>premiums</w:t>
            </w:r>
          </w:p>
        </w:tc>
        <w:tc>
          <w:tcPr>
            <w:tcW w:w="2820" w:type="dxa"/>
            <w:vAlign w:val="bottom"/>
            <w:tcBorders>
              <w:right w:val="single" w:sz="8" w:color="auto"/>
            </w:tcBorders>
            <w:gridSpan w:val="3"/>
            <w:vMerge w:val="restart"/>
          </w:tcPr>
          <w:p>
            <w:pPr>
              <w:jc w:val="center"/>
              <w:ind w:left="62"/>
              <w:spacing w:after="0" w:line="206" w:lineRule="exact"/>
              <w:rPr>
                <w:sz w:val="20"/>
                <w:szCs w:val="20"/>
                <w:color w:val="auto"/>
              </w:rPr>
            </w:pPr>
            <w:r>
              <w:rPr>
                <w:rFonts w:ascii="Arial" w:cs="Arial" w:eastAsia="Arial" w:hAnsi="Arial"/>
                <w:sz w:val="20"/>
                <w:szCs w:val="20"/>
                <w:color w:val="auto"/>
              </w:rPr>
              <w:t>-16.4%   -17.0%   -16.4%</w:t>
            </w:r>
          </w:p>
        </w:tc>
        <w:tc>
          <w:tcPr>
            <w:tcW w:w="940" w:type="dxa"/>
            <w:vAlign w:val="bottom"/>
            <w:vMerge w:val="continue"/>
          </w:tcPr>
          <w:p>
            <w:pPr>
              <w:spacing w:after="0"/>
              <w:rPr>
                <w:sz w:val="13"/>
                <w:szCs w:val="13"/>
                <w:color w:val="auto"/>
              </w:rPr>
            </w:pPr>
          </w:p>
        </w:tc>
        <w:tc>
          <w:tcPr>
            <w:tcW w:w="1000" w:type="dxa"/>
            <w:vAlign w:val="bottom"/>
            <w:tcBorders>
              <w:right w:val="single" w:sz="8" w:color="auto"/>
            </w:tcBorders>
            <w:vMerge w:val="restart"/>
          </w:tcPr>
          <w:p>
            <w:pPr>
              <w:jc w:val="center"/>
              <w:spacing w:after="0" w:line="206" w:lineRule="exact"/>
              <w:rPr>
                <w:sz w:val="20"/>
                <w:szCs w:val="20"/>
                <w:color w:val="auto"/>
              </w:rPr>
            </w:pPr>
            <w:r>
              <w:rPr>
                <w:rFonts w:ascii="Arial" w:cs="Arial" w:eastAsia="Arial" w:hAnsi="Arial"/>
                <w:sz w:val="20"/>
                <w:szCs w:val="20"/>
                <w:color w:val="auto"/>
                <w:w w:val="98"/>
              </w:rPr>
              <w:t>0 bps</w:t>
            </w:r>
          </w:p>
        </w:tc>
        <w:tc>
          <w:tcPr>
            <w:tcW w:w="980" w:type="dxa"/>
            <w:vAlign w:val="bottom"/>
            <w:vMerge w:val="restart"/>
          </w:tcPr>
          <w:p>
            <w:pPr>
              <w:jc w:val="center"/>
              <w:ind w:left="82"/>
              <w:spacing w:after="0" w:line="206" w:lineRule="exact"/>
              <w:rPr>
                <w:sz w:val="20"/>
                <w:szCs w:val="20"/>
                <w:color w:val="auto"/>
              </w:rPr>
            </w:pPr>
            <w:r>
              <w:rPr>
                <w:rFonts w:ascii="Arial" w:cs="Arial" w:eastAsia="Arial" w:hAnsi="Arial"/>
                <w:sz w:val="20"/>
                <w:szCs w:val="20"/>
                <w:color w:val="auto"/>
              </w:rPr>
              <w:t>-16.4%</w:t>
            </w:r>
          </w:p>
        </w:tc>
        <w:tc>
          <w:tcPr>
            <w:tcW w:w="1040" w:type="dxa"/>
            <w:vAlign w:val="bottom"/>
            <w:tcBorders>
              <w:right w:val="single" w:sz="8" w:color="auto"/>
            </w:tcBorders>
            <w:vMerge w:val="restart"/>
          </w:tcPr>
          <w:p>
            <w:pPr>
              <w:jc w:val="center"/>
              <w:ind w:left="82"/>
              <w:spacing w:after="0" w:line="206" w:lineRule="exact"/>
              <w:rPr>
                <w:sz w:val="20"/>
                <w:szCs w:val="20"/>
                <w:color w:val="auto"/>
              </w:rPr>
            </w:pPr>
            <w:r>
              <w:rPr>
                <w:rFonts w:ascii="Arial" w:cs="Arial" w:eastAsia="Arial" w:hAnsi="Arial"/>
                <w:sz w:val="20"/>
                <w:szCs w:val="20"/>
                <w:color w:val="auto"/>
                <w:w w:val="97"/>
              </w:rPr>
              <w:t>-17.0%</w:t>
            </w:r>
          </w:p>
        </w:tc>
        <w:tc>
          <w:tcPr>
            <w:tcW w:w="14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3060" w:type="dxa"/>
            <w:vAlign w:val="bottom"/>
            <w:tcBorders>
              <w:left w:val="single" w:sz="8" w:color="auto"/>
              <w:right w:val="single" w:sz="8" w:color="auto"/>
            </w:tcBorders>
            <w:vMerge w:val="continue"/>
          </w:tcPr>
          <w:p>
            <w:pPr>
              <w:spacing w:after="0"/>
              <w:rPr>
                <w:sz w:val="4"/>
                <w:szCs w:val="4"/>
                <w:color w:val="auto"/>
              </w:rPr>
            </w:pPr>
          </w:p>
        </w:tc>
        <w:tc>
          <w:tcPr>
            <w:tcW w:w="2820" w:type="dxa"/>
            <w:vAlign w:val="bottom"/>
            <w:tcBorders>
              <w:right w:val="single" w:sz="8" w:color="auto"/>
            </w:tcBorders>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40" w:type="dxa"/>
            <w:vAlign w:val="bottom"/>
            <w:tcBorders>
              <w:right w:val="single" w:sz="8" w:color="auto"/>
            </w:tcBorders>
            <w:vMerge w:val="continue"/>
          </w:tcPr>
          <w:p>
            <w:pPr>
              <w:spacing w:after="0"/>
              <w:rPr>
                <w:sz w:val="4"/>
                <w:szCs w:val="4"/>
                <w:color w:val="auto"/>
              </w:rPr>
            </w:pPr>
          </w:p>
        </w:tc>
        <w:tc>
          <w:tcPr>
            <w:tcW w:w="14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right w:val="single" w:sz="8" w:color="auto"/>
            </w:tcBorders>
          </w:tcPr>
          <w:p>
            <w:pPr>
              <w:ind w:left="20"/>
              <w:spacing w:after="0" w:line="223" w:lineRule="exact"/>
              <w:rPr>
                <w:sz w:val="20"/>
                <w:szCs w:val="20"/>
                <w:color w:val="auto"/>
              </w:rPr>
            </w:pPr>
            <w:r>
              <w:rPr>
                <w:rFonts w:ascii="Arial" w:cs="Arial" w:eastAsia="Arial" w:hAnsi="Arial"/>
                <w:sz w:val="25"/>
                <w:szCs w:val="25"/>
                <w:color w:val="auto"/>
                <w:vertAlign w:val="subscript"/>
              </w:rPr>
              <w:t>ROAE</w:t>
            </w:r>
            <w:r>
              <w:rPr>
                <w:rFonts w:ascii="Arial" w:cs="Arial" w:eastAsia="Arial" w:hAnsi="Arial"/>
                <w:sz w:val="13"/>
                <w:szCs w:val="13"/>
                <w:color w:val="auto"/>
              </w:rPr>
              <w:t xml:space="preserve"> (2)(3)</w:t>
            </w:r>
          </w:p>
        </w:tc>
        <w:tc>
          <w:tcPr>
            <w:tcW w:w="920" w:type="dxa"/>
            <w:vAlign w:val="bottom"/>
          </w:tcPr>
          <w:p>
            <w:pPr>
              <w:jc w:val="center"/>
              <w:ind w:left="102"/>
              <w:spacing w:after="0" w:line="223" w:lineRule="exact"/>
              <w:rPr>
                <w:sz w:val="20"/>
                <w:szCs w:val="20"/>
                <w:color w:val="auto"/>
              </w:rPr>
            </w:pPr>
            <w:r>
              <w:rPr>
                <w:rFonts w:ascii="Arial" w:cs="Arial" w:eastAsia="Arial" w:hAnsi="Arial"/>
                <w:sz w:val="20"/>
                <w:szCs w:val="20"/>
                <w:color w:val="auto"/>
                <w:w w:val="98"/>
              </w:rPr>
              <w:t>12.6%</w:t>
            </w:r>
          </w:p>
        </w:tc>
        <w:tc>
          <w:tcPr>
            <w:tcW w:w="960" w:type="dxa"/>
            <w:vAlign w:val="bottom"/>
          </w:tcPr>
          <w:p>
            <w:pPr>
              <w:jc w:val="center"/>
              <w:ind w:left="82"/>
              <w:spacing w:after="0" w:line="223" w:lineRule="exact"/>
              <w:rPr>
                <w:sz w:val="20"/>
                <w:szCs w:val="20"/>
                <w:color w:val="auto"/>
              </w:rPr>
            </w:pPr>
            <w:r>
              <w:rPr>
                <w:rFonts w:ascii="Arial" w:cs="Arial" w:eastAsia="Arial" w:hAnsi="Arial"/>
                <w:sz w:val="20"/>
                <w:szCs w:val="20"/>
                <w:color w:val="auto"/>
                <w:w w:val="95"/>
              </w:rPr>
              <w:t>18.6%</w:t>
            </w:r>
          </w:p>
        </w:tc>
        <w:tc>
          <w:tcPr>
            <w:tcW w:w="940" w:type="dxa"/>
            <w:vAlign w:val="bottom"/>
            <w:tcBorders>
              <w:right w:val="single" w:sz="8" w:color="auto"/>
            </w:tcBorders>
          </w:tcPr>
          <w:p>
            <w:pPr>
              <w:jc w:val="center"/>
              <w:ind w:left="42"/>
              <w:spacing w:after="0" w:line="223" w:lineRule="exact"/>
              <w:rPr>
                <w:sz w:val="20"/>
                <w:szCs w:val="20"/>
                <w:color w:val="auto"/>
              </w:rPr>
            </w:pPr>
            <w:r>
              <w:rPr>
                <w:rFonts w:ascii="Arial" w:cs="Arial" w:eastAsia="Arial" w:hAnsi="Arial"/>
                <w:sz w:val="20"/>
                <w:szCs w:val="20"/>
                <w:color w:val="auto"/>
                <w:w w:val="98"/>
              </w:rPr>
              <w:t>30.1%</w:t>
            </w:r>
          </w:p>
        </w:tc>
        <w:tc>
          <w:tcPr>
            <w:tcW w:w="940" w:type="dxa"/>
            <w:vAlign w:val="bottom"/>
          </w:tcPr>
          <w:p>
            <w:pPr>
              <w:jc w:val="center"/>
              <w:spacing w:after="0" w:line="223" w:lineRule="exact"/>
              <w:rPr>
                <w:sz w:val="20"/>
                <w:szCs w:val="20"/>
                <w:color w:val="auto"/>
              </w:rPr>
            </w:pPr>
            <w:r>
              <w:rPr>
                <w:rFonts w:ascii="Arial" w:cs="Arial" w:eastAsia="Arial" w:hAnsi="Arial"/>
                <w:sz w:val="20"/>
                <w:szCs w:val="20"/>
                <w:color w:val="auto"/>
                <w:w w:val="94"/>
              </w:rPr>
              <w:t>1150 bps</w:t>
            </w:r>
          </w:p>
        </w:tc>
        <w:tc>
          <w:tcPr>
            <w:tcW w:w="100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7"/>
              </w:rPr>
              <w:t>1750 bps</w:t>
            </w:r>
          </w:p>
        </w:tc>
        <w:tc>
          <w:tcPr>
            <w:tcW w:w="980" w:type="dxa"/>
            <w:vAlign w:val="bottom"/>
          </w:tcPr>
          <w:p>
            <w:pPr>
              <w:jc w:val="center"/>
              <w:ind w:left="82"/>
              <w:spacing w:after="0" w:line="223" w:lineRule="exact"/>
              <w:rPr>
                <w:sz w:val="20"/>
                <w:szCs w:val="20"/>
                <w:color w:val="auto"/>
              </w:rPr>
            </w:pPr>
            <w:r>
              <w:rPr>
                <w:rFonts w:ascii="Arial" w:cs="Arial" w:eastAsia="Arial" w:hAnsi="Arial"/>
                <w:sz w:val="20"/>
                <w:szCs w:val="20"/>
                <w:color w:val="auto"/>
              </w:rPr>
              <w:t>-20.1%</w:t>
            </w:r>
          </w:p>
        </w:tc>
        <w:tc>
          <w:tcPr>
            <w:tcW w:w="1040" w:type="dxa"/>
            <w:vAlign w:val="bottom"/>
            <w:tcBorders>
              <w:right w:val="single" w:sz="8" w:color="auto"/>
            </w:tcBorders>
          </w:tcPr>
          <w:p>
            <w:pPr>
              <w:jc w:val="center"/>
              <w:ind w:left="62"/>
              <w:spacing w:after="0" w:line="223" w:lineRule="exact"/>
              <w:rPr>
                <w:sz w:val="20"/>
                <w:szCs w:val="20"/>
                <w:color w:val="auto"/>
              </w:rPr>
            </w:pPr>
            <w:r>
              <w:rPr>
                <w:rFonts w:ascii="Arial" w:cs="Arial" w:eastAsia="Arial" w:hAnsi="Arial"/>
                <w:sz w:val="20"/>
                <w:szCs w:val="20"/>
                <w:color w:val="auto"/>
                <w:w w:val="98"/>
              </w:rPr>
              <w:t>16.5%</w:t>
            </w:r>
          </w:p>
        </w:tc>
        <w:tc>
          <w:tcPr>
            <w:tcW w:w="1400" w:type="dxa"/>
            <w:vAlign w:val="bottom"/>
            <w:tcBorders>
              <w:right w:val="single" w:sz="8" w:color="auto"/>
            </w:tcBorders>
          </w:tcPr>
          <w:p>
            <w:pPr>
              <w:jc w:val="center"/>
              <w:spacing w:after="0" w:line="223" w:lineRule="exact"/>
              <w:rPr>
                <w:sz w:val="20"/>
                <w:szCs w:val="20"/>
                <w:color w:val="auto"/>
              </w:rPr>
            </w:pPr>
            <w:r>
              <w:rPr>
                <w:rFonts w:ascii="Arial" w:cs="Arial" w:eastAsia="Arial" w:hAnsi="Arial"/>
                <w:sz w:val="20"/>
                <w:szCs w:val="20"/>
                <w:color w:val="auto"/>
                <w:w w:val="97"/>
              </w:rPr>
              <w:t>3660 bps</w:t>
            </w:r>
          </w:p>
        </w:tc>
        <w:tc>
          <w:tcPr>
            <w:tcW w:w="0" w:type="dxa"/>
            <w:vAlign w:val="bottom"/>
          </w:tcPr>
          <w:p>
            <w:pPr>
              <w:spacing w:after="0"/>
              <w:rPr>
                <w:sz w:val="1"/>
                <w:szCs w:val="1"/>
                <w:color w:val="auto"/>
              </w:rPr>
            </w:pPr>
          </w:p>
        </w:tc>
      </w:tr>
      <w:tr>
        <w:trPr>
          <w:trHeight w:val="206"/>
        </w:trPr>
        <w:tc>
          <w:tcPr>
            <w:tcW w:w="3060" w:type="dxa"/>
            <w:vAlign w:val="bottom"/>
            <w:tcBorders>
              <w:left w:val="single" w:sz="8" w:color="auto"/>
              <w:right w:val="single" w:sz="8" w:color="auto"/>
            </w:tcBorders>
          </w:tcPr>
          <w:p>
            <w:pPr>
              <w:ind w:left="20"/>
              <w:spacing w:after="0" w:line="206" w:lineRule="exact"/>
              <w:rPr>
                <w:sz w:val="20"/>
                <w:szCs w:val="20"/>
                <w:color w:val="auto"/>
              </w:rPr>
            </w:pPr>
            <w:r>
              <w:rPr>
                <w:rFonts w:ascii="Arial" w:cs="Arial" w:eastAsia="Arial" w:hAnsi="Arial"/>
                <w:sz w:val="20"/>
                <w:szCs w:val="20"/>
                <w:color w:val="auto"/>
              </w:rPr>
              <w:t>Return on written premiums</w:t>
            </w:r>
          </w:p>
        </w:tc>
        <w:tc>
          <w:tcPr>
            <w:tcW w:w="920" w:type="dxa"/>
            <w:vAlign w:val="bottom"/>
          </w:tcPr>
          <w:p>
            <w:pPr>
              <w:jc w:val="center"/>
              <w:ind w:left="102"/>
              <w:spacing w:after="0" w:line="206" w:lineRule="exact"/>
              <w:rPr>
                <w:sz w:val="20"/>
                <w:szCs w:val="20"/>
                <w:color w:val="auto"/>
              </w:rPr>
            </w:pPr>
            <w:r>
              <w:rPr>
                <w:rFonts w:ascii="Arial" w:cs="Arial" w:eastAsia="Arial" w:hAnsi="Arial"/>
                <w:sz w:val="20"/>
                <w:szCs w:val="20"/>
                <w:color w:val="auto"/>
                <w:w w:val="96"/>
              </w:rPr>
              <w:t>5.6%</w:t>
            </w:r>
          </w:p>
        </w:tc>
        <w:tc>
          <w:tcPr>
            <w:tcW w:w="960" w:type="dxa"/>
            <w:vAlign w:val="bottom"/>
          </w:tcPr>
          <w:p>
            <w:pPr>
              <w:jc w:val="center"/>
              <w:ind w:left="82"/>
              <w:spacing w:after="0" w:line="206" w:lineRule="exact"/>
              <w:rPr>
                <w:sz w:val="20"/>
                <w:szCs w:val="20"/>
                <w:color w:val="auto"/>
              </w:rPr>
            </w:pPr>
            <w:r>
              <w:rPr>
                <w:rFonts w:ascii="Arial" w:cs="Arial" w:eastAsia="Arial" w:hAnsi="Arial"/>
                <w:sz w:val="20"/>
                <w:szCs w:val="20"/>
                <w:color w:val="auto"/>
              </w:rPr>
              <w:t>9.7%</w:t>
            </w:r>
          </w:p>
        </w:tc>
        <w:tc>
          <w:tcPr>
            <w:tcW w:w="940" w:type="dxa"/>
            <w:vAlign w:val="bottom"/>
            <w:tcBorders>
              <w:right w:val="single" w:sz="8" w:color="auto"/>
            </w:tcBorders>
          </w:tcPr>
          <w:p>
            <w:pPr>
              <w:jc w:val="center"/>
              <w:ind w:left="42"/>
              <w:spacing w:after="0" w:line="206" w:lineRule="exact"/>
              <w:rPr>
                <w:sz w:val="20"/>
                <w:szCs w:val="20"/>
                <w:color w:val="auto"/>
              </w:rPr>
            </w:pPr>
            <w:r>
              <w:rPr>
                <w:rFonts w:ascii="Arial" w:cs="Arial" w:eastAsia="Arial" w:hAnsi="Arial"/>
                <w:sz w:val="20"/>
                <w:szCs w:val="20"/>
                <w:color w:val="auto"/>
                <w:w w:val="98"/>
              </w:rPr>
              <w:t>14.3%</w:t>
            </w:r>
          </w:p>
        </w:tc>
        <w:tc>
          <w:tcPr>
            <w:tcW w:w="940" w:type="dxa"/>
            <w:vAlign w:val="bottom"/>
          </w:tcPr>
          <w:p>
            <w:pPr>
              <w:jc w:val="center"/>
              <w:spacing w:after="0" w:line="206" w:lineRule="exact"/>
              <w:rPr>
                <w:sz w:val="20"/>
                <w:szCs w:val="20"/>
                <w:color w:val="auto"/>
              </w:rPr>
            </w:pPr>
            <w:r>
              <w:rPr>
                <w:rFonts w:ascii="Arial" w:cs="Arial" w:eastAsia="Arial" w:hAnsi="Arial"/>
                <w:sz w:val="20"/>
                <w:szCs w:val="20"/>
                <w:color w:val="auto"/>
                <w:w w:val="98"/>
              </w:rPr>
              <w:t>460 bps</w:t>
            </w:r>
          </w:p>
        </w:tc>
        <w:tc>
          <w:tcPr>
            <w:tcW w:w="100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8"/>
              </w:rPr>
              <w:t>870 bps</w:t>
            </w:r>
          </w:p>
        </w:tc>
        <w:tc>
          <w:tcPr>
            <w:tcW w:w="980" w:type="dxa"/>
            <w:vAlign w:val="bottom"/>
          </w:tcPr>
          <w:p>
            <w:pPr>
              <w:jc w:val="center"/>
              <w:ind w:left="82"/>
              <w:spacing w:after="0" w:line="206" w:lineRule="exact"/>
              <w:rPr>
                <w:sz w:val="20"/>
                <w:szCs w:val="20"/>
                <w:color w:val="auto"/>
              </w:rPr>
            </w:pPr>
            <w:r>
              <w:rPr>
                <w:rFonts w:ascii="Arial" w:cs="Arial" w:eastAsia="Arial" w:hAnsi="Arial"/>
                <w:sz w:val="20"/>
                <w:szCs w:val="20"/>
                <w:color w:val="auto"/>
              </w:rPr>
              <w:t>-10.5%</w:t>
            </w:r>
          </w:p>
        </w:tc>
        <w:tc>
          <w:tcPr>
            <w:tcW w:w="1040" w:type="dxa"/>
            <w:vAlign w:val="bottom"/>
            <w:tcBorders>
              <w:right w:val="single" w:sz="8" w:color="auto"/>
            </w:tcBorders>
          </w:tcPr>
          <w:p>
            <w:pPr>
              <w:jc w:val="center"/>
              <w:ind w:left="62"/>
              <w:spacing w:after="0" w:line="206" w:lineRule="exact"/>
              <w:rPr>
                <w:sz w:val="20"/>
                <w:szCs w:val="20"/>
                <w:color w:val="auto"/>
              </w:rPr>
            </w:pPr>
            <w:r>
              <w:rPr>
                <w:rFonts w:ascii="Arial" w:cs="Arial" w:eastAsia="Arial" w:hAnsi="Arial"/>
                <w:sz w:val="20"/>
                <w:szCs w:val="20"/>
                <w:color w:val="auto"/>
                <w:w w:val="98"/>
              </w:rPr>
              <w:t>20.1%</w:t>
            </w:r>
          </w:p>
        </w:tc>
        <w:tc>
          <w:tcPr>
            <w:tcW w:w="140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7"/>
              </w:rPr>
              <w:t>3060 bps</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16"/>
                <w:szCs w:val="16"/>
                <w:color w:val="auto"/>
              </w:rPr>
              <w:t xml:space="preserve">Combined ratio of Life </w:t>
            </w:r>
            <w:r>
              <w:rPr>
                <w:rFonts w:ascii="Arial" w:cs="Arial" w:eastAsia="Arial" w:hAnsi="Arial"/>
                <w:sz w:val="24"/>
                <w:szCs w:val="24"/>
                <w:color w:val="auto"/>
                <w:vertAlign w:val="superscript"/>
              </w:rPr>
              <w:t>(4)</w:t>
            </w:r>
          </w:p>
        </w:tc>
        <w:tc>
          <w:tcPr>
            <w:tcW w:w="920" w:type="dxa"/>
            <w:vAlign w:val="bottom"/>
          </w:tcPr>
          <w:p>
            <w:pPr>
              <w:jc w:val="center"/>
              <w:ind w:left="102"/>
              <w:spacing w:after="0" w:line="214" w:lineRule="exact"/>
              <w:rPr>
                <w:sz w:val="20"/>
                <w:szCs w:val="20"/>
                <w:color w:val="auto"/>
              </w:rPr>
            </w:pPr>
            <w:r>
              <w:rPr>
                <w:rFonts w:ascii="Arial" w:cs="Arial" w:eastAsia="Arial" w:hAnsi="Arial"/>
                <w:sz w:val="20"/>
                <w:szCs w:val="20"/>
                <w:color w:val="auto"/>
                <w:w w:val="98"/>
              </w:rPr>
              <w:t>95.1%</w:t>
            </w:r>
          </w:p>
        </w:tc>
        <w:tc>
          <w:tcPr>
            <w:tcW w:w="960" w:type="dxa"/>
            <w:vAlign w:val="bottom"/>
          </w:tcPr>
          <w:p>
            <w:pPr>
              <w:jc w:val="center"/>
              <w:ind w:left="82"/>
              <w:spacing w:after="0" w:line="214" w:lineRule="exact"/>
              <w:rPr>
                <w:sz w:val="20"/>
                <w:szCs w:val="20"/>
                <w:color w:val="auto"/>
              </w:rPr>
            </w:pPr>
            <w:r>
              <w:rPr>
                <w:rFonts w:ascii="Arial" w:cs="Arial" w:eastAsia="Arial" w:hAnsi="Arial"/>
                <w:sz w:val="20"/>
                <w:szCs w:val="20"/>
                <w:color w:val="auto"/>
                <w:w w:val="95"/>
              </w:rPr>
              <w:t>89.8%</w:t>
            </w:r>
          </w:p>
        </w:tc>
        <w:tc>
          <w:tcPr>
            <w:tcW w:w="940" w:type="dxa"/>
            <w:vAlign w:val="bottom"/>
            <w:tcBorders>
              <w:right w:val="single" w:sz="8" w:color="auto"/>
            </w:tcBorders>
          </w:tcPr>
          <w:p>
            <w:pPr>
              <w:jc w:val="center"/>
              <w:ind w:left="42"/>
              <w:spacing w:after="0" w:line="214" w:lineRule="exact"/>
              <w:rPr>
                <w:sz w:val="20"/>
                <w:szCs w:val="20"/>
                <w:color w:val="auto"/>
              </w:rPr>
            </w:pPr>
            <w:r>
              <w:rPr>
                <w:rFonts w:ascii="Arial" w:cs="Arial" w:eastAsia="Arial" w:hAnsi="Arial"/>
                <w:sz w:val="20"/>
                <w:szCs w:val="20"/>
                <w:color w:val="auto"/>
                <w:w w:val="98"/>
              </w:rPr>
              <w:t>79.6%</w:t>
            </w:r>
          </w:p>
        </w:tc>
        <w:tc>
          <w:tcPr>
            <w:tcW w:w="194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w w:val="99"/>
              </w:rPr>
              <w:t>-1020 bps -1550 bps</w:t>
            </w:r>
          </w:p>
        </w:tc>
        <w:tc>
          <w:tcPr>
            <w:tcW w:w="980" w:type="dxa"/>
            <w:vAlign w:val="bottom"/>
          </w:tcPr>
          <w:p>
            <w:pPr>
              <w:jc w:val="center"/>
              <w:ind w:left="82"/>
              <w:spacing w:after="0" w:line="214" w:lineRule="exact"/>
              <w:rPr>
                <w:sz w:val="20"/>
                <w:szCs w:val="20"/>
                <w:color w:val="auto"/>
              </w:rPr>
            </w:pPr>
            <w:r>
              <w:rPr>
                <w:rFonts w:ascii="Arial" w:cs="Arial" w:eastAsia="Arial" w:hAnsi="Arial"/>
                <w:sz w:val="20"/>
                <w:szCs w:val="20"/>
                <w:color w:val="auto"/>
                <w:w w:val="98"/>
              </w:rPr>
              <w:t>95.1%</w:t>
            </w:r>
          </w:p>
        </w:tc>
        <w:tc>
          <w:tcPr>
            <w:tcW w:w="1040" w:type="dxa"/>
            <w:vAlign w:val="bottom"/>
            <w:tcBorders>
              <w:right w:val="single" w:sz="8" w:color="auto"/>
            </w:tcBorders>
          </w:tcPr>
          <w:p>
            <w:pPr>
              <w:jc w:val="center"/>
              <w:ind w:left="62"/>
              <w:spacing w:after="0" w:line="214" w:lineRule="exact"/>
              <w:rPr>
                <w:sz w:val="20"/>
                <w:szCs w:val="20"/>
                <w:color w:val="auto"/>
              </w:rPr>
            </w:pPr>
            <w:r>
              <w:rPr>
                <w:rFonts w:ascii="Arial" w:cs="Arial" w:eastAsia="Arial" w:hAnsi="Arial"/>
                <w:sz w:val="20"/>
                <w:szCs w:val="20"/>
                <w:color w:val="auto"/>
                <w:w w:val="98"/>
              </w:rPr>
              <w:t>79.6%</w:t>
            </w:r>
          </w:p>
        </w:tc>
        <w:tc>
          <w:tcPr>
            <w:tcW w:w="14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-1550 bps</w:t>
            </w:r>
          </w:p>
        </w:tc>
        <w:tc>
          <w:tcPr>
            <w:tcW w:w="0" w:type="dxa"/>
            <w:vAlign w:val="bottom"/>
          </w:tcPr>
          <w:p>
            <w:pPr>
              <w:spacing w:after="0"/>
              <w:rPr>
                <w:sz w:val="1"/>
                <w:szCs w:val="1"/>
                <w:color w:val="auto"/>
              </w:rPr>
            </w:pPr>
          </w:p>
        </w:tc>
      </w:tr>
      <w:tr>
        <w:trPr>
          <w:trHeight w:val="214"/>
        </w:trPr>
        <w:tc>
          <w:tcPr>
            <w:tcW w:w="306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16"/>
                <w:szCs w:val="16"/>
                <w:color w:val="auto"/>
              </w:rPr>
              <w:t xml:space="preserve">Combined ratio of P&amp;C </w:t>
            </w:r>
            <w:r>
              <w:rPr>
                <w:rFonts w:ascii="Arial" w:cs="Arial" w:eastAsia="Arial" w:hAnsi="Arial"/>
                <w:sz w:val="24"/>
                <w:szCs w:val="24"/>
                <w:color w:val="auto"/>
                <w:vertAlign w:val="superscript"/>
              </w:rPr>
              <w:t>(5)</w:t>
            </w:r>
          </w:p>
        </w:tc>
        <w:tc>
          <w:tcPr>
            <w:tcW w:w="920" w:type="dxa"/>
            <w:vAlign w:val="bottom"/>
          </w:tcPr>
          <w:p>
            <w:pPr>
              <w:jc w:val="center"/>
              <w:ind w:left="102"/>
              <w:spacing w:after="0" w:line="214" w:lineRule="exact"/>
              <w:rPr>
                <w:sz w:val="20"/>
                <w:szCs w:val="20"/>
                <w:color w:val="auto"/>
              </w:rPr>
            </w:pPr>
            <w:r>
              <w:rPr>
                <w:rFonts w:ascii="Arial" w:cs="Arial" w:eastAsia="Arial" w:hAnsi="Arial"/>
                <w:sz w:val="20"/>
                <w:szCs w:val="20"/>
                <w:color w:val="auto"/>
                <w:w w:val="98"/>
              </w:rPr>
              <w:t>94.1%</w:t>
            </w:r>
          </w:p>
        </w:tc>
        <w:tc>
          <w:tcPr>
            <w:tcW w:w="960" w:type="dxa"/>
            <w:vAlign w:val="bottom"/>
          </w:tcPr>
          <w:p>
            <w:pPr>
              <w:jc w:val="center"/>
              <w:ind w:left="82"/>
              <w:spacing w:after="0" w:line="214" w:lineRule="exact"/>
              <w:rPr>
                <w:sz w:val="20"/>
                <w:szCs w:val="20"/>
                <w:color w:val="auto"/>
              </w:rPr>
            </w:pPr>
            <w:r>
              <w:rPr>
                <w:rFonts w:ascii="Arial" w:cs="Arial" w:eastAsia="Arial" w:hAnsi="Arial"/>
                <w:sz w:val="20"/>
                <w:szCs w:val="20"/>
                <w:color w:val="auto"/>
                <w:w w:val="95"/>
              </w:rPr>
              <w:t>89.9%</w:t>
            </w:r>
          </w:p>
        </w:tc>
        <w:tc>
          <w:tcPr>
            <w:tcW w:w="940" w:type="dxa"/>
            <w:vAlign w:val="bottom"/>
            <w:tcBorders>
              <w:right w:val="single" w:sz="8" w:color="auto"/>
            </w:tcBorders>
          </w:tcPr>
          <w:p>
            <w:pPr>
              <w:jc w:val="center"/>
              <w:ind w:left="42"/>
              <w:spacing w:after="0" w:line="214" w:lineRule="exact"/>
              <w:rPr>
                <w:sz w:val="20"/>
                <w:szCs w:val="20"/>
                <w:color w:val="auto"/>
              </w:rPr>
            </w:pPr>
            <w:r>
              <w:rPr>
                <w:rFonts w:ascii="Arial" w:cs="Arial" w:eastAsia="Arial" w:hAnsi="Arial"/>
                <w:sz w:val="20"/>
                <w:szCs w:val="20"/>
                <w:color w:val="auto"/>
                <w:w w:val="98"/>
              </w:rPr>
              <w:t>91.2%</w:t>
            </w:r>
          </w:p>
        </w:tc>
        <w:tc>
          <w:tcPr>
            <w:tcW w:w="940" w:type="dxa"/>
            <w:vAlign w:val="bottom"/>
          </w:tcPr>
          <w:p>
            <w:pPr>
              <w:jc w:val="center"/>
              <w:spacing w:after="0" w:line="214" w:lineRule="exact"/>
              <w:rPr>
                <w:sz w:val="20"/>
                <w:szCs w:val="20"/>
                <w:color w:val="auto"/>
              </w:rPr>
            </w:pPr>
            <w:r>
              <w:rPr>
                <w:rFonts w:ascii="Arial" w:cs="Arial" w:eastAsia="Arial" w:hAnsi="Arial"/>
                <w:sz w:val="20"/>
                <w:szCs w:val="20"/>
                <w:color w:val="auto"/>
                <w:w w:val="98"/>
              </w:rPr>
              <w:t>130 bps</w:t>
            </w:r>
          </w:p>
        </w:tc>
        <w:tc>
          <w:tcPr>
            <w:tcW w:w="10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-290 bps</w:t>
            </w:r>
          </w:p>
        </w:tc>
        <w:tc>
          <w:tcPr>
            <w:tcW w:w="980" w:type="dxa"/>
            <w:vAlign w:val="bottom"/>
          </w:tcPr>
          <w:p>
            <w:pPr>
              <w:jc w:val="center"/>
              <w:ind w:left="82"/>
              <w:spacing w:after="0" w:line="214" w:lineRule="exact"/>
              <w:rPr>
                <w:sz w:val="20"/>
                <w:szCs w:val="20"/>
                <w:color w:val="auto"/>
              </w:rPr>
            </w:pPr>
            <w:r>
              <w:rPr>
                <w:rFonts w:ascii="Arial" w:cs="Arial" w:eastAsia="Arial" w:hAnsi="Arial"/>
                <w:sz w:val="20"/>
                <w:szCs w:val="20"/>
                <w:color w:val="auto"/>
                <w:w w:val="98"/>
              </w:rPr>
              <w:t>94.1%</w:t>
            </w:r>
          </w:p>
        </w:tc>
        <w:tc>
          <w:tcPr>
            <w:tcW w:w="1040" w:type="dxa"/>
            <w:vAlign w:val="bottom"/>
            <w:tcBorders>
              <w:right w:val="single" w:sz="8" w:color="auto"/>
            </w:tcBorders>
          </w:tcPr>
          <w:p>
            <w:pPr>
              <w:jc w:val="center"/>
              <w:ind w:left="62"/>
              <w:spacing w:after="0" w:line="214" w:lineRule="exact"/>
              <w:rPr>
                <w:sz w:val="20"/>
                <w:szCs w:val="20"/>
                <w:color w:val="auto"/>
              </w:rPr>
            </w:pPr>
            <w:r>
              <w:rPr>
                <w:rFonts w:ascii="Arial" w:cs="Arial" w:eastAsia="Arial" w:hAnsi="Arial"/>
                <w:sz w:val="20"/>
                <w:szCs w:val="20"/>
                <w:color w:val="auto"/>
                <w:w w:val="98"/>
              </w:rPr>
              <w:t>91.2%</w:t>
            </w:r>
          </w:p>
        </w:tc>
        <w:tc>
          <w:tcPr>
            <w:tcW w:w="14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-290 bps</w:t>
            </w:r>
          </w:p>
        </w:tc>
        <w:tc>
          <w:tcPr>
            <w:tcW w:w="0" w:type="dxa"/>
            <w:vAlign w:val="bottom"/>
          </w:tcPr>
          <w:p>
            <w:pPr>
              <w:spacing w:after="0"/>
              <w:rPr>
                <w:sz w:val="1"/>
                <w:szCs w:val="1"/>
                <w:color w:val="auto"/>
              </w:rPr>
            </w:pPr>
          </w:p>
        </w:tc>
      </w:tr>
      <w:tr>
        <w:trPr>
          <w:trHeight w:val="251"/>
        </w:trPr>
        <w:tc>
          <w:tcPr>
            <w:tcW w:w="3060" w:type="dxa"/>
            <w:vAlign w:val="bottom"/>
            <w:tcBorders>
              <w:left w:val="single" w:sz="8" w:color="auto"/>
              <w:bottom w:val="single" w:sz="8" w:color="auto"/>
              <w:right w:val="single" w:sz="8" w:color="auto"/>
            </w:tcBorders>
          </w:tcPr>
          <w:p>
            <w:pPr>
              <w:ind w:left="20"/>
              <w:spacing w:after="0" w:line="245" w:lineRule="exact"/>
              <w:rPr>
                <w:sz w:val="20"/>
                <w:szCs w:val="20"/>
                <w:color w:val="auto"/>
              </w:rPr>
            </w:pPr>
            <w:r>
              <w:rPr>
                <w:rFonts w:ascii="Arial" w:cs="Arial" w:eastAsia="Arial" w:hAnsi="Arial"/>
                <w:sz w:val="18"/>
                <w:szCs w:val="18"/>
                <w:color w:val="auto"/>
              </w:rPr>
              <w:t xml:space="preserve">Equity requirement ratio </w:t>
            </w:r>
            <w:r>
              <w:rPr>
                <w:rFonts w:ascii="Arial" w:cs="Arial" w:eastAsia="Arial" w:hAnsi="Arial"/>
                <w:sz w:val="28"/>
                <w:szCs w:val="28"/>
                <w:color w:val="auto"/>
                <w:vertAlign w:val="superscript"/>
              </w:rPr>
              <w:t>(7)</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1.19</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1.18</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1.15</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7"/>
              </w:rPr>
              <w:t>-300 bps</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-450 bps</w:t>
            </w:r>
          </w:p>
        </w:tc>
        <w:tc>
          <w:tcPr>
            <w:tcW w:w="980" w:type="dxa"/>
            <w:vAlign w:val="bottom"/>
            <w:tcBorders>
              <w:bottom w:val="single" w:sz="8" w:color="auto"/>
            </w:tcBorders>
          </w:tcPr>
          <w:p>
            <w:pPr>
              <w:jc w:val="center"/>
              <w:ind w:left="82"/>
              <w:spacing w:after="0"/>
              <w:rPr>
                <w:sz w:val="20"/>
                <w:szCs w:val="20"/>
                <w:color w:val="auto"/>
              </w:rPr>
            </w:pPr>
            <w:r>
              <w:rPr>
                <w:rFonts w:ascii="Arial" w:cs="Arial" w:eastAsia="Arial" w:hAnsi="Arial"/>
                <w:sz w:val="20"/>
                <w:szCs w:val="20"/>
                <w:color w:val="auto"/>
              </w:rPr>
              <w:t>1.19</w:t>
            </w:r>
          </w:p>
        </w:tc>
        <w:tc>
          <w:tcPr>
            <w:tcW w:w="1040" w:type="dxa"/>
            <w:vAlign w:val="bottom"/>
            <w:tcBorders>
              <w:bottom w:val="single" w:sz="8" w:color="auto"/>
              <w:right w:val="single" w:sz="8" w:color="auto"/>
            </w:tcBorders>
          </w:tcPr>
          <w:p>
            <w:pPr>
              <w:jc w:val="center"/>
              <w:ind w:left="82"/>
              <w:spacing w:after="0"/>
              <w:rPr>
                <w:sz w:val="20"/>
                <w:szCs w:val="20"/>
                <w:color w:val="auto"/>
              </w:rPr>
            </w:pPr>
            <w:r>
              <w:rPr>
                <w:rFonts w:ascii="Arial" w:cs="Arial" w:eastAsia="Arial" w:hAnsi="Arial"/>
                <w:sz w:val="20"/>
                <w:szCs w:val="20"/>
                <w:color w:val="auto"/>
                <w:w w:val="97"/>
              </w:rPr>
              <w:t>1.15</w:t>
            </w:r>
          </w:p>
        </w:tc>
        <w:tc>
          <w:tcPr>
            <w:tcW w:w="140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20"/>
                <w:szCs w:val="20"/>
                <w:color w:val="auto"/>
              </w:rPr>
              <w:t>-450 bps</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statements without consolidation adjustments.</w:t>
      </w:r>
    </w:p>
    <w:p>
      <w:pPr>
        <w:spacing w:after="0" w:line="4" w:lineRule="exact"/>
        <w:rPr>
          <w:sz w:val="20"/>
          <w:szCs w:val="20"/>
          <w:color w:val="auto"/>
        </w:rPr>
      </w:pPr>
    </w:p>
    <w:p>
      <w:pPr>
        <w:ind w:left="180" w:hanging="173"/>
        <w:spacing w:after="0"/>
        <w:tabs>
          <w:tab w:leader="none" w:pos="1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Excluding investments in real estate.</w:t>
      </w:r>
    </w:p>
    <w:p>
      <w:pPr>
        <w:ind w:left="180" w:hanging="173"/>
        <w:spacing w:after="0" w:line="232" w:lineRule="auto"/>
        <w:tabs>
          <w:tab w:leader="none" w:pos="1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claims / Net earned premiums.</w:t>
      </w:r>
    </w:p>
    <w:p>
      <w:pPr>
        <w:ind w:left="180" w:hanging="173"/>
        <w:spacing w:after="0" w:line="232" w:lineRule="auto"/>
        <w:tabs>
          <w:tab w:leader="none" w:pos="1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unrealized gains.</w:t>
      </w:r>
    </w:p>
    <w:p>
      <w:pPr>
        <w:ind w:left="180" w:hanging="173"/>
        <w:spacing w:after="0" w:line="232" w:lineRule="auto"/>
        <w:tabs>
          <w:tab w:leader="none" w:pos="1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Annualized and average are determined as the average of period beginning and period ending.</w:t>
      </w:r>
    </w:p>
    <w:p>
      <w:pPr>
        <w:ind w:right="80" w:firstLine="7"/>
        <w:spacing w:after="0" w:line="232" w:lineRule="auto"/>
        <w:tabs>
          <w:tab w:leader="none" w:pos="164"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claims / Net earned premiums) + Reserves / Net earned premiums) + [(Acquisition cost + total expenses) / Net earned premiums] - (Net Financial Income without real state sales, securities sales, impairment loss and fluctuation / Net earned premiums).</w:t>
      </w:r>
    </w:p>
    <w:p>
      <w:pPr>
        <w:spacing w:after="0" w:line="1"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claims / Net earned premiums) + [(Acquisition cost + total expenses) / Net earned premiums].</w:t>
      </w:r>
    </w:p>
    <w:p>
      <w:pPr>
        <w:ind w:left="180" w:hanging="173"/>
        <w:spacing w:after="0"/>
        <w:tabs>
          <w:tab w:leader="none" w:pos="18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Support to cover credit risk, market risk and operational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1Q15 and on, Grupo Pacifico’s financial statements reflect the agreement with Banmedica (in equal parts) of the businesses of:</w:t>
      </w:r>
    </w:p>
    <w:p>
      <w:pPr>
        <w:spacing w:after="0" w:line="19" w:lineRule="exact"/>
        <w:rPr>
          <w:sz w:val="20"/>
          <w:szCs w:val="20"/>
          <w:color w:val="auto"/>
        </w:rPr>
      </w:pPr>
    </w:p>
    <w:p>
      <w:pPr>
        <w:ind w:left="640" w:hanging="312"/>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private health insurance managed by Grupo Pacifico and included in its Financial Statements in each of the accounting lines;</w:t>
      </w:r>
    </w:p>
    <w:p>
      <w:pPr>
        <w:ind w:left="640" w:hanging="312"/>
        <w:spacing w:after="0" w:line="232" w:lineRule="auto"/>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corporate health insurance (dependent workers); and</w:t>
      </w:r>
    </w:p>
    <w:p>
      <w:pPr>
        <w:ind w:left="640" w:hanging="312"/>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medical services.</w:t>
      </w:r>
    </w:p>
    <w:p>
      <w:pPr>
        <w:spacing w:after="0" w:line="21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90" w:lineRule="exact"/>
        <w:rPr>
          <w:sz w:val="20"/>
          <w:szCs w:val="20"/>
          <w:color w:val="auto"/>
        </w:rPr>
      </w:pPr>
    </w:p>
    <w:p>
      <w:pPr>
        <w:ind w:right="880"/>
        <w:spacing w:after="0" w:line="278" w:lineRule="auto"/>
        <w:rPr>
          <w:sz w:val="20"/>
          <w:szCs w:val="20"/>
          <w:color w:val="auto"/>
        </w:rPr>
      </w:pPr>
      <w:r>
        <w:rPr>
          <w:rFonts w:ascii="Times New Roman" w:cs="Times New Roman" w:eastAsia="Times New Roman" w:hAnsi="Times New Roman"/>
          <w:sz w:val="18"/>
          <w:szCs w:val="18"/>
          <w:color w:val="auto"/>
        </w:rPr>
        <w:t>As explained before, corporate health insurance and medical services businesses are consolidated by Banmedica. The following table reflects the consolidated results from which Grupo Pacifico receives the 50% net income.</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69" w:gutter="0" w:footer="0" w:header="0"/>
        </w:sectPr>
      </w:pPr>
    </w:p>
    <w:bookmarkStart w:id="70" w:name="page71"/>
    <w:bookmarkEnd w:id="70"/>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Corporate health insurance and Medical services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 in thousands )</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040" w:type="dxa"/>
            <w:vAlign w:val="bottom"/>
            <w:tcBorders>
              <w:right w:val="single" w:sz="8" w:color="auto"/>
            </w:tcBorders>
          </w:tcPr>
          <w:p>
            <w:pPr>
              <w:spacing w:after="0"/>
              <w:rPr>
                <w:sz w:val="18"/>
                <w:szCs w:val="18"/>
                <w:color w:val="auto"/>
              </w:rPr>
            </w:pPr>
          </w:p>
        </w:tc>
        <w:tc>
          <w:tcPr>
            <w:tcW w:w="960" w:type="dxa"/>
            <w:vAlign w:val="bottom"/>
            <w:tcBorders>
              <w:top w:val="single" w:sz="8" w:color="auto"/>
            </w:tcBorders>
            <w:shd w:val="clear" w:color="auto" w:fill="2AD2C9"/>
          </w:tcPr>
          <w:p>
            <w:pPr>
              <w:spacing w:after="0"/>
              <w:rPr>
                <w:sz w:val="18"/>
                <w:szCs w:val="18"/>
                <w:color w:val="auto"/>
              </w:rPr>
            </w:pPr>
          </w:p>
        </w:tc>
        <w:tc>
          <w:tcPr>
            <w:tcW w:w="980" w:type="dxa"/>
            <w:vAlign w:val="bottom"/>
            <w:tcBorders>
              <w:top w:val="single" w:sz="8" w:color="auto"/>
            </w:tcBorders>
            <w:shd w:val="clear" w:color="auto" w:fill="2AD2C9"/>
          </w:tcPr>
          <w:p>
            <w:pPr>
              <w:ind w:left="160"/>
              <w:spacing w:after="0"/>
              <w:rPr>
                <w:sz w:val="20"/>
                <w:szCs w:val="20"/>
                <w:color w:val="auto"/>
              </w:rPr>
            </w:pPr>
            <w:r>
              <w:rPr>
                <w:rFonts w:ascii="Arial" w:cs="Arial" w:eastAsia="Arial" w:hAnsi="Arial"/>
                <w:sz w:val="18"/>
                <w:szCs w:val="18"/>
                <w:b w:val="1"/>
                <w:bCs w:val="1"/>
                <w:color w:val="FFFFFF"/>
              </w:rPr>
              <w:t>Quarter</w:t>
            </w:r>
          </w:p>
        </w:tc>
        <w:tc>
          <w:tcPr>
            <w:tcW w:w="980" w:type="dxa"/>
            <w:vAlign w:val="bottom"/>
            <w:tcBorders>
              <w:top w:val="single" w:sz="8" w:color="auto"/>
              <w:right w:val="single" w:sz="8" w:color="auto"/>
            </w:tcBorders>
            <w:shd w:val="clear" w:color="auto" w:fill="2AD2C9"/>
          </w:tcPr>
          <w:p>
            <w:pPr>
              <w:spacing w:after="0"/>
              <w:rPr>
                <w:sz w:val="18"/>
                <w:szCs w:val="18"/>
                <w:color w:val="auto"/>
              </w:rPr>
            </w:pPr>
          </w:p>
        </w:tc>
        <w:tc>
          <w:tcPr>
            <w:tcW w:w="1980" w:type="dxa"/>
            <w:vAlign w:val="bottom"/>
            <w:tcBorders>
              <w:top w:val="single" w:sz="8" w:color="auto"/>
              <w:right w:val="single" w:sz="8" w:color="auto"/>
            </w:tcBorders>
            <w:gridSpan w:val="2"/>
            <w:shd w:val="clear" w:color="auto" w:fill="2AD2C9"/>
          </w:tcPr>
          <w:p>
            <w:pPr>
              <w:ind w:left="560"/>
              <w:spacing w:after="0"/>
              <w:rPr>
                <w:sz w:val="20"/>
                <w:szCs w:val="20"/>
                <w:color w:val="auto"/>
              </w:rPr>
            </w:pPr>
            <w:r>
              <w:rPr>
                <w:rFonts w:ascii="Arial" w:cs="Arial" w:eastAsia="Arial" w:hAnsi="Arial"/>
                <w:sz w:val="18"/>
                <w:szCs w:val="18"/>
                <w:b w:val="1"/>
                <w:bCs w:val="1"/>
                <w:color w:val="FFFFFF"/>
              </w:rPr>
              <w:t>% change</w:t>
            </w:r>
          </w:p>
        </w:tc>
        <w:tc>
          <w:tcPr>
            <w:tcW w:w="1960" w:type="dxa"/>
            <w:vAlign w:val="bottom"/>
            <w:tcBorders>
              <w:top w:val="single" w:sz="8" w:color="auto"/>
              <w:right w:val="single" w:sz="8" w:color="auto"/>
            </w:tcBorders>
            <w:gridSpan w:val="2"/>
            <w:shd w:val="clear" w:color="auto" w:fill="2AD2C9"/>
          </w:tcPr>
          <w:p>
            <w:pPr>
              <w:ind w:left="740"/>
              <w:spacing w:after="0"/>
              <w:rPr>
                <w:sz w:val="20"/>
                <w:szCs w:val="20"/>
                <w:color w:val="auto"/>
              </w:rPr>
            </w:pPr>
            <w:r>
              <w:rPr>
                <w:rFonts w:ascii="Arial" w:cs="Arial" w:eastAsia="Arial" w:hAnsi="Arial"/>
                <w:sz w:val="18"/>
                <w:szCs w:val="18"/>
                <w:b w:val="1"/>
                <w:bCs w:val="1"/>
                <w:color w:val="FFFFFF"/>
              </w:rPr>
              <w:t>As of</w:t>
            </w:r>
          </w:p>
        </w:tc>
        <w:tc>
          <w:tcPr>
            <w:tcW w:w="1340" w:type="dxa"/>
            <w:vAlign w:val="bottom"/>
            <w:tcBorders>
              <w:top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 change</w:t>
            </w:r>
          </w:p>
        </w:tc>
      </w:tr>
      <w:tr>
        <w:trPr>
          <w:trHeight w:val="226"/>
        </w:trPr>
        <w:tc>
          <w:tcPr>
            <w:tcW w:w="3040" w:type="dxa"/>
            <w:vAlign w:val="bottom"/>
            <w:tcBorders>
              <w:bottom w:val="single" w:sz="8" w:color="auto"/>
              <w:right w:val="single" w:sz="8" w:color="auto"/>
            </w:tcBorders>
          </w:tcPr>
          <w:p>
            <w:pPr>
              <w:spacing w:after="0"/>
              <w:rPr>
                <w:sz w:val="19"/>
                <w:szCs w:val="19"/>
                <w:color w:val="auto"/>
              </w:rPr>
            </w:pPr>
          </w:p>
        </w:tc>
        <w:tc>
          <w:tcPr>
            <w:tcW w:w="9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3Q21</w:t>
            </w:r>
          </w:p>
        </w:tc>
        <w:tc>
          <w:tcPr>
            <w:tcW w:w="9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2Q22</w:t>
            </w:r>
          </w:p>
        </w:tc>
        <w:tc>
          <w:tcPr>
            <w:tcW w:w="98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5"/>
              </w:rPr>
              <w:t>3Q22</w:t>
            </w:r>
          </w:p>
        </w:tc>
        <w:tc>
          <w:tcPr>
            <w:tcW w:w="9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rPr>
              <w:t>QoQ</w:t>
            </w:r>
          </w:p>
        </w:tc>
        <w:tc>
          <w:tcPr>
            <w:tcW w:w="102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8"/>
                <w:szCs w:val="18"/>
                <w:b w:val="1"/>
                <w:bCs w:val="1"/>
                <w:color w:val="FFFFFF"/>
              </w:rPr>
              <w:t>YoY</w:t>
            </w:r>
          </w:p>
        </w:tc>
        <w:tc>
          <w:tcPr>
            <w:tcW w:w="980" w:type="dxa"/>
            <w:vAlign w:val="bottom"/>
            <w:tcBorders>
              <w:bottom w:val="single" w:sz="8" w:color="auto"/>
            </w:tcBorders>
            <w:shd w:val="clear" w:color="auto" w:fill="2AD2C9"/>
          </w:tcPr>
          <w:p>
            <w:pPr>
              <w:ind w:left="200"/>
              <w:spacing w:after="0"/>
              <w:rPr>
                <w:sz w:val="20"/>
                <w:szCs w:val="20"/>
                <w:color w:val="auto"/>
              </w:rPr>
            </w:pPr>
            <w:r>
              <w:rPr>
                <w:rFonts w:ascii="Arial" w:cs="Arial" w:eastAsia="Arial" w:hAnsi="Arial"/>
                <w:sz w:val="18"/>
                <w:szCs w:val="18"/>
                <w:b w:val="1"/>
                <w:bCs w:val="1"/>
                <w:color w:val="FFFFFF"/>
              </w:rPr>
              <w:t>Sep 21</w:t>
            </w:r>
          </w:p>
        </w:tc>
        <w:tc>
          <w:tcPr>
            <w:tcW w:w="980" w:type="dxa"/>
            <w:vAlign w:val="bottom"/>
            <w:tcBorders>
              <w:bottom w:val="single" w:sz="8" w:color="auto"/>
              <w:right w:val="single" w:sz="8" w:color="auto"/>
            </w:tcBorders>
            <w:shd w:val="clear" w:color="auto" w:fill="2AD2C9"/>
          </w:tcPr>
          <w:p>
            <w:pPr>
              <w:ind w:left="200"/>
              <w:spacing w:after="0"/>
              <w:rPr>
                <w:sz w:val="20"/>
                <w:szCs w:val="20"/>
                <w:color w:val="auto"/>
              </w:rPr>
            </w:pPr>
            <w:r>
              <w:rPr>
                <w:rFonts w:ascii="Arial" w:cs="Arial" w:eastAsia="Arial" w:hAnsi="Arial"/>
                <w:sz w:val="18"/>
                <w:szCs w:val="18"/>
                <w:b w:val="1"/>
                <w:bCs w:val="1"/>
                <w:color w:val="FFFFFF"/>
              </w:rPr>
              <w:t>Sep 22</w:t>
            </w:r>
          </w:p>
        </w:tc>
        <w:tc>
          <w:tcPr>
            <w:tcW w:w="13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8"/>
                <w:szCs w:val="18"/>
                <w:b w:val="1"/>
                <w:bCs w:val="1"/>
                <w:color w:val="FFFFFF"/>
                <w:w w:val="99"/>
              </w:rPr>
              <w:t>Sep 21 / Sep 22</w:t>
            </w:r>
          </w:p>
        </w:tc>
      </w:tr>
      <w:tr>
        <w:trPr>
          <w:trHeight w:val="193"/>
        </w:trPr>
        <w:tc>
          <w:tcPr>
            <w:tcW w:w="3040" w:type="dxa"/>
            <w:vAlign w:val="bottom"/>
            <w:tcBorders>
              <w:left w:val="single" w:sz="8" w:color="auto"/>
              <w:right w:val="single" w:sz="8" w:color="auto"/>
            </w:tcBorders>
          </w:tcPr>
          <w:p>
            <w:pPr>
              <w:ind w:left="20"/>
              <w:spacing w:after="0" w:line="193" w:lineRule="exact"/>
              <w:rPr>
                <w:sz w:val="20"/>
                <w:szCs w:val="20"/>
                <w:color w:val="auto"/>
              </w:rPr>
            </w:pPr>
            <w:r>
              <w:rPr>
                <w:rFonts w:ascii="Arial" w:cs="Arial" w:eastAsia="Arial" w:hAnsi="Arial"/>
                <w:sz w:val="20"/>
                <w:szCs w:val="20"/>
                <w:b w:val="1"/>
                <w:bCs w:val="1"/>
                <w:color w:val="auto"/>
              </w:rPr>
              <w:t>Results</w:t>
            </w: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r>
      <w:tr>
        <w:trPr>
          <w:trHeight w:val="214"/>
        </w:trPr>
        <w:tc>
          <w:tcPr>
            <w:tcW w:w="304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Net earned premiums</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301,598</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315,592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331,323</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5.0%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9.9%</w:t>
            </w:r>
          </w:p>
        </w:tc>
        <w:tc>
          <w:tcPr>
            <w:tcW w:w="980" w:type="dxa"/>
            <w:vAlign w:val="bottom"/>
          </w:tcPr>
          <w:p>
            <w:pPr>
              <w:jc w:val="center"/>
              <w:spacing w:after="0"/>
              <w:rPr>
                <w:sz w:val="20"/>
                <w:szCs w:val="20"/>
                <w:color w:val="auto"/>
              </w:rPr>
            </w:pPr>
            <w:r>
              <w:rPr>
                <w:rFonts w:ascii="Arial" w:cs="Arial" w:eastAsia="Arial" w:hAnsi="Arial"/>
                <w:sz w:val="18"/>
                <w:szCs w:val="18"/>
                <w:color w:val="auto"/>
              </w:rPr>
              <w:t>867,894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961,277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10.8%</w:t>
            </w:r>
          </w:p>
        </w:tc>
      </w:tr>
      <w:tr>
        <w:trPr>
          <w:trHeight w:val="214"/>
        </w:trPr>
        <w:tc>
          <w:tcPr>
            <w:tcW w:w="304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Net claims</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(259,820)</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(266,259)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(276,094)</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3.7%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6.3%</w:t>
            </w:r>
          </w:p>
        </w:tc>
        <w:tc>
          <w:tcPr>
            <w:tcW w:w="980" w:type="dxa"/>
            <w:vAlign w:val="bottom"/>
          </w:tcPr>
          <w:p>
            <w:pPr>
              <w:jc w:val="center"/>
              <w:spacing w:after="0"/>
              <w:rPr>
                <w:sz w:val="20"/>
                <w:szCs w:val="20"/>
                <w:color w:val="auto"/>
              </w:rPr>
            </w:pPr>
            <w:r>
              <w:rPr>
                <w:rFonts w:ascii="Arial" w:cs="Arial" w:eastAsia="Arial" w:hAnsi="Arial"/>
                <w:sz w:val="18"/>
                <w:szCs w:val="18"/>
                <w:color w:val="auto"/>
              </w:rPr>
              <w:t>(748,809)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(818,435)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9.3%</w:t>
            </w:r>
          </w:p>
        </w:tc>
      </w:tr>
      <w:tr>
        <w:trPr>
          <w:trHeight w:val="214"/>
        </w:trPr>
        <w:tc>
          <w:tcPr>
            <w:tcW w:w="304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Net fees</w:t>
            </w:r>
          </w:p>
        </w:tc>
        <w:tc>
          <w:tcPr>
            <w:tcW w:w="960" w:type="dxa"/>
            <w:vAlign w:val="bottom"/>
          </w:tcPr>
          <w:p>
            <w:pPr>
              <w:jc w:val="center"/>
              <w:spacing w:after="0"/>
              <w:rPr>
                <w:sz w:val="20"/>
                <w:szCs w:val="20"/>
                <w:color w:val="auto"/>
              </w:rPr>
            </w:pPr>
            <w:r>
              <w:rPr>
                <w:rFonts w:ascii="Arial" w:cs="Arial" w:eastAsia="Arial" w:hAnsi="Arial"/>
                <w:sz w:val="18"/>
                <w:szCs w:val="18"/>
                <w:color w:val="auto"/>
              </w:rPr>
              <w:t>(12,836)</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(13,395)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(14,323)</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6.9%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11.6%</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(37,377)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(41,389)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10.7%</w:t>
            </w:r>
          </w:p>
        </w:tc>
      </w:tr>
      <w:tr>
        <w:trPr>
          <w:trHeight w:val="212"/>
        </w:trPr>
        <w:tc>
          <w:tcPr>
            <w:tcW w:w="3040" w:type="dxa"/>
            <w:vAlign w:val="bottom"/>
            <w:tcBorders>
              <w:left w:val="single" w:sz="8" w:color="auto"/>
              <w:right w:val="single" w:sz="8" w:color="auto"/>
            </w:tcBorders>
          </w:tcPr>
          <w:p>
            <w:pPr>
              <w:ind w:left="20"/>
              <w:spacing w:after="0" w:line="212" w:lineRule="exact"/>
              <w:rPr>
                <w:sz w:val="20"/>
                <w:szCs w:val="20"/>
                <w:color w:val="auto"/>
              </w:rPr>
            </w:pPr>
            <w:r>
              <w:rPr>
                <w:rFonts w:ascii="Arial" w:cs="Arial" w:eastAsia="Arial" w:hAnsi="Arial"/>
                <w:sz w:val="20"/>
                <w:szCs w:val="20"/>
                <w:color w:val="auto"/>
              </w:rPr>
              <w:t>Net underwriting expenses</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(2,566)</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(2,505)</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(2,652)</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5.9%</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3.4%</w:t>
            </w:r>
          </w:p>
        </w:tc>
        <w:tc>
          <w:tcPr>
            <w:tcW w:w="980" w:type="dxa"/>
            <w:vAlign w:val="bottom"/>
          </w:tcPr>
          <w:p>
            <w:pPr>
              <w:jc w:val="center"/>
              <w:spacing w:after="0"/>
              <w:rPr>
                <w:sz w:val="20"/>
                <w:szCs w:val="20"/>
                <w:color w:val="auto"/>
              </w:rPr>
            </w:pPr>
            <w:r>
              <w:rPr>
                <w:rFonts w:ascii="Arial" w:cs="Arial" w:eastAsia="Arial" w:hAnsi="Arial"/>
                <w:sz w:val="18"/>
                <w:szCs w:val="18"/>
                <w:color w:val="auto"/>
              </w:rPr>
              <w:t>(7,856)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(8,420)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7.2%</w:t>
            </w:r>
          </w:p>
        </w:tc>
      </w:tr>
      <w:tr>
        <w:trPr>
          <w:trHeight w:val="270"/>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Underwriting result</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26,376</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33,434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38,253</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14.4%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45.0%</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73,853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93,033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26.0%</w:t>
            </w:r>
          </w:p>
        </w:tc>
      </w:tr>
      <w:tr>
        <w:trPr>
          <w:trHeight w:val="348"/>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Net financial income</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1,775</w:t>
            </w:r>
          </w:p>
        </w:tc>
        <w:tc>
          <w:tcPr>
            <w:tcW w:w="980" w:type="dxa"/>
            <w:vAlign w:val="bottom"/>
          </w:tcPr>
          <w:p>
            <w:pPr>
              <w:jc w:val="center"/>
              <w:spacing w:after="0"/>
              <w:rPr>
                <w:sz w:val="20"/>
                <w:szCs w:val="20"/>
                <w:color w:val="auto"/>
              </w:rPr>
            </w:pPr>
            <w:r>
              <w:rPr>
                <w:rFonts w:ascii="Arial" w:cs="Arial" w:eastAsia="Arial" w:hAnsi="Arial"/>
                <w:sz w:val="18"/>
                <w:szCs w:val="18"/>
                <w:color w:val="auto"/>
              </w:rPr>
              <w:t>1,759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2,749</w:t>
            </w:r>
          </w:p>
        </w:tc>
        <w:tc>
          <w:tcPr>
            <w:tcW w:w="960" w:type="dxa"/>
            <w:vAlign w:val="bottom"/>
          </w:tcPr>
          <w:p>
            <w:pPr>
              <w:jc w:val="center"/>
              <w:spacing w:after="0"/>
              <w:rPr>
                <w:sz w:val="20"/>
                <w:szCs w:val="20"/>
                <w:color w:val="auto"/>
              </w:rPr>
            </w:pPr>
            <w:r>
              <w:rPr>
                <w:rFonts w:ascii="Arial" w:cs="Arial" w:eastAsia="Arial" w:hAnsi="Arial"/>
                <w:sz w:val="18"/>
                <w:szCs w:val="18"/>
                <w:color w:val="auto"/>
              </w:rPr>
              <w:t>56.3%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54.9%</w:t>
            </w:r>
          </w:p>
        </w:tc>
        <w:tc>
          <w:tcPr>
            <w:tcW w:w="980" w:type="dxa"/>
            <w:vAlign w:val="bottom"/>
          </w:tcPr>
          <w:p>
            <w:pPr>
              <w:jc w:val="center"/>
              <w:spacing w:after="0"/>
              <w:rPr>
                <w:sz w:val="20"/>
                <w:szCs w:val="20"/>
                <w:color w:val="auto"/>
              </w:rPr>
            </w:pPr>
            <w:r>
              <w:rPr>
                <w:rFonts w:ascii="Arial" w:cs="Arial" w:eastAsia="Arial" w:hAnsi="Arial"/>
                <w:sz w:val="18"/>
                <w:szCs w:val="18"/>
                <w:color w:val="auto"/>
              </w:rPr>
              <w:t>4,866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6,390</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31.3%</w:t>
            </w:r>
          </w:p>
        </w:tc>
      </w:tr>
      <w:tr>
        <w:trPr>
          <w:trHeight w:val="214"/>
        </w:trPr>
        <w:tc>
          <w:tcPr>
            <w:tcW w:w="304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Total expenses</w:t>
            </w:r>
          </w:p>
        </w:tc>
        <w:tc>
          <w:tcPr>
            <w:tcW w:w="960" w:type="dxa"/>
            <w:vAlign w:val="bottom"/>
          </w:tcPr>
          <w:p>
            <w:pPr>
              <w:jc w:val="center"/>
              <w:spacing w:after="0"/>
              <w:rPr>
                <w:sz w:val="20"/>
                <w:szCs w:val="20"/>
                <w:color w:val="auto"/>
              </w:rPr>
            </w:pPr>
            <w:r>
              <w:rPr>
                <w:rFonts w:ascii="Arial" w:cs="Arial" w:eastAsia="Arial" w:hAnsi="Arial"/>
                <w:sz w:val="18"/>
                <w:szCs w:val="18"/>
                <w:color w:val="auto"/>
              </w:rPr>
              <w:t>(22,725)</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(20,251)</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(20,826)</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2.8%</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-8.4%</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(62,613)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(59,948)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-4.3%</w:t>
            </w:r>
          </w:p>
        </w:tc>
      </w:tr>
      <w:tr>
        <w:trPr>
          <w:trHeight w:val="214"/>
        </w:trPr>
        <w:tc>
          <w:tcPr>
            <w:tcW w:w="304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Other income</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40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(2,854)</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n.a.</w:t>
            </w:r>
          </w:p>
        </w:tc>
        <w:tc>
          <w:tcPr>
            <w:tcW w:w="10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n.a.</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(438)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(1,588)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262.9%</w:t>
            </w:r>
          </w:p>
        </w:tc>
      </w:tr>
      <w:tr>
        <w:trPr>
          <w:trHeight w:val="214"/>
        </w:trPr>
        <w:tc>
          <w:tcPr>
            <w:tcW w:w="3040" w:type="dxa"/>
            <w:vAlign w:val="bottom"/>
            <w:tcBorders>
              <w:left w:val="single" w:sz="8" w:color="auto"/>
              <w:right w:val="single" w:sz="8" w:color="auto"/>
            </w:tcBorders>
          </w:tcPr>
          <w:p>
            <w:pPr>
              <w:ind w:left="20"/>
              <w:spacing w:after="0" w:line="214" w:lineRule="exact"/>
              <w:rPr>
                <w:sz w:val="20"/>
                <w:szCs w:val="20"/>
                <w:color w:val="auto"/>
              </w:rPr>
            </w:pPr>
            <w:r>
              <w:rPr>
                <w:rFonts w:ascii="Arial" w:cs="Arial" w:eastAsia="Arial" w:hAnsi="Arial"/>
                <w:sz w:val="20"/>
                <w:szCs w:val="20"/>
                <w:color w:val="auto"/>
              </w:rPr>
              <w:t>Traslations results</w:t>
            </w:r>
          </w:p>
        </w:tc>
        <w:tc>
          <w:tcPr>
            <w:tcW w:w="960" w:type="dxa"/>
            <w:vAlign w:val="bottom"/>
          </w:tcPr>
          <w:p>
            <w:pPr>
              <w:jc w:val="center"/>
              <w:spacing w:after="0"/>
              <w:rPr>
                <w:sz w:val="20"/>
                <w:szCs w:val="20"/>
                <w:color w:val="auto"/>
              </w:rPr>
            </w:pPr>
            <w:r>
              <w:rPr>
                <w:rFonts w:ascii="Arial" w:cs="Arial" w:eastAsia="Arial" w:hAnsi="Arial"/>
                <w:sz w:val="18"/>
                <w:szCs w:val="18"/>
                <w:color w:val="auto"/>
                <w:w w:val="97"/>
              </w:rPr>
              <w:t>5,087</w:t>
            </w:r>
          </w:p>
        </w:tc>
        <w:tc>
          <w:tcPr>
            <w:tcW w:w="980" w:type="dxa"/>
            <w:vAlign w:val="bottom"/>
          </w:tcPr>
          <w:p>
            <w:pPr>
              <w:jc w:val="center"/>
              <w:spacing w:after="0"/>
              <w:rPr>
                <w:sz w:val="20"/>
                <w:szCs w:val="20"/>
                <w:color w:val="auto"/>
              </w:rPr>
            </w:pPr>
            <w:r>
              <w:rPr>
                <w:rFonts w:ascii="Arial" w:cs="Arial" w:eastAsia="Arial" w:hAnsi="Arial"/>
                <w:sz w:val="18"/>
                <w:szCs w:val="18"/>
                <w:color w:val="auto"/>
              </w:rPr>
              <w:t>1,784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2,046</w:t>
            </w:r>
          </w:p>
        </w:tc>
        <w:tc>
          <w:tcPr>
            <w:tcW w:w="960" w:type="dxa"/>
            <w:vAlign w:val="bottom"/>
          </w:tcPr>
          <w:p>
            <w:pPr>
              <w:jc w:val="center"/>
              <w:spacing w:after="0"/>
              <w:rPr>
                <w:sz w:val="20"/>
                <w:szCs w:val="20"/>
                <w:color w:val="auto"/>
              </w:rPr>
            </w:pPr>
            <w:r>
              <w:rPr>
                <w:rFonts w:ascii="Arial" w:cs="Arial" w:eastAsia="Arial" w:hAnsi="Arial"/>
                <w:sz w:val="18"/>
                <w:szCs w:val="18"/>
                <w:color w:val="auto"/>
              </w:rPr>
              <w:t>14.7%</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-59.8%</w:t>
            </w:r>
          </w:p>
        </w:tc>
        <w:tc>
          <w:tcPr>
            <w:tcW w:w="980" w:type="dxa"/>
            <w:vAlign w:val="bottom"/>
          </w:tcPr>
          <w:p>
            <w:pPr>
              <w:jc w:val="center"/>
              <w:spacing w:after="0"/>
              <w:rPr>
                <w:sz w:val="20"/>
                <w:szCs w:val="20"/>
                <w:color w:val="auto"/>
              </w:rPr>
            </w:pPr>
            <w:r>
              <w:rPr>
                <w:rFonts w:ascii="Arial" w:cs="Arial" w:eastAsia="Arial" w:hAnsi="Arial"/>
                <w:sz w:val="18"/>
                <w:szCs w:val="18"/>
                <w:color w:val="auto"/>
              </w:rPr>
              <w:t>9,477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(567)</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r>
        <w:trPr>
          <w:trHeight w:val="258"/>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Income tax</w:t>
            </w:r>
          </w:p>
        </w:tc>
        <w:tc>
          <w:tcPr>
            <w:tcW w:w="960" w:type="dxa"/>
            <w:vAlign w:val="bottom"/>
          </w:tcPr>
          <w:p>
            <w:pPr>
              <w:jc w:val="center"/>
              <w:spacing w:after="0"/>
              <w:rPr>
                <w:sz w:val="20"/>
                <w:szCs w:val="20"/>
                <w:color w:val="auto"/>
              </w:rPr>
            </w:pPr>
            <w:r>
              <w:rPr>
                <w:rFonts w:ascii="Arial" w:cs="Arial" w:eastAsia="Arial" w:hAnsi="Arial"/>
                <w:sz w:val="18"/>
                <w:szCs w:val="18"/>
                <w:color w:val="auto"/>
                <w:w w:val="98"/>
              </w:rPr>
              <w:t>(8,175)</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(6,114)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(12,191)</w:t>
            </w:r>
          </w:p>
        </w:tc>
        <w:tc>
          <w:tcPr>
            <w:tcW w:w="960" w:type="dxa"/>
            <w:vAlign w:val="bottom"/>
          </w:tcPr>
          <w:p>
            <w:pPr>
              <w:jc w:val="center"/>
              <w:spacing w:after="0"/>
              <w:rPr>
                <w:sz w:val="20"/>
                <w:szCs w:val="20"/>
                <w:color w:val="auto"/>
              </w:rPr>
            </w:pPr>
            <w:r>
              <w:rPr>
                <w:rFonts w:ascii="Arial" w:cs="Arial" w:eastAsia="Arial" w:hAnsi="Arial"/>
                <w:sz w:val="18"/>
                <w:szCs w:val="18"/>
                <w:color w:val="auto"/>
              </w:rPr>
              <w:t>99.4%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49.1%</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(13,318)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(18,729)</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40.6%</w:t>
            </w:r>
          </w:p>
        </w:tc>
      </w:tr>
      <w:tr>
        <w:trPr>
          <w:trHeight w:val="356"/>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Net income before Medical</w:t>
            </w: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r>
      <w:tr>
        <w:trPr>
          <w:trHeight w:val="270"/>
        </w:trPr>
        <w:tc>
          <w:tcPr>
            <w:tcW w:w="30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20"/>
                <w:szCs w:val="20"/>
                <w:b w:val="1"/>
                <w:bCs w:val="1"/>
                <w:color w:val="auto"/>
              </w:rPr>
              <w:t>services</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7"/>
              </w:rPr>
              <w:t>2,329</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10,652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7,176</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8"/>
              </w:rPr>
              <w:t>-32.6%</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208.2%</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11,828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18,592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57.2%</w:t>
            </w:r>
          </w:p>
        </w:tc>
      </w:tr>
      <w:tr>
        <w:trPr>
          <w:trHeight w:val="402"/>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Net income of Medical services</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23,575</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25,076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27,598</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10.1%</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17.1%</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8"/>
              </w:rPr>
              <w:t>78,264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81,134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3.7%</w:t>
            </w:r>
          </w:p>
        </w:tc>
      </w:tr>
      <w:tr>
        <w:trPr>
          <w:trHeight w:val="377"/>
        </w:trPr>
        <w:tc>
          <w:tcPr>
            <w:tcW w:w="3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Net income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25,904</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35,728</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34,775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34.2%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90,091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99,725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10.7%</w:t>
            </w:r>
          </w:p>
        </w:tc>
      </w:tr>
      <w:tr>
        <w:trPr>
          <w:trHeight w:val="564"/>
        </w:trPr>
        <w:tc>
          <w:tcPr>
            <w:tcW w:w="3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45"/>
        </w:trPr>
        <w:tc>
          <w:tcPr>
            <w:tcW w:w="30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451" w:right="339" w:bottom="1440" w:gutter="0" w:footer="0" w:header="0"/>
        </w:sectPr>
      </w:pPr>
    </w:p>
    <w:bookmarkStart w:id="71" w:name="page72"/>
    <w:bookmarkEnd w:id="71"/>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12.5.9. Investment Banking &amp; Wealth Management</w:t>
      </w:r>
    </w:p>
    <w:p>
      <w:pPr>
        <w:spacing w:after="0" w:line="245"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4280" w:type="dxa"/>
            <w:vAlign w:val="bottom"/>
            <w:tcBorders>
              <w:top w:val="single" w:sz="8" w:color="auto"/>
              <w:left w:val="single" w:sz="8" w:color="auto"/>
              <w:right w:val="single" w:sz="8" w:color="auto"/>
            </w:tcBorders>
            <w:shd w:val="clear" w:color="auto" w:fill="2AD2C9"/>
          </w:tcPr>
          <w:p>
            <w:pPr>
              <w:ind w:left="40"/>
              <w:spacing w:after="0" w:line="217" w:lineRule="exact"/>
              <w:rPr>
                <w:sz w:val="20"/>
                <w:szCs w:val="20"/>
                <w:color w:val="auto"/>
              </w:rPr>
            </w:pPr>
            <w:r>
              <w:rPr>
                <w:rFonts w:ascii="Arial" w:cs="Arial" w:eastAsia="Arial" w:hAnsi="Arial"/>
                <w:sz w:val="20"/>
                <w:szCs w:val="20"/>
                <w:b w:val="1"/>
                <w:bCs w:val="1"/>
                <w:color w:val="FFFFFF"/>
                <w:w w:val="97"/>
              </w:rPr>
              <w:t>Investment Banking and Wealth Management</w:t>
            </w:r>
          </w:p>
        </w:tc>
        <w:tc>
          <w:tcPr>
            <w:tcW w:w="780" w:type="dxa"/>
            <w:vAlign w:val="bottom"/>
            <w:tcBorders>
              <w:top w:val="single" w:sz="8" w:color="auto"/>
            </w:tcBorders>
            <w:shd w:val="clear" w:color="auto" w:fill="2AD2C9"/>
          </w:tcPr>
          <w:p>
            <w:pPr>
              <w:spacing w:after="0"/>
              <w:rPr>
                <w:sz w:val="18"/>
                <w:szCs w:val="18"/>
                <w:color w:val="auto"/>
              </w:rPr>
            </w:pPr>
          </w:p>
        </w:tc>
        <w:tc>
          <w:tcPr>
            <w:tcW w:w="860" w:type="dxa"/>
            <w:vAlign w:val="bottom"/>
            <w:tcBorders>
              <w:top w:val="single" w:sz="8" w:color="auto"/>
            </w:tcBorders>
            <w:shd w:val="clear" w:color="auto" w:fill="2AD2C9"/>
          </w:tcPr>
          <w:p>
            <w:pPr>
              <w:ind w:left="80"/>
              <w:spacing w:after="0" w:line="217" w:lineRule="exact"/>
              <w:rPr>
                <w:sz w:val="20"/>
                <w:szCs w:val="20"/>
                <w:color w:val="auto"/>
              </w:rPr>
            </w:pPr>
            <w:r>
              <w:rPr>
                <w:rFonts w:ascii="Arial" w:cs="Arial" w:eastAsia="Arial" w:hAnsi="Arial"/>
                <w:sz w:val="20"/>
                <w:szCs w:val="20"/>
                <w:b w:val="1"/>
                <w:bCs w:val="1"/>
                <w:color w:val="FFFFFF"/>
              </w:rPr>
              <w:t>Quarter</w:t>
            </w:r>
          </w:p>
        </w:tc>
        <w:tc>
          <w:tcPr>
            <w:tcW w:w="800" w:type="dxa"/>
            <w:vAlign w:val="bottom"/>
            <w:tcBorders>
              <w:top w:val="single" w:sz="8" w:color="auto"/>
              <w:right w:val="single" w:sz="8" w:color="auto"/>
            </w:tcBorders>
            <w:shd w:val="clear" w:color="auto" w:fill="2AD2C9"/>
          </w:tcPr>
          <w:p>
            <w:pPr>
              <w:spacing w:after="0"/>
              <w:rPr>
                <w:sz w:val="18"/>
                <w:szCs w:val="18"/>
                <w:color w:val="auto"/>
              </w:rPr>
            </w:pPr>
          </w:p>
        </w:tc>
        <w:tc>
          <w:tcPr>
            <w:tcW w:w="1400" w:type="dxa"/>
            <w:vAlign w:val="bottom"/>
            <w:tcBorders>
              <w:top w:val="single" w:sz="8" w:color="auto"/>
              <w:right w:val="single" w:sz="8" w:color="auto"/>
            </w:tcBorders>
            <w:gridSpan w:val="2"/>
            <w:shd w:val="clear" w:color="auto" w:fill="2AD2C9"/>
          </w:tcPr>
          <w:p>
            <w:pPr>
              <w:jc w:val="center"/>
              <w:spacing w:after="0" w:line="217" w:lineRule="exact"/>
              <w:rPr>
                <w:sz w:val="20"/>
                <w:szCs w:val="20"/>
                <w:color w:val="auto"/>
              </w:rPr>
            </w:pPr>
            <w:r>
              <w:rPr>
                <w:rFonts w:ascii="Arial" w:cs="Arial" w:eastAsia="Arial" w:hAnsi="Arial"/>
                <w:sz w:val="20"/>
                <w:szCs w:val="20"/>
                <w:b w:val="1"/>
                <w:bCs w:val="1"/>
                <w:color w:val="FFFFFF"/>
                <w:w w:val="96"/>
              </w:rPr>
              <w:t>% change</w:t>
            </w:r>
          </w:p>
        </w:tc>
        <w:tc>
          <w:tcPr>
            <w:tcW w:w="1660" w:type="dxa"/>
            <w:vAlign w:val="bottom"/>
            <w:tcBorders>
              <w:top w:val="single" w:sz="8" w:color="auto"/>
              <w:right w:val="single" w:sz="8" w:color="auto"/>
            </w:tcBorders>
            <w:gridSpan w:val="2"/>
            <w:shd w:val="clear" w:color="auto" w:fill="2AD2C9"/>
          </w:tcPr>
          <w:p>
            <w:pPr>
              <w:ind w:left="580"/>
              <w:spacing w:after="0" w:line="217" w:lineRule="exact"/>
              <w:rPr>
                <w:sz w:val="20"/>
                <w:szCs w:val="20"/>
                <w:color w:val="auto"/>
              </w:rPr>
            </w:pPr>
            <w:r>
              <w:rPr>
                <w:rFonts w:ascii="Arial" w:cs="Arial" w:eastAsia="Arial" w:hAnsi="Arial"/>
                <w:sz w:val="20"/>
                <w:szCs w:val="20"/>
                <w:b w:val="1"/>
                <w:bCs w:val="1"/>
                <w:color w:val="FFFFFF"/>
              </w:rPr>
              <w:t>As of</w:t>
            </w:r>
          </w:p>
        </w:tc>
        <w:tc>
          <w:tcPr>
            <w:tcW w:w="1460" w:type="dxa"/>
            <w:vAlign w:val="bottom"/>
            <w:tcBorders>
              <w:top w:val="single" w:sz="8" w:color="auto"/>
              <w:right w:val="single" w:sz="8" w:color="auto"/>
            </w:tcBorders>
            <w:shd w:val="clear" w:color="auto" w:fill="2AD2C9"/>
          </w:tcPr>
          <w:p>
            <w:pPr>
              <w:jc w:val="center"/>
              <w:spacing w:after="0" w:line="217" w:lineRule="exact"/>
              <w:rPr>
                <w:sz w:val="20"/>
                <w:szCs w:val="20"/>
                <w:color w:val="auto"/>
              </w:rPr>
            </w:pPr>
            <w:r>
              <w:rPr>
                <w:rFonts w:ascii="Arial" w:cs="Arial" w:eastAsia="Arial" w:hAnsi="Arial"/>
                <w:sz w:val="20"/>
                <w:szCs w:val="20"/>
                <w:b w:val="1"/>
                <w:bCs w:val="1"/>
                <w:color w:val="FFFFFF"/>
                <w:w w:val="98"/>
              </w:rPr>
              <w:t>% change</w:t>
            </w:r>
          </w:p>
        </w:tc>
      </w:tr>
      <w:tr>
        <w:trPr>
          <w:trHeight w:val="245"/>
        </w:trPr>
        <w:tc>
          <w:tcPr>
            <w:tcW w:w="4280" w:type="dxa"/>
            <w:vAlign w:val="bottom"/>
            <w:tcBorders>
              <w:left w:val="single" w:sz="8" w:color="auto"/>
              <w:bottom w:val="single" w:sz="8" w:color="auto"/>
              <w:right w:val="single" w:sz="8" w:color="auto"/>
            </w:tcBorders>
            <w:shd w:val="clear" w:color="auto" w:fill="2AD2C9"/>
          </w:tcPr>
          <w:p>
            <w:pPr>
              <w:ind w:left="40"/>
              <w:spacing w:after="0"/>
              <w:rPr>
                <w:sz w:val="20"/>
                <w:szCs w:val="20"/>
                <w:color w:val="auto"/>
              </w:rPr>
            </w:pPr>
            <w:r>
              <w:rPr>
                <w:rFonts w:ascii="Arial" w:cs="Arial" w:eastAsia="Arial" w:hAnsi="Arial"/>
                <w:sz w:val="20"/>
                <w:szCs w:val="20"/>
                <w:b w:val="1"/>
                <w:bCs w:val="1"/>
                <w:color w:val="FFFFFF"/>
              </w:rPr>
              <w:t>S/ 000</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3Q21</w:t>
            </w:r>
          </w:p>
        </w:tc>
        <w:tc>
          <w:tcPr>
            <w:tcW w:w="86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2Q22</w:t>
            </w:r>
          </w:p>
        </w:tc>
        <w:tc>
          <w:tcPr>
            <w:tcW w:w="8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3Q22</w:t>
            </w:r>
          </w:p>
        </w:tc>
        <w:tc>
          <w:tcPr>
            <w:tcW w:w="6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6"/>
              </w:rPr>
              <w:t>QoQ</w:t>
            </w:r>
          </w:p>
        </w:tc>
        <w:tc>
          <w:tcPr>
            <w:tcW w:w="7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7"/>
              </w:rPr>
              <w:t>YoY</w:t>
            </w:r>
          </w:p>
        </w:tc>
        <w:tc>
          <w:tcPr>
            <w:tcW w:w="820" w:type="dxa"/>
            <w:vAlign w:val="bottom"/>
            <w:tcBorders>
              <w:bottom w:val="single" w:sz="8" w:color="auto"/>
            </w:tcBorders>
            <w:shd w:val="clear" w:color="auto" w:fill="2AD2C9"/>
          </w:tcPr>
          <w:p>
            <w:pPr>
              <w:ind w:left="100"/>
              <w:spacing w:after="0"/>
              <w:rPr>
                <w:sz w:val="20"/>
                <w:szCs w:val="20"/>
                <w:color w:val="auto"/>
              </w:rPr>
            </w:pPr>
            <w:r>
              <w:rPr>
                <w:rFonts w:ascii="Arial" w:cs="Arial" w:eastAsia="Arial" w:hAnsi="Arial"/>
                <w:sz w:val="20"/>
                <w:szCs w:val="20"/>
                <w:b w:val="1"/>
                <w:bCs w:val="1"/>
                <w:color w:val="FFFFFF"/>
              </w:rPr>
              <w:t>Sep 21</w:t>
            </w:r>
          </w:p>
        </w:tc>
        <w:tc>
          <w:tcPr>
            <w:tcW w:w="840" w:type="dxa"/>
            <w:vAlign w:val="bottom"/>
            <w:tcBorders>
              <w:bottom w:val="single" w:sz="8" w:color="auto"/>
              <w:right w:val="single" w:sz="8" w:color="auto"/>
            </w:tcBorders>
            <w:shd w:val="clear" w:color="auto" w:fill="2AD2C9"/>
          </w:tcPr>
          <w:p>
            <w:pPr>
              <w:ind w:left="100"/>
              <w:spacing w:after="0"/>
              <w:rPr>
                <w:sz w:val="20"/>
                <w:szCs w:val="20"/>
                <w:color w:val="auto"/>
              </w:rPr>
            </w:pPr>
            <w:r>
              <w:rPr>
                <w:rFonts w:ascii="Arial" w:cs="Arial" w:eastAsia="Arial" w:hAnsi="Arial"/>
                <w:sz w:val="20"/>
                <w:szCs w:val="20"/>
                <w:b w:val="1"/>
                <w:bCs w:val="1"/>
                <w:color w:val="FFFFFF"/>
              </w:rPr>
              <w:t>Sep 22</w:t>
            </w:r>
          </w:p>
        </w:tc>
        <w:tc>
          <w:tcPr>
            <w:tcW w:w="14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20"/>
                <w:szCs w:val="20"/>
                <w:b w:val="1"/>
                <w:bCs w:val="1"/>
                <w:color w:val="FFFFFF"/>
                <w:w w:val="98"/>
              </w:rPr>
              <w:t>Sep 22 / Sep 21</w:t>
            </w:r>
          </w:p>
        </w:tc>
      </w:tr>
      <w:tr>
        <w:trPr>
          <w:trHeight w:val="193"/>
        </w:trPr>
        <w:tc>
          <w:tcPr>
            <w:tcW w:w="428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rPr>
              <w:t>Net interest income</w:t>
            </w:r>
          </w:p>
        </w:tc>
        <w:tc>
          <w:tcPr>
            <w:tcW w:w="780" w:type="dxa"/>
            <w:vAlign w:val="bottom"/>
          </w:tcPr>
          <w:p>
            <w:pPr>
              <w:jc w:val="center"/>
              <w:spacing w:after="0" w:line="193" w:lineRule="exact"/>
              <w:rPr>
                <w:sz w:val="20"/>
                <w:szCs w:val="20"/>
                <w:color w:val="auto"/>
              </w:rPr>
            </w:pPr>
            <w:r>
              <w:rPr>
                <w:rFonts w:ascii="Arial" w:cs="Arial" w:eastAsia="Arial" w:hAnsi="Arial"/>
                <w:sz w:val="20"/>
                <w:szCs w:val="20"/>
                <w:color w:val="auto"/>
                <w:w w:val="98"/>
              </w:rPr>
              <w:t>14,290</w:t>
            </w:r>
          </w:p>
        </w:tc>
        <w:tc>
          <w:tcPr>
            <w:tcW w:w="860" w:type="dxa"/>
            <w:vAlign w:val="bottom"/>
          </w:tcPr>
          <w:p>
            <w:pPr>
              <w:jc w:val="center"/>
              <w:spacing w:after="0" w:line="193" w:lineRule="exact"/>
              <w:rPr>
                <w:sz w:val="20"/>
                <w:szCs w:val="20"/>
                <w:color w:val="auto"/>
              </w:rPr>
            </w:pPr>
            <w:r>
              <w:rPr>
                <w:rFonts w:ascii="Arial" w:cs="Arial" w:eastAsia="Arial" w:hAnsi="Arial"/>
                <w:sz w:val="20"/>
                <w:szCs w:val="20"/>
                <w:color w:val="auto"/>
                <w:w w:val="98"/>
              </w:rPr>
              <w:t>18,930</w:t>
            </w:r>
          </w:p>
        </w:tc>
        <w:tc>
          <w:tcPr>
            <w:tcW w:w="8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8"/>
              </w:rPr>
              <w:t>19,025</w:t>
            </w:r>
          </w:p>
        </w:tc>
        <w:tc>
          <w:tcPr>
            <w:tcW w:w="640" w:type="dxa"/>
            <w:vAlign w:val="bottom"/>
          </w:tcPr>
          <w:p>
            <w:pPr>
              <w:jc w:val="center"/>
              <w:spacing w:after="0" w:line="193" w:lineRule="exact"/>
              <w:rPr>
                <w:sz w:val="20"/>
                <w:szCs w:val="20"/>
                <w:color w:val="auto"/>
              </w:rPr>
            </w:pPr>
            <w:r>
              <w:rPr>
                <w:rFonts w:ascii="Arial" w:cs="Arial" w:eastAsia="Arial" w:hAnsi="Arial"/>
                <w:sz w:val="20"/>
                <w:szCs w:val="20"/>
                <w:color w:val="auto"/>
              </w:rPr>
              <w:t>0.5%</w:t>
            </w:r>
          </w:p>
        </w:tc>
        <w:tc>
          <w:tcPr>
            <w:tcW w:w="7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4"/>
              </w:rPr>
              <w:t>33%</w:t>
            </w:r>
          </w:p>
        </w:tc>
        <w:tc>
          <w:tcPr>
            <w:tcW w:w="820" w:type="dxa"/>
            <w:vAlign w:val="bottom"/>
          </w:tcPr>
          <w:p>
            <w:pPr>
              <w:jc w:val="center"/>
              <w:spacing w:after="0" w:line="193" w:lineRule="exact"/>
              <w:rPr>
                <w:sz w:val="20"/>
                <w:szCs w:val="20"/>
                <w:color w:val="auto"/>
              </w:rPr>
            </w:pPr>
            <w:r>
              <w:rPr>
                <w:rFonts w:ascii="Arial" w:cs="Arial" w:eastAsia="Arial" w:hAnsi="Arial"/>
                <w:sz w:val="20"/>
                <w:szCs w:val="20"/>
                <w:color w:val="auto"/>
                <w:w w:val="98"/>
              </w:rPr>
              <w:t>60,432</w:t>
            </w:r>
          </w:p>
        </w:tc>
        <w:tc>
          <w:tcPr>
            <w:tcW w:w="8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8"/>
              </w:rPr>
              <w:t>57,295</w:t>
            </w:r>
          </w:p>
        </w:tc>
        <w:tc>
          <w:tcPr>
            <w:tcW w:w="14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9"/>
              </w:rPr>
              <w:t>-5.2%</w:t>
            </w:r>
          </w:p>
        </w:tc>
      </w:tr>
      <w:tr>
        <w:trPr>
          <w:trHeight w:val="214"/>
        </w:trPr>
        <w:tc>
          <w:tcPr>
            <w:tcW w:w="4280" w:type="dxa"/>
            <w:vAlign w:val="bottom"/>
            <w:tcBorders>
              <w:left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color w:val="auto"/>
              </w:rPr>
              <w:t>Non-financial income</w:t>
            </w:r>
          </w:p>
        </w:tc>
        <w:tc>
          <w:tcPr>
            <w:tcW w:w="2440" w:type="dxa"/>
            <w:vAlign w:val="bottom"/>
            <w:tcBorders>
              <w:right w:val="single" w:sz="8" w:color="auto"/>
            </w:tcBorders>
            <w:gridSpan w:val="3"/>
          </w:tcPr>
          <w:p>
            <w:pPr>
              <w:jc w:val="center"/>
              <w:spacing w:after="0" w:line="214" w:lineRule="exact"/>
              <w:rPr>
                <w:sz w:val="20"/>
                <w:szCs w:val="20"/>
                <w:color w:val="auto"/>
              </w:rPr>
            </w:pPr>
            <w:r>
              <w:rPr>
                <w:rFonts w:ascii="Arial" w:cs="Arial" w:eastAsia="Arial" w:hAnsi="Arial"/>
                <w:sz w:val="20"/>
                <w:szCs w:val="20"/>
                <w:color w:val="auto"/>
              </w:rPr>
              <w:t>217,358 146,646 177,191</w:t>
            </w:r>
          </w:p>
        </w:tc>
        <w:tc>
          <w:tcPr>
            <w:tcW w:w="140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rPr>
              <w:t>20.8% -18.5%</w:t>
            </w:r>
          </w:p>
        </w:tc>
        <w:tc>
          <w:tcPr>
            <w:tcW w:w="166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rPr>
              <w:t>609,155 503,834</w:t>
            </w:r>
          </w:p>
        </w:tc>
        <w:tc>
          <w:tcPr>
            <w:tcW w:w="14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-17.3%</w:t>
            </w:r>
          </w:p>
        </w:tc>
      </w:tr>
      <w:tr>
        <w:trPr>
          <w:trHeight w:val="214"/>
        </w:trPr>
        <w:tc>
          <w:tcPr>
            <w:tcW w:w="4280" w:type="dxa"/>
            <w:vAlign w:val="bottom"/>
            <w:tcBorders>
              <w:left w:val="single" w:sz="8" w:color="auto"/>
              <w:right w:val="single" w:sz="8" w:color="auto"/>
            </w:tcBorders>
          </w:tcPr>
          <w:p>
            <w:pPr>
              <w:ind w:left="200"/>
              <w:spacing w:after="0" w:line="214" w:lineRule="exact"/>
              <w:rPr>
                <w:sz w:val="20"/>
                <w:szCs w:val="20"/>
                <w:color w:val="auto"/>
              </w:rPr>
            </w:pPr>
            <w:r>
              <w:rPr>
                <w:rFonts w:ascii="Arial" w:cs="Arial" w:eastAsia="Arial" w:hAnsi="Arial"/>
                <w:sz w:val="20"/>
                <w:szCs w:val="20"/>
                <w:color w:val="auto"/>
              </w:rPr>
              <w:t>Fee income</w:t>
            </w:r>
          </w:p>
        </w:tc>
        <w:tc>
          <w:tcPr>
            <w:tcW w:w="2440" w:type="dxa"/>
            <w:vAlign w:val="bottom"/>
            <w:tcBorders>
              <w:right w:val="single" w:sz="8" w:color="auto"/>
            </w:tcBorders>
            <w:gridSpan w:val="3"/>
          </w:tcPr>
          <w:p>
            <w:pPr>
              <w:jc w:val="center"/>
              <w:spacing w:after="0" w:line="214" w:lineRule="exact"/>
              <w:rPr>
                <w:sz w:val="20"/>
                <w:szCs w:val="20"/>
                <w:color w:val="auto"/>
              </w:rPr>
            </w:pPr>
            <w:r>
              <w:rPr>
                <w:rFonts w:ascii="Arial" w:cs="Arial" w:eastAsia="Arial" w:hAnsi="Arial"/>
                <w:sz w:val="20"/>
                <w:szCs w:val="20"/>
                <w:color w:val="auto"/>
              </w:rPr>
              <w:t>149,029 138,468 133,374</w:t>
            </w:r>
          </w:p>
        </w:tc>
        <w:tc>
          <w:tcPr>
            <w:tcW w:w="640" w:type="dxa"/>
            <w:vAlign w:val="bottom"/>
          </w:tcPr>
          <w:p>
            <w:pPr>
              <w:jc w:val="center"/>
              <w:spacing w:after="0" w:line="214" w:lineRule="exact"/>
              <w:rPr>
                <w:sz w:val="20"/>
                <w:szCs w:val="20"/>
                <w:color w:val="auto"/>
              </w:rPr>
            </w:pPr>
            <w:r>
              <w:rPr>
                <w:rFonts w:ascii="Arial" w:cs="Arial" w:eastAsia="Arial" w:hAnsi="Arial"/>
                <w:sz w:val="20"/>
                <w:szCs w:val="20"/>
                <w:color w:val="auto"/>
                <w:w w:val="95"/>
              </w:rPr>
              <w:t>-3.7%</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-10.5%</w:t>
            </w:r>
          </w:p>
        </w:tc>
        <w:tc>
          <w:tcPr>
            <w:tcW w:w="166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rPr>
              <w:t>465,560 409,428</w:t>
            </w:r>
          </w:p>
        </w:tc>
        <w:tc>
          <w:tcPr>
            <w:tcW w:w="14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-12.1%</w:t>
            </w:r>
          </w:p>
        </w:tc>
      </w:tr>
      <w:tr>
        <w:trPr>
          <w:trHeight w:val="214"/>
        </w:trPr>
        <w:tc>
          <w:tcPr>
            <w:tcW w:w="4280" w:type="dxa"/>
            <w:vAlign w:val="bottom"/>
            <w:tcBorders>
              <w:left w:val="single" w:sz="8" w:color="auto"/>
              <w:right w:val="single" w:sz="8" w:color="auto"/>
            </w:tcBorders>
          </w:tcPr>
          <w:p>
            <w:pPr>
              <w:ind w:left="200"/>
              <w:spacing w:after="0" w:line="214" w:lineRule="exact"/>
              <w:rPr>
                <w:sz w:val="20"/>
                <w:szCs w:val="20"/>
                <w:color w:val="auto"/>
              </w:rPr>
            </w:pPr>
            <w:r>
              <w:rPr>
                <w:rFonts w:ascii="Arial" w:cs="Arial" w:eastAsia="Arial" w:hAnsi="Arial"/>
                <w:sz w:val="20"/>
                <w:szCs w:val="20"/>
                <w:color w:val="auto"/>
              </w:rPr>
              <w:t>Net gain on foreign exchange transactions</w:t>
            </w:r>
          </w:p>
        </w:tc>
        <w:tc>
          <w:tcPr>
            <w:tcW w:w="780" w:type="dxa"/>
            <w:vAlign w:val="bottom"/>
          </w:tcPr>
          <w:p>
            <w:pPr>
              <w:jc w:val="center"/>
              <w:spacing w:after="0" w:line="214" w:lineRule="exact"/>
              <w:rPr>
                <w:sz w:val="20"/>
                <w:szCs w:val="20"/>
                <w:color w:val="auto"/>
              </w:rPr>
            </w:pPr>
            <w:r>
              <w:rPr>
                <w:rFonts w:ascii="Arial" w:cs="Arial" w:eastAsia="Arial" w:hAnsi="Arial"/>
                <w:sz w:val="20"/>
                <w:szCs w:val="20"/>
                <w:color w:val="auto"/>
                <w:w w:val="98"/>
              </w:rPr>
              <w:t>-3,033</w:t>
            </w:r>
          </w:p>
        </w:tc>
        <w:tc>
          <w:tcPr>
            <w:tcW w:w="860" w:type="dxa"/>
            <w:vAlign w:val="bottom"/>
          </w:tcPr>
          <w:p>
            <w:pPr>
              <w:jc w:val="center"/>
              <w:spacing w:after="0" w:line="214" w:lineRule="exact"/>
              <w:rPr>
                <w:sz w:val="20"/>
                <w:szCs w:val="20"/>
                <w:color w:val="auto"/>
              </w:rPr>
            </w:pPr>
            <w:r>
              <w:rPr>
                <w:rFonts w:ascii="Arial" w:cs="Arial" w:eastAsia="Arial" w:hAnsi="Arial"/>
                <w:sz w:val="20"/>
                <w:szCs w:val="20"/>
                <w:color w:val="auto"/>
                <w:w w:val="98"/>
              </w:rPr>
              <w:t>12,338</w:t>
            </w:r>
          </w:p>
        </w:tc>
        <w:tc>
          <w:tcPr>
            <w:tcW w:w="8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15,136</w:t>
            </w:r>
          </w:p>
        </w:tc>
        <w:tc>
          <w:tcPr>
            <w:tcW w:w="640" w:type="dxa"/>
            <w:vAlign w:val="bottom"/>
          </w:tcPr>
          <w:p>
            <w:pPr>
              <w:jc w:val="center"/>
              <w:spacing w:after="0" w:line="214" w:lineRule="exact"/>
              <w:rPr>
                <w:sz w:val="20"/>
                <w:szCs w:val="20"/>
                <w:color w:val="auto"/>
              </w:rPr>
            </w:pPr>
            <w:r>
              <w:rPr>
                <w:rFonts w:ascii="Arial" w:cs="Arial" w:eastAsia="Arial" w:hAnsi="Arial"/>
                <w:sz w:val="20"/>
                <w:szCs w:val="20"/>
                <w:color w:val="auto"/>
                <w:w w:val="95"/>
              </w:rPr>
              <w:t>22.7%</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3"/>
              </w:rPr>
              <w:t>n.a</w:t>
            </w:r>
          </w:p>
        </w:tc>
        <w:tc>
          <w:tcPr>
            <w:tcW w:w="820" w:type="dxa"/>
            <w:vAlign w:val="bottom"/>
          </w:tcPr>
          <w:p>
            <w:pPr>
              <w:jc w:val="center"/>
              <w:spacing w:after="0" w:line="214" w:lineRule="exact"/>
              <w:rPr>
                <w:sz w:val="20"/>
                <w:szCs w:val="20"/>
                <w:color w:val="auto"/>
              </w:rPr>
            </w:pPr>
            <w:r>
              <w:rPr>
                <w:rFonts w:ascii="Arial" w:cs="Arial" w:eastAsia="Arial" w:hAnsi="Arial"/>
                <w:sz w:val="20"/>
                <w:szCs w:val="20"/>
                <w:color w:val="auto"/>
              </w:rPr>
              <w:t>985</w:t>
            </w:r>
          </w:p>
        </w:tc>
        <w:tc>
          <w:tcPr>
            <w:tcW w:w="8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23,001</w:t>
            </w:r>
          </w:p>
        </w:tc>
        <w:tc>
          <w:tcPr>
            <w:tcW w:w="14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6"/>
              </w:rPr>
              <w:t>2235.1%</w:t>
            </w:r>
          </w:p>
        </w:tc>
      </w:tr>
      <w:tr>
        <w:trPr>
          <w:trHeight w:val="214"/>
        </w:trPr>
        <w:tc>
          <w:tcPr>
            <w:tcW w:w="4280" w:type="dxa"/>
            <w:vAlign w:val="bottom"/>
            <w:tcBorders>
              <w:left w:val="single" w:sz="8" w:color="auto"/>
              <w:right w:val="single" w:sz="8" w:color="auto"/>
            </w:tcBorders>
          </w:tcPr>
          <w:p>
            <w:pPr>
              <w:ind w:left="200"/>
              <w:spacing w:after="0" w:line="214" w:lineRule="exact"/>
              <w:rPr>
                <w:sz w:val="20"/>
                <w:szCs w:val="20"/>
                <w:color w:val="auto"/>
              </w:rPr>
            </w:pPr>
            <w:r>
              <w:rPr>
                <w:rFonts w:ascii="Arial" w:cs="Arial" w:eastAsia="Arial" w:hAnsi="Arial"/>
                <w:sz w:val="20"/>
                <w:szCs w:val="20"/>
                <w:color w:val="auto"/>
              </w:rPr>
              <w:t>Net gain on sales of securities</w:t>
            </w:r>
          </w:p>
        </w:tc>
        <w:tc>
          <w:tcPr>
            <w:tcW w:w="780" w:type="dxa"/>
            <w:vAlign w:val="bottom"/>
          </w:tcPr>
          <w:p>
            <w:pPr>
              <w:jc w:val="center"/>
              <w:spacing w:after="0" w:line="214" w:lineRule="exact"/>
              <w:rPr>
                <w:sz w:val="20"/>
                <w:szCs w:val="20"/>
                <w:color w:val="auto"/>
              </w:rPr>
            </w:pPr>
            <w:r>
              <w:rPr>
                <w:rFonts w:ascii="Arial" w:cs="Arial" w:eastAsia="Arial" w:hAnsi="Arial"/>
                <w:sz w:val="20"/>
                <w:szCs w:val="20"/>
                <w:color w:val="auto"/>
                <w:w w:val="98"/>
              </w:rPr>
              <w:t>34,790</w:t>
            </w:r>
          </w:p>
        </w:tc>
        <w:tc>
          <w:tcPr>
            <w:tcW w:w="860" w:type="dxa"/>
            <w:vAlign w:val="bottom"/>
          </w:tcPr>
          <w:p>
            <w:pPr>
              <w:jc w:val="center"/>
              <w:spacing w:after="0" w:line="214" w:lineRule="exact"/>
              <w:rPr>
                <w:sz w:val="20"/>
                <w:szCs w:val="20"/>
                <w:color w:val="auto"/>
              </w:rPr>
            </w:pPr>
            <w:r>
              <w:rPr>
                <w:rFonts w:ascii="Arial" w:cs="Arial" w:eastAsia="Arial" w:hAnsi="Arial"/>
                <w:sz w:val="20"/>
                <w:szCs w:val="20"/>
                <w:color w:val="auto"/>
                <w:w w:val="97"/>
              </w:rPr>
              <w:t>-15,406</w:t>
            </w:r>
          </w:p>
        </w:tc>
        <w:tc>
          <w:tcPr>
            <w:tcW w:w="8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12,747</w:t>
            </w:r>
          </w:p>
        </w:tc>
        <w:tc>
          <w:tcPr>
            <w:tcW w:w="640" w:type="dxa"/>
            <w:vAlign w:val="bottom"/>
          </w:tcPr>
          <w:p>
            <w:pPr>
              <w:jc w:val="center"/>
              <w:spacing w:after="0" w:line="214" w:lineRule="exact"/>
              <w:rPr>
                <w:sz w:val="20"/>
                <w:szCs w:val="20"/>
                <w:color w:val="auto"/>
              </w:rPr>
            </w:pPr>
            <w:r>
              <w:rPr>
                <w:rFonts w:ascii="Arial" w:cs="Arial" w:eastAsia="Arial" w:hAnsi="Arial"/>
                <w:sz w:val="20"/>
                <w:szCs w:val="20"/>
                <w:color w:val="auto"/>
                <w:w w:val="93"/>
              </w:rPr>
              <w:t>n.a</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-63.4%</w:t>
            </w:r>
          </w:p>
        </w:tc>
        <w:tc>
          <w:tcPr>
            <w:tcW w:w="820" w:type="dxa"/>
            <w:vAlign w:val="bottom"/>
          </w:tcPr>
          <w:p>
            <w:pPr>
              <w:jc w:val="center"/>
              <w:spacing w:after="0" w:line="214" w:lineRule="exact"/>
              <w:rPr>
                <w:sz w:val="20"/>
                <w:szCs w:val="20"/>
                <w:color w:val="auto"/>
              </w:rPr>
            </w:pPr>
            <w:r>
              <w:rPr>
                <w:rFonts w:ascii="Arial" w:cs="Arial" w:eastAsia="Arial" w:hAnsi="Arial"/>
                <w:sz w:val="20"/>
                <w:szCs w:val="20"/>
                <w:color w:val="auto"/>
                <w:w w:val="98"/>
              </w:rPr>
              <w:t>34,922</w:t>
            </w:r>
          </w:p>
        </w:tc>
        <w:tc>
          <w:tcPr>
            <w:tcW w:w="8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9"/>
              </w:rPr>
              <w:t>8,035</w:t>
            </w:r>
          </w:p>
        </w:tc>
        <w:tc>
          <w:tcPr>
            <w:tcW w:w="14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-77.0%</w:t>
            </w:r>
          </w:p>
        </w:tc>
      </w:tr>
      <w:tr>
        <w:trPr>
          <w:trHeight w:val="214"/>
        </w:trPr>
        <w:tc>
          <w:tcPr>
            <w:tcW w:w="4280" w:type="dxa"/>
            <w:vAlign w:val="bottom"/>
            <w:tcBorders>
              <w:left w:val="single" w:sz="8" w:color="auto"/>
              <w:right w:val="single" w:sz="8" w:color="auto"/>
            </w:tcBorders>
          </w:tcPr>
          <w:p>
            <w:pPr>
              <w:ind w:left="200"/>
              <w:spacing w:after="0" w:line="214" w:lineRule="exact"/>
              <w:rPr>
                <w:sz w:val="20"/>
                <w:szCs w:val="20"/>
                <w:color w:val="auto"/>
              </w:rPr>
            </w:pPr>
            <w:r>
              <w:rPr>
                <w:rFonts w:ascii="Arial" w:cs="Arial" w:eastAsia="Arial" w:hAnsi="Arial"/>
                <w:sz w:val="20"/>
                <w:szCs w:val="20"/>
                <w:color w:val="auto"/>
              </w:rPr>
              <w:t>Derivative Result</w:t>
            </w:r>
          </w:p>
        </w:tc>
        <w:tc>
          <w:tcPr>
            <w:tcW w:w="780" w:type="dxa"/>
            <w:vAlign w:val="bottom"/>
          </w:tcPr>
          <w:p>
            <w:pPr>
              <w:jc w:val="center"/>
              <w:spacing w:after="0" w:line="214" w:lineRule="exact"/>
              <w:rPr>
                <w:sz w:val="20"/>
                <w:szCs w:val="20"/>
                <w:color w:val="auto"/>
              </w:rPr>
            </w:pPr>
            <w:r>
              <w:rPr>
                <w:rFonts w:ascii="Arial" w:cs="Arial" w:eastAsia="Arial" w:hAnsi="Arial"/>
                <w:sz w:val="20"/>
                <w:szCs w:val="20"/>
                <w:color w:val="auto"/>
                <w:w w:val="98"/>
              </w:rPr>
              <w:t>42,607</w:t>
            </w:r>
          </w:p>
        </w:tc>
        <w:tc>
          <w:tcPr>
            <w:tcW w:w="860" w:type="dxa"/>
            <w:vAlign w:val="bottom"/>
          </w:tcPr>
          <w:p>
            <w:pPr>
              <w:jc w:val="center"/>
              <w:spacing w:after="0" w:line="214" w:lineRule="exact"/>
              <w:rPr>
                <w:sz w:val="20"/>
                <w:szCs w:val="20"/>
                <w:color w:val="auto"/>
              </w:rPr>
            </w:pPr>
            <w:r>
              <w:rPr>
                <w:rFonts w:ascii="Arial" w:cs="Arial" w:eastAsia="Arial" w:hAnsi="Arial"/>
                <w:sz w:val="20"/>
                <w:szCs w:val="20"/>
                <w:color w:val="auto"/>
                <w:w w:val="98"/>
              </w:rPr>
              <w:t>31,345</w:t>
            </w:r>
          </w:p>
        </w:tc>
        <w:tc>
          <w:tcPr>
            <w:tcW w:w="80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37,650</w:t>
            </w:r>
          </w:p>
        </w:tc>
        <w:tc>
          <w:tcPr>
            <w:tcW w:w="1400" w:type="dxa"/>
            <w:vAlign w:val="bottom"/>
            <w:tcBorders>
              <w:right w:val="single" w:sz="8" w:color="auto"/>
            </w:tcBorders>
            <w:gridSpan w:val="2"/>
          </w:tcPr>
          <w:p>
            <w:pPr>
              <w:jc w:val="center"/>
              <w:spacing w:after="0" w:line="214" w:lineRule="exact"/>
              <w:rPr>
                <w:sz w:val="20"/>
                <w:szCs w:val="20"/>
                <w:color w:val="auto"/>
              </w:rPr>
            </w:pPr>
            <w:r>
              <w:rPr>
                <w:rFonts w:ascii="Arial" w:cs="Arial" w:eastAsia="Arial" w:hAnsi="Arial"/>
                <w:sz w:val="20"/>
                <w:szCs w:val="20"/>
                <w:color w:val="auto"/>
              </w:rPr>
              <w:t>20.1% -11.6%</w:t>
            </w:r>
          </w:p>
        </w:tc>
        <w:tc>
          <w:tcPr>
            <w:tcW w:w="820" w:type="dxa"/>
            <w:vAlign w:val="bottom"/>
          </w:tcPr>
          <w:p>
            <w:pPr>
              <w:jc w:val="center"/>
              <w:spacing w:after="0" w:line="214" w:lineRule="exact"/>
              <w:rPr>
                <w:sz w:val="20"/>
                <w:szCs w:val="20"/>
                <w:color w:val="auto"/>
              </w:rPr>
            </w:pPr>
            <w:r>
              <w:rPr>
                <w:rFonts w:ascii="Arial" w:cs="Arial" w:eastAsia="Arial" w:hAnsi="Arial"/>
                <w:sz w:val="20"/>
                <w:szCs w:val="20"/>
                <w:color w:val="auto"/>
                <w:w w:val="96"/>
              </w:rPr>
              <w:t>113,319</w:t>
            </w:r>
          </w:p>
        </w:tc>
        <w:tc>
          <w:tcPr>
            <w:tcW w:w="8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72,317</w:t>
            </w:r>
          </w:p>
        </w:tc>
        <w:tc>
          <w:tcPr>
            <w:tcW w:w="14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-36.2%</w:t>
            </w:r>
          </w:p>
        </w:tc>
      </w:tr>
      <w:tr>
        <w:trPr>
          <w:trHeight w:val="214"/>
        </w:trPr>
        <w:tc>
          <w:tcPr>
            <w:tcW w:w="4280" w:type="dxa"/>
            <w:vAlign w:val="bottom"/>
            <w:tcBorders>
              <w:left w:val="single" w:sz="8" w:color="auto"/>
              <w:right w:val="single" w:sz="8" w:color="auto"/>
            </w:tcBorders>
          </w:tcPr>
          <w:p>
            <w:pPr>
              <w:ind w:left="200"/>
              <w:spacing w:after="0" w:line="214" w:lineRule="exact"/>
              <w:rPr>
                <w:sz w:val="20"/>
                <w:szCs w:val="20"/>
                <w:color w:val="auto"/>
              </w:rPr>
            </w:pPr>
            <w:r>
              <w:rPr>
                <w:rFonts w:ascii="Arial" w:cs="Arial" w:eastAsia="Arial" w:hAnsi="Arial"/>
                <w:sz w:val="20"/>
                <w:szCs w:val="20"/>
                <w:color w:val="auto"/>
              </w:rPr>
              <w:t>Result from exposure to the exchange rate</w:t>
            </w:r>
          </w:p>
        </w:tc>
        <w:tc>
          <w:tcPr>
            <w:tcW w:w="2440" w:type="dxa"/>
            <w:vAlign w:val="bottom"/>
            <w:tcBorders>
              <w:right w:val="single" w:sz="8" w:color="auto"/>
            </w:tcBorders>
            <w:gridSpan w:val="3"/>
          </w:tcPr>
          <w:p>
            <w:pPr>
              <w:jc w:val="center"/>
              <w:spacing w:after="0" w:line="214" w:lineRule="exact"/>
              <w:rPr>
                <w:sz w:val="20"/>
                <w:szCs w:val="20"/>
                <w:color w:val="auto"/>
              </w:rPr>
            </w:pPr>
            <w:r>
              <w:rPr>
                <w:rFonts w:ascii="Arial" w:cs="Arial" w:eastAsia="Arial" w:hAnsi="Arial"/>
                <w:sz w:val="20"/>
                <w:szCs w:val="20"/>
                <w:color w:val="auto"/>
              </w:rPr>
              <w:t>-10,599  -28,225  -29,955</w:t>
            </w:r>
          </w:p>
        </w:tc>
        <w:tc>
          <w:tcPr>
            <w:tcW w:w="640" w:type="dxa"/>
            <w:vAlign w:val="bottom"/>
          </w:tcPr>
          <w:p>
            <w:pPr>
              <w:jc w:val="center"/>
              <w:spacing w:after="0" w:line="214" w:lineRule="exact"/>
              <w:rPr>
                <w:sz w:val="20"/>
                <w:szCs w:val="20"/>
                <w:color w:val="auto"/>
              </w:rPr>
            </w:pPr>
            <w:r>
              <w:rPr>
                <w:rFonts w:ascii="Arial" w:cs="Arial" w:eastAsia="Arial" w:hAnsi="Arial"/>
                <w:sz w:val="20"/>
                <w:szCs w:val="20"/>
                <w:color w:val="auto"/>
              </w:rPr>
              <w:t>6.1%</w:t>
            </w:r>
          </w:p>
        </w:tc>
        <w:tc>
          <w:tcPr>
            <w:tcW w:w="7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182.6%</w:t>
            </w:r>
          </w:p>
        </w:tc>
        <w:tc>
          <w:tcPr>
            <w:tcW w:w="820" w:type="dxa"/>
            <w:vAlign w:val="bottom"/>
          </w:tcPr>
          <w:p>
            <w:pPr>
              <w:jc w:val="center"/>
              <w:spacing w:after="0" w:line="214" w:lineRule="exact"/>
              <w:rPr>
                <w:sz w:val="20"/>
                <w:szCs w:val="20"/>
                <w:color w:val="auto"/>
              </w:rPr>
            </w:pPr>
            <w:r>
              <w:rPr>
                <w:rFonts w:ascii="Arial" w:cs="Arial" w:eastAsia="Arial" w:hAnsi="Arial"/>
                <w:sz w:val="20"/>
                <w:szCs w:val="20"/>
                <w:color w:val="auto"/>
                <w:w w:val="97"/>
              </w:rPr>
              <w:t>-23,295</w:t>
            </w:r>
          </w:p>
        </w:tc>
        <w:tc>
          <w:tcPr>
            <w:tcW w:w="84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7"/>
              </w:rPr>
              <w:t>-33,319</w:t>
            </w:r>
          </w:p>
        </w:tc>
        <w:tc>
          <w:tcPr>
            <w:tcW w:w="146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color w:val="auto"/>
                <w:w w:val="98"/>
              </w:rPr>
              <w:t>43.0%</w:t>
            </w:r>
          </w:p>
        </w:tc>
      </w:tr>
      <w:tr>
        <w:trPr>
          <w:trHeight w:val="206"/>
        </w:trPr>
        <w:tc>
          <w:tcPr>
            <w:tcW w:w="4280" w:type="dxa"/>
            <w:vAlign w:val="bottom"/>
            <w:tcBorders>
              <w:left w:val="single" w:sz="8" w:color="auto"/>
              <w:right w:val="single" w:sz="8" w:color="auto"/>
            </w:tcBorders>
          </w:tcPr>
          <w:p>
            <w:pPr>
              <w:ind w:left="200"/>
              <w:spacing w:after="0" w:line="206" w:lineRule="exact"/>
              <w:rPr>
                <w:sz w:val="20"/>
                <w:szCs w:val="20"/>
                <w:color w:val="auto"/>
              </w:rPr>
            </w:pPr>
            <w:r>
              <w:rPr>
                <w:rFonts w:ascii="Arial" w:cs="Arial" w:eastAsia="Arial" w:hAnsi="Arial"/>
                <w:sz w:val="20"/>
                <w:szCs w:val="20"/>
                <w:color w:val="auto"/>
              </w:rPr>
              <w:t>Other income</w:t>
            </w:r>
          </w:p>
        </w:tc>
        <w:tc>
          <w:tcPr>
            <w:tcW w:w="780" w:type="dxa"/>
            <w:vAlign w:val="bottom"/>
          </w:tcPr>
          <w:p>
            <w:pPr>
              <w:jc w:val="center"/>
              <w:spacing w:after="0" w:line="206" w:lineRule="exact"/>
              <w:rPr>
                <w:sz w:val="20"/>
                <w:szCs w:val="20"/>
                <w:color w:val="auto"/>
              </w:rPr>
            </w:pPr>
            <w:r>
              <w:rPr>
                <w:rFonts w:ascii="Arial" w:cs="Arial" w:eastAsia="Arial" w:hAnsi="Arial"/>
                <w:sz w:val="20"/>
                <w:szCs w:val="20"/>
                <w:color w:val="auto"/>
                <w:w w:val="99"/>
              </w:rPr>
              <w:t>4,564</w:t>
            </w:r>
          </w:p>
        </w:tc>
        <w:tc>
          <w:tcPr>
            <w:tcW w:w="860" w:type="dxa"/>
            <w:vAlign w:val="bottom"/>
          </w:tcPr>
          <w:p>
            <w:pPr>
              <w:jc w:val="center"/>
              <w:spacing w:after="0" w:line="206" w:lineRule="exact"/>
              <w:rPr>
                <w:sz w:val="20"/>
                <w:szCs w:val="20"/>
                <w:color w:val="auto"/>
              </w:rPr>
            </w:pPr>
            <w:r>
              <w:rPr>
                <w:rFonts w:ascii="Arial" w:cs="Arial" w:eastAsia="Arial" w:hAnsi="Arial"/>
                <w:sz w:val="20"/>
                <w:szCs w:val="20"/>
                <w:color w:val="auto"/>
                <w:w w:val="95"/>
              </w:rPr>
              <w:t>8,126</w:t>
            </w:r>
          </w:p>
        </w:tc>
        <w:tc>
          <w:tcPr>
            <w:tcW w:w="80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9"/>
              </w:rPr>
              <w:t>8,245</w:t>
            </w:r>
          </w:p>
        </w:tc>
        <w:tc>
          <w:tcPr>
            <w:tcW w:w="640" w:type="dxa"/>
            <w:vAlign w:val="bottom"/>
          </w:tcPr>
          <w:p>
            <w:pPr>
              <w:jc w:val="center"/>
              <w:spacing w:after="0" w:line="206" w:lineRule="exact"/>
              <w:rPr>
                <w:sz w:val="20"/>
                <w:szCs w:val="20"/>
                <w:color w:val="auto"/>
              </w:rPr>
            </w:pPr>
            <w:r>
              <w:rPr>
                <w:rFonts w:ascii="Arial" w:cs="Arial" w:eastAsia="Arial" w:hAnsi="Arial"/>
                <w:sz w:val="20"/>
                <w:szCs w:val="20"/>
                <w:color w:val="auto"/>
              </w:rPr>
              <w:t>1.5%</w:t>
            </w:r>
          </w:p>
        </w:tc>
        <w:tc>
          <w:tcPr>
            <w:tcW w:w="76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8"/>
              </w:rPr>
              <w:t>80.7%</w:t>
            </w:r>
          </w:p>
        </w:tc>
        <w:tc>
          <w:tcPr>
            <w:tcW w:w="820" w:type="dxa"/>
            <w:vAlign w:val="bottom"/>
          </w:tcPr>
          <w:p>
            <w:pPr>
              <w:jc w:val="center"/>
              <w:spacing w:after="0" w:line="206" w:lineRule="exact"/>
              <w:rPr>
                <w:sz w:val="20"/>
                <w:szCs w:val="20"/>
                <w:color w:val="auto"/>
              </w:rPr>
            </w:pPr>
            <w:r>
              <w:rPr>
                <w:rFonts w:ascii="Arial" w:cs="Arial" w:eastAsia="Arial" w:hAnsi="Arial"/>
                <w:sz w:val="20"/>
                <w:szCs w:val="20"/>
                <w:color w:val="auto"/>
                <w:w w:val="98"/>
              </w:rPr>
              <w:t>17,664</w:t>
            </w:r>
          </w:p>
        </w:tc>
        <w:tc>
          <w:tcPr>
            <w:tcW w:w="84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8"/>
              </w:rPr>
              <w:t>24,372</w:t>
            </w:r>
          </w:p>
        </w:tc>
        <w:tc>
          <w:tcPr>
            <w:tcW w:w="1460" w:type="dxa"/>
            <w:vAlign w:val="bottom"/>
            <w:tcBorders>
              <w:right w:val="single" w:sz="8" w:color="auto"/>
            </w:tcBorders>
          </w:tcPr>
          <w:p>
            <w:pPr>
              <w:jc w:val="center"/>
              <w:spacing w:after="0" w:line="206" w:lineRule="exact"/>
              <w:rPr>
                <w:sz w:val="20"/>
                <w:szCs w:val="20"/>
                <w:color w:val="auto"/>
              </w:rPr>
            </w:pPr>
            <w:r>
              <w:rPr>
                <w:rFonts w:ascii="Arial" w:cs="Arial" w:eastAsia="Arial" w:hAnsi="Arial"/>
                <w:sz w:val="20"/>
                <w:szCs w:val="20"/>
                <w:color w:val="auto"/>
                <w:w w:val="98"/>
              </w:rPr>
              <w:t>38.0%</w:t>
            </w:r>
          </w:p>
        </w:tc>
      </w:tr>
      <w:tr>
        <w:trPr>
          <w:trHeight w:val="251"/>
        </w:trPr>
        <w:tc>
          <w:tcPr>
            <w:tcW w:w="4280" w:type="dxa"/>
            <w:vAlign w:val="bottom"/>
            <w:tcBorders>
              <w:left w:val="single" w:sz="8" w:color="auto"/>
              <w:bottom w:val="single" w:sz="8" w:color="auto"/>
              <w:right w:val="single" w:sz="8" w:color="auto"/>
            </w:tcBorders>
          </w:tcPr>
          <w:p>
            <w:pPr>
              <w:ind w:left="40"/>
              <w:spacing w:after="0" w:line="245"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8"/>
                <w:szCs w:val="28"/>
                <w:color w:val="auto"/>
                <w:vertAlign w:val="superscript"/>
              </w:rPr>
              <w:t>(1)</w:t>
            </w:r>
          </w:p>
        </w:tc>
        <w:tc>
          <w:tcPr>
            <w:tcW w:w="24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20"/>
                <w:szCs w:val="20"/>
                <w:color w:val="auto"/>
                <w:w w:val="96"/>
              </w:rPr>
              <w:t>-166,716 -160,877 -159,294</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-1.0%</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5"/>
              </w:rPr>
              <w:t>-4.5%</w:t>
            </w:r>
          </w:p>
        </w:tc>
        <w:tc>
          <w:tcPr>
            <w:tcW w:w="16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-485,488 -482,429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-0.6%</w:t>
            </w:r>
          </w:p>
        </w:tc>
      </w:tr>
      <w:tr>
        <w:trPr>
          <w:trHeight w:val="221"/>
        </w:trPr>
        <w:tc>
          <w:tcPr>
            <w:tcW w:w="428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Operating income</w:t>
            </w:r>
          </w:p>
        </w:tc>
        <w:tc>
          <w:tcPr>
            <w:tcW w:w="7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64,932</w:t>
            </w:r>
          </w:p>
        </w:tc>
        <w:tc>
          <w:tcPr>
            <w:tcW w:w="86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5"/>
              </w:rPr>
              <w:t>4,699</w:t>
            </w:r>
          </w:p>
        </w:tc>
        <w:tc>
          <w:tcPr>
            <w:tcW w:w="80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36,922</w:t>
            </w:r>
          </w:p>
        </w:tc>
        <w:tc>
          <w:tcPr>
            <w:tcW w:w="6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N/A</w:t>
            </w:r>
          </w:p>
        </w:tc>
        <w:tc>
          <w:tcPr>
            <w:tcW w:w="7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-43.1%</w:t>
            </w:r>
          </w:p>
        </w:tc>
        <w:tc>
          <w:tcPr>
            <w:tcW w:w="82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184,099</w:t>
            </w:r>
          </w:p>
        </w:tc>
        <w:tc>
          <w:tcPr>
            <w:tcW w:w="84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78,700</w:t>
            </w:r>
          </w:p>
        </w:tc>
        <w:tc>
          <w:tcPr>
            <w:tcW w:w="14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-57.3%</w:t>
            </w:r>
          </w:p>
        </w:tc>
      </w:tr>
      <w:tr>
        <w:trPr>
          <w:trHeight w:val="193"/>
        </w:trPr>
        <w:tc>
          <w:tcPr>
            <w:tcW w:w="4280" w:type="dxa"/>
            <w:vAlign w:val="bottom"/>
            <w:tcBorders>
              <w:left w:val="single" w:sz="8" w:color="auto"/>
              <w:right w:val="single" w:sz="8" w:color="auto"/>
            </w:tcBorders>
          </w:tcPr>
          <w:p>
            <w:pPr>
              <w:ind w:left="40"/>
              <w:spacing w:after="0" w:line="193" w:lineRule="exact"/>
              <w:rPr>
                <w:sz w:val="20"/>
                <w:szCs w:val="20"/>
                <w:color w:val="auto"/>
              </w:rPr>
            </w:pPr>
            <w:r>
              <w:rPr>
                <w:rFonts w:ascii="Arial" w:cs="Arial" w:eastAsia="Arial" w:hAnsi="Arial"/>
                <w:sz w:val="20"/>
                <w:szCs w:val="20"/>
                <w:color w:val="auto"/>
              </w:rPr>
              <w:t>Income taxes</w:t>
            </w:r>
          </w:p>
        </w:tc>
        <w:tc>
          <w:tcPr>
            <w:tcW w:w="780" w:type="dxa"/>
            <w:vAlign w:val="bottom"/>
          </w:tcPr>
          <w:p>
            <w:pPr>
              <w:jc w:val="center"/>
              <w:spacing w:after="0" w:line="193" w:lineRule="exact"/>
              <w:rPr>
                <w:sz w:val="20"/>
                <w:szCs w:val="20"/>
                <w:color w:val="auto"/>
              </w:rPr>
            </w:pPr>
            <w:r>
              <w:rPr>
                <w:rFonts w:ascii="Arial" w:cs="Arial" w:eastAsia="Arial" w:hAnsi="Arial"/>
                <w:sz w:val="20"/>
                <w:szCs w:val="20"/>
                <w:color w:val="auto"/>
                <w:w w:val="98"/>
              </w:rPr>
              <w:t>-9,284</w:t>
            </w:r>
          </w:p>
        </w:tc>
        <w:tc>
          <w:tcPr>
            <w:tcW w:w="860" w:type="dxa"/>
            <w:vAlign w:val="bottom"/>
          </w:tcPr>
          <w:p>
            <w:pPr>
              <w:jc w:val="center"/>
              <w:spacing w:after="0" w:line="193" w:lineRule="exact"/>
              <w:rPr>
                <w:sz w:val="20"/>
                <w:szCs w:val="20"/>
                <w:color w:val="auto"/>
              </w:rPr>
            </w:pPr>
            <w:r>
              <w:rPr>
                <w:rFonts w:ascii="Arial" w:cs="Arial" w:eastAsia="Arial" w:hAnsi="Arial"/>
                <w:sz w:val="20"/>
                <w:szCs w:val="20"/>
                <w:color w:val="auto"/>
                <w:w w:val="95"/>
              </w:rPr>
              <w:t>273</w:t>
            </w:r>
          </w:p>
        </w:tc>
        <w:tc>
          <w:tcPr>
            <w:tcW w:w="80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8"/>
              </w:rPr>
              <w:t>-7,928</w:t>
            </w:r>
          </w:p>
        </w:tc>
        <w:tc>
          <w:tcPr>
            <w:tcW w:w="640" w:type="dxa"/>
            <w:vAlign w:val="bottom"/>
          </w:tcPr>
          <w:p>
            <w:pPr>
              <w:jc w:val="center"/>
              <w:spacing w:after="0" w:line="193" w:lineRule="exact"/>
              <w:rPr>
                <w:sz w:val="20"/>
                <w:szCs w:val="20"/>
                <w:color w:val="auto"/>
              </w:rPr>
            </w:pPr>
            <w:r>
              <w:rPr>
                <w:rFonts w:ascii="Arial" w:cs="Arial" w:eastAsia="Arial" w:hAnsi="Arial"/>
                <w:sz w:val="20"/>
                <w:szCs w:val="20"/>
                <w:color w:val="auto"/>
              </w:rPr>
              <w:t>N/A</w:t>
            </w:r>
          </w:p>
        </w:tc>
        <w:tc>
          <w:tcPr>
            <w:tcW w:w="7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7"/>
              </w:rPr>
              <w:t>-14.6%</w:t>
            </w:r>
          </w:p>
        </w:tc>
        <w:tc>
          <w:tcPr>
            <w:tcW w:w="820" w:type="dxa"/>
            <w:vAlign w:val="bottom"/>
          </w:tcPr>
          <w:p>
            <w:pPr>
              <w:jc w:val="center"/>
              <w:spacing w:after="0" w:line="193" w:lineRule="exact"/>
              <w:rPr>
                <w:sz w:val="20"/>
                <w:szCs w:val="20"/>
                <w:color w:val="auto"/>
              </w:rPr>
            </w:pPr>
            <w:r>
              <w:rPr>
                <w:rFonts w:ascii="Arial" w:cs="Arial" w:eastAsia="Arial" w:hAnsi="Arial"/>
                <w:sz w:val="20"/>
                <w:szCs w:val="20"/>
                <w:color w:val="auto"/>
                <w:w w:val="97"/>
              </w:rPr>
              <w:t>-25,735</w:t>
            </w:r>
          </w:p>
        </w:tc>
        <w:tc>
          <w:tcPr>
            <w:tcW w:w="8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8"/>
              </w:rPr>
              <w:t>-9,204</w:t>
            </w:r>
          </w:p>
        </w:tc>
        <w:tc>
          <w:tcPr>
            <w:tcW w:w="146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20"/>
                <w:szCs w:val="20"/>
                <w:color w:val="auto"/>
                <w:w w:val="97"/>
              </w:rPr>
              <w:t>-64.2%</w:t>
            </w:r>
          </w:p>
        </w:tc>
      </w:tr>
      <w:tr>
        <w:trPr>
          <w:trHeight w:val="243"/>
        </w:trPr>
        <w:tc>
          <w:tcPr>
            <w:tcW w:w="42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Non-controlling interest</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1,537</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5"/>
              </w:rPr>
              <w:t>459</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763</w:t>
            </w:r>
          </w:p>
        </w:tc>
        <w:tc>
          <w:tcPr>
            <w:tcW w:w="14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0"/>
                <w:szCs w:val="20"/>
                <w:color w:val="auto"/>
              </w:rPr>
              <w:t>66.3% -50.3%</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9"/>
              </w:rPr>
              <w:t>3,109</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1,979</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-36.3%</w:t>
            </w:r>
          </w:p>
        </w:tc>
      </w:tr>
      <w:tr>
        <w:trPr>
          <w:trHeight w:val="221"/>
        </w:trPr>
        <w:tc>
          <w:tcPr>
            <w:tcW w:w="4280" w:type="dxa"/>
            <w:vAlign w:val="bottom"/>
            <w:tcBorders>
              <w:left w:val="single" w:sz="8" w:color="auto"/>
              <w:bottom w:val="single" w:sz="8" w:color="auto"/>
              <w:right w:val="single" w:sz="8" w:color="auto"/>
            </w:tcBorders>
          </w:tcPr>
          <w:p>
            <w:pPr>
              <w:ind w:left="40"/>
              <w:spacing w:after="0" w:line="214" w:lineRule="exact"/>
              <w:rPr>
                <w:sz w:val="20"/>
                <w:szCs w:val="20"/>
                <w:color w:val="auto"/>
              </w:rPr>
            </w:pPr>
            <w:r>
              <w:rPr>
                <w:rFonts w:ascii="Arial" w:cs="Arial" w:eastAsia="Arial" w:hAnsi="Arial"/>
                <w:sz w:val="20"/>
                <w:szCs w:val="20"/>
                <w:b w:val="1"/>
                <w:bCs w:val="1"/>
                <w:color w:val="auto"/>
              </w:rPr>
              <w:t>Net income</w:t>
            </w:r>
          </w:p>
        </w:tc>
        <w:tc>
          <w:tcPr>
            <w:tcW w:w="78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4"/>
              </w:rPr>
              <w:t>54,111</w:t>
            </w:r>
          </w:p>
        </w:tc>
        <w:tc>
          <w:tcPr>
            <w:tcW w:w="86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5"/>
              </w:rPr>
              <w:t>4,513</w:t>
            </w:r>
          </w:p>
        </w:tc>
        <w:tc>
          <w:tcPr>
            <w:tcW w:w="80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28,231</w:t>
            </w:r>
          </w:p>
        </w:tc>
        <w:tc>
          <w:tcPr>
            <w:tcW w:w="6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N/A</w:t>
            </w:r>
          </w:p>
        </w:tc>
        <w:tc>
          <w:tcPr>
            <w:tcW w:w="7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-47.8%</w:t>
            </w:r>
          </w:p>
        </w:tc>
        <w:tc>
          <w:tcPr>
            <w:tcW w:w="82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6"/>
              </w:rPr>
              <w:t>155,255</w:t>
            </w:r>
          </w:p>
        </w:tc>
        <w:tc>
          <w:tcPr>
            <w:tcW w:w="84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8"/>
              </w:rPr>
              <w:t>67,517</w:t>
            </w:r>
          </w:p>
        </w:tc>
        <w:tc>
          <w:tcPr>
            <w:tcW w:w="1460" w:type="dxa"/>
            <w:vAlign w:val="bottom"/>
            <w:tcBorders>
              <w:bottom w:val="single" w:sz="8" w:color="auto"/>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7"/>
              </w:rPr>
              <w:t>-56.5%</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Includes: Salaries and employee’s benefits + Administrative expenses + Assigned expenses + Depreciation and amortization + Tax and contributions + Other expenses.</w:t>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72" w:name="page73"/>
    <w:bookmarkEnd w:id="72"/>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12.6.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168275</wp:posOffset>
            </wp:positionV>
            <wp:extent cx="5305425" cy="52292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305425" cy="522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80" w:hanging="173"/>
        <w:spacing w:after="0"/>
        <w:tabs>
          <w:tab w:leader="none" w:pos="1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Averages are determined as the average of period-beginning and period-ending balances.</w:t>
      </w:r>
    </w:p>
    <w:p>
      <w:pPr>
        <w:spacing w:after="0" w:line="7" w:lineRule="exact"/>
        <w:rPr>
          <w:rFonts w:ascii="Times New Roman" w:cs="Times New Roman" w:eastAsia="Times New Roman" w:hAnsi="Times New Roman"/>
          <w:sz w:val="12"/>
          <w:szCs w:val="12"/>
          <w:color w:val="auto"/>
        </w:rPr>
      </w:pPr>
    </w:p>
    <w:p>
      <w:pPr>
        <w:ind w:left="180" w:hanging="173"/>
        <w:spacing w:after="0" w:line="232" w:lineRule="auto"/>
        <w:tabs>
          <w:tab w:leader="none" w:pos="1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total deposits, due to banks and correspondents, BCRP instruments, repurchase agreements and bonds and notes issued.</w:t>
      </w:r>
    </w:p>
    <w:p>
      <w:pPr>
        <w:ind w:left="180" w:hanging="173"/>
        <w:spacing w:after="0" w:line="232" w:lineRule="auto"/>
        <w:tabs>
          <w:tab w:leader="none" w:pos="1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include Life insurance business.</w:t>
      </w:r>
    </w:p>
    <w:p>
      <w:pPr>
        <w:ind w:right="120" w:firstLine="7"/>
        <w:spacing w:after="0" w:line="232" w:lineRule="auto"/>
        <w:tabs>
          <w:tab w:leader="none" w:pos="164"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Times New Roman" w:cs="Times New Roman" w:eastAsia="Times New Roman" w:hAnsi="Times New Roman"/>
          <w:sz w:val="12"/>
          <w:szCs w:val="12"/>
          <w:color w:val="auto"/>
        </w:rPr>
      </w:pPr>
    </w:p>
    <w:p>
      <w:pPr>
        <w:ind w:left="180" w:hanging="173"/>
        <w:spacing w:after="0"/>
        <w:tabs>
          <w:tab w:leader="none" w:pos="18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investment in subsidiaries, goodwill, intangibles and deferred tax that rely on future profitability.</w:t>
      </w:r>
    </w:p>
    <w:p>
      <w:pPr>
        <w:spacing w:after="0" w:line="3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451" w:right="339" w:bottom="1440" w:gutter="0" w:footer="0" w:header="0"/>
        </w:sectPr>
      </w:pPr>
    </w:p>
    <w:bookmarkStart w:id="73" w:name="page74"/>
    <w:bookmarkEnd w:id="73"/>
    <w:p>
      <w:pPr>
        <w:jc w:val="right"/>
        <w:spacing w:after="0"/>
        <w:tabs>
          <w:tab w:leader="none" w:pos="3620" w:val="left"/>
        </w:tabs>
        <w:rPr>
          <w:sz w:val="20"/>
          <w:szCs w:val="20"/>
          <w:color w:val="auto"/>
        </w:rPr>
      </w:pPr>
      <w:r>
        <w:rPr>
          <w:rFonts w:ascii="Arial" w:cs="Arial" w:eastAsia="Arial" w:hAnsi="Arial"/>
          <w:sz w:val="18"/>
          <w:szCs w:val="18"/>
          <w:color w:val="A5A5A5"/>
        </w:rPr>
        <w:drawing>
          <wp:anchor simplePos="0" relativeHeight="251657728" behindDoc="1" locked="0" layoutInCell="0" allowOverlap="1">
            <wp:simplePos x="0" y="0"/>
            <wp:positionH relativeFrom="page">
              <wp:posOffset>207645</wp:posOffset>
            </wp:positionH>
            <wp:positionV relativeFrom="page">
              <wp:posOffset>88900</wp:posOffset>
            </wp:positionV>
            <wp:extent cx="7133590" cy="5695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3590" cy="569595"/>
                    </a:xfrm>
                    <a:prstGeom prst="rect">
                      <a:avLst/>
                    </a:prstGeom>
                    <a:noFill/>
                  </pic:spPr>
                </pic:pic>
              </a:graphicData>
            </a:graphic>
          </wp:anchor>
        </w:drawing>
        <w:t>Earnings Release 3Q / 2022</w:t>
      </w:r>
      <w:r>
        <w:rPr>
          <w:sz w:val="20"/>
          <w:szCs w:val="20"/>
          <w:color w:val="auto"/>
        </w:rPr>
        <w:tab/>
      </w:r>
      <w:r>
        <w:rPr>
          <w:rFonts w:ascii="Arial" w:cs="Arial" w:eastAsia="Arial" w:hAnsi="Arial"/>
          <w:sz w:val="19"/>
          <w:szCs w:val="19"/>
          <w:b w:val="1"/>
          <w:bCs w:val="1"/>
          <w:color w:val="E93CAC"/>
        </w:rPr>
        <w:t>Analysis of 3Q22 Consolidated Results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3590" cy="1873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3590" cy="18732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12.7. Glossary of terms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3680" w:type="dxa"/>
            <w:vAlign w:val="bottom"/>
            <w:tcBorders>
              <w:top w:val="single" w:sz="8" w:color="auto"/>
              <w:left w:val="single" w:sz="8" w:color="auto"/>
              <w:bottom w:val="single" w:sz="8" w:color="auto"/>
              <w:right w:val="single" w:sz="8" w:color="auto"/>
            </w:tcBorders>
            <w:shd w:val="clear" w:color="auto" w:fill="2AD2C9"/>
          </w:tcPr>
          <w:p>
            <w:pPr>
              <w:ind w:left="160"/>
              <w:spacing w:after="0"/>
              <w:rPr>
                <w:sz w:val="20"/>
                <w:szCs w:val="20"/>
                <w:color w:val="auto"/>
              </w:rPr>
            </w:pPr>
            <w:r>
              <w:rPr>
                <w:rFonts w:ascii="Arial" w:cs="Arial" w:eastAsia="Arial" w:hAnsi="Arial"/>
                <w:sz w:val="18"/>
                <w:szCs w:val="18"/>
                <w:b w:val="1"/>
                <w:bCs w:val="1"/>
                <w:color w:val="FFFFFF"/>
              </w:rPr>
              <w:t>Term</w:t>
            </w:r>
          </w:p>
        </w:tc>
        <w:tc>
          <w:tcPr>
            <w:tcW w:w="7560" w:type="dxa"/>
            <w:vAlign w:val="bottom"/>
            <w:tcBorders>
              <w:top w:val="single" w:sz="8" w:color="auto"/>
              <w:bottom w:val="single" w:sz="8" w:color="auto"/>
              <w:right w:val="single" w:sz="8" w:color="auto"/>
            </w:tcBorders>
            <w:shd w:val="clear" w:color="auto" w:fill="2AD2C9"/>
          </w:tcPr>
          <w:p>
            <w:pPr>
              <w:ind w:left="3420"/>
              <w:spacing w:after="0"/>
              <w:rPr>
                <w:sz w:val="20"/>
                <w:szCs w:val="20"/>
                <w:color w:val="auto"/>
              </w:rPr>
            </w:pPr>
            <w:r>
              <w:rPr>
                <w:rFonts w:ascii="Arial" w:cs="Arial" w:eastAsia="Arial" w:hAnsi="Arial"/>
                <w:sz w:val="18"/>
                <w:szCs w:val="18"/>
                <w:b w:val="1"/>
                <w:bCs w:val="1"/>
                <w:color w:val="FFFFFF"/>
              </w:rPr>
              <w:t>Definition</w:t>
            </w:r>
          </w:p>
        </w:tc>
        <w:tc>
          <w:tcPr>
            <w:tcW w:w="0" w:type="dxa"/>
            <w:vAlign w:val="bottom"/>
          </w:tcPr>
          <w:p>
            <w:pPr>
              <w:spacing w:after="0"/>
              <w:rPr>
                <w:sz w:val="1"/>
                <w:szCs w:val="1"/>
                <w:color w:val="auto"/>
              </w:rPr>
            </w:pPr>
          </w:p>
        </w:tc>
      </w:tr>
      <w:tr>
        <w:trPr>
          <w:trHeight w:val="209"/>
        </w:trPr>
        <w:tc>
          <w:tcPr>
            <w:tcW w:w="3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Government Program Loans ("GP" or</w:t>
            </w:r>
          </w:p>
        </w:tc>
        <w:tc>
          <w:tcPr>
            <w:tcW w:w="75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Loan Portfolio related to Reactiva Peru and FAE-Mype programs to respond quickly and</w:t>
            </w:r>
          </w:p>
        </w:tc>
        <w:tc>
          <w:tcPr>
            <w:tcW w:w="0" w:type="dxa"/>
            <w:vAlign w:val="bottom"/>
          </w:tcPr>
          <w:p>
            <w:pPr>
              <w:spacing w:after="0"/>
              <w:rPr>
                <w:sz w:val="1"/>
                <w:szCs w:val="1"/>
                <w:color w:val="auto"/>
              </w:rPr>
            </w:pPr>
          </w:p>
        </w:tc>
      </w:tr>
      <w:tr>
        <w:trPr>
          <w:trHeight w:val="253"/>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"GP Loans")</w:t>
            </w:r>
          </w:p>
        </w:tc>
        <w:tc>
          <w:tcPr>
            <w:tcW w:w="7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effectively to liquidity needs and maintain the payment chain.</w:t>
            </w:r>
          </w:p>
        </w:tc>
        <w:tc>
          <w:tcPr>
            <w:tcW w:w="0" w:type="dxa"/>
            <w:vAlign w:val="bottom"/>
          </w:tcPr>
          <w:p>
            <w:pPr>
              <w:spacing w:after="0"/>
              <w:rPr>
                <w:sz w:val="1"/>
                <w:szCs w:val="1"/>
                <w:color w:val="auto"/>
              </w:rPr>
            </w:pPr>
          </w:p>
        </w:tc>
      </w:tr>
      <w:tr>
        <w:trPr>
          <w:trHeight w:val="261"/>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Structural Loans</w:t>
            </w:r>
          </w:p>
        </w:tc>
        <w:tc>
          <w:tcPr>
            <w:tcW w:w="7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Loan Portfolio excluding GP Loans.</w:t>
            </w:r>
          </w:p>
        </w:tc>
        <w:tc>
          <w:tcPr>
            <w:tcW w:w="0" w:type="dxa"/>
            <w:vAlign w:val="bottom"/>
          </w:tcPr>
          <w:p>
            <w:pPr>
              <w:spacing w:after="0"/>
              <w:rPr>
                <w:sz w:val="1"/>
                <w:szCs w:val="1"/>
                <w:color w:val="auto"/>
              </w:rPr>
            </w:pPr>
          </w:p>
        </w:tc>
      </w:tr>
      <w:tr>
        <w:trPr>
          <w:trHeight w:val="281"/>
        </w:trPr>
        <w:tc>
          <w:tcPr>
            <w:tcW w:w="3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Non-Recurring Events at Interest Income</w:t>
            </w:r>
          </w:p>
        </w:tc>
        <w:tc>
          <w:tcPr>
            <w:tcW w:w="75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Impairment charge (related to the government facility that allowed for deferment of certain</w:t>
            </w:r>
          </w:p>
        </w:tc>
        <w:tc>
          <w:tcPr>
            <w:tcW w:w="0" w:type="dxa"/>
            <w:vAlign w:val="bottom"/>
          </w:tcPr>
          <w:p>
            <w:pPr>
              <w:spacing w:after="0"/>
              <w:rPr>
                <w:sz w:val="1"/>
                <w:szCs w:val="1"/>
                <w:color w:val="auto"/>
              </w:rPr>
            </w:pPr>
          </w:p>
        </w:tc>
      </w:tr>
      <w:tr>
        <w:trPr>
          <w:trHeight w:val="181"/>
        </w:trPr>
        <w:tc>
          <w:tcPr>
            <w:tcW w:w="3680" w:type="dxa"/>
            <w:vAlign w:val="bottom"/>
            <w:tcBorders>
              <w:left w:val="single" w:sz="8" w:color="auto"/>
              <w:bottom w:val="single" w:sz="8" w:color="auto"/>
              <w:right w:val="single" w:sz="8" w:color="auto"/>
            </w:tcBorders>
          </w:tcPr>
          <w:p>
            <w:pPr>
              <w:spacing w:after="0"/>
              <w:rPr>
                <w:sz w:val="15"/>
                <w:szCs w:val="15"/>
                <w:color w:val="auto"/>
              </w:rPr>
            </w:pPr>
          </w:p>
        </w:tc>
        <w:tc>
          <w:tcPr>
            <w:tcW w:w="7560" w:type="dxa"/>
            <w:vAlign w:val="bottom"/>
            <w:tcBorders>
              <w:bottom w:val="single" w:sz="8" w:color="auto"/>
              <w:right w:val="single" w:sz="8" w:color="auto"/>
            </w:tcBorders>
          </w:tcPr>
          <w:p>
            <w:pPr>
              <w:ind w:left="140"/>
              <w:spacing w:after="0" w:line="174" w:lineRule="exact"/>
              <w:rPr>
                <w:sz w:val="20"/>
                <w:szCs w:val="20"/>
                <w:color w:val="auto"/>
              </w:rPr>
            </w:pPr>
            <w:r>
              <w:rPr>
                <w:rFonts w:ascii="Arial" w:cs="Arial" w:eastAsia="Arial" w:hAnsi="Arial"/>
                <w:sz w:val="18"/>
                <w:szCs w:val="18"/>
                <w:color w:val="auto"/>
              </w:rPr>
              <w:t>installments at zero cost) and subsequent amortization thereof.</w:t>
            </w:r>
          </w:p>
        </w:tc>
        <w:tc>
          <w:tcPr>
            <w:tcW w:w="0" w:type="dxa"/>
            <w:vAlign w:val="bottom"/>
          </w:tcPr>
          <w:p>
            <w:pPr>
              <w:spacing w:after="0"/>
              <w:rPr>
                <w:sz w:val="1"/>
                <w:szCs w:val="1"/>
                <w:color w:val="auto"/>
              </w:rPr>
            </w:pPr>
          </w:p>
        </w:tc>
      </w:tr>
      <w:tr>
        <w:trPr>
          <w:trHeight w:val="209"/>
        </w:trPr>
        <w:tc>
          <w:tcPr>
            <w:tcW w:w="36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Non-Recurring Events at Interest</w:t>
            </w:r>
          </w:p>
        </w:tc>
        <w:tc>
          <w:tcPr>
            <w:tcW w:w="7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Expenses</w:t>
            </w:r>
          </w:p>
        </w:tc>
        <w:tc>
          <w:tcPr>
            <w:tcW w:w="7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w w:val="99"/>
              </w:rPr>
              <w:t>Charges related to the liability management operation at BCP Stand-alone (3Q20 and 1Q21).</w:t>
            </w:r>
          </w:p>
        </w:tc>
        <w:tc>
          <w:tcPr>
            <w:tcW w:w="0" w:type="dxa"/>
            <w:vAlign w:val="bottom"/>
          </w:tcPr>
          <w:p>
            <w:pPr>
              <w:spacing w:after="0"/>
              <w:rPr>
                <w:sz w:val="1"/>
                <w:szCs w:val="1"/>
                <w:color w:val="auto"/>
              </w:rPr>
            </w:pPr>
          </w:p>
        </w:tc>
      </w:tr>
      <w:tr>
        <w:trPr>
          <w:trHeight w:val="209"/>
        </w:trPr>
        <w:tc>
          <w:tcPr>
            <w:tcW w:w="36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Structural Cost of Risk</w:t>
            </w:r>
          </w:p>
        </w:tc>
        <w:tc>
          <w:tcPr>
            <w:tcW w:w="75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Cost of Risk related to the Structural Loans. It excludes, in the numerator, provisions for</w:t>
            </w:r>
          </w:p>
        </w:tc>
        <w:tc>
          <w:tcPr>
            <w:tcW w:w="0" w:type="dxa"/>
            <w:vAlign w:val="bottom"/>
          </w:tcPr>
          <w:p>
            <w:pPr>
              <w:spacing w:after="0"/>
              <w:rPr>
                <w:sz w:val="1"/>
                <w:szCs w:val="1"/>
                <w:color w:val="auto"/>
              </w:rPr>
            </w:pPr>
          </w:p>
        </w:tc>
      </w:tr>
      <w:tr>
        <w:trPr>
          <w:trHeight w:val="138"/>
        </w:trPr>
        <w:tc>
          <w:tcPr>
            <w:tcW w:w="3680" w:type="dxa"/>
            <w:vAlign w:val="bottom"/>
            <w:tcBorders>
              <w:left w:val="single" w:sz="8" w:color="auto"/>
              <w:right w:val="single" w:sz="8" w:color="auto"/>
            </w:tcBorders>
            <w:vMerge w:val="continue"/>
          </w:tcPr>
          <w:p>
            <w:pPr>
              <w:spacing w:after="0"/>
              <w:rPr>
                <w:sz w:val="12"/>
                <w:szCs w:val="12"/>
                <w:color w:val="auto"/>
              </w:rPr>
            </w:pPr>
          </w:p>
        </w:tc>
        <w:tc>
          <w:tcPr>
            <w:tcW w:w="75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credit losses on GP loans, and in the denominator, the total amount of GP Loans.</w:t>
            </w:r>
          </w:p>
        </w:tc>
        <w:tc>
          <w:tcPr>
            <w:tcW w:w="0" w:type="dxa"/>
            <w:vAlign w:val="bottom"/>
          </w:tcPr>
          <w:p>
            <w:pPr>
              <w:spacing w:after="0"/>
              <w:rPr>
                <w:sz w:val="1"/>
                <w:szCs w:val="1"/>
                <w:color w:val="auto"/>
              </w:rPr>
            </w:pPr>
          </w:p>
        </w:tc>
      </w:tr>
      <w:tr>
        <w:trPr>
          <w:trHeight w:val="115"/>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7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3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Structural NPL ratio</w:t>
            </w:r>
          </w:p>
        </w:tc>
        <w:tc>
          <w:tcPr>
            <w:tcW w:w="7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NPL Ratio related to Structural Loans. It excludes the impact of GP Loans.</w:t>
            </w:r>
          </w:p>
        </w:tc>
        <w:tc>
          <w:tcPr>
            <w:tcW w:w="0" w:type="dxa"/>
            <w:vAlign w:val="bottom"/>
          </w:tcPr>
          <w:p>
            <w:pPr>
              <w:spacing w:after="0"/>
              <w:rPr>
                <w:sz w:val="1"/>
                <w:szCs w:val="1"/>
                <w:color w:val="auto"/>
              </w:rPr>
            </w:pPr>
          </w:p>
        </w:tc>
      </w:tr>
      <w:tr>
        <w:trPr>
          <w:trHeight w:val="209"/>
        </w:trPr>
        <w:tc>
          <w:tcPr>
            <w:tcW w:w="36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Structural NIM</w:t>
            </w:r>
          </w:p>
        </w:tc>
        <w:tc>
          <w:tcPr>
            <w:tcW w:w="75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NIM related to Structural Loans and Other Interest Earning Assets. It deducts the impact of</w:t>
            </w:r>
          </w:p>
        </w:tc>
        <w:tc>
          <w:tcPr>
            <w:tcW w:w="0" w:type="dxa"/>
            <w:vAlign w:val="bottom"/>
          </w:tcPr>
          <w:p>
            <w:pPr>
              <w:spacing w:after="0"/>
              <w:rPr>
                <w:sz w:val="1"/>
                <w:szCs w:val="1"/>
                <w:color w:val="auto"/>
              </w:rPr>
            </w:pPr>
          </w:p>
        </w:tc>
      </w:tr>
      <w:tr>
        <w:trPr>
          <w:trHeight w:val="138"/>
        </w:trPr>
        <w:tc>
          <w:tcPr>
            <w:tcW w:w="3680" w:type="dxa"/>
            <w:vAlign w:val="bottom"/>
            <w:tcBorders>
              <w:left w:val="single" w:sz="8" w:color="auto"/>
              <w:right w:val="single" w:sz="8" w:color="auto"/>
            </w:tcBorders>
            <w:vMerge w:val="continue"/>
          </w:tcPr>
          <w:p>
            <w:pPr>
              <w:spacing w:after="0"/>
              <w:rPr>
                <w:sz w:val="12"/>
                <w:szCs w:val="12"/>
                <w:color w:val="auto"/>
              </w:rPr>
            </w:pPr>
          </w:p>
        </w:tc>
        <w:tc>
          <w:tcPr>
            <w:tcW w:w="75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GP Loans and Non-recurring Events from Interest Income and Interest Expenses.</w:t>
            </w:r>
          </w:p>
        </w:tc>
        <w:tc>
          <w:tcPr>
            <w:tcW w:w="0" w:type="dxa"/>
            <w:vAlign w:val="bottom"/>
          </w:tcPr>
          <w:p>
            <w:pPr>
              <w:spacing w:after="0"/>
              <w:rPr>
                <w:sz w:val="1"/>
                <w:szCs w:val="1"/>
                <w:color w:val="auto"/>
              </w:rPr>
            </w:pPr>
          </w:p>
        </w:tc>
      </w:tr>
      <w:tr>
        <w:trPr>
          <w:trHeight w:val="115"/>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7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6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Structural Funding Cost</w:t>
            </w:r>
          </w:p>
        </w:tc>
        <w:tc>
          <w:tcPr>
            <w:tcW w:w="75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Funding Cost deducting the impact in expenses and funding related to GP Loans and</w:t>
            </w:r>
          </w:p>
        </w:tc>
        <w:tc>
          <w:tcPr>
            <w:tcW w:w="0" w:type="dxa"/>
            <w:vAlign w:val="bottom"/>
          </w:tcPr>
          <w:p>
            <w:pPr>
              <w:spacing w:after="0"/>
              <w:rPr>
                <w:sz w:val="1"/>
                <w:szCs w:val="1"/>
                <w:color w:val="auto"/>
              </w:rPr>
            </w:pPr>
          </w:p>
        </w:tc>
      </w:tr>
      <w:tr>
        <w:trPr>
          <w:trHeight w:val="138"/>
        </w:trPr>
        <w:tc>
          <w:tcPr>
            <w:tcW w:w="3680" w:type="dxa"/>
            <w:vAlign w:val="bottom"/>
            <w:tcBorders>
              <w:left w:val="single" w:sz="8" w:color="auto"/>
              <w:right w:val="single" w:sz="8" w:color="auto"/>
            </w:tcBorders>
            <w:vMerge w:val="continue"/>
          </w:tcPr>
          <w:p>
            <w:pPr>
              <w:spacing w:after="0"/>
              <w:rPr>
                <w:sz w:val="12"/>
                <w:szCs w:val="12"/>
                <w:color w:val="auto"/>
              </w:rPr>
            </w:pPr>
          </w:p>
        </w:tc>
        <w:tc>
          <w:tcPr>
            <w:tcW w:w="756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deducting Non-recurring Events from Interest Expenses</w:t>
            </w:r>
          </w:p>
        </w:tc>
        <w:tc>
          <w:tcPr>
            <w:tcW w:w="0" w:type="dxa"/>
            <w:vAlign w:val="bottom"/>
          </w:tcPr>
          <w:p>
            <w:pPr>
              <w:spacing w:after="0"/>
              <w:rPr>
                <w:sz w:val="1"/>
                <w:szCs w:val="1"/>
                <w:color w:val="auto"/>
              </w:rPr>
            </w:pPr>
          </w:p>
        </w:tc>
      </w:tr>
      <w:tr>
        <w:trPr>
          <w:trHeight w:val="115"/>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75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5"/>
        </w:trPr>
        <w:tc>
          <w:tcPr>
            <w:tcW w:w="3680" w:type="dxa"/>
            <w:vAlign w:val="bottom"/>
          </w:tcPr>
          <w:p>
            <w:pPr>
              <w:spacing w:after="0"/>
              <w:rPr>
                <w:sz w:val="24"/>
                <w:szCs w:val="24"/>
                <w:color w:val="auto"/>
              </w:rPr>
            </w:pPr>
          </w:p>
        </w:tc>
        <w:tc>
          <w:tcPr>
            <w:tcW w:w="7560" w:type="dxa"/>
            <w:vAlign w:val="bottom"/>
          </w:tcPr>
          <w:p>
            <w:pPr>
              <w:ind w:left="7420"/>
              <w:spacing w:after="0"/>
              <w:rPr>
                <w:sz w:val="20"/>
                <w:szCs w:val="20"/>
                <w:color w:val="auto"/>
              </w:rPr>
            </w:pPr>
            <w:r>
              <w:rPr>
                <w:rFonts w:ascii="Times New Roman" w:cs="Times New Roman" w:eastAsia="Times New Roman" w:hAnsi="Times New Roman"/>
                <w:sz w:val="14"/>
                <w:szCs w:val="14"/>
                <w:color w:val="auto"/>
                <w:w w:val="71"/>
              </w:rPr>
              <w:t>69</w:t>
            </w:r>
          </w:p>
        </w:tc>
        <w:tc>
          <w:tcPr>
            <w:tcW w:w="0" w:type="dxa"/>
            <w:vAlign w:val="bottom"/>
          </w:tcPr>
          <w:p>
            <w:pPr>
              <w:spacing w:after="0"/>
              <w:rPr>
                <w:sz w:val="1"/>
                <w:szCs w:val="1"/>
                <w:color w:val="auto"/>
              </w:rPr>
            </w:pPr>
          </w:p>
        </w:tc>
      </w:tr>
      <w:tr>
        <w:trPr>
          <w:trHeight w:val="99"/>
        </w:trPr>
        <w:tc>
          <w:tcPr>
            <w:tcW w:w="3680" w:type="dxa"/>
            <w:vAlign w:val="bottom"/>
            <w:tcBorders>
              <w:bottom w:val="single" w:sz="8" w:color="auto"/>
            </w:tcBorders>
          </w:tcPr>
          <w:p>
            <w:pPr>
              <w:spacing w:after="0"/>
              <w:rPr>
                <w:sz w:val="8"/>
                <w:szCs w:val="8"/>
                <w:color w:val="auto"/>
              </w:rPr>
            </w:pPr>
          </w:p>
        </w:tc>
        <w:tc>
          <w:tcPr>
            <w:tcW w:w="7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4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1)"/>
      <w:numFmt w:val="lowerRoman"/>
      <w:start w:val="3"/>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1)"/>
      <w:numFmt w:val="decimal"/>
      <w:start w:val="11"/>
    </w:lvl>
  </w:abstractNum>
  <w:abstractNum w:abstractNumId="5">
    <w:nsid w:val="1E7FF521"/>
    <w:multiLevelType w:val="hybridMultilevel"/>
    <w:lvl w:ilvl="0">
      <w:lvlJc w:val="left"/>
      <w:lvlText w:val="(%1)"/>
      <w:numFmt w:val="decimal"/>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1"/>
      <w:numFmt w:val="decimal"/>
      <w:start w:val="1"/>
    </w:lvl>
    <w:lvl w:ilvl="1">
      <w:lvlJc w:val="left"/>
      <w:lvlText w:val="(%2)"/>
      <w:numFmt w:val="decimal"/>
      <w:start w:val="1"/>
    </w:lvl>
  </w:abstractNum>
  <w:abstractNum w:abstractNumId="11">
    <w:nsid w:val="3006C83E"/>
    <w:multiLevelType w:val="hybridMultilevel"/>
    <w:lvl w:ilvl="0">
      <w:lvlJc w:val="left"/>
      <w:lvlText w:val="(%1)"/>
      <w:numFmt w:val="decimal"/>
      <w:start w:val="3"/>
    </w:lvl>
    <w:lvl w:ilvl="1">
      <w:lvlJc w:val="left"/>
      <w:lvlText w:val="%2"/>
      <w:numFmt w:val="decimal"/>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
      <w:numFmt w:val="bullet"/>
      <w:start w:val="1"/>
    </w:lvl>
    <w:lvl w:ilvl="1">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6"/>
    </w:lvl>
    <w:lvl w:ilvl="1">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bullet"/>
      <w:start w:val="1"/>
    </w:lvl>
  </w:abstractNum>
  <w:abstractNum w:abstractNumId="36">
    <w:nsid w:val="4B588F54"/>
    <w:multiLevelType w:val="hybridMultilevel"/>
    <w:lvl w:ilvl="0">
      <w:lvlJc w:val="left"/>
      <w:lvlText w:val="2"/>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
      <w:numFmt w:val="bullet"/>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2022-11-07T11:33:43Z</dcterms:created>
  <dcterms:modified xsi:type="dcterms:W3CDTF">2022-11-07T11:33:43Z</dcterms:modified>
</cp:coreProperties>
</file>