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155575</wp:posOffset>
            </wp:positionH>
            <wp:positionV relativeFrom="page">
              <wp:posOffset>155575</wp:posOffset>
            </wp:positionV>
            <wp:extent cx="7250430" cy="387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38735"/>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156845</wp:posOffset>
            </wp:positionV>
            <wp:extent cx="153924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FORM 6-K</w:t>
      </w:r>
    </w:p>
    <w:p>
      <w:pPr>
        <w:spacing w:after="0" w:line="165" w:lineRule="exact"/>
        <w:rPr>
          <w:sz w:val="24"/>
          <w:szCs w:val="24"/>
          <w:color w:val="auto"/>
        </w:rPr>
      </w:pPr>
    </w:p>
    <w:p>
      <w:pPr>
        <w:jc w:val="center"/>
        <w:ind w:right="40"/>
        <w:spacing w:after="0"/>
        <w:rPr>
          <w:sz w:val="20"/>
          <w:szCs w:val="20"/>
          <w:color w:val="auto"/>
        </w:rPr>
      </w:pPr>
      <w:r>
        <w:rPr>
          <w:rFonts w:ascii="Arial" w:cs="Arial" w:eastAsia="Arial" w:hAnsi="Arial"/>
          <w:sz w:val="22"/>
          <w:szCs w:val="22"/>
          <w:color w:val="auto"/>
        </w:rPr>
        <w:t>Report of Foreign Private Issuer</w:t>
      </w:r>
    </w:p>
    <w:p>
      <w:pPr>
        <w:jc w:val="center"/>
        <w:ind w:right="40"/>
        <w:spacing w:after="0" w:line="238" w:lineRule="auto"/>
        <w:rPr>
          <w:sz w:val="20"/>
          <w:szCs w:val="20"/>
          <w:color w:val="auto"/>
        </w:rPr>
      </w:pPr>
      <w:r>
        <w:rPr>
          <w:rFonts w:ascii="Arial" w:cs="Arial" w:eastAsia="Arial" w:hAnsi="Arial"/>
          <w:sz w:val="22"/>
          <w:szCs w:val="22"/>
          <w:color w:val="auto"/>
        </w:rPr>
        <w:t>Pursuant to Rule 13a-16 or 15d-16 of the</w:t>
      </w:r>
    </w:p>
    <w:p>
      <w:pPr>
        <w:jc w:val="center"/>
        <w:ind w:right="40"/>
        <w:spacing w:after="0"/>
        <w:rPr>
          <w:sz w:val="20"/>
          <w:szCs w:val="20"/>
          <w:color w:val="auto"/>
        </w:rPr>
      </w:pPr>
      <w:r>
        <w:rPr>
          <w:rFonts w:ascii="Arial" w:cs="Arial" w:eastAsia="Arial" w:hAnsi="Arial"/>
          <w:sz w:val="22"/>
          <w:szCs w:val="22"/>
          <w:color w:val="auto"/>
        </w:rPr>
        <w:t>Securities Exchange Act of 1934</w:t>
      </w:r>
    </w:p>
    <w:p>
      <w:pPr>
        <w:spacing w:after="0" w:line="11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For the month of February, 2005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2744470</wp:posOffset>
            </wp:positionH>
            <wp:positionV relativeFrom="paragraph">
              <wp:posOffset>309245</wp:posOffset>
            </wp:positionV>
            <wp:extent cx="153924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39240" cy="215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29" w:lineRule="exact"/>
        <w:rPr>
          <w:sz w:val="24"/>
          <w:szCs w:val="24"/>
          <w:color w:val="auto"/>
        </w:rPr>
      </w:pPr>
    </w:p>
    <w:p>
      <w:pPr>
        <w:jc w:val="center"/>
        <w:ind w:right="40"/>
        <w:spacing w:after="0"/>
        <w:rPr>
          <w:sz w:val="20"/>
          <w:szCs w:val="20"/>
          <w:color w:val="auto"/>
        </w:rPr>
      </w:pPr>
      <w:r>
        <w:rPr>
          <w:rFonts w:ascii="Arial" w:cs="Arial" w:eastAsia="Arial" w:hAnsi="Arial"/>
          <w:sz w:val="32"/>
          <w:szCs w:val="32"/>
          <w:b w:val="1"/>
          <w:bCs w:val="1"/>
          <w:color w:val="auto"/>
        </w:rPr>
        <w:t>CREDICORP LTD.</w:t>
      </w:r>
    </w:p>
    <w:p>
      <w:pPr>
        <w:spacing w:after="0" w:line="4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(Exact name of registrant as specified in its charter)</w:t>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Clarendon House</w:t>
      </w:r>
    </w:p>
    <w:p>
      <w:pPr>
        <w:spacing w:after="0" w:line="4" w:lineRule="exact"/>
        <w:rPr>
          <w:sz w:val="24"/>
          <w:szCs w:val="24"/>
          <w:color w:val="auto"/>
        </w:rPr>
      </w:pPr>
    </w:p>
    <w:p>
      <w:pPr>
        <w:jc w:val="center"/>
        <w:ind w:right="40"/>
        <w:spacing w:after="0"/>
        <w:rPr>
          <w:sz w:val="20"/>
          <w:szCs w:val="20"/>
          <w:color w:val="auto"/>
        </w:rPr>
      </w:pPr>
      <w:r>
        <w:rPr>
          <w:rFonts w:ascii="Arial" w:cs="Arial" w:eastAsia="Arial" w:hAnsi="Arial"/>
          <w:sz w:val="22"/>
          <w:szCs w:val="22"/>
          <w:b w:val="1"/>
          <w:bCs w:val="1"/>
          <w:color w:val="auto"/>
        </w:rPr>
        <w:t>Church Street</w:t>
      </w:r>
    </w:p>
    <w:p>
      <w:pPr>
        <w:jc w:val="center"/>
        <w:ind w:right="40"/>
        <w:spacing w:after="0"/>
        <w:rPr>
          <w:sz w:val="20"/>
          <w:szCs w:val="20"/>
          <w:color w:val="auto"/>
        </w:rPr>
      </w:pPr>
      <w:r>
        <w:rPr>
          <w:rFonts w:ascii="Arial" w:cs="Arial" w:eastAsia="Arial" w:hAnsi="Arial"/>
          <w:sz w:val="22"/>
          <w:szCs w:val="22"/>
          <w:b w:val="1"/>
          <w:bCs w:val="1"/>
          <w:color w:val="auto"/>
        </w:rPr>
        <w:t>Hamilton HM 11 Bermuda</w:t>
      </w: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6" w:lineRule="exact"/>
        <w:rPr>
          <w:sz w:val="24"/>
          <w:szCs w:val="24"/>
          <w:color w:val="auto"/>
        </w:rPr>
      </w:pPr>
    </w:p>
    <w:p>
      <w:pPr>
        <w:jc w:val="center"/>
        <w:ind w:right="100"/>
        <w:spacing w:after="0"/>
        <w:rPr>
          <w:sz w:val="20"/>
          <w:szCs w:val="20"/>
          <w:color w:val="auto"/>
        </w:rPr>
      </w:pPr>
      <w:r>
        <w:rPr>
          <w:rFonts w:ascii="Arial" w:cs="Arial" w:eastAsia="Arial" w:hAnsi="Arial"/>
          <w:sz w:val="21"/>
          <w:szCs w:val="21"/>
          <w:color w:val="auto"/>
        </w:rPr>
        <w:t>Indicate by check mark whether the registrant files or will file annual reports under cover Form 20-F or Form 40-F.</w:t>
      </w:r>
    </w:p>
    <w:p>
      <w:pPr>
        <w:spacing w:after="0" w:line="218" w:lineRule="exact"/>
        <w:rPr>
          <w:sz w:val="24"/>
          <w:szCs w:val="24"/>
          <w:color w:val="auto"/>
        </w:rPr>
      </w:pPr>
    </w:p>
    <w:p>
      <w:pPr>
        <w:ind w:left="3740"/>
        <w:spacing w:after="0"/>
        <w:rPr>
          <w:sz w:val="20"/>
          <w:szCs w:val="20"/>
          <w:color w:val="auto"/>
        </w:rPr>
      </w:pPr>
      <w:r>
        <w:rPr>
          <w:rFonts w:ascii="Arial" w:cs="Arial" w:eastAsia="Arial" w:hAnsi="Arial"/>
          <w:sz w:val="22"/>
          <w:szCs w:val="22"/>
          <w:color w:val="auto"/>
        </w:rPr>
        <w:t>Form 20-F ___X___ Form 40-F _______</w:t>
      </w:r>
    </w:p>
    <w:p>
      <w:pPr>
        <w:spacing w:after="0" w:line="206" w:lineRule="exact"/>
        <w:rPr>
          <w:sz w:val="24"/>
          <w:szCs w:val="24"/>
          <w:color w:val="auto"/>
        </w:rPr>
      </w:pPr>
    </w:p>
    <w:p>
      <w:pPr>
        <w:ind w:left="1020" w:hanging="1022"/>
        <w:spacing w:after="0" w:line="328" w:lineRule="auto"/>
        <w:rPr>
          <w:sz w:val="20"/>
          <w:szCs w:val="20"/>
          <w:color w:val="auto"/>
        </w:rPr>
      </w:pPr>
      <w:r>
        <w:rPr>
          <w:rFonts w:ascii="Arial" w:cs="Arial" w:eastAsia="Arial" w:hAnsi="Arial"/>
          <w:sz w:val="19"/>
          <w:szCs w:val="19"/>
          <w:color w:val="auto"/>
        </w:rPr>
        <w:t>Indicate by check mark whether the registrant by furnishing the information contained in this Form is also thereby furnishing the information to the Commission pursuant to Rule 12g3-2(b) under the Securities Exchange Act of 1934.</w:t>
      </w:r>
    </w:p>
    <w:p>
      <w:pPr>
        <w:spacing w:after="0" w:line="105" w:lineRule="exact"/>
        <w:rPr>
          <w:sz w:val="24"/>
          <w:szCs w:val="24"/>
          <w:color w:val="auto"/>
        </w:rPr>
      </w:pPr>
    </w:p>
    <w:p>
      <w:pPr>
        <w:ind w:left="4320"/>
        <w:spacing w:after="0"/>
        <w:rPr>
          <w:sz w:val="20"/>
          <w:szCs w:val="20"/>
          <w:color w:val="auto"/>
        </w:rPr>
      </w:pPr>
      <w:r>
        <w:rPr>
          <w:rFonts w:ascii="Arial" w:cs="Arial" w:eastAsia="Arial" w:hAnsi="Arial"/>
          <w:sz w:val="22"/>
          <w:szCs w:val="22"/>
          <w:color w:val="auto"/>
        </w:rPr>
        <w:t>Yes _______ No ___X____</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-110490</wp:posOffset>
            </wp:positionH>
            <wp:positionV relativeFrom="paragraph">
              <wp:posOffset>142240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20"/>
          </w:cols>
          <w:pgMar w:left="420" w:top="517" w:right="359" w:bottom="1440" w:gutter="0" w:footer="0" w:header="0"/>
        </w:sectPr>
      </w:pPr>
    </w:p>
    <w:bookmarkStart w:id="1" w:name="page2"/>
    <w:bookmarkEnd w:id="1"/>
    <w:p>
      <w:pPr>
        <w:spacing w:after="0" w:line="69"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5260340</wp:posOffset>
            </wp:positionH>
            <wp:positionV relativeFrom="page">
              <wp:posOffset>380365</wp:posOffset>
            </wp:positionV>
            <wp:extent cx="2143760" cy="5657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clrChange>
                        <a:clrFrom>
                          <a:srgbClr val="FFFFFF"/>
                        </a:clrFrom>
                        <a:clrTo>
                          <a:srgbClr val="FFFFFF">
                            <a:alpha val="0"/>
                          </a:srgbClr>
                        </a:clrTo>
                      </a:clrChange>
                      <a:extLst>
                        <a:ext uri="{28A0092B-C50C-407E-A947-70E740481C1C}"/>
                      </a:extLst>
                    </a:blip>
                    <a:srcRect/>
                    <a:stretch>
                      <a:fillRect/>
                    </a:stretch>
                  </pic:blipFill>
                  <pic:spPr bwMode="auto">
                    <a:xfrm>
                      <a:off x="0" y="0"/>
                      <a:ext cx="2143760" cy="565785"/>
                    </a:xfrm>
                    <a:prstGeom prst="rect">
                      <a:avLst/>
                    </a:prstGeom>
                    <a:noFill/>
                  </pic:spPr>
                </pic:pic>
              </a:graphicData>
            </a:graphic>
          </wp:anchor>
        </w:drawing>
      </w:r>
    </w:p>
    <w:p>
      <w:pPr>
        <w:ind w:left="40"/>
        <w:spacing w:after="0"/>
        <w:rPr>
          <w:sz w:val="20"/>
          <w:szCs w:val="20"/>
          <w:color w:val="auto"/>
        </w:rPr>
      </w:pPr>
      <w:r>
        <w:rPr>
          <w:rFonts w:ascii="Arial" w:cs="Arial" w:eastAsia="Arial" w:hAnsi="Arial"/>
          <w:sz w:val="16"/>
          <w:szCs w:val="16"/>
          <w:color w:val="auto"/>
        </w:rPr>
        <w:t>For additional information please contact:</w:t>
      </w:r>
    </w:p>
    <w:p>
      <w:pPr>
        <w:sectPr>
          <w:pgSz w:w="11900" w:h="16838" w:orient="portrait"/>
          <w:cols w:equalWidth="0" w:num="1">
            <w:col w:w="11420"/>
          </w:cols>
          <w:pgMar w:left="240" w:top="1440" w:right="239" w:bottom="202" w:gutter="0" w:footer="0" w:header="0"/>
        </w:sectPr>
      </w:pPr>
    </w:p>
    <w:p>
      <w:pPr>
        <w:spacing w:after="0" w:line="59" w:lineRule="exact"/>
        <w:rPr>
          <w:sz w:val="20"/>
          <w:szCs w:val="20"/>
          <w:color w:val="auto"/>
        </w:rPr>
      </w:pPr>
    </w:p>
    <w:p>
      <w:pPr>
        <w:ind w:left="40"/>
        <w:spacing w:after="0"/>
        <w:rPr>
          <w:sz w:val="20"/>
          <w:szCs w:val="20"/>
          <w:color w:val="auto"/>
        </w:rPr>
      </w:pPr>
      <w:r>
        <w:rPr>
          <w:rFonts w:ascii="Arial" w:cs="Arial" w:eastAsia="Arial" w:hAnsi="Arial"/>
          <w:sz w:val="15"/>
          <w:szCs w:val="15"/>
          <w:color w:val="auto"/>
        </w:rPr>
        <w:t>Jose N. Hung</w:t>
      </w:r>
    </w:p>
    <w:p>
      <w:pPr>
        <w:spacing w:after="0" w:line="20" w:lineRule="exact"/>
        <w:rPr>
          <w:sz w:val="20"/>
          <w:szCs w:val="20"/>
          <w:color w:val="auto"/>
        </w:rPr>
      </w:pPr>
      <w:r>
        <w:rPr>
          <w:sz w:val="20"/>
          <w:szCs w:val="20"/>
          <w:color w:val="auto"/>
        </w:rPr>
        <w:br w:type="column"/>
      </w:r>
    </w:p>
    <w:p>
      <w:pPr>
        <w:spacing w:after="0" w:line="39" w:lineRule="exact"/>
        <w:rPr>
          <w:sz w:val="20"/>
          <w:szCs w:val="20"/>
          <w:color w:val="auto"/>
        </w:rPr>
      </w:pPr>
    </w:p>
    <w:p>
      <w:pPr>
        <w:jc w:val="center"/>
        <w:ind w:right="4500"/>
        <w:spacing w:after="0"/>
        <w:rPr>
          <w:sz w:val="20"/>
          <w:szCs w:val="20"/>
          <w:color w:val="auto"/>
        </w:rPr>
      </w:pPr>
      <w:r>
        <w:rPr>
          <w:rFonts w:ascii="Arial" w:cs="Arial" w:eastAsia="Arial" w:hAnsi="Arial"/>
          <w:sz w:val="16"/>
          <w:szCs w:val="16"/>
          <w:color w:val="auto"/>
        </w:rPr>
        <w:t>Alfredo Montero</w:t>
      </w:r>
    </w:p>
    <w:p>
      <w:pPr>
        <w:spacing w:after="0" w:line="59" w:lineRule="exact"/>
        <w:rPr>
          <w:sz w:val="20"/>
          <w:szCs w:val="20"/>
          <w:color w:val="auto"/>
        </w:rPr>
      </w:pPr>
    </w:p>
    <w:p>
      <w:pPr>
        <w:sectPr>
          <w:pgSz w:w="11900" w:h="16838" w:orient="portrait"/>
          <w:cols w:equalWidth="0" w:num="2">
            <w:col w:w="5020" w:space="720"/>
            <w:col w:w="5680"/>
          </w:cols>
          <w:pgMar w:left="240" w:top="1440" w:right="239" w:bottom="202" w:gutter="0" w:footer="0" w:header="0"/>
          <w:type w:val="continuous"/>
        </w:sectPr>
      </w:pPr>
    </w:p>
    <w:p>
      <w:pPr>
        <w:ind w:left="40"/>
        <w:spacing w:after="0"/>
        <w:rPr>
          <w:sz w:val="20"/>
          <w:szCs w:val="20"/>
          <w:color w:val="auto"/>
        </w:rPr>
      </w:pPr>
      <w:r>
        <w:rPr>
          <w:rFonts w:ascii="Arial" w:cs="Arial" w:eastAsia="Arial" w:hAnsi="Arial"/>
          <w:sz w:val="15"/>
          <w:szCs w:val="15"/>
          <w:color w:val="auto"/>
        </w:rPr>
        <w:t>Phone: (511) 313-2123</w:t>
      </w:r>
    </w:p>
    <w:p>
      <w:pPr>
        <w:spacing w:after="0" w:line="20" w:lineRule="exact"/>
        <w:rPr>
          <w:sz w:val="20"/>
          <w:szCs w:val="20"/>
          <w:color w:val="auto"/>
        </w:rPr>
      </w:pPr>
      <w:r>
        <w:rPr>
          <w:sz w:val="20"/>
          <w:szCs w:val="20"/>
          <w:color w:val="auto"/>
        </w:rPr>
        <w:br w:type="column"/>
      </w:r>
    </w:p>
    <w:p>
      <w:pPr>
        <w:jc w:val="center"/>
        <w:ind w:right="4060"/>
        <w:spacing w:after="0"/>
        <w:rPr>
          <w:sz w:val="20"/>
          <w:szCs w:val="20"/>
          <w:color w:val="auto"/>
        </w:rPr>
      </w:pPr>
      <w:r>
        <w:rPr>
          <w:rFonts w:ascii="Arial" w:cs="Arial" w:eastAsia="Arial" w:hAnsi="Arial"/>
          <w:sz w:val="15"/>
          <w:szCs w:val="15"/>
          <w:color w:val="auto"/>
        </w:rPr>
        <w:t>Phone: (305) 448-0971</w:t>
      </w:r>
    </w:p>
    <w:p>
      <w:pPr>
        <w:spacing w:after="0" w:line="71" w:lineRule="exact"/>
        <w:rPr>
          <w:sz w:val="20"/>
          <w:szCs w:val="20"/>
          <w:color w:val="auto"/>
        </w:rPr>
      </w:pPr>
    </w:p>
    <w:p>
      <w:pPr>
        <w:sectPr>
          <w:pgSz w:w="11900" w:h="16838" w:orient="portrait"/>
          <w:cols w:equalWidth="0" w:num="2">
            <w:col w:w="5020" w:space="720"/>
            <w:col w:w="5680"/>
          </w:cols>
          <w:pgMar w:left="240" w:top="1440" w:right="239" w:bottom="202" w:gutter="0" w:footer="0" w:header="0"/>
          <w:type w:val="continuous"/>
        </w:sectPr>
      </w:pPr>
    </w:p>
    <w:p>
      <w:pPr>
        <w:ind w:left="40"/>
        <w:spacing w:after="0"/>
        <w:rPr>
          <w:sz w:val="20"/>
          <w:szCs w:val="20"/>
          <w:color w:val="auto"/>
        </w:rPr>
      </w:pPr>
      <w:r>
        <w:rPr>
          <w:rFonts w:ascii="Arial" w:cs="Arial" w:eastAsia="Arial" w:hAnsi="Arial"/>
          <w:sz w:val="16"/>
          <w:szCs w:val="16"/>
          <w:color w:val="auto"/>
        </w:rPr>
        <w:t>E-mail: jhung@bcp.com.pe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E-mail: amontero@bcpmiami.com</w:t>
      </w:r>
    </w:p>
    <w:p>
      <w:pPr>
        <w:spacing w:after="0" w:line="200" w:lineRule="exact"/>
        <w:rPr>
          <w:sz w:val="20"/>
          <w:szCs w:val="20"/>
          <w:color w:val="auto"/>
        </w:rPr>
      </w:pPr>
    </w:p>
    <w:p>
      <w:pPr>
        <w:sectPr>
          <w:pgSz w:w="11900" w:h="16838" w:orient="portrait"/>
          <w:cols w:equalWidth="0" w:num="2">
            <w:col w:w="5020" w:space="720"/>
            <w:col w:w="5680"/>
          </w:cols>
          <w:pgMar w:left="240" w:top="1440" w:right="239" w:bottom="202" w:gutter="0" w:footer="0" w:header="0"/>
          <w:type w:val="continuous"/>
        </w:sectPr>
      </w:pPr>
    </w:p>
    <w:p>
      <w:pPr>
        <w:spacing w:after="0" w:line="75" w:lineRule="exact"/>
        <w:rPr>
          <w:sz w:val="20"/>
          <w:szCs w:val="20"/>
          <w:color w:val="auto"/>
        </w:rPr>
      </w:pPr>
    </w:p>
    <w:p>
      <w:pPr>
        <w:ind w:left="3540"/>
        <w:spacing w:after="0"/>
        <w:rPr>
          <w:sz w:val="20"/>
          <w:szCs w:val="20"/>
          <w:color w:val="auto"/>
        </w:rPr>
      </w:pPr>
      <w:r>
        <w:rPr>
          <w:rFonts w:ascii="Arial" w:cs="Arial" w:eastAsia="Arial" w:hAnsi="Arial"/>
          <w:sz w:val="16"/>
          <w:szCs w:val="16"/>
          <w:color w:val="auto"/>
        </w:rPr>
        <w:t>CREDICORP LTD. ANNOUNCES FINANCIAL RESULTS</w:t>
      </w:r>
    </w:p>
    <w:p>
      <w:pPr>
        <w:spacing w:after="0" w:line="38" w:lineRule="exact"/>
        <w:rPr>
          <w:sz w:val="20"/>
          <w:szCs w:val="20"/>
          <w:color w:val="auto"/>
        </w:rPr>
      </w:pPr>
    </w:p>
    <w:p>
      <w:pPr>
        <w:ind w:left="3780"/>
        <w:spacing w:after="0"/>
        <w:rPr>
          <w:sz w:val="20"/>
          <w:szCs w:val="20"/>
          <w:color w:val="auto"/>
        </w:rPr>
      </w:pPr>
      <w:r>
        <w:rPr>
          <w:rFonts w:ascii="Arial" w:cs="Arial" w:eastAsia="Arial" w:hAnsi="Arial"/>
          <w:sz w:val="16"/>
          <w:szCs w:val="16"/>
          <w:color w:val="auto"/>
        </w:rPr>
        <w:t>FOR THE QUARTER ENDED DECEMBER 31, 2004</w:t>
      </w:r>
    </w:p>
    <w:p>
      <w:pPr>
        <w:sectPr>
          <w:pgSz w:w="11900" w:h="16838" w:orient="portrait"/>
          <w:cols w:equalWidth="0" w:num="1">
            <w:col w:w="11420"/>
          </w:cols>
          <w:pgMar w:left="240" w:top="1440" w:right="239" w:bottom="202" w:gutter="0" w:footer="0" w:header="0"/>
          <w:type w:val="continuous"/>
        </w:sectPr>
      </w:pPr>
    </w:p>
    <w:p>
      <w:pPr>
        <w:spacing w:after="0" w:line="242"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Credicorp (NYSE:BAP; LSE:BAPC1) reported a consolidated net income for the year ended December 31, 2004 of US$130.7 million, or US$1.64 per share, 62.2% above net income of US$80.6 million, or US$1.01 per share, in 2003. In the quarter ended December 31, 2004 Credicorp had net income of US$34.9 million, or US$0.44 per share, 46.3% above net profit in the fourth quarter of 2003 of US$23.8 million, or US$0.30 per share.</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Cumulative results for total year 2004 improve with respect to 2003, partly due to decreased loan loss provisions and lower merger costs, while fees on services increased. Fourth quarter 2004 results are higher than profits in the same year-ago quarter mainly because of higher financial and non-financial income, where fees and gains on the sale of securities had a significant increase. During 2004 all of Credicorp’s subsidiaries had positive results and on-going positive trends.</w:t>
      </w:r>
    </w:p>
    <w:p>
      <w:pPr>
        <w:spacing w:after="0" w:line="161"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Loan loss provision expense in total 2004 was US$48.4 million, lower than US$93.9 million in 2003 due to improved loan portfolio quality. Loan quality improvement is noted through a lower past-due loan ratio, that decreased from 5.7% at December 2003, to 3.5% at the end of December 2004, and by the improved coverage of bad loans by provisions which increased from 119.6% to 158.1%, respectively.</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Increased revenue from Premiums and health fees in 2004, were partly offset by higher Claims and health cost expenses, and non-interest expenses. These changes are mainly due to transactions of Novasalud EPS, which PPS acquired in March 2004, and was finally merged in August 2004.</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 CREDICORP LTD. AND SUBSIDIARIES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SUMMARY OF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492"/>
              <w:spacing w:after="0"/>
              <w:rPr>
                <w:sz w:val="20"/>
                <w:szCs w:val="20"/>
                <w:color w:val="auto"/>
              </w:rPr>
            </w:pPr>
            <w:r>
              <w:rPr>
                <w:rFonts w:ascii="Arial" w:cs="Arial" w:eastAsia="Arial" w:hAnsi="Arial"/>
                <w:sz w:val="18"/>
                <w:szCs w:val="18"/>
                <w:color w:val="auto"/>
              </w:rPr>
              <w:t>Twelve months ended</w:t>
            </w:r>
          </w:p>
        </w:tc>
      </w:tr>
      <w:tr>
        <w:trPr>
          <w:trHeight w:val="151"/>
        </w:trPr>
        <w:tc>
          <w:tcPr>
            <w:tcW w:w="452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356"/>
        </w:trPr>
        <w:tc>
          <w:tcPr>
            <w:tcW w:w="4520" w:type="dxa"/>
            <w:vAlign w:val="bottom"/>
          </w:tcPr>
          <w:p>
            <w:pPr>
              <w:spacing w:after="0"/>
              <w:rPr>
                <w:sz w:val="20"/>
                <w:szCs w:val="20"/>
                <w:color w:val="auto"/>
              </w:rPr>
            </w:pPr>
            <w:r>
              <w:rPr>
                <w:rFonts w:ascii="Arial" w:cs="Arial" w:eastAsia="Arial" w:hAnsi="Arial"/>
                <w:sz w:val="18"/>
                <w:szCs w:val="18"/>
                <w:color w:val="auto"/>
              </w:rPr>
              <w:t>(In U.S.$ millions)</w:t>
            </w: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400" w:type="dxa"/>
            <w:vAlign w:val="bottom"/>
          </w:tcPr>
          <w:p>
            <w:pPr>
              <w:jc w:val="right"/>
              <w:ind w:right="492"/>
              <w:spacing w:after="0"/>
              <w:rPr>
                <w:sz w:val="20"/>
                <w:szCs w:val="20"/>
                <w:color w:val="auto"/>
              </w:rPr>
            </w:pPr>
            <w:r>
              <w:rPr>
                <w:rFonts w:ascii="Arial" w:cs="Arial" w:eastAsia="Arial" w:hAnsi="Arial"/>
                <w:sz w:val="18"/>
                <w:szCs w:val="18"/>
                <w:color w:val="auto"/>
              </w:rPr>
              <w:t>30.09.04</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31.12.04</w:t>
            </w:r>
          </w:p>
        </w:tc>
        <w:tc>
          <w:tcPr>
            <w:tcW w:w="40" w:type="dxa"/>
            <w:vAlign w:val="bottom"/>
          </w:tcPr>
          <w:p>
            <w:pPr>
              <w:spacing w:after="0"/>
              <w:rPr>
                <w:sz w:val="24"/>
                <w:szCs w:val="24"/>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31.12.04</w:t>
            </w:r>
          </w:p>
        </w:tc>
      </w:tr>
      <w:tr>
        <w:trPr>
          <w:trHeight w:val="137"/>
        </w:trPr>
        <w:tc>
          <w:tcPr>
            <w:tcW w:w="45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Net interest income (1)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98.8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94.2</w:t>
            </w:r>
          </w:p>
        </w:tc>
        <w:tc>
          <w:tcPr>
            <w:tcW w:w="1160" w:type="dxa"/>
            <w:vAlign w:val="bottom"/>
          </w:tcPr>
          <w:p>
            <w:pPr>
              <w:jc w:val="right"/>
              <w:spacing w:after="0"/>
              <w:rPr>
                <w:sz w:val="20"/>
                <w:szCs w:val="20"/>
                <w:color w:val="auto"/>
              </w:rPr>
            </w:pPr>
            <w:r>
              <w:rPr>
                <w:rFonts w:ascii="Arial" w:cs="Arial" w:eastAsia="Arial" w:hAnsi="Arial"/>
                <w:sz w:val="18"/>
                <w:szCs w:val="18"/>
                <w:color w:val="auto"/>
              </w:rPr>
              <w:t>105.8</w:t>
            </w:r>
          </w:p>
        </w:tc>
        <w:tc>
          <w:tcPr>
            <w:tcW w:w="4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385.7</w:t>
            </w:r>
          </w:p>
        </w:tc>
        <w:tc>
          <w:tcPr>
            <w:tcW w:w="1180" w:type="dxa"/>
            <w:vAlign w:val="bottom"/>
          </w:tcPr>
          <w:p>
            <w:pPr>
              <w:jc w:val="right"/>
              <w:spacing w:after="0"/>
              <w:rPr>
                <w:sz w:val="20"/>
                <w:szCs w:val="20"/>
                <w:color w:val="auto"/>
              </w:rPr>
            </w:pPr>
            <w:r>
              <w:rPr>
                <w:rFonts w:ascii="Arial" w:cs="Arial" w:eastAsia="Arial" w:hAnsi="Arial"/>
                <w:sz w:val="18"/>
                <w:szCs w:val="18"/>
                <w:color w:val="auto"/>
              </w:rPr>
              <w:t>382.5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16.2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9.8</w:t>
            </w:r>
          </w:p>
        </w:tc>
        <w:tc>
          <w:tcPr>
            <w:tcW w:w="1160" w:type="dxa"/>
            <w:vAlign w:val="bottom"/>
          </w:tcPr>
          <w:p>
            <w:pPr>
              <w:jc w:val="right"/>
              <w:spacing w:after="0"/>
              <w:rPr>
                <w:sz w:val="20"/>
                <w:szCs w:val="20"/>
                <w:color w:val="auto"/>
              </w:rPr>
            </w:pPr>
            <w:r>
              <w:rPr>
                <w:rFonts w:ascii="Arial" w:cs="Arial" w:eastAsia="Arial" w:hAnsi="Arial"/>
                <w:sz w:val="18"/>
                <w:szCs w:val="18"/>
                <w:color w:val="auto"/>
              </w:rPr>
              <w:t>12.5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93.9</w:t>
            </w:r>
          </w:p>
        </w:tc>
        <w:tc>
          <w:tcPr>
            <w:tcW w:w="1180" w:type="dxa"/>
            <w:vAlign w:val="bottom"/>
          </w:tcPr>
          <w:p>
            <w:pPr>
              <w:jc w:val="right"/>
              <w:spacing w:after="0"/>
              <w:rPr>
                <w:sz w:val="20"/>
                <w:szCs w:val="20"/>
                <w:color w:val="auto"/>
              </w:rPr>
            </w:pPr>
            <w:r>
              <w:rPr>
                <w:rFonts w:ascii="Arial" w:cs="Arial" w:eastAsia="Arial" w:hAnsi="Arial"/>
                <w:sz w:val="18"/>
                <w:szCs w:val="18"/>
                <w:color w:val="auto"/>
              </w:rPr>
              <w:t>48.4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Other income (1)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89.6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133.3</w:t>
            </w:r>
          </w:p>
        </w:tc>
        <w:tc>
          <w:tcPr>
            <w:tcW w:w="1160" w:type="dxa"/>
            <w:vAlign w:val="bottom"/>
          </w:tcPr>
          <w:p>
            <w:pPr>
              <w:jc w:val="right"/>
              <w:spacing w:after="0"/>
              <w:rPr>
                <w:sz w:val="20"/>
                <w:szCs w:val="20"/>
                <w:color w:val="auto"/>
              </w:rPr>
            </w:pPr>
            <w:r>
              <w:rPr>
                <w:rFonts w:ascii="Arial" w:cs="Arial" w:eastAsia="Arial" w:hAnsi="Arial"/>
                <w:sz w:val="18"/>
                <w:szCs w:val="18"/>
                <w:color w:val="auto"/>
              </w:rPr>
              <w:t>134.5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398.0</w:t>
            </w:r>
          </w:p>
        </w:tc>
        <w:tc>
          <w:tcPr>
            <w:tcW w:w="1180" w:type="dxa"/>
            <w:vAlign w:val="bottom"/>
          </w:tcPr>
          <w:p>
            <w:pPr>
              <w:jc w:val="right"/>
              <w:spacing w:after="0"/>
              <w:rPr>
                <w:sz w:val="20"/>
                <w:szCs w:val="20"/>
                <w:color w:val="auto"/>
              </w:rPr>
            </w:pPr>
            <w:r>
              <w:rPr>
                <w:rFonts w:ascii="Arial" w:cs="Arial" w:eastAsia="Arial" w:hAnsi="Arial"/>
                <w:sz w:val="18"/>
                <w:szCs w:val="18"/>
                <w:color w:val="auto"/>
              </w:rPr>
              <w:t>473.5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23.5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48.6</w:t>
            </w:r>
          </w:p>
        </w:tc>
        <w:tc>
          <w:tcPr>
            <w:tcW w:w="1160" w:type="dxa"/>
            <w:vAlign w:val="bottom"/>
          </w:tcPr>
          <w:p>
            <w:pPr>
              <w:jc w:val="right"/>
              <w:spacing w:after="0"/>
              <w:rPr>
                <w:sz w:val="20"/>
                <w:szCs w:val="20"/>
                <w:color w:val="auto"/>
              </w:rPr>
            </w:pPr>
            <w:r>
              <w:rPr>
                <w:rFonts w:ascii="Arial" w:cs="Arial" w:eastAsia="Arial" w:hAnsi="Arial"/>
                <w:sz w:val="18"/>
                <w:szCs w:val="18"/>
                <w:color w:val="auto"/>
              </w:rPr>
              <w:t>44.0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99.8</w:t>
            </w:r>
          </w:p>
        </w:tc>
        <w:tc>
          <w:tcPr>
            <w:tcW w:w="1180" w:type="dxa"/>
            <w:vAlign w:val="bottom"/>
          </w:tcPr>
          <w:p>
            <w:pPr>
              <w:jc w:val="right"/>
              <w:spacing w:after="0"/>
              <w:rPr>
                <w:sz w:val="20"/>
                <w:szCs w:val="20"/>
                <w:color w:val="auto"/>
              </w:rPr>
            </w:pPr>
            <w:r>
              <w:rPr>
                <w:rFonts w:ascii="Arial" w:cs="Arial" w:eastAsia="Arial" w:hAnsi="Arial"/>
                <w:sz w:val="18"/>
                <w:szCs w:val="18"/>
                <w:color w:val="auto"/>
              </w:rPr>
              <w:t>148.4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Other expenses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113.9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122.4</w:t>
            </w:r>
          </w:p>
        </w:tc>
        <w:tc>
          <w:tcPr>
            <w:tcW w:w="1160" w:type="dxa"/>
            <w:vAlign w:val="bottom"/>
          </w:tcPr>
          <w:p>
            <w:pPr>
              <w:jc w:val="right"/>
              <w:spacing w:after="0"/>
              <w:rPr>
                <w:sz w:val="20"/>
                <w:szCs w:val="20"/>
                <w:color w:val="auto"/>
              </w:rPr>
            </w:pPr>
            <w:r>
              <w:rPr>
                <w:rFonts w:ascii="Arial" w:cs="Arial" w:eastAsia="Arial" w:hAnsi="Arial"/>
                <w:sz w:val="18"/>
                <w:szCs w:val="18"/>
                <w:color w:val="auto"/>
              </w:rPr>
              <w:t>137.9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438.1</w:t>
            </w:r>
          </w:p>
        </w:tc>
        <w:tc>
          <w:tcPr>
            <w:tcW w:w="1180" w:type="dxa"/>
            <w:vAlign w:val="bottom"/>
          </w:tcPr>
          <w:p>
            <w:pPr>
              <w:jc w:val="right"/>
              <w:spacing w:after="0"/>
              <w:rPr>
                <w:sz w:val="20"/>
                <w:szCs w:val="20"/>
                <w:color w:val="auto"/>
              </w:rPr>
            </w:pPr>
            <w:r>
              <w:rPr>
                <w:rFonts w:ascii="Arial" w:cs="Arial" w:eastAsia="Arial" w:hAnsi="Arial"/>
                <w:sz w:val="18"/>
                <w:szCs w:val="18"/>
                <w:color w:val="auto"/>
              </w:rPr>
              <w:t>474.7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Merger costs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0.5</w:t>
            </w:r>
          </w:p>
        </w:tc>
        <w:tc>
          <w:tcPr>
            <w:tcW w:w="1160" w:type="dxa"/>
            <w:vAlign w:val="bottom"/>
          </w:tcPr>
          <w:p>
            <w:pPr>
              <w:jc w:val="right"/>
              <w:spacing w:after="0"/>
              <w:rPr>
                <w:sz w:val="20"/>
                <w:szCs w:val="20"/>
                <w:color w:val="auto"/>
              </w:rPr>
            </w:pPr>
            <w:r>
              <w:rPr>
                <w:rFonts w:ascii="Arial" w:cs="Arial" w:eastAsia="Arial" w:hAnsi="Arial"/>
                <w:sz w:val="18"/>
                <w:szCs w:val="18"/>
                <w:color w:val="auto"/>
              </w:rPr>
              <w:t>0.0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18.6</w:t>
            </w:r>
          </w:p>
        </w:tc>
        <w:tc>
          <w:tcPr>
            <w:tcW w:w="1180" w:type="dxa"/>
            <w:vAlign w:val="bottom"/>
          </w:tcPr>
          <w:p>
            <w:pPr>
              <w:jc w:val="right"/>
              <w:spacing w:after="0"/>
              <w:rPr>
                <w:sz w:val="20"/>
                <w:szCs w:val="20"/>
                <w:color w:val="auto"/>
              </w:rPr>
            </w:pPr>
            <w:r>
              <w:rPr>
                <w:rFonts w:ascii="Arial" w:cs="Arial" w:eastAsia="Arial" w:hAnsi="Arial"/>
                <w:sz w:val="18"/>
                <w:szCs w:val="18"/>
                <w:color w:val="auto"/>
              </w:rPr>
              <w:t>3.7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Translation result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(0.2)</w:t>
            </w: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(2.7)</w:t>
            </w:r>
          </w:p>
        </w:tc>
        <w:tc>
          <w:tcPr>
            <w:tcW w:w="1180" w:type="dxa"/>
            <w:vAlign w:val="bottom"/>
          </w:tcPr>
          <w:p>
            <w:pPr>
              <w:jc w:val="right"/>
              <w:spacing w:after="0"/>
              <w:rPr>
                <w:sz w:val="20"/>
                <w:szCs w:val="20"/>
                <w:color w:val="auto"/>
              </w:rPr>
            </w:pPr>
            <w:r>
              <w:rPr>
                <w:rFonts w:ascii="Arial" w:cs="Arial" w:eastAsia="Arial" w:hAnsi="Arial"/>
                <w:sz w:val="18"/>
                <w:szCs w:val="18"/>
                <w:color w:val="auto"/>
              </w:rPr>
              <w:t>6.3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Income before income tax and</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minority interest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34.8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45.9</w:t>
            </w:r>
          </w:p>
        </w:tc>
        <w:tc>
          <w:tcPr>
            <w:tcW w:w="1160" w:type="dxa"/>
            <w:vAlign w:val="bottom"/>
          </w:tcPr>
          <w:p>
            <w:pPr>
              <w:jc w:val="right"/>
              <w:spacing w:after="0"/>
              <w:rPr>
                <w:sz w:val="20"/>
                <w:szCs w:val="20"/>
                <w:color w:val="auto"/>
              </w:rPr>
            </w:pPr>
            <w:r>
              <w:rPr>
                <w:rFonts w:ascii="Arial" w:cs="Arial" w:eastAsia="Arial" w:hAnsi="Arial"/>
                <w:sz w:val="18"/>
                <w:szCs w:val="18"/>
                <w:color w:val="auto"/>
              </w:rPr>
              <w:t>48.4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130.6</w:t>
            </w:r>
          </w:p>
        </w:tc>
        <w:tc>
          <w:tcPr>
            <w:tcW w:w="1180" w:type="dxa"/>
            <w:vAlign w:val="bottom"/>
          </w:tcPr>
          <w:p>
            <w:pPr>
              <w:jc w:val="right"/>
              <w:spacing w:after="0"/>
              <w:rPr>
                <w:sz w:val="20"/>
                <w:szCs w:val="20"/>
                <w:color w:val="auto"/>
              </w:rPr>
            </w:pPr>
            <w:r>
              <w:rPr>
                <w:rFonts w:ascii="Arial" w:cs="Arial" w:eastAsia="Arial" w:hAnsi="Arial"/>
                <w:sz w:val="18"/>
                <w:szCs w:val="18"/>
                <w:color w:val="auto"/>
              </w:rPr>
              <w:t>187.0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Income Tax</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(10.8)</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(10.4)</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(39.7)</w:t>
            </w:r>
          </w:p>
        </w:tc>
        <w:tc>
          <w:tcPr>
            <w:tcW w:w="1180" w:type="dxa"/>
            <w:vAlign w:val="bottom"/>
          </w:tcPr>
          <w:p>
            <w:pPr>
              <w:jc w:val="right"/>
              <w:spacing w:after="0"/>
              <w:rPr>
                <w:sz w:val="20"/>
                <w:szCs w:val="20"/>
                <w:color w:val="auto"/>
              </w:rPr>
            </w:pPr>
            <w:r>
              <w:rPr>
                <w:rFonts w:ascii="Arial" w:cs="Arial" w:eastAsia="Arial" w:hAnsi="Arial"/>
                <w:sz w:val="18"/>
                <w:szCs w:val="18"/>
                <w:color w:val="auto"/>
              </w:rPr>
              <w:t>(45.5)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Minority Interest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(10.3)</w:t>
            </w:r>
          </w:p>
        </w:tc>
        <w:tc>
          <w:tcPr>
            <w:tcW w:w="118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23.8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32.9</w:t>
            </w: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80.6</w:t>
            </w:r>
          </w:p>
        </w:tc>
        <w:tc>
          <w:tcPr>
            <w:tcW w:w="1180" w:type="dxa"/>
            <w:vAlign w:val="bottom"/>
          </w:tcPr>
          <w:p>
            <w:pPr>
              <w:jc w:val="right"/>
              <w:spacing w:after="0"/>
              <w:rPr>
                <w:sz w:val="20"/>
                <w:szCs w:val="20"/>
                <w:color w:val="auto"/>
              </w:rPr>
            </w:pPr>
            <w:r>
              <w:rPr>
                <w:rFonts w:ascii="Arial" w:cs="Arial" w:eastAsia="Arial" w:hAnsi="Arial"/>
                <w:sz w:val="18"/>
                <w:szCs w:val="18"/>
                <w:color w:val="auto"/>
              </w:rPr>
              <w:t>130.7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Income per share (US$) (2)</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0.30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0.41</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86995</wp:posOffset>
            </wp:positionV>
            <wp:extent cx="721233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7" w:lineRule="exact"/>
        <w:rPr>
          <w:sz w:val="20"/>
          <w:szCs w:val="20"/>
          <w:color w:val="auto"/>
        </w:rPr>
      </w:pPr>
    </w:p>
    <w:p>
      <w:pPr>
        <w:ind w:left="260" w:hanging="252"/>
        <w:spacing w:after="0"/>
        <w:tabs>
          <w:tab w:leader="none" w:pos="260" w:val="left"/>
        </w:tabs>
        <w:numPr>
          <w:ilvl w:val="0"/>
          <w:numId w:val="1"/>
        </w:numPr>
        <w:rPr>
          <w:rFonts w:ascii="Arial" w:cs="Arial" w:eastAsia="Arial" w:hAnsi="Arial"/>
          <w:sz w:val="18"/>
          <w:szCs w:val="18"/>
          <w:color w:val="auto"/>
        </w:rPr>
      </w:pPr>
      <w:r>
        <w:rPr>
          <w:rFonts w:ascii="Arial" w:cs="Arial" w:eastAsia="Arial" w:hAnsi="Arial"/>
          <w:sz w:val="18"/>
          <w:szCs w:val="18"/>
          <w:color w:val="auto"/>
        </w:rPr>
        <w:t>US$8.3Mn in 4Q03 and US$26.7Mn in 12m03 are reclassified from Other income into Interest income.</w:t>
      </w:r>
    </w:p>
    <w:p>
      <w:pPr>
        <w:spacing w:after="0" w:line="15" w:lineRule="exact"/>
        <w:rPr>
          <w:rFonts w:ascii="Arial" w:cs="Arial" w:eastAsia="Arial" w:hAnsi="Arial"/>
          <w:sz w:val="18"/>
          <w:szCs w:val="18"/>
          <w:color w:val="auto"/>
        </w:rPr>
      </w:pPr>
    </w:p>
    <w:p>
      <w:pPr>
        <w:ind w:firstLine="8"/>
        <w:spacing w:after="0" w:line="261" w:lineRule="auto"/>
        <w:tabs>
          <w:tab w:leader="none" w:pos="267" w:val="left"/>
        </w:tabs>
        <w:numPr>
          <w:ilvl w:val="0"/>
          <w:numId w:val="1"/>
        </w:numPr>
        <w:rPr>
          <w:rFonts w:ascii="Arial" w:cs="Arial" w:eastAsia="Arial" w:hAnsi="Arial"/>
          <w:sz w:val="18"/>
          <w:szCs w:val="18"/>
          <w:color w:val="auto"/>
        </w:rPr>
      </w:pPr>
      <w:r>
        <w:rPr>
          <w:rFonts w:ascii="Arial" w:cs="Arial" w:eastAsia="Arial" w:hAnsi="Arial"/>
          <w:sz w:val="18"/>
          <w:szCs w:val="18"/>
          <w:color w:val="auto"/>
        </w:rPr>
        <w:t>Based on 79.8 million net outstanding shares in all periods. Treasury shares amount to 14.6 million, which are netted from 94.4 million total outstanding shares.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color w:val="auto"/>
        </w:rPr>
        <w:t>Sales and Acquisitions</w:t>
      </w:r>
    </w:p>
    <w:p>
      <w:pPr>
        <w:spacing w:after="0" w:line="225"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The sale of Credicorp’s subsidiary, Banco Tequendama, which was announced in October 26, 2004, is expected to be effected during first quarter 2005. As of December 31, 2004, Credicorp’s consolidated financial statements still include Banco Tequendama’s operations. Nevertheless, beginning in fourth quarter 2004 this subsidiary is not contributing to consolidated net income given that its sale price has been already fixed.</w:t>
      </w:r>
    </w:p>
    <w:p>
      <w:pPr>
        <w:spacing w:after="0" w:line="161" w:lineRule="exact"/>
        <w:rPr>
          <w:sz w:val="20"/>
          <w:szCs w:val="20"/>
          <w:color w:val="auto"/>
        </w:rPr>
      </w:pPr>
    </w:p>
    <w:p>
      <w:pPr>
        <w:jc w:val="both"/>
        <w:ind w:right="20"/>
        <w:spacing w:after="0" w:line="306" w:lineRule="auto"/>
        <w:rPr>
          <w:sz w:val="20"/>
          <w:szCs w:val="20"/>
          <w:color w:val="auto"/>
        </w:rPr>
      </w:pPr>
      <w:r>
        <w:rPr>
          <w:rFonts w:ascii="Arial" w:cs="Arial" w:eastAsia="Arial" w:hAnsi="Arial"/>
          <w:sz w:val="16"/>
          <w:szCs w:val="16"/>
          <w:color w:val="auto"/>
        </w:rPr>
        <w:t>In January 3, 2005, BCP announced the purchase of loans amounting to approximately US$403 million from the Peruvian subsidiary of Bank Boston, with which Credicorp’s total loans will increase almost 9%. BCP’s market share in total loans of Peruvian commercial banks will grow to 35.8%, increasing 2.8% considering only those purchased loans registered in local books. The payment and transfer of the loan portfolio will take place during first quarter 2005.</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Net Income from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Credicorp’s principal subsidiaries contributed to consolidated net income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234315</wp:posOffset>
            </wp:positionV>
            <wp:extent cx="72123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440" w:right="239" w:bottom="202" w:gutter="0" w:footer="0" w:header="0"/>
          <w:type w:val="continuous"/>
        </w:sectPr>
      </w:pPr>
    </w:p>
    <w:bookmarkStart w:id="2" w:name="page3"/>
    <w:bookmarkEnd w:id="2"/>
    <w:p>
      <w:pPr>
        <w:spacing w:after="0" w:line="60"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400" w:type="dxa"/>
            <w:vAlign w:val="bottom"/>
          </w:tcPr>
          <w:p>
            <w:pPr>
              <w:spacing w:after="0"/>
              <w:rPr>
                <w:sz w:val="20"/>
                <w:szCs w:val="20"/>
                <w:color w:val="auto"/>
              </w:rPr>
            </w:pPr>
            <w:r>
              <w:rPr>
                <w:rFonts w:ascii="Arial" w:cs="Arial" w:eastAsia="Arial" w:hAnsi="Arial"/>
                <w:sz w:val="18"/>
                <w:szCs w:val="18"/>
                <w:color w:val="auto"/>
              </w:rPr>
              <w:t>(US$Mn)</w:t>
            </w:r>
          </w:p>
        </w:tc>
        <w:tc>
          <w:tcPr>
            <w:tcW w:w="2720" w:type="dxa"/>
            <w:vAlign w:val="bottom"/>
          </w:tcPr>
          <w:p>
            <w:pPr>
              <w:jc w:val="right"/>
              <w:ind w:right="672"/>
              <w:spacing w:after="0"/>
              <w:rPr>
                <w:sz w:val="20"/>
                <w:szCs w:val="20"/>
                <w:color w:val="auto"/>
              </w:rPr>
            </w:pPr>
            <w:r>
              <w:rPr>
                <w:rFonts w:ascii="Arial" w:cs="Arial" w:eastAsia="Arial" w:hAnsi="Arial"/>
                <w:sz w:val="18"/>
                <w:szCs w:val="18"/>
                <w:color w:val="auto"/>
              </w:rPr>
              <w:t>4Q03</w:t>
            </w:r>
          </w:p>
        </w:tc>
        <w:tc>
          <w:tcPr>
            <w:tcW w:w="1380" w:type="dxa"/>
            <w:vAlign w:val="bottom"/>
          </w:tcPr>
          <w:p>
            <w:pPr>
              <w:jc w:val="right"/>
              <w:ind w:right="672"/>
              <w:spacing w:after="0"/>
              <w:rPr>
                <w:sz w:val="20"/>
                <w:szCs w:val="20"/>
                <w:color w:val="auto"/>
              </w:rPr>
            </w:pPr>
            <w:r>
              <w:rPr>
                <w:rFonts w:ascii="Arial" w:cs="Arial" w:eastAsia="Arial" w:hAnsi="Arial"/>
                <w:sz w:val="18"/>
                <w:szCs w:val="18"/>
                <w:color w:val="auto"/>
              </w:rPr>
              <w:t>3Q04</w:t>
            </w:r>
          </w:p>
        </w:tc>
        <w:tc>
          <w:tcPr>
            <w:tcW w:w="1340" w:type="dxa"/>
            <w:vAlign w:val="bottom"/>
          </w:tcPr>
          <w:p>
            <w:pPr>
              <w:jc w:val="right"/>
              <w:ind w:right="632"/>
              <w:spacing w:after="0"/>
              <w:rPr>
                <w:sz w:val="20"/>
                <w:szCs w:val="20"/>
                <w:color w:val="auto"/>
              </w:rPr>
            </w:pPr>
            <w:r>
              <w:rPr>
                <w:rFonts w:ascii="Arial" w:cs="Arial" w:eastAsia="Arial" w:hAnsi="Arial"/>
                <w:sz w:val="18"/>
                <w:szCs w:val="18"/>
                <w:color w:val="auto"/>
              </w:rPr>
              <w:t>4Q04</w:t>
            </w:r>
          </w:p>
        </w:tc>
        <w:tc>
          <w:tcPr>
            <w:tcW w:w="1360" w:type="dxa"/>
            <w:vAlign w:val="bottom"/>
          </w:tcPr>
          <w:p>
            <w:pPr>
              <w:jc w:val="right"/>
              <w:ind w:right="572"/>
              <w:spacing w:after="0"/>
              <w:rPr>
                <w:sz w:val="20"/>
                <w:szCs w:val="20"/>
                <w:color w:val="auto"/>
              </w:rPr>
            </w:pPr>
            <w:r>
              <w:rPr>
                <w:rFonts w:ascii="Arial" w:cs="Arial" w:eastAsia="Arial" w:hAnsi="Arial"/>
                <w:sz w:val="18"/>
                <w:szCs w:val="18"/>
                <w:color w:val="auto"/>
              </w:rPr>
              <w:t>12m03</w:t>
            </w:r>
          </w:p>
        </w:tc>
        <w:tc>
          <w:tcPr>
            <w:tcW w:w="1160" w:type="dxa"/>
            <w:vAlign w:val="bottom"/>
          </w:tcPr>
          <w:p>
            <w:pPr>
              <w:jc w:val="right"/>
              <w:ind w:right="372"/>
              <w:spacing w:after="0"/>
              <w:rPr>
                <w:sz w:val="20"/>
                <w:szCs w:val="20"/>
                <w:color w:val="auto"/>
              </w:rPr>
            </w:pPr>
            <w:r>
              <w:rPr>
                <w:rFonts w:ascii="Arial" w:cs="Arial" w:eastAsia="Arial" w:hAnsi="Arial"/>
                <w:sz w:val="18"/>
                <w:szCs w:val="18"/>
                <w:color w:val="auto"/>
              </w:rPr>
              <w:t>12m04</w:t>
            </w:r>
          </w:p>
        </w:tc>
      </w:tr>
      <w:tr>
        <w:trPr>
          <w:trHeight w:val="137"/>
        </w:trPr>
        <w:tc>
          <w:tcPr>
            <w:tcW w:w="3400" w:type="dxa"/>
            <w:vAlign w:val="bottom"/>
            <w:tcBorders>
              <w:bottom w:val="single" w:sz="8" w:color="auto"/>
            </w:tcBorders>
          </w:tcPr>
          <w:p>
            <w:pPr>
              <w:spacing w:after="0"/>
              <w:rPr>
                <w:sz w:val="11"/>
                <w:szCs w:val="11"/>
                <w:color w:val="auto"/>
              </w:rPr>
            </w:pPr>
          </w:p>
        </w:tc>
        <w:tc>
          <w:tcPr>
            <w:tcW w:w="27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343"/>
        </w:trPr>
        <w:tc>
          <w:tcPr>
            <w:tcW w:w="3400" w:type="dxa"/>
            <w:vAlign w:val="bottom"/>
          </w:tcPr>
          <w:p>
            <w:pPr>
              <w:spacing w:after="0"/>
              <w:rPr>
                <w:sz w:val="20"/>
                <w:szCs w:val="20"/>
                <w:color w:val="auto"/>
              </w:rPr>
            </w:pPr>
            <w:r>
              <w:rPr>
                <w:rFonts w:ascii="Arial" w:cs="Arial" w:eastAsia="Arial" w:hAnsi="Arial"/>
                <w:sz w:val="18"/>
                <w:szCs w:val="18"/>
                <w:color w:val="auto"/>
              </w:rPr>
              <w:t>Banco de Crédito BCP(1)</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US$27.4</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US$31.0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US$28.1</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US$91.3</w:t>
            </w:r>
          </w:p>
        </w:tc>
        <w:tc>
          <w:tcPr>
            <w:tcW w:w="1160" w:type="dxa"/>
            <w:vAlign w:val="bottom"/>
          </w:tcPr>
          <w:p>
            <w:pPr>
              <w:jc w:val="right"/>
              <w:spacing w:after="0"/>
              <w:rPr>
                <w:sz w:val="20"/>
                <w:szCs w:val="20"/>
                <w:color w:val="auto"/>
              </w:rPr>
            </w:pPr>
            <w:r>
              <w:rPr>
                <w:rFonts w:ascii="Arial" w:cs="Arial" w:eastAsia="Arial" w:hAnsi="Arial"/>
                <w:sz w:val="18"/>
                <w:szCs w:val="18"/>
                <w:color w:val="auto"/>
              </w:rPr>
              <w:t>US$111.4</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Atlantic</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3.1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2.8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4.0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7.8</w:t>
            </w:r>
          </w:p>
        </w:tc>
        <w:tc>
          <w:tcPr>
            <w:tcW w:w="116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PPS</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3.0</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1.9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3.3</w:t>
            </w:r>
          </w:p>
        </w:tc>
        <w:tc>
          <w:tcPr>
            <w:tcW w:w="1160" w:type="dxa"/>
            <w:vAlign w:val="bottom"/>
          </w:tcPr>
          <w:p>
            <w:pPr>
              <w:jc w:val="right"/>
              <w:spacing w:after="0"/>
              <w:rPr>
                <w:sz w:val="20"/>
                <w:szCs w:val="20"/>
                <w:color w:val="auto"/>
              </w:rPr>
            </w:pPr>
            <w:r>
              <w:rPr>
                <w:rFonts w:ascii="Arial" w:cs="Arial" w:eastAsia="Arial" w:hAnsi="Arial"/>
                <w:sz w:val="18"/>
                <w:szCs w:val="18"/>
                <w:color w:val="auto"/>
              </w:rPr>
              <w:t>9.6</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Banco Tequendama</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0.5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0.9</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0.0</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0.1</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3400" w:type="dxa"/>
            <w:vAlign w:val="bottom"/>
          </w:tcPr>
          <w:p>
            <w:pPr>
              <w:spacing w:after="0"/>
              <w:rPr>
                <w:sz w:val="20"/>
                <w:szCs w:val="20"/>
                <w:color w:val="auto"/>
              </w:rPr>
            </w:pPr>
            <w:r>
              <w:rPr>
                <w:rFonts w:ascii="Arial" w:cs="Arial" w:eastAsia="Arial" w:hAnsi="Arial"/>
                <w:sz w:val="18"/>
                <w:szCs w:val="18"/>
                <w:color w:val="auto"/>
              </w:rPr>
              <w:t>Credicorp and others(2)</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-3.6</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-4.8</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0.9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-21.9</w:t>
            </w:r>
          </w:p>
        </w:tc>
        <w:tc>
          <w:tcPr>
            <w:tcW w:w="1160" w:type="dxa"/>
            <w:vAlign w:val="bottom"/>
          </w:tcPr>
          <w:p>
            <w:pPr>
              <w:jc w:val="right"/>
              <w:spacing w:after="0"/>
              <w:rPr>
                <w:sz w:val="20"/>
                <w:szCs w:val="20"/>
                <w:color w:val="auto"/>
              </w:rPr>
            </w:pPr>
            <w:r>
              <w:rPr>
                <w:rFonts w:ascii="Arial" w:cs="Arial" w:eastAsia="Arial" w:hAnsi="Arial"/>
                <w:sz w:val="18"/>
                <w:szCs w:val="18"/>
                <w:color w:val="auto"/>
              </w:rPr>
              <w:t>-5.5</w:t>
            </w:r>
          </w:p>
        </w:tc>
      </w:tr>
      <w:tr>
        <w:trPr>
          <w:trHeight w:val="513"/>
        </w:trPr>
        <w:tc>
          <w:tcPr>
            <w:tcW w:w="3400" w:type="dxa"/>
            <w:vAlign w:val="bottom"/>
          </w:tcPr>
          <w:p>
            <w:pPr>
              <w:spacing w:after="0"/>
              <w:rPr>
                <w:sz w:val="20"/>
                <w:szCs w:val="20"/>
                <w:color w:val="auto"/>
              </w:rPr>
            </w:pPr>
            <w:r>
              <w:rPr>
                <w:rFonts w:ascii="Arial" w:cs="Arial" w:eastAsia="Arial" w:hAnsi="Arial"/>
                <w:sz w:val="18"/>
                <w:szCs w:val="18"/>
                <w:color w:val="auto"/>
              </w:rPr>
              <w:t>Net Income</w:t>
            </w:r>
          </w:p>
        </w:tc>
        <w:tc>
          <w:tcPr>
            <w:tcW w:w="2720" w:type="dxa"/>
            <w:vAlign w:val="bottom"/>
          </w:tcPr>
          <w:p>
            <w:pPr>
              <w:jc w:val="right"/>
              <w:ind w:right="172"/>
              <w:spacing w:after="0"/>
              <w:rPr>
                <w:sz w:val="20"/>
                <w:szCs w:val="20"/>
                <w:color w:val="auto"/>
              </w:rPr>
            </w:pPr>
            <w:r>
              <w:rPr>
                <w:rFonts w:ascii="Arial" w:cs="Arial" w:eastAsia="Arial" w:hAnsi="Arial"/>
                <w:sz w:val="18"/>
                <w:szCs w:val="18"/>
                <w:color w:val="auto"/>
              </w:rPr>
              <w:t>US$23.8</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US$32.9</w:t>
            </w:r>
          </w:p>
        </w:tc>
        <w:tc>
          <w:tcPr>
            <w:tcW w:w="1340" w:type="dxa"/>
            <w:vAlign w:val="bottom"/>
          </w:tcPr>
          <w:p>
            <w:pPr>
              <w:jc w:val="right"/>
              <w:ind w:right="132"/>
              <w:spacing w:after="0"/>
              <w:rPr>
                <w:sz w:val="20"/>
                <w:szCs w:val="20"/>
                <w:color w:val="auto"/>
              </w:rPr>
            </w:pPr>
            <w:r>
              <w:rPr>
                <w:rFonts w:ascii="Arial" w:cs="Arial" w:eastAsia="Arial" w:hAnsi="Arial"/>
                <w:sz w:val="18"/>
                <w:szCs w:val="18"/>
                <w:color w:val="auto"/>
              </w:rPr>
              <w:t>US$34.9</w:t>
            </w:r>
          </w:p>
        </w:tc>
        <w:tc>
          <w:tcPr>
            <w:tcW w:w="1360" w:type="dxa"/>
            <w:vAlign w:val="bottom"/>
          </w:tcPr>
          <w:p>
            <w:pPr>
              <w:jc w:val="right"/>
              <w:ind w:right="132"/>
              <w:spacing w:after="0"/>
              <w:rPr>
                <w:sz w:val="20"/>
                <w:szCs w:val="20"/>
                <w:color w:val="auto"/>
              </w:rPr>
            </w:pPr>
            <w:r>
              <w:rPr>
                <w:rFonts w:ascii="Arial" w:cs="Arial" w:eastAsia="Arial" w:hAnsi="Arial"/>
                <w:sz w:val="18"/>
                <w:szCs w:val="18"/>
                <w:color w:val="auto"/>
              </w:rPr>
              <w:t>US$80.6</w:t>
            </w:r>
          </w:p>
        </w:tc>
        <w:tc>
          <w:tcPr>
            <w:tcW w:w="1160" w:type="dxa"/>
            <w:vAlign w:val="bottom"/>
          </w:tcPr>
          <w:p>
            <w:pPr>
              <w:jc w:val="right"/>
              <w:spacing w:after="0"/>
              <w:rPr>
                <w:sz w:val="20"/>
                <w:szCs w:val="20"/>
                <w:color w:val="auto"/>
              </w:rPr>
            </w:pPr>
            <w:r>
              <w:rPr>
                <w:rFonts w:ascii="Arial" w:cs="Arial" w:eastAsia="Arial" w:hAnsi="Arial"/>
                <w:sz w:val="18"/>
                <w:szCs w:val="18"/>
                <w:color w:val="auto"/>
              </w:rPr>
              <w:t>US$130.7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86995</wp:posOffset>
            </wp:positionV>
            <wp:extent cx="721233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7" w:lineRule="exact"/>
        <w:rPr>
          <w:sz w:val="20"/>
          <w:szCs w:val="20"/>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Banco de Crédito de Bolivia.</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2"/>
        </w:numPr>
        <w:rPr>
          <w:rFonts w:ascii="Arial" w:cs="Arial" w:eastAsia="Arial" w:hAnsi="Arial"/>
          <w:sz w:val="18"/>
          <w:szCs w:val="18"/>
          <w:color w:val="auto"/>
        </w:rPr>
      </w:pPr>
      <w:r>
        <w:rPr>
          <w:rFonts w:ascii="Arial" w:cs="Arial" w:eastAsia="Arial" w:hAnsi="Arial"/>
          <w:sz w:val="18"/>
          <w:szCs w:val="18"/>
          <w:color w:val="auto"/>
        </w:rPr>
        <w:t>Includes Inversiones Crédito, Credicorp Securities and others.</w:t>
      </w:r>
    </w:p>
    <w:p>
      <w:pPr>
        <w:spacing w:after="0" w:line="21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2004, the Credicorp and others concept contributed a net income of US$0.9 million, which includes a gain of US$3.0 million from the sale of long term investments on equity securities. The US$3.6 million loss contribution in the fourth quarter of 2003 included a US$2.1 million charge for investments and generic contingencies reserves.</w:t>
      </w:r>
    </w:p>
    <w:p>
      <w:pPr>
        <w:spacing w:after="0" w:line="194"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Banco de Crédito BCP contributed US$28.1 million to Credicorp’s net income in fourth quarter 2004, below its results according to Peruvian accounting principles reported in Section II, which amounted to US$30.0 million. Under Credicorp’s IFRS accounting rules, BCP registered additional provisions for foreclosed assets (US$4.5 million) and for loan losses (US$5.2 million). These additional provisions were partly offset by lower translation losses registered under Credicorp’s Dollar-based accounting. Translation loss amounted to US$0.6 million, compared to a US$7.8 million loss in BCP’s local records, which resulted from inflation adjustment losses and losses on foreign currency positions caused by the Nuevo Sol appreciation against the Dollar. (See below: Note on Inflation Adjusted Accounting.)</w:t>
      </w:r>
    </w:p>
    <w:p>
      <w:pPr>
        <w:spacing w:after="0" w:line="198"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contribution of Atlantic Security Holding Corporation of US$4.0 million in the current quarter is equal to net income shown in its books (see Section III). Nevertheless, Atlantic’s contribution in full-year 2004, of US$13.3 million, is lower than the US$19.1 million net income in its records because of the elimination of US$5.8 million dividends received from Credicorp.</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fourth quarter 2004, Credicorp received a US$1.9 million profit contribution from Pacífico Peruano Suiza, lower than the consolidated net income of US$3.1 million in its local Peruvian GAAP books (See Section IV), partly because Credicorp’s records registered a US$0.6 million minority interest deduction and to Novasalud’s goodwill amortization.</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Banco Tequendama did not contribue to Credicorp’s net income in the fourth quarter of 2004 because, as was mentioned above, its results are provisioned given its fixed sale price.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Note on Inflation Adjusted Accounting</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BCP’s financial statements, in Section II, show decreases in certain line items when compared to the year-ago amounts, which is partly due to: (i) the inflation adjustment according to Peruvian GAAP (this adjustment increases by 4.9% Soles amounts originally reported in December 2003), and (ii) the decline of the Nuevo Sol exchange rate, that decreases the amount registered in local books of U.S. Dollar denominated operations (the exchange rate declined 5.2% in year 2004).</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U.S. Dollar denominated accounts suffer a 10% decline in Peruvian currency records due to the cumulative application of these points. This effect is important in case of BCP given its concentration in foreing currency operations (in December 2004, 83.5% of BCP’s loans were U.S. Dollar denominated).</w:t>
      </w:r>
    </w:p>
    <w:p>
      <w:pPr>
        <w:spacing w:after="0" w:line="139" w:lineRule="exact"/>
        <w:rPr>
          <w:sz w:val="20"/>
          <w:szCs w:val="20"/>
          <w:color w:val="auto"/>
        </w:rPr>
      </w:pPr>
    </w:p>
    <w:p>
      <w:pPr>
        <w:spacing w:after="0"/>
        <w:rPr>
          <w:sz w:val="20"/>
          <w:szCs w:val="20"/>
          <w:color w:val="auto"/>
        </w:rPr>
      </w:pPr>
      <w:r>
        <w:rPr>
          <w:rFonts w:ascii="Arial" w:cs="Arial" w:eastAsia="Arial" w:hAnsi="Arial"/>
          <w:sz w:val="18"/>
          <w:szCs w:val="18"/>
          <w:color w:val="auto"/>
        </w:rPr>
        <w:t>Credicorp does not show this negative effect since it carries its books in U.S. Dollars.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inflation adjustment index, based on the wholesale price inflation, and the exchange rate, are shown in the following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234315</wp:posOffset>
            </wp:positionV>
            <wp:extent cx="721233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6080" w:type="dxa"/>
            <w:vAlign w:val="bottom"/>
          </w:tcPr>
          <w:p>
            <w:pPr>
              <w:ind w:left="5360"/>
              <w:spacing w:after="0"/>
              <w:rPr>
                <w:sz w:val="20"/>
                <w:szCs w:val="20"/>
                <w:color w:val="auto"/>
              </w:rPr>
            </w:pPr>
            <w:r>
              <w:rPr>
                <w:rFonts w:ascii="Arial" w:cs="Arial" w:eastAsia="Arial" w:hAnsi="Arial"/>
                <w:sz w:val="18"/>
                <w:szCs w:val="18"/>
                <w:color w:val="auto"/>
                <w:w w:val="99"/>
              </w:rPr>
              <w:t>31.12.03</w:t>
            </w:r>
          </w:p>
        </w:tc>
        <w:tc>
          <w:tcPr>
            <w:tcW w:w="1140" w:type="dxa"/>
            <w:vAlign w:val="bottom"/>
          </w:tcPr>
          <w:p>
            <w:pPr>
              <w:spacing w:after="0"/>
              <w:rPr>
                <w:sz w:val="19"/>
                <w:szCs w:val="19"/>
                <w:color w:val="auto"/>
              </w:rPr>
            </w:pPr>
          </w:p>
        </w:tc>
        <w:tc>
          <w:tcPr>
            <w:tcW w:w="2280" w:type="dxa"/>
            <w:vAlign w:val="bottom"/>
          </w:tcPr>
          <w:p>
            <w:pPr>
              <w:jc w:val="right"/>
              <w:ind w:right="1152"/>
              <w:spacing w:after="0"/>
              <w:rPr>
                <w:sz w:val="20"/>
                <w:szCs w:val="20"/>
                <w:color w:val="auto"/>
              </w:rPr>
            </w:pPr>
            <w:r>
              <w:rPr>
                <w:rFonts w:ascii="Arial" w:cs="Arial" w:eastAsia="Arial" w:hAnsi="Arial"/>
                <w:sz w:val="18"/>
                <w:szCs w:val="18"/>
                <w:color w:val="auto"/>
              </w:rPr>
              <w:t>30.09.04</w:t>
            </w:r>
          </w:p>
        </w:tc>
        <w:tc>
          <w:tcPr>
            <w:tcW w:w="1860" w:type="dxa"/>
            <w:vAlign w:val="bottom"/>
          </w:tcPr>
          <w:p>
            <w:pPr>
              <w:jc w:val="right"/>
              <w:ind w:right="732"/>
              <w:spacing w:after="0"/>
              <w:rPr>
                <w:sz w:val="20"/>
                <w:szCs w:val="20"/>
                <w:color w:val="auto"/>
              </w:rPr>
            </w:pPr>
            <w:r>
              <w:rPr>
                <w:rFonts w:ascii="Arial" w:cs="Arial" w:eastAsia="Arial" w:hAnsi="Arial"/>
                <w:sz w:val="18"/>
                <w:szCs w:val="18"/>
                <w:color w:val="auto"/>
              </w:rPr>
              <w:t>31.12.04</w:t>
            </w:r>
          </w:p>
        </w:tc>
      </w:tr>
      <w:tr>
        <w:trPr>
          <w:trHeight w:val="137"/>
        </w:trPr>
        <w:tc>
          <w:tcPr>
            <w:tcW w:w="608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43"/>
        </w:trPr>
        <w:tc>
          <w:tcPr>
            <w:tcW w:w="6080" w:type="dxa"/>
            <w:vAlign w:val="bottom"/>
          </w:tcPr>
          <w:p>
            <w:pPr>
              <w:spacing w:after="0"/>
              <w:rPr>
                <w:sz w:val="20"/>
                <w:szCs w:val="20"/>
                <w:color w:val="auto"/>
              </w:rPr>
            </w:pPr>
            <w:r>
              <w:rPr>
                <w:rFonts w:ascii="Arial" w:cs="Arial" w:eastAsia="Arial" w:hAnsi="Arial"/>
                <w:sz w:val="18"/>
                <w:szCs w:val="18"/>
                <w:color w:val="auto"/>
              </w:rPr>
              <w:t>Inflation - wholesale prices</w:t>
            </w:r>
          </w:p>
        </w:tc>
        <w:tc>
          <w:tcPr>
            <w:tcW w:w="1140" w:type="dxa"/>
            <w:vAlign w:val="bottom"/>
          </w:tcPr>
          <w:p>
            <w:pPr>
              <w:spacing w:after="0"/>
              <w:rPr>
                <w:sz w:val="24"/>
                <w:szCs w:val="24"/>
                <w:color w:val="auto"/>
              </w:rPr>
            </w:pPr>
          </w:p>
        </w:tc>
        <w:tc>
          <w:tcPr>
            <w:tcW w:w="228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(last twelve months)</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2.0%</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6.0%</w:t>
            </w:r>
          </w:p>
        </w:tc>
        <w:tc>
          <w:tcPr>
            <w:tcW w:w="1860" w:type="dxa"/>
            <w:vAlign w:val="bottom"/>
          </w:tcPr>
          <w:p>
            <w:pPr>
              <w:jc w:val="right"/>
              <w:spacing w:after="0"/>
              <w:rPr>
                <w:sz w:val="20"/>
                <w:szCs w:val="20"/>
                <w:color w:val="auto"/>
              </w:rPr>
            </w:pPr>
            <w:r>
              <w:rPr>
                <w:rFonts w:ascii="Arial" w:cs="Arial" w:eastAsia="Arial" w:hAnsi="Arial"/>
                <w:sz w:val="18"/>
                <w:szCs w:val="18"/>
                <w:color w:val="auto"/>
              </w:rPr>
              <w:t>4.9%</w:t>
            </w: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Inflation adjustment index</w:t>
            </w:r>
          </w:p>
        </w:tc>
        <w:tc>
          <w:tcPr>
            <w:tcW w:w="1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(at December 31, 2004)</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1.049</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1.000</w:t>
            </w:r>
          </w:p>
        </w:tc>
        <w:tc>
          <w:tcPr>
            <w:tcW w:w="18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Exchange rate (Soles per US$1)</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S/.3.463</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S/.3.342</w:t>
            </w:r>
          </w:p>
        </w:tc>
        <w:tc>
          <w:tcPr>
            <w:tcW w:w="1860" w:type="dxa"/>
            <w:vAlign w:val="bottom"/>
          </w:tcPr>
          <w:p>
            <w:pPr>
              <w:jc w:val="right"/>
              <w:spacing w:after="0"/>
              <w:rPr>
                <w:sz w:val="20"/>
                <w:szCs w:val="20"/>
                <w:color w:val="auto"/>
              </w:rPr>
            </w:pPr>
            <w:r>
              <w:rPr>
                <w:rFonts w:ascii="Arial" w:cs="Arial" w:eastAsia="Arial" w:hAnsi="Arial"/>
                <w:sz w:val="18"/>
                <w:szCs w:val="18"/>
                <w:color w:val="auto"/>
              </w:rPr>
              <w:t>S/.3.282</w:t>
            </w: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Devaluation / (revaluation)</w:t>
            </w:r>
          </w:p>
        </w:tc>
        <w:tc>
          <w:tcPr>
            <w:tcW w:w="1140" w:type="dxa"/>
            <w:vAlign w:val="bottom"/>
          </w:tcPr>
          <w:p>
            <w:pPr>
              <w:spacing w:after="0"/>
              <w:rPr>
                <w:sz w:val="21"/>
                <w:szCs w:val="21"/>
                <w:color w:val="auto"/>
              </w:rPr>
            </w:pPr>
          </w:p>
        </w:tc>
        <w:tc>
          <w:tcPr>
            <w:tcW w:w="2280" w:type="dxa"/>
            <w:vAlign w:val="bottom"/>
          </w:tcPr>
          <w:p>
            <w:pPr>
              <w:spacing w:after="0"/>
              <w:rPr>
                <w:sz w:val="21"/>
                <w:szCs w:val="21"/>
                <w:color w:val="auto"/>
              </w:rPr>
            </w:pPr>
          </w:p>
        </w:tc>
        <w:tc>
          <w:tcPr>
            <w:tcW w:w="1860" w:type="dxa"/>
            <w:vAlign w:val="bottom"/>
          </w:tcPr>
          <w:p>
            <w:pPr>
              <w:spacing w:after="0"/>
              <w:rPr>
                <w:sz w:val="21"/>
                <w:szCs w:val="21"/>
                <w:color w:val="auto"/>
              </w:rPr>
            </w:pPr>
          </w:p>
        </w:tc>
      </w:tr>
      <w:tr>
        <w:trPr>
          <w:trHeight w:val="243"/>
        </w:trPr>
        <w:tc>
          <w:tcPr>
            <w:tcW w:w="6080" w:type="dxa"/>
            <w:vAlign w:val="bottom"/>
          </w:tcPr>
          <w:p>
            <w:pPr>
              <w:spacing w:after="0"/>
              <w:rPr>
                <w:sz w:val="20"/>
                <w:szCs w:val="20"/>
                <w:color w:val="auto"/>
              </w:rPr>
            </w:pPr>
            <w:r>
              <w:rPr>
                <w:rFonts w:ascii="Arial" w:cs="Arial" w:eastAsia="Arial" w:hAnsi="Arial"/>
                <w:sz w:val="18"/>
                <w:szCs w:val="18"/>
                <w:color w:val="auto"/>
              </w:rPr>
              <w:t>(last twelve months)</w:t>
            </w:r>
          </w:p>
        </w:tc>
        <w:tc>
          <w:tcPr>
            <w:tcW w:w="1140" w:type="dxa"/>
            <w:vAlign w:val="bottom"/>
          </w:tcPr>
          <w:p>
            <w:pPr>
              <w:jc w:val="right"/>
              <w:ind w:right="352"/>
              <w:spacing w:after="0"/>
              <w:rPr>
                <w:sz w:val="20"/>
                <w:szCs w:val="20"/>
                <w:color w:val="auto"/>
              </w:rPr>
            </w:pPr>
            <w:r>
              <w:rPr>
                <w:rFonts w:ascii="Arial" w:cs="Arial" w:eastAsia="Arial" w:hAnsi="Arial"/>
                <w:sz w:val="18"/>
                <w:szCs w:val="18"/>
                <w:color w:val="auto"/>
              </w:rPr>
              <w:t>(1.45)%</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(4.02)%</w:t>
            </w:r>
          </w:p>
        </w:tc>
        <w:tc>
          <w:tcPr>
            <w:tcW w:w="1860" w:type="dxa"/>
            <w:vAlign w:val="bottom"/>
          </w:tcPr>
          <w:p>
            <w:pPr>
              <w:jc w:val="right"/>
              <w:spacing w:after="0"/>
              <w:rPr>
                <w:sz w:val="20"/>
                <w:szCs w:val="20"/>
                <w:color w:val="auto"/>
              </w:rPr>
            </w:pPr>
            <w:r>
              <w:rPr>
                <w:rFonts w:ascii="Arial" w:cs="Arial" w:eastAsia="Arial" w:hAnsi="Arial"/>
                <w:sz w:val="18"/>
                <w:szCs w:val="18"/>
                <w:color w:val="auto"/>
              </w:rPr>
              <w:t>(5.20)%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Inflation adjustment accounting rules are required by Peruvian GAAP until December 31, 2004. Starting January 1st, 2005, Peruvian authorities have decreed the suspension, with legal and tax effects, of further inflation adjustments, which is a consequence of international guidelines for low inflation countries as experienced recently in Perú.</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Following the elimination of inflation adjusted accounting, starting with first quarter 2005 Credicorp and its subsidiaries will begin reporting their financial statements prepared in accordance with IFRS and in U. S. Dollars.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I.1 INTEREST INCOME AND OTHER INCOME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Note: For comparison purposes, in periods prior to 2004, certain financial revenue items registered by insurance subsidiaries have been retroactively reclassified from the Other non-financial income concept into the Interest Income concept, with no effect on either net income nor total revenue.</w:t>
      </w:r>
    </w:p>
    <w:p>
      <w:pPr>
        <w:sectPr>
          <w:pgSz w:w="11900" w:h="16898" w:orient="portrait"/>
          <w:cols w:equalWidth="0" w:num="1">
            <w:col w:w="11420"/>
          </w:cols>
          <w:pgMar w:left="240" w:top="131" w:right="239" w:bottom="0" w:gutter="0" w:footer="0" w:header="0"/>
        </w:sectPr>
      </w:pPr>
    </w:p>
    <w:bookmarkStart w:id="3" w:name="page4"/>
    <w:bookmarkEnd w:id="3"/>
    <w:p>
      <w:pPr>
        <w:jc w:val="both"/>
        <w:spacing w:after="0" w:line="268" w:lineRule="auto"/>
        <w:rPr>
          <w:sz w:val="20"/>
          <w:szCs w:val="20"/>
          <w:color w:val="auto"/>
        </w:rPr>
      </w:pPr>
      <w:r>
        <w:rPr>
          <w:rFonts w:ascii="Arial" w:cs="Arial" w:eastAsia="Arial" w:hAnsi="Arial"/>
          <w:sz w:val="18"/>
          <w:szCs w:val="18"/>
          <w:color w:val="auto"/>
        </w:rPr>
        <w:t>Net interest income in the fourth quarter of 2004 was US$105.8 million, increasing over US$98.8 million earned in the last quarter of 2003, mostly due to higher interest earning assets, which offset declining interest margins.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net interest margin (net interest income over average interest earning assets), on an annualized basis, was 5.70% during the fourth quarter of 2004, lower than 5.80% in the year-ago quarter, but was higher than 5.23% in the preceding third quarter of 2004. During the current quarter loan rates increased slightly, within a continuing overall excess of liquid funds.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volume of interest earning assets, as an average of quarter-end balances, reached US$7,416 million at fourth quarter 2004, increasing 8.8% compared to US$6,818 million in the last quarter of 2003, mainly due to higher available for sale investments.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Non-interest income was US$134.5 million in the fourth quarter of 2004, 50.2% higher than US$89.6 million in the same period of 2003. This significant increase is mainly due to the merger, in third quarter 2004, of Novasalud EPS with PPS, with the effect of increasing both revenue and cost items. Due to this effect, Premiums and health fees reached US$57.2 million in this quarter, 109.7% over fourth quarter 2003. Likewise, Claims and health costs grew to US$44.0 million, 87.6% higher compared to the 2003 quarter.</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Non-interest income components and Claims and health costs were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234315</wp:posOffset>
            </wp:positionV>
            <wp:extent cx="721233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70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color w:val="auto"/>
              </w:rPr>
              <w:t>4Q04</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4Q04vs.</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(In US$Mn)</w:t>
            </w:r>
          </w:p>
        </w:tc>
        <w:tc>
          <w:tcPr>
            <w:tcW w:w="2420" w:type="dxa"/>
            <w:vAlign w:val="bottom"/>
          </w:tcPr>
          <w:p>
            <w:pPr>
              <w:jc w:val="right"/>
              <w:ind w:right="672"/>
              <w:spacing w:after="0"/>
              <w:rPr>
                <w:sz w:val="20"/>
                <w:szCs w:val="20"/>
                <w:color w:val="auto"/>
              </w:rPr>
            </w:pPr>
            <w:r>
              <w:rPr>
                <w:rFonts w:ascii="Arial" w:cs="Arial" w:eastAsia="Arial" w:hAnsi="Arial"/>
                <w:sz w:val="18"/>
                <w:szCs w:val="18"/>
                <w:color w:val="auto"/>
              </w:rPr>
              <w:t>4Q03</w:t>
            </w:r>
          </w:p>
        </w:tc>
        <w:tc>
          <w:tcPr>
            <w:tcW w:w="1380" w:type="dxa"/>
            <w:vAlign w:val="bottom"/>
          </w:tcPr>
          <w:p>
            <w:pPr>
              <w:jc w:val="right"/>
              <w:ind w:right="672"/>
              <w:spacing w:after="0"/>
              <w:rPr>
                <w:sz w:val="20"/>
                <w:szCs w:val="20"/>
                <w:color w:val="auto"/>
              </w:rPr>
            </w:pPr>
            <w:r>
              <w:rPr>
                <w:rFonts w:ascii="Arial" w:cs="Arial" w:eastAsia="Arial" w:hAnsi="Arial"/>
                <w:sz w:val="18"/>
                <w:szCs w:val="18"/>
                <w:color w:val="auto"/>
              </w:rPr>
              <w:t>3Q04</w:t>
            </w: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4Q04</w:t>
            </w:r>
          </w:p>
        </w:tc>
        <w:tc>
          <w:tcPr>
            <w:tcW w:w="1320" w:type="dxa"/>
            <w:vAlign w:val="bottom"/>
          </w:tcPr>
          <w:p>
            <w:pPr>
              <w:jc w:val="right"/>
              <w:ind w:right="592"/>
              <w:spacing w:after="0"/>
              <w:rPr>
                <w:sz w:val="20"/>
                <w:szCs w:val="20"/>
                <w:color w:val="auto"/>
              </w:rPr>
            </w:pPr>
            <w:r>
              <w:rPr>
                <w:rFonts w:ascii="Arial" w:cs="Arial" w:eastAsia="Arial" w:hAnsi="Arial"/>
                <w:sz w:val="18"/>
                <w:szCs w:val="18"/>
                <w:color w:val="auto"/>
              </w:rPr>
              <w:t>3Q04</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4Q03</w:t>
            </w:r>
          </w:p>
        </w:tc>
      </w:tr>
      <w:tr>
        <w:trPr>
          <w:trHeight w:val="137"/>
        </w:trPr>
        <w:tc>
          <w:tcPr>
            <w:tcW w:w="37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343"/>
        </w:trPr>
        <w:tc>
          <w:tcPr>
            <w:tcW w:w="3700" w:type="dxa"/>
            <w:vAlign w:val="bottom"/>
          </w:tcPr>
          <w:p>
            <w:pPr>
              <w:spacing w:after="0"/>
              <w:rPr>
                <w:sz w:val="20"/>
                <w:szCs w:val="20"/>
                <w:color w:val="auto"/>
              </w:rPr>
            </w:pPr>
            <w:r>
              <w:rPr>
                <w:rFonts w:ascii="Arial" w:cs="Arial" w:eastAsia="Arial" w:hAnsi="Arial"/>
                <w:sz w:val="18"/>
                <w:szCs w:val="18"/>
                <w:color w:val="auto"/>
              </w:rPr>
              <w:t>Commissions for banking services</w:t>
            </w: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46.8</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52.0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52.9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1.8%</w:t>
            </w:r>
          </w:p>
        </w:tc>
        <w:tc>
          <w:tcPr>
            <w:tcW w:w="1180" w:type="dxa"/>
            <w:vAlign w:val="bottom"/>
          </w:tcPr>
          <w:p>
            <w:pPr>
              <w:jc w:val="right"/>
              <w:spacing w:after="0"/>
              <w:rPr>
                <w:sz w:val="20"/>
                <w:szCs w:val="20"/>
                <w:color w:val="auto"/>
              </w:rPr>
            </w:pPr>
            <w:r>
              <w:rPr>
                <w:rFonts w:ascii="Arial" w:cs="Arial" w:eastAsia="Arial" w:hAnsi="Arial"/>
                <w:sz w:val="18"/>
                <w:szCs w:val="18"/>
                <w:color w:val="auto"/>
              </w:rPr>
              <w:t>13.1%</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Net premiums and health fees</w:t>
            </w: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27.3</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64.4</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57.2</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-11.1%</w:t>
            </w:r>
          </w:p>
        </w:tc>
        <w:tc>
          <w:tcPr>
            <w:tcW w:w="1180" w:type="dxa"/>
            <w:vAlign w:val="bottom"/>
          </w:tcPr>
          <w:p>
            <w:pPr>
              <w:jc w:val="right"/>
              <w:spacing w:after="0"/>
              <w:rPr>
                <w:sz w:val="20"/>
                <w:szCs w:val="20"/>
                <w:color w:val="auto"/>
              </w:rPr>
            </w:pPr>
            <w:r>
              <w:rPr>
                <w:rFonts w:ascii="Arial" w:cs="Arial" w:eastAsia="Arial" w:hAnsi="Arial"/>
                <w:sz w:val="18"/>
                <w:szCs w:val="18"/>
                <w:color w:val="auto"/>
              </w:rPr>
              <w:t>109.7%</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Gains from sale of securities</w:t>
            </w:r>
          </w:p>
        </w:tc>
        <w:tc>
          <w:tcPr>
            <w:tcW w:w="2420" w:type="dxa"/>
            <w:vAlign w:val="bottom"/>
          </w:tcPr>
          <w:p>
            <w:pPr>
              <w:jc w:val="right"/>
              <w:ind w:right="212"/>
              <w:spacing w:after="0"/>
              <w:rPr>
                <w:sz w:val="20"/>
                <w:szCs w:val="20"/>
                <w:color w:val="auto"/>
              </w:rPr>
            </w:pPr>
            <w:r>
              <w:rPr>
                <w:rFonts w:ascii="Arial" w:cs="Arial" w:eastAsia="Arial" w:hAnsi="Arial"/>
                <w:sz w:val="18"/>
                <w:szCs w:val="18"/>
                <w:color w:val="auto"/>
              </w:rPr>
              <w:t>-2.8</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61.6%</w:t>
            </w: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Gains from foreign exchange</w:t>
            </w: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6.1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7.0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6.7%</w:t>
            </w:r>
          </w:p>
        </w:tc>
        <w:tc>
          <w:tcPr>
            <w:tcW w:w="1180" w:type="dxa"/>
            <w:vAlign w:val="bottom"/>
          </w:tcPr>
          <w:p>
            <w:pPr>
              <w:jc w:val="right"/>
              <w:spacing w:after="0"/>
              <w:rPr>
                <w:sz w:val="20"/>
                <w:szCs w:val="20"/>
                <w:color w:val="auto"/>
              </w:rPr>
            </w:pPr>
            <w:r>
              <w:rPr>
                <w:rFonts w:ascii="Arial" w:cs="Arial" w:eastAsia="Arial" w:hAnsi="Arial"/>
                <w:sz w:val="18"/>
                <w:szCs w:val="18"/>
                <w:color w:val="auto"/>
              </w:rPr>
              <w:t>14.9%</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Other non-interest income</w:t>
            </w: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12.2</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6.7</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11.4</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71.7%</w:t>
            </w:r>
          </w:p>
        </w:tc>
        <w:tc>
          <w:tcPr>
            <w:tcW w:w="1180" w:type="dxa"/>
            <w:vAlign w:val="bottom"/>
          </w:tcPr>
          <w:p>
            <w:pPr>
              <w:jc w:val="right"/>
              <w:spacing w:after="0"/>
              <w:rPr>
                <w:sz w:val="20"/>
                <w:szCs w:val="20"/>
                <w:color w:val="auto"/>
              </w:rPr>
            </w:pPr>
            <w:r>
              <w:rPr>
                <w:rFonts w:ascii="Arial" w:cs="Arial" w:eastAsia="Arial" w:hAnsi="Arial"/>
                <w:sz w:val="18"/>
                <w:szCs w:val="18"/>
                <w:color w:val="auto"/>
              </w:rPr>
              <w:t>-5.9%</w:t>
            </w:r>
          </w:p>
        </w:tc>
      </w:tr>
      <w:tr>
        <w:trPr>
          <w:trHeight w:val="243"/>
        </w:trPr>
        <w:tc>
          <w:tcPr>
            <w:tcW w:w="3700" w:type="dxa"/>
            <w:vAlign w:val="bottom"/>
          </w:tcPr>
          <w:p>
            <w:pPr>
              <w:spacing w:after="0"/>
              <w:rPr>
                <w:sz w:val="20"/>
                <w:szCs w:val="20"/>
                <w:color w:val="auto"/>
              </w:rPr>
            </w:pPr>
            <w:r>
              <w:rPr>
                <w:rFonts w:ascii="Arial" w:cs="Arial" w:eastAsia="Arial" w:hAnsi="Arial"/>
                <w:sz w:val="18"/>
                <w:szCs w:val="18"/>
                <w:color w:val="auto"/>
              </w:rPr>
              <w:t>Total Non-Interest Income</w:t>
            </w: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89.6</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133.3</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134.5</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180" w:type="dxa"/>
            <w:vAlign w:val="bottom"/>
          </w:tcPr>
          <w:p>
            <w:pPr>
              <w:jc w:val="right"/>
              <w:spacing w:after="0"/>
              <w:rPr>
                <w:sz w:val="20"/>
                <w:szCs w:val="20"/>
                <w:color w:val="auto"/>
              </w:rPr>
            </w:pPr>
            <w:r>
              <w:rPr>
                <w:rFonts w:ascii="Arial" w:cs="Arial" w:eastAsia="Arial" w:hAnsi="Arial"/>
                <w:sz w:val="18"/>
                <w:szCs w:val="18"/>
                <w:color w:val="auto"/>
              </w:rPr>
              <w:t>50.2%</w:t>
            </w:r>
          </w:p>
        </w:tc>
      </w:tr>
      <w:tr>
        <w:trPr>
          <w:trHeight w:val="486"/>
        </w:trPr>
        <w:tc>
          <w:tcPr>
            <w:tcW w:w="3700" w:type="dxa"/>
            <w:vAlign w:val="bottom"/>
          </w:tcPr>
          <w:p>
            <w:pPr>
              <w:spacing w:after="0"/>
              <w:rPr>
                <w:sz w:val="20"/>
                <w:szCs w:val="20"/>
                <w:color w:val="auto"/>
              </w:rPr>
            </w:pPr>
            <w:r>
              <w:rPr>
                <w:rFonts w:ascii="Arial" w:cs="Arial" w:eastAsia="Arial" w:hAnsi="Arial"/>
                <w:sz w:val="18"/>
                <w:szCs w:val="18"/>
                <w:color w:val="auto"/>
              </w:rPr>
              <w:t>Claims and health costs</w:t>
            </w:r>
          </w:p>
        </w:tc>
        <w:tc>
          <w:tcPr>
            <w:tcW w:w="2420" w:type="dxa"/>
            <w:vAlign w:val="bottom"/>
          </w:tcPr>
          <w:p>
            <w:pPr>
              <w:jc w:val="right"/>
              <w:ind w:right="172"/>
              <w:spacing w:after="0"/>
              <w:rPr>
                <w:sz w:val="20"/>
                <w:szCs w:val="20"/>
                <w:color w:val="auto"/>
              </w:rPr>
            </w:pPr>
            <w:r>
              <w:rPr>
                <w:rFonts w:ascii="Arial" w:cs="Arial" w:eastAsia="Arial" w:hAnsi="Arial"/>
                <w:sz w:val="18"/>
                <w:szCs w:val="18"/>
                <w:color w:val="auto"/>
              </w:rPr>
              <w:t>23.5</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48.6</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44.0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-9.5%</w:t>
            </w:r>
          </w:p>
        </w:tc>
        <w:tc>
          <w:tcPr>
            <w:tcW w:w="1180" w:type="dxa"/>
            <w:vAlign w:val="bottom"/>
          </w:tcPr>
          <w:p>
            <w:pPr>
              <w:jc w:val="right"/>
              <w:spacing w:after="0"/>
              <w:rPr>
                <w:sz w:val="20"/>
                <w:szCs w:val="20"/>
                <w:color w:val="auto"/>
              </w:rPr>
            </w:pPr>
            <w:r>
              <w:rPr>
                <w:rFonts w:ascii="Arial" w:cs="Arial" w:eastAsia="Arial" w:hAnsi="Arial"/>
                <w:sz w:val="18"/>
                <w:szCs w:val="18"/>
                <w:color w:val="auto"/>
              </w:rPr>
              <w:t>87.6%</w:t>
            </w:r>
          </w:p>
        </w:tc>
      </w:tr>
      <w:tr>
        <w:trPr>
          <w:trHeight w:val="137"/>
        </w:trPr>
        <w:tc>
          <w:tcPr>
            <w:tcW w:w="3700" w:type="dxa"/>
            <w:vAlign w:val="bottom"/>
            <w:tcBorders>
              <w:bottom w:val="single" w:sz="8" w:color="auto"/>
            </w:tcBorders>
          </w:tcPr>
          <w:p>
            <w:pPr>
              <w:spacing w:after="0"/>
              <w:rPr>
                <w:sz w:val="11"/>
                <w:szCs w:val="11"/>
                <w:color w:val="auto"/>
              </w:rPr>
            </w:pPr>
          </w:p>
        </w:tc>
        <w:tc>
          <w:tcPr>
            <w:tcW w:w="242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I.2 OTHER NON-INTEREST EXPENSES</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Other non-interest expenses amounted to US$137.9 million in fourth quarter 2004, 19.9% over expenses in the same period of the previous year, partly due to increased transactions brought by the Novasalud merger, as explained previously. Additionally, the Other expenses caption grew due to higher provisions for foreclosed assets (amounting to US$4.0 million), and provisions for Banco Tequendama’s net income in the last quarter of 2004 and investments (amounting to US$3.9 million). Credicorp’s other expense components had the following variations: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216535</wp:posOffset>
            </wp:positionV>
            <wp:extent cx="7212330"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680" w:type="dxa"/>
            <w:vAlign w:val="bottom"/>
          </w:tcPr>
          <w:p>
            <w:pPr>
              <w:spacing w:after="0"/>
              <w:rPr>
                <w:sz w:val="19"/>
                <w:szCs w:val="19"/>
                <w:color w:val="auto"/>
              </w:rPr>
            </w:pPr>
          </w:p>
        </w:tc>
        <w:tc>
          <w:tcPr>
            <w:tcW w:w="244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1320" w:type="dxa"/>
            <w:vAlign w:val="bottom"/>
          </w:tcPr>
          <w:p>
            <w:pPr>
              <w:jc w:val="right"/>
              <w:ind w:right="592"/>
              <w:spacing w:after="0"/>
              <w:rPr>
                <w:sz w:val="20"/>
                <w:szCs w:val="20"/>
                <w:color w:val="auto"/>
              </w:rPr>
            </w:pPr>
            <w:r>
              <w:rPr>
                <w:rFonts w:ascii="Arial" w:cs="Arial" w:eastAsia="Arial" w:hAnsi="Arial"/>
                <w:sz w:val="18"/>
                <w:szCs w:val="18"/>
                <w:color w:val="auto"/>
              </w:rPr>
              <w:t>4Q04</w:t>
            </w:r>
          </w:p>
        </w:tc>
        <w:tc>
          <w:tcPr>
            <w:tcW w:w="1180" w:type="dxa"/>
            <w:vAlign w:val="bottom"/>
          </w:tcPr>
          <w:p>
            <w:pPr>
              <w:jc w:val="right"/>
              <w:ind w:right="292"/>
              <w:spacing w:after="0"/>
              <w:rPr>
                <w:sz w:val="20"/>
                <w:szCs w:val="20"/>
                <w:color w:val="auto"/>
              </w:rPr>
            </w:pPr>
            <w:r>
              <w:rPr>
                <w:rFonts w:ascii="Arial" w:cs="Arial" w:eastAsia="Arial" w:hAnsi="Arial"/>
                <w:sz w:val="18"/>
                <w:szCs w:val="18"/>
                <w:color w:val="auto"/>
              </w:rPr>
              <w:t>4Q04vs.</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 change and US$Mn)</w:t>
            </w:r>
          </w:p>
        </w:tc>
        <w:tc>
          <w:tcPr>
            <w:tcW w:w="2440" w:type="dxa"/>
            <w:vAlign w:val="bottom"/>
          </w:tcPr>
          <w:p>
            <w:pPr>
              <w:jc w:val="right"/>
              <w:ind w:right="672"/>
              <w:spacing w:after="0"/>
              <w:rPr>
                <w:sz w:val="20"/>
                <w:szCs w:val="20"/>
                <w:color w:val="auto"/>
              </w:rPr>
            </w:pPr>
            <w:r>
              <w:rPr>
                <w:rFonts w:ascii="Arial" w:cs="Arial" w:eastAsia="Arial" w:hAnsi="Arial"/>
                <w:sz w:val="18"/>
                <w:szCs w:val="18"/>
                <w:color w:val="auto"/>
              </w:rPr>
              <w:t>4Q03</w:t>
            </w:r>
          </w:p>
        </w:tc>
        <w:tc>
          <w:tcPr>
            <w:tcW w:w="1380" w:type="dxa"/>
            <w:vAlign w:val="bottom"/>
          </w:tcPr>
          <w:p>
            <w:pPr>
              <w:jc w:val="right"/>
              <w:ind w:right="672"/>
              <w:spacing w:after="0"/>
              <w:rPr>
                <w:sz w:val="20"/>
                <w:szCs w:val="20"/>
                <w:color w:val="auto"/>
              </w:rPr>
            </w:pPr>
            <w:r>
              <w:rPr>
                <w:rFonts w:ascii="Arial" w:cs="Arial" w:eastAsia="Arial" w:hAnsi="Arial"/>
                <w:sz w:val="18"/>
                <w:szCs w:val="18"/>
                <w:color w:val="auto"/>
              </w:rPr>
              <w:t>3Q04</w:t>
            </w:r>
          </w:p>
        </w:tc>
        <w:tc>
          <w:tcPr>
            <w:tcW w:w="1360" w:type="dxa"/>
            <w:vAlign w:val="bottom"/>
          </w:tcPr>
          <w:p>
            <w:pPr>
              <w:jc w:val="right"/>
              <w:ind w:right="652"/>
              <w:spacing w:after="0"/>
              <w:rPr>
                <w:sz w:val="20"/>
                <w:szCs w:val="20"/>
                <w:color w:val="auto"/>
              </w:rPr>
            </w:pPr>
            <w:r>
              <w:rPr>
                <w:rFonts w:ascii="Arial" w:cs="Arial" w:eastAsia="Arial" w:hAnsi="Arial"/>
                <w:sz w:val="18"/>
                <w:szCs w:val="18"/>
                <w:color w:val="auto"/>
              </w:rPr>
              <w:t>4Q04</w:t>
            </w:r>
          </w:p>
        </w:tc>
        <w:tc>
          <w:tcPr>
            <w:tcW w:w="1320" w:type="dxa"/>
            <w:vAlign w:val="bottom"/>
          </w:tcPr>
          <w:p>
            <w:pPr>
              <w:jc w:val="right"/>
              <w:ind w:right="592"/>
              <w:spacing w:after="0"/>
              <w:rPr>
                <w:sz w:val="20"/>
                <w:szCs w:val="20"/>
                <w:color w:val="auto"/>
              </w:rPr>
            </w:pPr>
            <w:r>
              <w:rPr>
                <w:rFonts w:ascii="Arial" w:cs="Arial" w:eastAsia="Arial" w:hAnsi="Arial"/>
                <w:sz w:val="18"/>
                <w:szCs w:val="18"/>
                <w:color w:val="auto"/>
              </w:rPr>
              <w:t>3Q04</w:t>
            </w:r>
          </w:p>
        </w:tc>
        <w:tc>
          <w:tcPr>
            <w:tcW w:w="1180" w:type="dxa"/>
            <w:vAlign w:val="bottom"/>
          </w:tcPr>
          <w:p>
            <w:pPr>
              <w:jc w:val="right"/>
              <w:ind w:right="412"/>
              <w:spacing w:after="0"/>
              <w:rPr>
                <w:sz w:val="20"/>
                <w:szCs w:val="20"/>
                <w:color w:val="auto"/>
              </w:rPr>
            </w:pPr>
            <w:r>
              <w:rPr>
                <w:rFonts w:ascii="Arial" w:cs="Arial" w:eastAsia="Arial" w:hAnsi="Arial"/>
                <w:sz w:val="18"/>
                <w:szCs w:val="18"/>
                <w:color w:val="auto"/>
              </w:rPr>
              <w:t>4Q03</w:t>
            </w:r>
          </w:p>
        </w:tc>
      </w:tr>
      <w:tr>
        <w:trPr>
          <w:trHeight w:val="137"/>
        </w:trPr>
        <w:tc>
          <w:tcPr>
            <w:tcW w:w="36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343"/>
        </w:trPr>
        <w:tc>
          <w:tcPr>
            <w:tcW w:w="368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48.7</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50.0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54.3</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8.6%</w:t>
            </w:r>
          </w:p>
        </w:tc>
        <w:tc>
          <w:tcPr>
            <w:tcW w:w="1180" w:type="dxa"/>
            <w:vAlign w:val="bottom"/>
          </w:tcPr>
          <w:p>
            <w:pPr>
              <w:jc w:val="right"/>
              <w:spacing w:after="0"/>
              <w:rPr>
                <w:sz w:val="20"/>
                <w:szCs w:val="20"/>
                <w:color w:val="auto"/>
              </w:rPr>
            </w:pPr>
            <w:r>
              <w:rPr>
                <w:rFonts w:ascii="Arial" w:cs="Arial" w:eastAsia="Arial" w:hAnsi="Arial"/>
                <w:sz w:val="18"/>
                <w:szCs w:val="18"/>
                <w:color w:val="auto"/>
              </w:rPr>
              <w:t>11.5%</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General, administrative, and taxes</w:t>
            </w: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38.2</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37.2</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44.2</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18.8%</w:t>
            </w:r>
          </w:p>
        </w:tc>
        <w:tc>
          <w:tcPr>
            <w:tcW w:w="1180" w:type="dxa"/>
            <w:vAlign w:val="bottom"/>
          </w:tcPr>
          <w:p>
            <w:pPr>
              <w:jc w:val="right"/>
              <w:spacing w:after="0"/>
              <w:rPr>
                <w:sz w:val="20"/>
                <w:szCs w:val="20"/>
                <w:color w:val="auto"/>
              </w:rPr>
            </w:pPr>
            <w:r>
              <w:rPr>
                <w:rFonts w:ascii="Arial" w:cs="Arial" w:eastAsia="Arial" w:hAnsi="Arial"/>
                <w:sz w:val="18"/>
                <w:szCs w:val="18"/>
                <w:color w:val="auto"/>
              </w:rPr>
              <w:t>15.6%</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11.7</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12.3</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11.6</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-5.6%</w:t>
            </w:r>
          </w:p>
        </w:tc>
        <w:tc>
          <w:tcPr>
            <w:tcW w:w="11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Other</w:t>
            </w: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15.3</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22.9</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27.8</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21.2%</w:t>
            </w:r>
          </w:p>
        </w:tc>
        <w:tc>
          <w:tcPr>
            <w:tcW w:w="1180" w:type="dxa"/>
            <w:vAlign w:val="bottom"/>
          </w:tcPr>
          <w:p>
            <w:pPr>
              <w:jc w:val="right"/>
              <w:spacing w:after="0"/>
              <w:rPr>
                <w:sz w:val="20"/>
                <w:szCs w:val="20"/>
                <w:color w:val="auto"/>
              </w:rPr>
            </w:pPr>
            <w:r>
              <w:rPr>
                <w:rFonts w:ascii="Arial" w:cs="Arial" w:eastAsia="Arial" w:hAnsi="Arial"/>
                <w:sz w:val="18"/>
                <w:szCs w:val="18"/>
                <w:color w:val="auto"/>
              </w:rPr>
              <w:t>81.5%</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Merger costs</w:t>
            </w: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1.1</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0.5</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0.0</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-100.0%</w:t>
            </w:r>
          </w:p>
        </w:tc>
        <w:tc>
          <w:tcPr>
            <w:tcW w:w="11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680" w:type="dxa"/>
            <w:vAlign w:val="bottom"/>
          </w:tcPr>
          <w:p>
            <w:pPr>
              <w:spacing w:after="0"/>
              <w:rPr>
                <w:sz w:val="20"/>
                <w:szCs w:val="20"/>
                <w:color w:val="auto"/>
              </w:rPr>
            </w:pPr>
            <w:r>
              <w:rPr>
                <w:rFonts w:ascii="Arial" w:cs="Arial" w:eastAsia="Arial" w:hAnsi="Arial"/>
                <w:sz w:val="18"/>
                <w:szCs w:val="18"/>
                <w:color w:val="auto"/>
              </w:rPr>
              <w:t>Total Other Expenses</w:t>
            </w:r>
          </w:p>
        </w:tc>
        <w:tc>
          <w:tcPr>
            <w:tcW w:w="2440" w:type="dxa"/>
            <w:vAlign w:val="bottom"/>
          </w:tcPr>
          <w:p>
            <w:pPr>
              <w:jc w:val="right"/>
              <w:ind w:right="172"/>
              <w:spacing w:after="0"/>
              <w:rPr>
                <w:sz w:val="20"/>
                <w:szCs w:val="20"/>
                <w:color w:val="auto"/>
              </w:rPr>
            </w:pPr>
            <w:r>
              <w:rPr>
                <w:rFonts w:ascii="Arial" w:cs="Arial" w:eastAsia="Arial" w:hAnsi="Arial"/>
                <w:sz w:val="18"/>
                <w:szCs w:val="18"/>
                <w:color w:val="auto"/>
              </w:rPr>
              <w:t>115.0</w:t>
            </w:r>
          </w:p>
        </w:tc>
        <w:tc>
          <w:tcPr>
            <w:tcW w:w="1380" w:type="dxa"/>
            <w:vAlign w:val="bottom"/>
          </w:tcPr>
          <w:p>
            <w:pPr>
              <w:jc w:val="right"/>
              <w:ind w:right="172"/>
              <w:spacing w:after="0"/>
              <w:rPr>
                <w:sz w:val="20"/>
                <w:szCs w:val="20"/>
                <w:color w:val="auto"/>
              </w:rPr>
            </w:pPr>
            <w:r>
              <w:rPr>
                <w:rFonts w:ascii="Arial" w:cs="Arial" w:eastAsia="Arial" w:hAnsi="Arial"/>
                <w:sz w:val="18"/>
                <w:szCs w:val="18"/>
                <w:color w:val="auto"/>
              </w:rPr>
              <w:t>123.0</w:t>
            </w:r>
          </w:p>
        </w:tc>
        <w:tc>
          <w:tcPr>
            <w:tcW w:w="1360" w:type="dxa"/>
            <w:vAlign w:val="bottom"/>
          </w:tcPr>
          <w:p>
            <w:pPr>
              <w:jc w:val="right"/>
              <w:ind w:right="152"/>
              <w:spacing w:after="0"/>
              <w:rPr>
                <w:sz w:val="20"/>
                <w:szCs w:val="20"/>
                <w:color w:val="auto"/>
              </w:rPr>
            </w:pPr>
            <w:r>
              <w:rPr>
                <w:rFonts w:ascii="Arial" w:cs="Arial" w:eastAsia="Arial" w:hAnsi="Arial"/>
                <w:sz w:val="18"/>
                <w:szCs w:val="18"/>
                <w:color w:val="auto"/>
              </w:rPr>
              <w:t>137.9</w:t>
            </w:r>
          </w:p>
        </w:tc>
        <w:tc>
          <w:tcPr>
            <w:tcW w:w="1320" w:type="dxa"/>
            <w:vAlign w:val="bottom"/>
          </w:tcPr>
          <w:p>
            <w:pPr>
              <w:jc w:val="right"/>
              <w:ind w:right="112"/>
              <w:spacing w:after="0"/>
              <w:rPr>
                <w:sz w:val="20"/>
                <w:szCs w:val="20"/>
                <w:color w:val="auto"/>
              </w:rPr>
            </w:pPr>
            <w:r>
              <w:rPr>
                <w:rFonts w:ascii="Arial" w:cs="Arial" w:eastAsia="Arial" w:hAnsi="Arial"/>
                <w:sz w:val="18"/>
                <w:szCs w:val="18"/>
                <w:color w:val="auto"/>
              </w:rPr>
              <w:t>12.1%</w:t>
            </w:r>
          </w:p>
        </w:tc>
        <w:tc>
          <w:tcPr>
            <w:tcW w:w="1180" w:type="dxa"/>
            <w:vAlign w:val="bottom"/>
          </w:tcPr>
          <w:p>
            <w:pPr>
              <w:jc w:val="right"/>
              <w:spacing w:after="0"/>
              <w:rPr>
                <w:sz w:val="20"/>
                <w:szCs w:val="20"/>
                <w:color w:val="auto"/>
              </w:rPr>
            </w:pPr>
            <w:r>
              <w:rPr>
                <w:rFonts w:ascii="Arial" w:cs="Arial" w:eastAsia="Arial" w:hAnsi="Arial"/>
                <w:sz w:val="18"/>
                <w:szCs w:val="18"/>
                <w:color w:val="auto"/>
              </w:rPr>
              <w:t>19.9%</w:t>
            </w:r>
          </w:p>
        </w:tc>
      </w:tr>
      <w:tr>
        <w:trPr>
          <w:trHeight w:val="137"/>
        </w:trPr>
        <w:tc>
          <w:tcPr>
            <w:tcW w:w="3680" w:type="dxa"/>
            <w:vAlign w:val="bottom"/>
            <w:tcBorders>
              <w:bottom w:val="single" w:sz="8" w:color="auto"/>
            </w:tcBorders>
          </w:tcPr>
          <w:p>
            <w:pPr>
              <w:spacing w:after="0"/>
              <w:rPr>
                <w:sz w:val="11"/>
                <w:szCs w:val="11"/>
                <w:color w:val="auto"/>
              </w:rPr>
            </w:pPr>
          </w:p>
        </w:tc>
        <w:tc>
          <w:tcPr>
            <w:tcW w:w="244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3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the Merger costs concept, as shown in Table No. 2 below, we have US$18.6 million in total year 2003 mainly from the merger of Banco Santander Central Hispano-Peru (“BSCH-Peru”), and US$3.7 million in 2004, which are related with the Solución Financiera de Crédito merger.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efficiency ratio, “adjusted” operating expenses (see Section II.4) as a percentage of total income, without extraordinary concepts, was 51.7% in the fourth quarter of 2004 having been 51.8% in the same period last year. “Adjusted” operating expenses as a percentage of average total assets increased to 5.6% from 4.7%, in the same quarters.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I.3 ASSETS AND LIABILITIES</w:t>
      </w:r>
    </w:p>
    <w:p>
      <w:pPr>
        <w:spacing w:after="0" w:line="225" w:lineRule="exact"/>
        <w:rPr>
          <w:sz w:val="20"/>
          <w:szCs w:val="20"/>
          <w:color w:val="auto"/>
        </w:rPr>
      </w:pPr>
    </w:p>
    <w:p>
      <w:pPr>
        <w:jc w:val="both"/>
        <w:spacing w:after="0" w:line="255" w:lineRule="auto"/>
        <w:rPr>
          <w:sz w:val="20"/>
          <w:szCs w:val="20"/>
          <w:color w:val="auto"/>
        </w:rPr>
      </w:pPr>
      <w:r>
        <w:rPr>
          <w:rFonts w:ascii="Arial" w:cs="Arial" w:eastAsia="Arial" w:hAnsi="Arial"/>
          <w:sz w:val="18"/>
          <w:szCs w:val="18"/>
          <w:color w:val="auto"/>
        </w:rPr>
        <w:t>Note: For comparison purposes, balance sheets reported in prior periods show the following reclassifications (see Table No.1): (1) for dates prior to December 31, 2004, loan loss provisions for contingent credits, previously reported as a negative concept within Reserves for loan losses, are now shown under the Other liabilities caption, with the effect of increasing net loans, total assets and total liabilities; and, (2) for dates prior to September 30, 2004, bonds and other obligations and subordinated debt, previously reported within Deposits and obligations and Other liabilities, are now shown under the Bonds and subordinated debt caption, without affecting total liabilities.</w:t>
      </w:r>
    </w:p>
    <w:p>
      <w:pPr>
        <w:spacing w:after="0" w:line="197"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Credicorp’s totals assets reached US$9.1 billion at December 31, 2004, increasing 3.6% since the end of September 2004, and are 9.6% higher than the balance at December 2003, mainly due to increased investments, loans and available funds.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loan portfolio as of December 31, 2004 reached US$4.6 billion, increasing 1.2% compared to US$4.5 billion in September 2004, and also grew 2.4% compared to the balance in December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Loan quality indicators are shown in the following table:</w:t>
      </w:r>
    </w:p>
    <w:p>
      <w:pPr>
        <w:sectPr>
          <w:pgSz w:w="11900" w:h="16838" w:orient="portrait"/>
          <w:cols w:equalWidth="0" w:num="1">
            <w:col w:w="11420"/>
          </w:cols>
          <w:pgMar w:left="240" w:top="131" w:right="239" w:bottom="0" w:gutter="0" w:footer="0" w:header="0"/>
        </w:sectPr>
      </w:pPr>
    </w:p>
    <w:bookmarkStart w:id="4" w:name="page5"/>
    <w:bookmarkEnd w:id="4"/>
    <w:tbl>
      <w:tblPr>
        <w:tblLayout w:type="fixed"/>
        <w:tblInd w:w="40" w:type="dxa"/>
        <w:tblCellMar>
          <w:top w:w="0" w:type="dxa"/>
          <w:left w:w="0" w:type="dxa"/>
          <w:bottom w:w="0" w:type="dxa"/>
          <w:right w:w="0" w:type="dxa"/>
        </w:tblCellMar>
      </w:tblPr>
      <w:tr>
        <w:trPr>
          <w:trHeight w:val="222"/>
        </w:trPr>
        <w:tc>
          <w:tcPr>
            <w:tcW w:w="3420" w:type="dxa"/>
            <w:vAlign w:val="bottom"/>
          </w:tcPr>
          <w:p>
            <w:pPr>
              <w:spacing w:after="0"/>
              <w:rPr>
                <w:sz w:val="20"/>
                <w:szCs w:val="20"/>
                <w:color w:val="auto"/>
              </w:rPr>
            </w:pPr>
            <w:r>
              <w:rPr>
                <w:rFonts w:ascii="Arial" w:cs="Arial" w:eastAsia="Arial" w:hAnsi="Arial"/>
                <w:sz w:val="18"/>
                <w:szCs w:val="18"/>
                <w:color w:val="auto"/>
              </w:rPr>
              <w:t>(In US$Mn)</w:t>
            </w:r>
          </w:p>
        </w:tc>
        <w:tc>
          <w:tcPr>
            <w:tcW w:w="3800" w:type="dxa"/>
            <w:vAlign w:val="bottom"/>
          </w:tcPr>
          <w:p>
            <w:pPr>
              <w:jc w:val="right"/>
              <w:ind w:right="1172"/>
              <w:spacing w:after="0"/>
              <w:rPr>
                <w:sz w:val="20"/>
                <w:szCs w:val="20"/>
                <w:color w:val="auto"/>
              </w:rPr>
            </w:pPr>
            <w:r>
              <w:rPr>
                <w:rFonts w:ascii="Arial" w:cs="Arial" w:eastAsia="Arial" w:hAnsi="Arial"/>
                <w:sz w:val="18"/>
                <w:szCs w:val="18"/>
                <w:color w:val="auto"/>
              </w:rPr>
              <w:t>31.12.03</w:t>
            </w:r>
          </w:p>
        </w:tc>
        <w:tc>
          <w:tcPr>
            <w:tcW w:w="2280" w:type="dxa"/>
            <w:vAlign w:val="bottom"/>
          </w:tcPr>
          <w:p>
            <w:pPr>
              <w:jc w:val="right"/>
              <w:ind w:right="1152"/>
              <w:spacing w:after="0"/>
              <w:rPr>
                <w:sz w:val="20"/>
                <w:szCs w:val="20"/>
                <w:color w:val="auto"/>
              </w:rPr>
            </w:pPr>
            <w:r>
              <w:rPr>
                <w:rFonts w:ascii="Arial" w:cs="Arial" w:eastAsia="Arial" w:hAnsi="Arial"/>
                <w:sz w:val="18"/>
                <w:szCs w:val="18"/>
                <w:color w:val="auto"/>
              </w:rPr>
              <w:t>30.09.04</w:t>
            </w:r>
          </w:p>
        </w:tc>
        <w:tc>
          <w:tcPr>
            <w:tcW w:w="1860" w:type="dxa"/>
            <w:vAlign w:val="bottom"/>
          </w:tcPr>
          <w:p>
            <w:pPr>
              <w:jc w:val="right"/>
              <w:ind w:right="732"/>
              <w:spacing w:after="0"/>
              <w:rPr>
                <w:sz w:val="20"/>
                <w:szCs w:val="20"/>
                <w:color w:val="auto"/>
              </w:rPr>
            </w:pPr>
            <w:r>
              <w:rPr>
                <w:rFonts w:ascii="Arial" w:cs="Arial" w:eastAsia="Arial" w:hAnsi="Arial"/>
                <w:sz w:val="18"/>
                <w:szCs w:val="18"/>
                <w:color w:val="auto"/>
              </w:rPr>
              <w:t>31.12.04</w:t>
            </w:r>
          </w:p>
        </w:tc>
      </w:tr>
      <w:tr>
        <w:trPr>
          <w:trHeight w:val="137"/>
        </w:trPr>
        <w:tc>
          <w:tcPr>
            <w:tcW w:w="342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43"/>
        </w:trPr>
        <w:tc>
          <w:tcPr>
            <w:tcW w:w="3420" w:type="dxa"/>
            <w:vAlign w:val="bottom"/>
          </w:tcPr>
          <w:p>
            <w:pPr>
              <w:spacing w:after="0"/>
              <w:rPr>
                <w:sz w:val="20"/>
                <w:szCs w:val="20"/>
                <w:color w:val="auto"/>
              </w:rPr>
            </w:pPr>
            <w:r>
              <w:rPr>
                <w:rFonts w:ascii="Arial" w:cs="Arial" w:eastAsia="Arial" w:hAnsi="Arial"/>
                <w:sz w:val="18"/>
                <w:szCs w:val="18"/>
                <w:color w:val="auto"/>
              </w:rPr>
              <w:t>Total loans</w:t>
            </w:r>
          </w:p>
        </w:tc>
        <w:tc>
          <w:tcPr>
            <w:tcW w:w="3800" w:type="dxa"/>
            <w:vAlign w:val="bottom"/>
          </w:tcPr>
          <w:p>
            <w:pPr>
              <w:jc w:val="right"/>
              <w:ind w:right="352"/>
              <w:spacing w:after="0"/>
              <w:rPr>
                <w:sz w:val="20"/>
                <w:szCs w:val="20"/>
                <w:color w:val="auto"/>
              </w:rPr>
            </w:pPr>
            <w:r>
              <w:rPr>
                <w:rFonts w:ascii="Arial" w:cs="Arial" w:eastAsia="Arial" w:hAnsi="Arial"/>
                <w:sz w:val="18"/>
                <w:szCs w:val="18"/>
                <w:color w:val="auto"/>
              </w:rPr>
              <w:t>4,481.5</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4,531.6</w:t>
            </w:r>
          </w:p>
        </w:tc>
        <w:tc>
          <w:tcPr>
            <w:tcW w:w="1860" w:type="dxa"/>
            <w:vAlign w:val="bottom"/>
          </w:tcPr>
          <w:p>
            <w:pPr>
              <w:jc w:val="right"/>
              <w:spacing w:after="0"/>
              <w:rPr>
                <w:sz w:val="20"/>
                <w:szCs w:val="20"/>
                <w:color w:val="auto"/>
              </w:rPr>
            </w:pPr>
            <w:r>
              <w:rPr>
                <w:rFonts w:ascii="Arial" w:cs="Arial" w:eastAsia="Arial" w:hAnsi="Arial"/>
                <w:sz w:val="18"/>
                <w:szCs w:val="18"/>
                <w:color w:val="auto"/>
              </w:rPr>
              <w:t>4,588.0</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Past due loans</w:t>
            </w:r>
          </w:p>
        </w:tc>
        <w:tc>
          <w:tcPr>
            <w:tcW w:w="3800" w:type="dxa"/>
            <w:vAlign w:val="bottom"/>
          </w:tcPr>
          <w:p>
            <w:pPr>
              <w:jc w:val="right"/>
              <w:ind w:right="352"/>
              <w:spacing w:after="0"/>
              <w:rPr>
                <w:sz w:val="20"/>
                <w:szCs w:val="20"/>
                <w:color w:val="auto"/>
              </w:rPr>
            </w:pPr>
            <w:r>
              <w:rPr>
                <w:rFonts w:ascii="Arial" w:cs="Arial" w:eastAsia="Arial" w:hAnsi="Arial"/>
                <w:sz w:val="18"/>
                <w:szCs w:val="18"/>
                <w:color w:val="auto"/>
              </w:rPr>
              <w:t>256.5</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215.0</w:t>
            </w:r>
          </w:p>
        </w:tc>
        <w:tc>
          <w:tcPr>
            <w:tcW w:w="1860" w:type="dxa"/>
            <w:vAlign w:val="bottom"/>
          </w:tcPr>
          <w:p>
            <w:pPr>
              <w:jc w:val="right"/>
              <w:spacing w:after="0"/>
              <w:rPr>
                <w:sz w:val="20"/>
                <w:szCs w:val="20"/>
                <w:color w:val="auto"/>
              </w:rPr>
            </w:pPr>
            <w:r>
              <w:rPr>
                <w:rFonts w:ascii="Arial" w:cs="Arial" w:eastAsia="Arial" w:hAnsi="Arial"/>
                <w:sz w:val="18"/>
                <w:szCs w:val="18"/>
                <w:color w:val="auto"/>
              </w:rPr>
              <w:t>160.4</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Loan loss reserves(1)</w:t>
            </w:r>
          </w:p>
        </w:tc>
        <w:tc>
          <w:tcPr>
            <w:tcW w:w="3800" w:type="dxa"/>
            <w:vAlign w:val="bottom"/>
          </w:tcPr>
          <w:p>
            <w:pPr>
              <w:jc w:val="right"/>
              <w:ind w:right="352"/>
              <w:spacing w:after="0"/>
              <w:rPr>
                <w:sz w:val="20"/>
                <w:szCs w:val="20"/>
                <w:color w:val="auto"/>
              </w:rPr>
            </w:pPr>
            <w:r>
              <w:rPr>
                <w:rFonts w:ascii="Arial" w:cs="Arial" w:eastAsia="Arial" w:hAnsi="Arial"/>
                <w:sz w:val="18"/>
                <w:szCs w:val="18"/>
                <w:color w:val="auto"/>
              </w:rPr>
              <w:t>306.8</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262.4</w:t>
            </w:r>
          </w:p>
        </w:tc>
        <w:tc>
          <w:tcPr>
            <w:tcW w:w="1860" w:type="dxa"/>
            <w:vAlign w:val="bottom"/>
          </w:tcPr>
          <w:p>
            <w:pPr>
              <w:jc w:val="right"/>
              <w:spacing w:after="0"/>
              <w:rPr>
                <w:sz w:val="20"/>
                <w:szCs w:val="20"/>
                <w:color w:val="auto"/>
              </w:rPr>
            </w:pPr>
            <w:r>
              <w:rPr>
                <w:rFonts w:ascii="Arial" w:cs="Arial" w:eastAsia="Arial" w:hAnsi="Arial"/>
                <w:sz w:val="18"/>
                <w:szCs w:val="18"/>
                <w:color w:val="auto"/>
              </w:rPr>
              <w:t>253.4</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Past due / Total loans</w:t>
            </w:r>
          </w:p>
        </w:tc>
        <w:tc>
          <w:tcPr>
            <w:tcW w:w="3800" w:type="dxa"/>
            <w:vAlign w:val="bottom"/>
          </w:tcPr>
          <w:p>
            <w:pPr>
              <w:jc w:val="right"/>
              <w:ind w:right="352"/>
              <w:spacing w:after="0"/>
              <w:rPr>
                <w:sz w:val="20"/>
                <w:szCs w:val="20"/>
                <w:color w:val="auto"/>
              </w:rPr>
            </w:pPr>
            <w:r>
              <w:rPr>
                <w:rFonts w:ascii="Arial" w:cs="Arial" w:eastAsia="Arial" w:hAnsi="Arial"/>
                <w:sz w:val="18"/>
                <w:szCs w:val="18"/>
                <w:color w:val="auto"/>
              </w:rPr>
              <w:t>5.7%</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4.8%</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Reserves / Past due</w:t>
            </w:r>
          </w:p>
        </w:tc>
        <w:tc>
          <w:tcPr>
            <w:tcW w:w="3800" w:type="dxa"/>
            <w:vAlign w:val="bottom"/>
          </w:tcPr>
          <w:p>
            <w:pPr>
              <w:jc w:val="right"/>
              <w:ind w:right="352"/>
              <w:spacing w:after="0"/>
              <w:rPr>
                <w:sz w:val="20"/>
                <w:szCs w:val="20"/>
                <w:color w:val="auto"/>
              </w:rPr>
            </w:pPr>
            <w:r>
              <w:rPr>
                <w:rFonts w:ascii="Arial" w:cs="Arial" w:eastAsia="Arial" w:hAnsi="Arial"/>
                <w:sz w:val="18"/>
                <w:szCs w:val="18"/>
                <w:color w:val="auto"/>
              </w:rPr>
              <w:t>119.6%</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122.0%</w:t>
            </w:r>
          </w:p>
        </w:tc>
        <w:tc>
          <w:tcPr>
            <w:tcW w:w="1860" w:type="dxa"/>
            <w:vAlign w:val="bottom"/>
          </w:tcPr>
          <w:p>
            <w:pPr>
              <w:jc w:val="right"/>
              <w:spacing w:after="0"/>
              <w:rPr>
                <w:sz w:val="20"/>
                <w:szCs w:val="20"/>
                <w:color w:val="auto"/>
              </w:rPr>
            </w:pPr>
            <w:r>
              <w:rPr>
                <w:rFonts w:ascii="Arial" w:cs="Arial" w:eastAsia="Arial" w:hAnsi="Arial"/>
                <w:sz w:val="18"/>
                <w:szCs w:val="18"/>
                <w:color w:val="auto"/>
              </w:rPr>
              <w:t>158.1%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166370</wp:posOffset>
            </wp:positionV>
            <wp:extent cx="721233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2330" cy="8890"/>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86995</wp:posOffset>
            </wp:positionV>
            <wp:extent cx="721233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 Does not include reserves for contingent credits.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loan loss reserves for contingent credits are registered in other liabilities accounts, amounting to US$18.5 million at year-end 2004, compared to US$19.9 million at the close of 2003. Including both reserves, the coverage of past due loans with loan reserves would increase from 158.1%, in the above chart, to 169.5%, as of December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balance of past due loans decreased from US$215.0 million to US$160.4 million during the current quarter partly due to charge-offs amounting to US$22.7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Deposits and other obligations reached US$6.4 billion at December 31, 2004, increasing 3.0% over US$6.2 billion of last September 2004, and are 6.8% higher than the December 2003 balance. Due to banks and correspondents grew 12.4% in this quarter, closing at US$392.5 million, and are 43.7% higher than the balance at December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Credicorp’s net equity amounted to US$1.1 billion at December 31, 2004, increasing 6.4% over equity at September 2004, due to earnings generated during the quarter and to higher valuation of investments that increased equity reserves for un-realized earnings.</w:t>
      </w:r>
    </w:p>
    <w:p>
      <w:pPr>
        <w:spacing w:after="0" w:line="186"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Third party funds under management, which amounted to US$1.8 billion at the end of December 2004, grew 5.3% during the current quarter, and are 4.2% higher than funds at December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I.4 SUBSIDIARIES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Below are brief comments on some of the subsidiaries not discussed in the following sections of this report: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Banco de Crédito de Bolivia ("BCB"), Bolivia</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Bolivian economic activity had a moderate recovery during 2004. GDP growth improved from 2.5% in 2003, to an expected 3.5% in 2004, and should continue its recovery during 2005. GDP grew 3.5% in third quarter 2004, after growing 3.3% and 3.8% in the second and first quarters, respectively.</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Higher growth is mainly due to increased exports of minerals, oil and gas, and of agricultural products, while domestic demand and consumption remained stagnant. In total year 2004, exports amounted to approximately US$2.1 billion, growing 37%, after an already high growth of 20% in total 2003. The trade surplus is expected to reach US$400 million, compared to a US$34 million deficit in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fourth quarter 2004 inflation was 2.0%, higher than 0.9% in the preceding third quarter. Cumulative inflation in year 2004 was 4.6%, higher than 3.9% in 2003. Nevertheless, devaluation continued at a slower pace with a 0.8% exchange rate increase in the current quarter and 3.1% in year 2004, reaching 8.05 Bolivianos per Dollar at December 31, 2004.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deposits in the banking system grew to US$2,510 million at December 2004, from US$2,440 million in September 2004. Deposits still remain below balances of US$2,639 million at December 2003 mostly due to the application of the financial transactions tax since July.</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Loan volume in the banking system declined slightly during the current quarter to US$2,398 million as of December 2004, and are 6.3% lower than loans of US$2,558 million at December 2003. The past due loan ratio was 14.0% in December 2004, improving from 16.9% in September 2004 and from 16.7% in December 2003. The coverage of past-due loans with provisions increased to 84.3% at year-end 2004, improving over coverage of 76.5% in the preceding third quarter, and also from 74.0% in December 2003.</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BCB’s market share in deposits at December 2004 was 12.5%, increasing sligthly from 12.3% at the end of December 2003. In terms of loans, BCB had a 13.1% market share at December 2004, above 12.2% it had last December 2003. In this way, BCB remained in the fourth position in terms of loans, out of twelve banks in the system, and fifth in terms of deposits.</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As of December 31, 2004, BCB had total loans of US$320.8 million increasing from US$309.9 million at December 2003. Loan quality continued to improve. At the end of the fourth quarter 2004, BCB’s past due loans reached US$35.4 million, or 11.0% of total loans, lower than 20.7% at December 2003. Coverage of past due loans with loan loss provisions was 100.6% as of December 2004, increasing from 76.7% in December 2003. Net equity at the Bolivian subsidiary amounted to US$59.8 million as of December 2004.</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In total year 2004, loan loss provisions resulted in a US$3.1 million expense charge, compared to US$8.9 million charged against results during 2003. In BCB’s own records, cumulative net income in year 2004 was US$4.8 million, compared to US$1.5 million in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BCB’s main financial figures are shown in the following chart.</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Banco de Crédito de Bolivia (“BCB”)</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Key Financial Figures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100" w:type="dxa"/>
            <w:vAlign w:val="bottom"/>
          </w:tcPr>
          <w:p>
            <w:pPr>
              <w:spacing w:after="0"/>
              <w:rPr>
                <w:sz w:val="20"/>
                <w:szCs w:val="20"/>
                <w:color w:val="auto"/>
              </w:rPr>
            </w:pPr>
            <w:r>
              <w:rPr>
                <w:rFonts w:ascii="Arial" w:cs="Arial" w:eastAsia="Arial" w:hAnsi="Arial"/>
                <w:sz w:val="18"/>
                <w:szCs w:val="18"/>
                <w:color w:val="auto"/>
              </w:rPr>
              <w:t>(In US$Mn)</w:t>
            </w:r>
          </w:p>
        </w:tc>
        <w:tc>
          <w:tcPr>
            <w:tcW w:w="4120" w:type="dxa"/>
            <w:vAlign w:val="bottom"/>
          </w:tcPr>
          <w:p>
            <w:pPr>
              <w:jc w:val="right"/>
              <w:ind w:right="1172"/>
              <w:spacing w:after="0"/>
              <w:rPr>
                <w:sz w:val="20"/>
                <w:szCs w:val="20"/>
                <w:color w:val="auto"/>
              </w:rPr>
            </w:pPr>
            <w:r>
              <w:rPr>
                <w:rFonts w:ascii="Arial" w:cs="Arial" w:eastAsia="Arial" w:hAnsi="Arial"/>
                <w:sz w:val="18"/>
                <w:szCs w:val="18"/>
                <w:color w:val="auto"/>
              </w:rPr>
              <w:t>31.12.03</w:t>
            </w:r>
          </w:p>
        </w:tc>
        <w:tc>
          <w:tcPr>
            <w:tcW w:w="2280" w:type="dxa"/>
            <w:vAlign w:val="bottom"/>
          </w:tcPr>
          <w:p>
            <w:pPr>
              <w:jc w:val="right"/>
              <w:ind w:right="1152"/>
              <w:spacing w:after="0"/>
              <w:rPr>
                <w:sz w:val="20"/>
                <w:szCs w:val="20"/>
                <w:color w:val="auto"/>
              </w:rPr>
            </w:pPr>
            <w:r>
              <w:rPr>
                <w:rFonts w:ascii="Arial" w:cs="Arial" w:eastAsia="Arial" w:hAnsi="Arial"/>
                <w:sz w:val="18"/>
                <w:szCs w:val="18"/>
                <w:color w:val="auto"/>
              </w:rPr>
              <w:t>30.09.04</w:t>
            </w:r>
          </w:p>
        </w:tc>
        <w:tc>
          <w:tcPr>
            <w:tcW w:w="1860" w:type="dxa"/>
            <w:vAlign w:val="bottom"/>
          </w:tcPr>
          <w:p>
            <w:pPr>
              <w:jc w:val="right"/>
              <w:ind w:right="732"/>
              <w:spacing w:after="0"/>
              <w:rPr>
                <w:sz w:val="20"/>
                <w:szCs w:val="20"/>
                <w:color w:val="auto"/>
              </w:rPr>
            </w:pPr>
            <w:r>
              <w:rPr>
                <w:rFonts w:ascii="Arial" w:cs="Arial" w:eastAsia="Arial" w:hAnsi="Arial"/>
                <w:sz w:val="18"/>
                <w:szCs w:val="18"/>
                <w:color w:val="auto"/>
              </w:rPr>
              <w:t>31.12.04</w:t>
            </w:r>
          </w:p>
        </w:tc>
      </w:tr>
      <w:tr>
        <w:trPr>
          <w:trHeight w:val="137"/>
        </w:trPr>
        <w:tc>
          <w:tcPr>
            <w:tcW w:w="3100" w:type="dxa"/>
            <w:vAlign w:val="bottom"/>
            <w:tcBorders>
              <w:bottom w:val="single" w:sz="8" w:color="auto"/>
            </w:tcBorders>
          </w:tcPr>
          <w:p>
            <w:pPr>
              <w:spacing w:after="0"/>
              <w:rPr>
                <w:sz w:val="11"/>
                <w:szCs w:val="11"/>
                <w:color w:val="auto"/>
              </w:rPr>
            </w:pPr>
          </w:p>
        </w:tc>
        <w:tc>
          <w:tcPr>
            <w:tcW w:w="41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43"/>
        </w:trPr>
        <w:tc>
          <w:tcPr>
            <w:tcW w:w="3100" w:type="dxa"/>
            <w:vAlign w:val="bottom"/>
          </w:tcPr>
          <w:p>
            <w:pPr>
              <w:spacing w:after="0"/>
              <w:rPr>
                <w:sz w:val="20"/>
                <w:szCs w:val="20"/>
                <w:color w:val="auto"/>
              </w:rPr>
            </w:pPr>
            <w:r>
              <w:rPr>
                <w:rFonts w:ascii="Arial" w:cs="Arial" w:eastAsia="Arial" w:hAnsi="Arial"/>
                <w:sz w:val="18"/>
                <w:szCs w:val="18"/>
                <w:color w:val="auto"/>
              </w:rPr>
              <w:t>Total Loans</w:t>
            </w:r>
          </w:p>
        </w:tc>
        <w:tc>
          <w:tcPr>
            <w:tcW w:w="4120" w:type="dxa"/>
            <w:vAlign w:val="bottom"/>
          </w:tcPr>
          <w:p>
            <w:pPr>
              <w:jc w:val="right"/>
              <w:ind w:right="352"/>
              <w:spacing w:after="0"/>
              <w:rPr>
                <w:sz w:val="20"/>
                <w:szCs w:val="20"/>
                <w:color w:val="auto"/>
              </w:rPr>
            </w:pPr>
            <w:r>
              <w:rPr>
                <w:rFonts w:ascii="Arial" w:cs="Arial" w:eastAsia="Arial" w:hAnsi="Arial"/>
                <w:sz w:val="18"/>
                <w:szCs w:val="18"/>
                <w:color w:val="auto"/>
              </w:rPr>
              <w:t>309.9</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301.9</w:t>
            </w:r>
          </w:p>
        </w:tc>
        <w:tc>
          <w:tcPr>
            <w:tcW w:w="1860" w:type="dxa"/>
            <w:vAlign w:val="bottom"/>
          </w:tcPr>
          <w:p>
            <w:pPr>
              <w:jc w:val="right"/>
              <w:spacing w:after="0"/>
              <w:rPr>
                <w:sz w:val="20"/>
                <w:szCs w:val="20"/>
                <w:color w:val="auto"/>
              </w:rPr>
            </w:pPr>
            <w:r>
              <w:rPr>
                <w:rFonts w:ascii="Arial" w:cs="Arial" w:eastAsia="Arial" w:hAnsi="Arial"/>
                <w:sz w:val="18"/>
                <w:szCs w:val="18"/>
                <w:color w:val="auto"/>
              </w:rPr>
              <w:t>320.8</w:t>
            </w:r>
          </w:p>
        </w:tc>
      </w:tr>
    </w:tbl>
    <w:p>
      <w:pPr>
        <w:sectPr>
          <w:pgSz w:w="11900" w:h="16838" w:orient="portrait"/>
          <w:cols w:equalWidth="0" w:num="1">
            <w:col w:w="11420"/>
          </w:cols>
          <w:pgMar w:left="240" w:top="401" w:right="239" w:bottom="0" w:gutter="0" w:footer="0" w:header="0"/>
        </w:sectPr>
      </w:pPr>
    </w:p>
    <w:bookmarkStart w:id="5" w:name="page6"/>
    <w:bookmarkEnd w:id="5"/>
    <w:p>
      <w:pPr>
        <w:spacing w:after="0" w:line="6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220" w:type="dxa"/>
            <w:vAlign w:val="bottom"/>
          </w:tcPr>
          <w:p>
            <w:pPr>
              <w:spacing w:after="0"/>
              <w:rPr>
                <w:sz w:val="20"/>
                <w:szCs w:val="20"/>
                <w:color w:val="auto"/>
              </w:rPr>
            </w:pPr>
            <w:r>
              <w:rPr>
                <w:rFonts w:ascii="Arial" w:cs="Arial" w:eastAsia="Arial" w:hAnsi="Arial"/>
                <w:sz w:val="18"/>
                <w:szCs w:val="18"/>
                <w:color w:val="auto"/>
              </w:rPr>
              <w:t>Past-due loans</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64.2</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42.9</w:t>
            </w:r>
          </w:p>
        </w:tc>
        <w:tc>
          <w:tcPr>
            <w:tcW w:w="1420" w:type="dxa"/>
            <w:vAlign w:val="bottom"/>
          </w:tcPr>
          <w:p>
            <w:pPr>
              <w:jc w:val="right"/>
              <w:spacing w:after="0"/>
              <w:rPr>
                <w:sz w:val="20"/>
                <w:szCs w:val="20"/>
                <w:color w:val="auto"/>
              </w:rPr>
            </w:pPr>
            <w:r>
              <w:rPr>
                <w:rFonts w:ascii="Arial" w:cs="Arial" w:eastAsia="Arial" w:hAnsi="Arial"/>
                <w:sz w:val="18"/>
                <w:szCs w:val="18"/>
                <w:color w:val="auto"/>
              </w:rPr>
              <w:t>35.4</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Loan loss reserves</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49.3</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35.7</w:t>
            </w:r>
          </w:p>
        </w:tc>
        <w:tc>
          <w:tcPr>
            <w:tcW w:w="1420" w:type="dxa"/>
            <w:vAlign w:val="bottom"/>
          </w:tcPr>
          <w:p>
            <w:pPr>
              <w:jc w:val="right"/>
              <w:spacing w:after="0"/>
              <w:rPr>
                <w:sz w:val="20"/>
                <w:szCs w:val="20"/>
                <w:color w:val="auto"/>
              </w:rPr>
            </w:pPr>
            <w:r>
              <w:rPr>
                <w:rFonts w:ascii="Arial" w:cs="Arial" w:eastAsia="Arial" w:hAnsi="Arial"/>
                <w:sz w:val="18"/>
                <w:szCs w:val="18"/>
                <w:color w:val="auto"/>
              </w:rPr>
              <w:t>35.6</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Total assets</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446.2</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430.1</w:t>
            </w:r>
          </w:p>
        </w:tc>
        <w:tc>
          <w:tcPr>
            <w:tcW w:w="1420" w:type="dxa"/>
            <w:vAlign w:val="bottom"/>
          </w:tcPr>
          <w:p>
            <w:pPr>
              <w:jc w:val="right"/>
              <w:spacing w:after="0"/>
              <w:rPr>
                <w:sz w:val="20"/>
                <w:szCs w:val="20"/>
                <w:color w:val="auto"/>
              </w:rPr>
            </w:pPr>
            <w:r>
              <w:rPr>
                <w:rFonts w:ascii="Arial" w:cs="Arial" w:eastAsia="Arial" w:hAnsi="Arial"/>
                <w:sz w:val="18"/>
                <w:szCs w:val="18"/>
                <w:color w:val="auto"/>
              </w:rPr>
              <w:t>457.4</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Deposits</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337.9</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314.2</w:t>
            </w:r>
          </w:p>
        </w:tc>
        <w:tc>
          <w:tcPr>
            <w:tcW w:w="1420" w:type="dxa"/>
            <w:vAlign w:val="bottom"/>
          </w:tcPr>
          <w:p>
            <w:pPr>
              <w:jc w:val="right"/>
              <w:spacing w:after="0"/>
              <w:rPr>
                <w:sz w:val="20"/>
                <w:szCs w:val="20"/>
                <w:color w:val="auto"/>
              </w:rPr>
            </w:pPr>
            <w:r>
              <w:rPr>
                <w:rFonts w:ascii="Arial" w:cs="Arial" w:eastAsia="Arial" w:hAnsi="Arial"/>
                <w:sz w:val="18"/>
                <w:szCs w:val="18"/>
                <w:color w:val="auto"/>
              </w:rPr>
              <w:t>333.1</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Net equity</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56.3</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57.5</w:t>
            </w:r>
          </w:p>
        </w:tc>
        <w:tc>
          <w:tcPr>
            <w:tcW w:w="1420" w:type="dxa"/>
            <w:vAlign w:val="bottom"/>
          </w:tcPr>
          <w:p>
            <w:pPr>
              <w:jc w:val="right"/>
              <w:spacing w:after="0"/>
              <w:rPr>
                <w:sz w:val="20"/>
                <w:szCs w:val="20"/>
                <w:color w:val="auto"/>
              </w:rPr>
            </w:pPr>
            <w:r>
              <w:rPr>
                <w:rFonts w:ascii="Arial" w:cs="Arial" w:eastAsia="Arial" w:hAnsi="Arial"/>
                <w:sz w:val="18"/>
                <w:szCs w:val="18"/>
                <w:color w:val="auto"/>
              </w:rPr>
              <w:t>59.8</w:t>
            </w:r>
          </w:p>
        </w:tc>
      </w:tr>
      <w:tr>
        <w:trPr>
          <w:trHeight w:val="486"/>
        </w:trPr>
        <w:tc>
          <w:tcPr>
            <w:tcW w:w="4220" w:type="dxa"/>
            <w:vAlign w:val="bottom"/>
          </w:tcPr>
          <w:p>
            <w:pPr>
              <w:spacing w:after="0"/>
              <w:rPr>
                <w:sz w:val="20"/>
                <w:szCs w:val="20"/>
                <w:color w:val="auto"/>
              </w:rPr>
            </w:pPr>
            <w:r>
              <w:rPr>
                <w:rFonts w:ascii="Arial" w:cs="Arial" w:eastAsia="Arial" w:hAnsi="Arial"/>
                <w:sz w:val="18"/>
                <w:szCs w:val="18"/>
                <w:color w:val="auto"/>
              </w:rPr>
              <w:t>Net income, cumulative</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1.5</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2.6</w:t>
            </w:r>
          </w:p>
        </w:tc>
        <w:tc>
          <w:tcPr>
            <w:tcW w:w="142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486"/>
        </w:trPr>
        <w:tc>
          <w:tcPr>
            <w:tcW w:w="4220" w:type="dxa"/>
            <w:vAlign w:val="bottom"/>
          </w:tcPr>
          <w:p>
            <w:pPr>
              <w:spacing w:after="0"/>
              <w:rPr>
                <w:sz w:val="20"/>
                <w:szCs w:val="20"/>
                <w:color w:val="auto"/>
              </w:rPr>
            </w:pPr>
            <w:r>
              <w:rPr>
                <w:rFonts w:ascii="Arial" w:cs="Arial" w:eastAsia="Arial" w:hAnsi="Arial"/>
                <w:sz w:val="18"/>
                <w:szCs w:val="18"/>
                <w:color w:val="auto"/>
              </w:rPr>
              <w:t>Past-due loans / Total loans</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20.7%</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14.2%</w:t>
            </w:r>
          </w:p>
        </w:tc>
        <w:tc>
          <w:tcPr>
            <w:tcW w:w="1420" w:type="dxa"/>
            <w:vAlign w:val="bottom"/>
          </w:tcPr>
          <w:p>
            <w:pPr>
              <w:jc w:val="right"/>
              <w:spacing w:after="0"/>
              <w:rPr>
                <w:sz w:val="20"/>
                <w:szCs w:val="20"/>
                <w:color w:val="auto"/>
              </w:rPr>
            </w:pPr>
            <w:r>
              <w:rPr>
                <w:rFonts w:ascii="Arial" w:cs="Arial" w:eastAsia="Arial" w:hAnsi="Arial"/>
                <w:sz w:val="18"/>
                <w:szCs w:val="18"/>
                <w:color w:val="auto"/>
              </w:rPr>
              <w:t>11.0%</w:t>
            </w:r>
          </w:p>
        </w:tc>
      </w:tr>
      <w:tr>
        <w:trPr>
          <w:trHeight w:val="243"/>
        </w:trPr>
        <w:tc>
          <w:tcPr>
            <w:tcW w:w="4220" w:type="dxa"/>
            <w:vAlign w:val="bottom"/>
          </w:tcPr>
          <w:p>
            <w:pPr>
              <w:spacing w:after="0"/>
              <w:rPr>
                <w:sz w:val="20"/>
                <w:szCs w:val="20"/>
                <w:color w:val="auto"/>
              </w:rPr>
            </w:pPr>
            <w:r>
              <w:rPr>
                <w:rFonts w:ascii="Arial" w:cs="Arial" w:eastAsia="Arial" w:hAnsi="Arial"/>
                <w:sz w:val="18"/>
                <w:szCs w:val="18"/>
                <w:color w:val="auto"/>
              </w:rPr>
              <w:t>Loss reserves / Past-due loans</w:t>
            </w:r>
          </w:p>
        </w:tc>
        <w:tc>
          <w:tcPr>
            <w:tcW w:w="3480" w:type="dxa"/>
            <w:vAlign w:val="bottom"/>
          </w:tcPr>
          <w:p>
            <w:pPr>
              <w:jc w:val="right"/>
              <w:ind w:right="832"/>
              <w:spacing w:after="0"/>
              <w:rPr>
                <w:sz w:val="20"/>
                <w:szCs w:val="20"/>
                <w:color w:val="auto"/>
              </w:rPr>
            </w:pPr>
            <w:r>
              <w:rPr>
                <w:rFonts w:ascii="Arial" w:cs="Arial" w:eastAsia="Arial" w:hAnsi="Arial"/>
                <w:sz w:val="18"/>
                <w:szCs w:val="18"/>
                <w:color w:val="auto"/>
              </w:rPr>
              <w:t>76.7%</w:t>
            </w:r>
          </w:p>
        </w:tc>
        <w:tc>
          <w:tcPr>
            <w:tcW w:w="2240" w:type="dxa"/>
            <w:vAlign w:val="bottom"/>
          </w:tcPr>
          <w:p>
            <w:pPr>
              <w:jc w:val="right"/>
              <w:ind w:right="772"/>
              <w:spacing w:after="0"/>
              <w:rPr>
                <w:sz w:val="20"/>
                <w:szCs w:val="20"/>
                <w:color w:val="auto"/>
              </w:rPr>
            </w:pPr>
            <w:r>
              <w:rPr>
                <w:rFonts w:ascii="Arial" w:cs="Arial" w:eastAsia="Arial" w:hAnsi="Arial"/>
                <w:sz w:val="18"/>
                <w:szCs w:val="18"/>
                <w:color w:val="auto"/>
              </w:rPr>
              <w:t>83.3%</w:t>
            </w:r>
          </w:p>
        </w:tc>
        <w:tc>
          <w:tcPr>
            <w:tcW w:w="1420" w:type="dxa"/>
            <w:vAlign w:val="bottom"/>
          </w:tcPr>
          <w:p>
            <w:pPr>
              <w:jc w:val="right"/>
              <w:spacing w:after="0"/>
              <w:rPr>
                <w:sz w:val="20"/>
                <w:szCs w:val="20"/>
                <w:color w:val="auto"/>
              </w:rPr>
            </w:pPr>
            <w:r>
              <w:rPr>
                <w:rFonts w:ascii="Arial" w:cs="Arial" w:eastAsia="Arial" w:hAnsi="Arial"/>
                <w:sz w:val="18"/>
                <w:szCs w:val="18"/>
                <w:color w:val="auto"/>
              </w:rPr>
              <w:t>100.6%</w:t>
            </w:r>
          </w:p>
        </w:tc>
      </w:tr>
      <w:tr>
        <w:trPr>
          <w:trHeight w:val="137"/>
        </w:trPr>
        <w:tc>
          <w:tcPr>
            <w:tcW w:w="4220" w:type="dxa"/>
            <w:vAlign w:val="bottom"/>
            <w:tcBorders>
              <w:bottom w:val="single" w:sz="8" w:color="auto"/>
            </w:tcBorders>
          </w:tcPr>
          <w:p>
            <w:pPr>
              <w:spacing w:after="0"/>
              <w:rPr>
                <w:sz w:val="11"/>
                <w:szCs w:val="11"/>
                <w:color w:val="auto"/>
              </w:rPr>
            </w:pPr>
          </w:p>
        </w:tc>
        <w:tc>
          <w:tcPr>
            <w:tcW w:w="3480" w:type="dxa"/>
            <w:vAlign w:val="bottom"/>
            <w:tcBorders>
              <w:bottom w:val="single" w:sz="8" w:color="auto"/>
            </w:tcBorders>
          </w:tcPr>
          <w:p>
            <w:pPr>
              <w:spacing w:after="0"/>
              <w:rPr>
                <w:sz w:val="11"/>
                <w:szCs w:val="11"/>
                <w:color w:val="auto"/>
              </w:rPr>
            </w:pPr>
          </w:p>
        </w:tc>
        <w:tc>
          <w:tcPr>
            <w:tcW w:w="2240" w:type="dxa"/>
            <w:vAlign w:val="bottom"/>
            <w:tcBorders>
              <w:bottom w:val="single" w:sz="8" w:color="auto"/>
            </w:tcBorders>
          </w:tcPr>
          <w:p>
            <w:pPr>
              <w:spacing w:after="0"/>
              <w:rPr>
                <w:sz w:val="11"/>
                <w:szCs w:val="11"/>
                <w:color w:val="auto"/>
              </w:rPr>
            </w:pPr>
          </w:p>
        </w:tc>
        <w:tc>
          <w:tcPr>
            <w:tcW w:w="142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Banco Tequendama, Colombia</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Credicorp’s consolidated financial statements as of December 31, 2004 include Banco Tequendama, even though, as was mentioned above, since the sale price of this subsidiary has been fixed, it did not contribute to consolidated net income in fourth quarter 2004, for which a corresponding provision was registered in the Other expense caption.</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2004, Credicorp’s balances include loans from Banco Tequendama amounting to US$306.7 million, which increased 7.5% from US$285.2 million in September 2004, and had a past due ratio of 1.9%. At the end of December 2004, Banco Tequendama’s deposits totaled US$290.5 million, 17.8% higher than US$246.7 million in September 2004</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I.5 PERUVIAN ECONOMIC SITUATION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Economic Activity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During the fourth quarter of 2004 the Peruvian GDP continued its positive growth trend, recovering after a slowdown in the second quarter. It is important to note the improved growth prospects of sectors related to domestic demand, like construction, retail and services. GDP performance continued to be driven by higher activity in non-primary manufacturing, mainly textiles, metals mining, oil and in natural gas, thanks to high international demand for exports which raised their prices.</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GDP grew 8.4% in November, but only 2.1% in October, reaching in the first eleven months of 2004 a cumulative growth of 4.6%. GDP grew 4.9%, 3.6% and 4.8% in the first, second and third quarters of 2004, respectively. Official estimates expect growth continuing above 4% during 2005.</w:t>
      </w:r>
    </w:p>
    <w:p>
      <w:pPr>
        <w:spacing w:after="0" w:line="139"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Cumulative through November 2004, all GDP sectors grow except Agriculture. Highest performance is noted in metals mining, which grows 5.0%, although with a declining trend due to lower gold production that is partly offset with higher copper and iron output; fishing, which grew 22.3%, in spite of an anchovie ban in October; non-primary manufacturing, up by 6.8%; services, up by 5.5%; and, the construction sector, that grew 4.4%. On the other hand, production continued poor on the agriculture sub-sector, which declined 3.6% through November, due to lack of rainfall.</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Public Finance</w:t>
      </w:r>
    </w:p>
    <w:p>
      <w:pPr>
        <w:spacing w:after="0" w:line="225"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In third quarter 2004, the Public Sector budget had a deficit of 2.1% (of GDP), following a 0.9% surplus in first half 2004. Given that the total 2004 target is to run a deficit of 1.5%, a substantial increase in public expenditure can be expected in second half 2004, which will have a short-run positive effect on GDP growth.</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deficit in third quarter 2004 was mainly due to increased Central Government expenditures which, after being 14.5% of GDP in first half 2004, grew to 18% of GDP in this period, where current expenses amounted to 13.8% of GDP, and capital expenditures to 2%. Increased expenditures were partly offset with higher tax revenue, that reached 13.5% of GDP in third quarter 2004, compared with 13.1% in the same year-ago period.</w:t>
      </w:r>
    </w:p>
    <w:p>
      <w:pPr>
        <w:spacing w:after="0" w:line="16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Cumulative through November 2004, Central Government tax collections increased 13.5%, in nominal terms, noting a 21% increase of Income Tax revenue from corporations and the 14% growth in case of the value-added tax (IGV), which increased mainly due to administrative measures and improved business conditions. Through November 2004, non-financial expenses increased 8.4% (nominal), while capital expenses grew by only 0.6%.</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Prices and Devaluation</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In the fourth quarter of 2004, the consumer price index in Peru increased only 0.25%, similar to 0.21% in the preceding third quarter. Inflation was 3.48% in total year 2004, remaining under the top of the range of 1.5% to 3.5%, targetted by the Central Bank for total 2004. Inflation remained subdued in the current quarter mainly due to lower food prices, which declined thanks to higher produce supplies, and also because of the lower exchange rate.</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wholesale price index slightly declined 0.02% in the fourth quarter 2004, but remained at a high 4.9% for full year 2004, compared to 1.01% and 2.00% in the same periods in 2003. In the current fourth quarter, the decline in the exchange rate helped lower the cost of imported intermediate goods.</w:t>
      </w:r>
    </w:p>
    <w:p>
      <w:pPr>
        <w:spacing w:after="0" w:line="13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average bank market Nuevos Soles exchange rate in Peru was S/.3.282 at December 31, 2004, decreasing 1.8% from S/.3.342 at the end of September 2004, and is also lower by 5.2% compared to year-end 2003. To avoid the streghtening of the currency, in the fourth quarter, the Central Bank increased the purchase of foreign exchange in the currency market, acquiring US$920 million, to reach US$2,340 million in total 2004, compared to US$1,050 million purchased during total 2003.</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International Reserves</w:t>
      </w:r>
    </w:p>
    <w:p>
      <w:pPr>
        <w:spacing w:after="0" w:line="225"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International reserves of the Central Bank continued to increase during fourth quarter 2004, due in part to the above mentioned foreign currency purchases. Reserves reached US$12,631 million at December 31, 2004, up from US$11,187 million at September 30, 2004, and also compared to US$10,194 million at December 31, 2003.</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Trade Balance had a US$2.3 billion cumulative surplus through November 2004, increasing compared to a US$548 million surplus in the same eleven month period of 2003. The improvement continues the positive trend noted since 2002, when the surplus reached US$306 million and in 2003 when the surplus grew to US$731 million. Cumulative through November 2004, exports grew 38% versus a 17% increase in imports. Exports, which reached US$11,137 million as of</w:t>
      </w:r>
    </w:p>
    <w:p>
      <w:pPr>
        <w:sectPr>
          <w:pgSz w:w="11900" w:h="16904" w:orient="portrait"/>
          <w:cols w:equalWidth="0" w:num="1">
            <w:col w:w="11420"/>
          </w:cols>
          <w:pgMar w:left="240" w:top="131" w:right="239" w:bottom="0" w:gutter="0" w:footer="0" w:header="0"/>
        </w:sectPr>
      </w:pPr>
    </w:p>
    <w:bookmarkStart w:id="6" w:name="page7"/>
    <w:bookmarkEnd w:id="6"/>
    <w:p>
      <w:pPr>
        <w:jc w:val="both"/>
        <w:spacing w:after="0" w:line="259" w:lineRule="auto"/>
        <w:rPr>
          <w:sz w:val="20"/>
          <w:szCs w:val="20"/>
          <w:color w:val="auto"/>
        </w:rPr>
      </w:pPr>
      <w:r>
        <w:rPr>
          <w:rFonts w:ascii="Arial" w:cs="Arial" w:eastAsia="Arial" w:hAnsi="Arial"/>
          <w:sz w:val="18"/>
          <w:szCs w:val="18"/>
          <w:color w:val="auto"/>
        </w:rPr>
        <w:t>November 2004, grow on increased volume and prices, specially of copper, and non-traditional textiles, agricultural and fishing exports. Imports through November 2004 amounted to US$8,841 million, increasing mainly due to higher imports of raw materials and durable goods, while consumer goods only slightly increased.</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Financial System</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Commercial bank’s loan and deposit volumes continued their mild positive trend during fourth quarter 2004, based on U. S. Dollar figures translated at historical exchange rates. This avoids the negative effect of the strenghtening of the Nuevo Sol on records carried in local currency. Deposits at December 31, 2004 in the fourteen commercial banks in the system reached US$14.7 billion, according to the Asociación de Bancos del Peru (ASBANC), increasing 3.3%, in Dollar terms, compared to the balance at September 30, 2004, and by 8.1% compared to the year-ago balance at December 31, 2003.</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2004, total loans in the banking system were US$10.8 billion, 3.4% higher than loans at September 30, 2004, and grow 7.4% over December 31, 2003 loan balances. In the current quarter, local currency loans, that were 24.4% of total loans (22.2% at December 2003), grew 5.2% to reach US$2.6 billion, while foreign currency loans increased 2.3% to US$8.2 billion.</w:t>
      </w:r>
    </w:p>
    <w:p>
      <w:pPr>
        <w:spacing w:after="0" w:line="194"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As of December 31, 2004, the Peruvian bank's past due ratio was 3.8%, improving from the 4.6% rate in September 30, 2004 and from 5.9% in December 31, 2003. Commercial banks’ past due loans decreased 16.3% since last September to US$406 million, and are lower by 32.0% compared to bad loans at December 31, 2003. At December 31, 2004, loan loss provisions were US$721 million, decreasing 4.7% during this quarter. The system-wide past due loan coverage ratio was 177.4% at December 31, 2004, higher than the 155.7% coverage at September 30, 2004, and is also higher than the ratio of 143.0% at December 31, 2003.</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Interest rates</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During the fourth quarter 2004 commercial banks’ loans and deposits interest rates had a slight increase. Local currency average loan rates (TAMN) were 25.0% in fourth quarter 2004, almost unchanged from 25.1% in the third quarter of 2004, while deposits rates (TIPMN) increased to 2.5% from 2.4%, respectively. In the fourth quarter 2003, TAMN was 22.2% and TIPMN was 2.7%. During the fourth quarter 2004 foreign currency loan rates (TAMEX) increased to 9.3%, from 8.9% in the preceding third quarter, while deposit rates (TIPMEX) increased to 1.2% from 1.1%.</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color w:val="auto"/>
        </w:rPr>
        <w:t>Private Pension Funds and Mutual Funds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Managed assets in private pension funds, after remaining almost stagnant in the first half of the year, grew 7.5% in the last quarter of 2004. The private pension fund assets reached US$7.8 billion as of December 31, 2004, and are 24% higher than funds at December 2003. In the twelve months of 2004 the funds had a return of 5.6% in real terms, below the high 21.2% return in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Mutual funds suffered declines due to volatility of prices and valuations in capital markets and to the increase in interest rates. Total mutual funds amounted to US$1.8 billion at the end of the fourth quarter 2004, decreasing 0.7% in the quarter, and by 11.9% from the balance at December 2003, with a return of 0.8% in the quarter and of 2.9% during the year since December 2003 (in Dollar terms).</w:t>
      </w:r>
    </w:p>
    <w:p>
      <w:pPr>
        <w:sectPr>
          <w:pgSz w:w="11900" w:h="16838" w:orient="portrait"/>
          <w:cols w:equalWidth="0" w:num="1">
            <w:col w:w="11420"/>
          </w:cols>
          <w:pgMar w:left="240" w:top="131" w:right="2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color w:val="auto"/>
        </w:rPr>
        <w:t>II. BANCO DE CREDITO DEL PERU AND SUBSIDIARIES (“BCP”)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II.1 NET INCOME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net income in the year ended in December 31, 2004 reached S/.319.3 million (US$97.3 million), compared to net income of S/.323.9 million (US$98.7 million) in 2003, meaning S/.0.26 per share in both cases. Net income in 2004 decline slightly compared to net profit in 2003 mainly due to lower financial and non-financial income and to higher losses on inflation adjustment, which are partly offset with lower loan loss provisions and lower operating expenses.</w:t>
      </w:r>
    </w:p>
    <w:p>
      <w:pPr>
        <w:spacing w:after="0" w:line="197"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income in the fourth quarter 2004 was S/.98.4 million (US$30.0 million), increasing 7.2% compared with net income of S/.91.9 million (US$28.0 million) in the same quarter in 2003, and also grows 40.8% compared to S/.69.9 million in the preceding third quarter 2004. Fourth quarter 2004 net income increase compared to the year-ago period mainly due to lower loan loss provisions and lower operating expenses, that offset decreased financial and non-financial income.</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Decreased net interest income, comparing current quarter and full-year 2004 with the same prior year periods, is mainly due to lower interest margins, as well as lower loan volumes. Non-financial income is lower in this quarter mainly due to decreased fee revenue from banking services affected by the financial transactions tax.</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increase on losses on inflation adjustment, to S/.131.6 million (US$40.1 million) for total year 2004, from S/.43.1 million (US$13.1 million) in 2003, is due to the negative effects of a higher wholesale price inflation and of the strenghtening of the Nuevo Sol exchange rate. In total year 2004, we had a 4.9% inflation, compared to 2.0% in 2003, while the exchange rate declined 5.2% compared to a drop of 1.5%, respectively. See I. - --Note on Inflation Adjusted Accounting.</w:t>
      </w:r>
    </w:p>
    <w:p>
      <w:pPr>
        <w:spacing w:after="0" w:line="161" w:lineRule="exact"/>
        <w:rPr>
          <w:sz w:val="20"/>
          <w:szCs w:val="20"/>
          <w:color w:val="auto"/>
        </w:rPr>
      </w:pPr>
    </w:p>
    <w:p>
      <w:pPr>
        <w:jc w:val="center"/>
        <w:ind w:right="6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SUMMARY OF RESULTS (1)</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 constant S/. and U.S.$ millions, except net income per share)</w:t>
      </w:r>
    </w:p>
    <w:p>
      <w:pPr>
        <w:spacing w:after="0" w:line="25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gridSpan w:val="2"/>
          </w:tcPr>
          <w:p>
            <w:pPr>
              <w:jc w:val="right"/>
              <w:ind w:right="472"/>
              <w:spacing w:after="0"/>
              <w:rPr>
                <w:sz w:val="20"/>
                <w:szCs w:val="20"/>
                <w:color w:val="auto"/>
              </w:rPr>
            </w:pPr>
            <w:r>
              <w:rPr>
                <w:rFonts w:ascii="Arial" w:cs="Arial" w:eastAsia="Arial" w:hAnsi="Arial"/>
                <w:sz w:val="18"/>
                <w:szCs w:val="18"/>
                <w:color w:val="auto"/>
              </w:rPr>
              <w:t>Three months ended</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Twelve months ended</w:t>
            </w:r>
          </w:p>
        </w:tc>
        <w:tc>
          <w:tcPr>
            <w:tcW w:w="900" w:type="dxa"/>
            <w:vAlign w:val="bottom"/>
          </w:tcPr>
          <w:p>
            <w:pPr>
              <w:spacing w:after="0"/>
              <w:rPr>
                <w:sz w:val="19"/>
                <w:szCs w:val="19"/>
                <w:color w:val="auto"/>
              </w:rPr>
            </w:pPr>
          </w:p>
        </w:tc>
      </w:tr>
      <w:tr>
        <w:trPr>
          <w:trHeight w:val="151"/>
        </w:trPr>
        <w:tc>
          <w:tcPr>
            <w:tcW w:w="33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356"/>
        </w:trPr>
        <w:tc>
          <w:tcPr>
            <w:tcW w:w="338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31.12.03</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30.09.04</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31.12.04</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31.12.04</w:t>
            </w:r>
          </w:p>
        </w:tc>
        <w:tc>
          <w:tcPr>
            <w:tcW w:w="1280" w:type="dxa"/>
            <w:vAlign w:val="bottom"/>
            <w:gridSpan w:val="2"/>
          </w:tcPr>
          <w:p>
            <w:pPr>
              <w:jc w:val="right"/>
              <w:ind w:right="292"/>
              <w:spacing w:after="0"/>
              <w:rPr>
                <w:sz w:val="20"/>
                <w:szCs w:val="20"/>
                <w:color w:val="auto"/>
              </w:rPr>
            </w:pPr>
            <w:r>
              <w:rPr>
                <w:rFonts w:ascii="Arial" w:cs="Arial" w:eastAsia="Arial" w:hAnsi="Arial"/>
                <w:sz w:val="18"/>
                <w:szCs w:val="18"/>
                <w:color w:val="auto"/>
              </w:rPr>
              <w:t>31.12.03</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31.12.04</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88"/>
              </w:rPr>
              <w:t>31.12.04</w:t>
            </w:r>
          </w:p>
        </w:tc>
      </w:tr>
      <w:tr>
        <w:trPr>
          <w:trHeight w:val="137"/>
        </w:trPr>
        <w:tc>
          <w:tcPr>
            <w:tcW w:w="3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343"/>
        </w:trPr>
        <w:tc>
          <w:tcPr>
            <w:tcW w:w="33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US$</w:t>
            </w: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US$</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interest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300.1</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260.6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286.4</w:t>
            </w:r>
          </w:p>
        </w:tc>
        <w:tc>
          <w:tcPr>
            <w:tcW w:w="1000" w:type="dxa"/>
            <w:vAlign w:val="bottom"/>
          </w:tcPr>
          <w:p>
            <w:pPr>
              <w:jc w:val="right"/>
              <w:spacing w:after="0"/>
              <w:rPr>
                <w:sz w:val="20"/>
                <w:szCs w:val="20"/>
                <w:color w:val="auto"/>
              </w:rPr>
            </w:pPr>
            <w:r>
              <w:rPr>
                <w:rFonts w:ascii="Arial" w:cs="Arial" w:eastAsia="Arial" w:hAnsi="Arial"/>
                <w:sz w:val="18"/>
                <w:szCs w:val="18"/>
                <w:color w:val="auto"/>
              </w:rPr>
              <w:t>$87.3</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1.213.6</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1.078.2</w:t>
            </w:r>
          </w:p>
        </w:tc>
        <w:tc>
          <w:tcPr>
            <w:tcW w:w="900" w:type="dxa"/>
            <w:vAlign w:val="bottom"/>
          </w:tcPr>
          <w:p>
            <w:pPr>
              <w:jc w:val="right"/>
              <w:spacing w:after="0"/>
              <w:rPr>
                <w:sz w:val="20"/>
                <w:szCs w:val="20"/>
                <w:color w:val="auto"/>
              </w:rPr>
            </w:pPr>
            <w:r>
              <w:rPr>
                <w:rFonts w:ascii="Arial" w:cs="Arial" w:eastAsia="Arial" w:hAnsi="Arial"/>
                <w:sz w:val="18"/>
                <w:szCs w:val="18"/>
                <w:color w:val="auto"/>
              </w:rPr>
              <w:t>$328.5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Provisions for loan losses. net</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48.4</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12.3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20.9</w:t>
            </w:r>
          </w:p>
        </w:tc>
        <w:tc>
          <w:tcPr>
            <w:tcW w:w="1000" w:type="dxa"/>
            <w:vAlign w:val="bottom"/>
          </w:tcPr>
          <w:p>
            <w:pPr>
              <w:jc w:val="right"/>
              <w:spacing w:after="0"/>
              <w:rPr>
                <w:sz w:val="20"/>
                <w:szCs w:val="20"/>
                <w:color w:val="auto"/>
              </w:rPr>
            </w:pPr>
            <w:r>
              <w:rPr>
                <w:rFonts w:ascii="Arial" w:cs="Arial" w:eastAsia="Arial" w:hAnsi="Arial"/>
                <w:sz w:val="18"/>
                <w:szCs w:val="18"/>
                <w:color w:val="auto"/>
              </w:rPr>
              <w:t>$6.4</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325.4</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101.9</w:t>
            </w:r>
          </w:p>
        </w:tc>
        <w:tc>
          <w:tcPr>
            <w:tcW w:w="90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236.4</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215.0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219.8</w:t>
            </w:r>
          </w:p>
        </w:tc>
        <w:tc>
          <w:tcPr>
            <w:tcW w:w="1000" w:type="dxa"/>
            <w:vAlign w:val="bottom"/>
          </w:tcPr>
          <w:p>
            <w:pPr>
              <w:jc w:val="right"/>
              <w:spacing w:after="0"/>
              <w:rPr>
                <w:sz w:val="20"/>
                <w:szCs w:val="20"/>
                <w:color w:val="auto"/>
              </w:rPr>
            </w:pPr>
            <w:r>
              <w:rPr>
                <w:rFonts w:ascii="Arial" w:cs="Arial" w:eastAsia="Arial" w:hAnsi="Arial"/>
                <w:sz w:val="18"/>
                <w:szCs w:val="18"/>
                <w:color w:val="auto"/>
              </w:rPr>
              <w:t>$67.0</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962.9</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867.5</w:t>
            </w:r>
          </w:p>
        </w:tc>
        <w:tc>
          <w:tcPr>
            <w:tcW w:w="900" w:type="dxa"/>
            <w:vAlign w:val="bottom"/>
          </w:tcPr>
          <w:p>
            <w:pPr>
              <w:jc w:val="right"/>
              <w:spacing w:after="0"/>
              <w:rPr>
                <w:sz w:val="20"/>
                <w:szCs w:val="20"/>
                <w:color w:val="auto"/>
              </w:rPr>
            </w:pPr>
            <w:r>
              <w:rPr>
                <w:rFonts w:ascii="Arial" w:cs="Arial" w:eastAsia="Arial" w:hAnsi="Arial"/>
                <w:sz w:val="18"/>
                <w:szCs w:val="18"/>
                <w:color w:val="auto"/>
              </w:rPr>
              <w:t>$264.3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Other expenses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335.8</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304.3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320.7</w:t>
            </w:r>
          </w:p>
        </w:tc>
        <w:tc>
          <w:tcPr>
            <w:tcW w:w="1000" w:type="dxa"/>
            <w:vAlign w:val="bottom"/>
          </w:tcPr>
          <w:p>
            <w:pPr>
              <w:jc w:val="right"/>
              <w:spacing w:after="0"/>
              <w:rPr>
                <w:sz w:val="20"/>
                <w:szCs w:val="20"/>
                <w:color w:val="auto"/>
              </w:rPr>
            </w:pPr>
            <w:r>
              <w:rPr>
                <w:rFonts w:ascii="Arial" w:cs="Arial" w:eastAsia="Arial" w:hAnsi="Arial"/>
                <w:sz w:val="18"/>
                <w:szCs w:val="18"/>
                <w:color w:val="auto"/>
              </w:rPr>
              <w:t>$97.7</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1.292.4</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1.239.6</w:t>
            </w:r>
          </w:p>
        </w:tc>
        <w:tc>
          <w:tcPr>
            <w:tcW w:w="900" w:type="dxa"/>
            <w:vAlign w:val="bottom"/>
          </w:tcPr>
          <w:p>
            <w:pPr>
              <w:jc w:val="right"/>
              <w:spacing w:after="0"/>
              <w:rPr>
                <w:sz w:val="20"/>
                <w:szCs w:val="20"/>
                <w:color w:val="auto"/>
              </w:rPr>
            </w:pPr>
            <w:r>
              <w:rPr>
                <w:rFonts w:ascii="Arial" w:cs="Arial" w:eastAsia="Arial" w:hAnsi="Arial"/>
                <w:sz w:val="18"/>
                <w:szCs w:val="18"/>
                <w:color w:val="auto"/>
              </w:rPr>
              <w:t>$377.7</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Merger costs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4.0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w:t>
            </w:r>
          </w:p>
        </w:tc>
        <w:tc>
          <w:tcPr>
            <w:tcW w:w="1000" w:type="dxa"/>
            <w:vAlign w:val="bottom"/>
          </w:tcPr>
          <w:p>
            <w:pPr>
              <w:jc w:val="right"/>
              <w:spacing w:after="0"/>
              <w:rPr>
                <w:sz w:val="20"/>
                <w:szCs w:val="20"/>
                <w:color w:val="auto"/>
              </w:rPr>
            </w:pPr>
            <w:r>
              <w:rPr>
                <w:rFonts w:ascii="Arial" w:cs="Arial" w:eastAsia="Arial" w:hAnsi="Arial"/>
                <w:sz w:val="18"/>
                <w:szCs w:val="18"/>
                <w:color w:val="auto"/>
              </w:rPr>
              <w:t>$0.0</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68.4</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13.2</w:t>
            </w:r>
          </w:p>
        </w:tc>
        <w:tc>
          <w:tcPr>
            <w:tcW w:w="90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(21.3)</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(53.6)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(25.5)</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(43.1)</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(131.6)</w:t>
            </w:r>
          </w:p>
        </w:tc>
        <w:tc>
          <w:tcPr>
            <w:tcW w:w="900" w:type="dxa"/>
            <w:vAlign w:val="bottom"/>
          </w:tcPr>
          <w:p>
            <w:pPr>
              <w:jc w:val="right"/>
              <w:spacing w:after="0"/>
              <w:rPr>
                <w:sz w:val="20"/>
                <w:szCs w:val="20"/>
                <w:color w:val="auto"/>
              </w:rPr>
            </w:pPr>
            <w:r>
              <w:rPr>
                <w:rFonts w:ascii="Arial" w:cs="Arial" w:eastAsia="Arial" w:hAnsi="Arial"/>
                <w:sz w:val="18"/>
                <w:szCs w:val="18"/>
                <w:color w:val="auto"/>
              </w:rPr>
              <w:t>($40.1)</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127.0</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103.5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139.1</w:t>
            </w:r>
          </w:p>
        </w:tc>
        <w:tc>
          <w:tcPr>
            <w:tcW w:w="1000" w:type="dxa"/>
            <w:vAlign w:val="bottom"/>
          </w:tcPr>
          <w:p>
            <w:pPr>
              <w:jc w:val="right"/>
              <w:spacing w:after="0"/>
              <w:rPr>
                <w:sz w:val="20"/>
                <w:szCs w:val="20"/>
                <w:color w:val="auto"/>
              </w:rPr>
            </w:pPr>
            <w:r>
              <w:rPr>
                <w:rFonts w:ascii="Arial" w:cs="Arial" w:eastAsia="Arial" w:hAnsi="Arial"/>
                <w:sz w:val="18"/>
                <w:szCs w:val="18"/>
                <w:color w:val="auto"/>
              </w:rPr>
              <w:t>$42.4</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447.1</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459.5</w:t>
            </w:r>
          </w:p>
        </w:tc>
        <w:tc>
          <w:tcPr>
            <w:tcW w:w="900" w:type="dxa"/>
            <w:vAlign w:val="bottom"/>
          </w:tcPr>
          <w:p>
            <w:pPr>
              <w:jc w:val="right"/>
              <w:spacing w:after="0"/>
              <w:rPr>
                <w:sz w:val="20"/>
                <w:szCs w:val="20"/>
                <w:color w:val="auto"/>
              </w:rPr>
            </w:pPr>
            <w:r>
              <w:rPr>
                <w:rFonts w:ascii="Arial" w:cs="Arial" w:eastAsia="Arial" w:hAnsi="Arial"/>
                <w:sz w:val="18"/>
                <w:szCs w:val="18"/>
                <w:color w:val="auto"/>
              </w:rPr>
              <w:t>$140.0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Income Tax</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35.1</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33.6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40.7</w:t>
            </w:r>
          </w:p>
        </w:tc>
        <w:tc>
          <w:tcPr>
            <w:tcW w:w="1000" w:type="dxa"/>
            <w:vAlign w:val="bottom"/>
          </w:tcPr>
          <w:p>
            <w:pPr>
              <w:jc w:val="right"/>
              <w:spacing w:after="0"/>
              <w:rPr>
                <w:sz w:val="20"/>
                <w:szCs w:val="20"/>
                <w:color w:val="auto"/>
              </w:rPr>
            </w:pPr>
            <w:r>
              <w:rPr>
                <w:rFonts w:ascii="Arial" w:cs="Arial" w:eastAsia="Arial" w:hAnsi="Arial"/>
                <w:sz w:val="18"/>
                <w:szCs w:val="18"/>
                <w:color w:val="auto"/>
              </w:rPr>
              <w:t>$12.4</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123.2</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140.2</w:t>
            </w:r>
          </w:p>
        </w:tc>
        <w:tc>
          <w:tcPr>
            <w:tcW w:w="900" w:type="dxa"/>
            <w:vAlign w:val="bottom"/>
          </w:tcPr>
          <w:p>
            <w:pPr>
              <w:jc w:val="right"/>
              <w:spacing w:after="0"/>
              <w:rPr>
                <w:sz w:val="20"/>
                <w:szCs w:val="20"/>
                <w:color w:val="auto"/>
              </w:rPr>
            </w:pPr>
            <w:r>
              <w:rPr>
                <w:rFonts w:ascii="Arial" w:cs="Arial" w:eastAsia="Arial" w:hAnsi="Arial"/>
                <w:sz w:val="18"/>
                <w:szCs w:val="18"/>
                <w:color w:val="auto"/>
              </w:rPr>
              <w:t>$42.7</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91.9</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69.9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98.4</w:t>
            </w: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323.9</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319.3</w:t>
            </w:r>
          </w:p>
        </w:tc>
        <w:tc>
          <w:tcPr>
            <w:tcW w:w="900" w:type="dxa"/>
            <w:vAlign w:val="bottom"/>
          </w:tcPr>
          <w:p>
            <w:pPr>
              <w:jc w:val="right"/>
              <w:spacing w:after="0"/>
              <w:rPr>
                <w:sz w:val="20"/>
                <w:szCs w:val="20"/>
                <w:color w:val="auto"/>
              </w:rPr>
            </w:pPr>
            <w:r>
              <w:rPr>
                <w:rFonts w:ascii="Arial" w:cs="Arial" w:eastAsia="Arial" w:hAnsi="Arial"/>
                <w:sz w:val="18"/>
                <w:szCs w:val="18"/>
                <w:color w:val="auto"/>
              </w:rPr>
              <w:t>$97.3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Income per share (2)</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0.07</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0.06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0.08</w:t>
            </w:r>
          </w:p>
        </w:tc>
        <w:tc>
          <w:tcPr>
            <w:tcW w:w="1000" w:type="dxa"/>
            <w:vAlign w:val="bottom"/>
          </w:tcPr>
          <w:p>
            <w:pPr>
              <w:jc w:val="right"/>
              <w:spacing w:after="0"/>
              <w:rPr>
                <w:sz w:val="20"/>
                <w:szCs w:val="20"/>
                <w:color w:val="auto"/>
              </w:rPr>
            </w:pPr>
            <w:r>
              <w:rPr>
                <w:rFonts w:ascii="Arial" w:cs="Arial" w:eastAsia="Arial" w:hAnsi="Arial"/>
                <w:sz w:val="18"/>
                <w:szCs w:val="18"/>
                <w:color w:val="auto"/>
              </w:rPr>
              <w:t>$0.02</w:t>
            </w:r>
          </w:p>
        </w:tc>
        <w:tc>
          <w:tcPr>
            <w:tcW w:w="1280" w:type="dxa"/>
            <w:vAlign w:val="bottom"/>
            <w:gridSpan w:val="2"/>
          </w:tcPr>
          <w:p>
            <w:pPr>
              <w:jc w:val="right"/>
              <w:ind w:right="52"/>
              <w:spacing w:after="0"/>
              <w:rPr>
                <w:sz w:val="20"/>
                <w:szCs w:val="20"/>
                <w:color w:val="auto"/>
              </w:rPr>
            </w:pPr>
            <w:r>
              <w:rPr>
                <w:rFonts w:ascii="Arial" w:cs="Arial" w:eastAsia="Arial" w:hAnsi="Arial"/>
                <w:sz w:val="18"/>
                <w:szCs w:val="18"/>
                <w:color w:val="auto"/>
              </w:rPr>
              <w:t>0.26</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0.26</w:t>
            </w:r>
          </w:p>
        </w:tc>
        <w:tc>
          <w:tcPr>
            <w:tcW w:w="900" w:type="dxa"/>
            <w:vAlign w:val="bottom"/>
          </w:tcPr>
          <w:p>
            <w:pPr>
              <w:jc w:val="right"/>
              <w:spacing w:after="0"/>
              <w:rPr>
                <w:sz w:val="20"/>
                <w:szCs w:val="20"/>
                <w:color w:val="auto"/>
              </w:rPr>
            </w:pPr>
            <w:r>
              <w:rPr>
                <w:rFonts w:ascii="Arial" w:cs="Arial" w:eastAsia="Arial" w:hAnsi="Arial"/>
                <w:sz w:val="18"/>
                <w:szCs w:val="18"/>
                <w:color w:val="auto"/>
              </w:rPr>
              <w:t>$0.08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ind w:firstLine="8"/>
        <w:spacing w:after="0" w:line="254" w:lineRule="auto"/>
        <w:tabs>
          <w:tab w:leader="none" w:pos="249" w:val="left"/>
        </w:tabs>
        <w:numPr>
          <w:ilvl w:val="0"/>
          <w:numId w:val="3"/>
        </w:numPr>
        <w:rPr>
          <w:rFonts w:ascii="Arial" w:cs="Arial" w:eastAsia="Arial" w:hAnsi="Arial"/>
          <w:sz w:val="18"/>
          <w:szCs w:val="18"/>
          <w:color w:val="auto"/>
        </w:rPr>
      </w:pPr>
      <w:r>
        <w:rPr>
          <w:rFonts w:ascii="Arial" w:cs="Arial" w:eastAsia="Arial" w:hAnsi="Arial"/>
          <w:sz w:val="18"/>
          <w:szCs w:val="18"/>
          <w:color w:val="auto"/>
        </w:rPr>
        <w:t>Financial statements prepared according to Peruvian GAAP. The financial information is in constant soles as of December 31, 2004. Figures in US$ have been translated at the exchange rate of S/.3.282 to the dollar.</w:t>
      </w:r>
    </w:p>
    <w:p>
      <w:pPr>
        <w:ind w:left="260" w:hanging="252"/>
        <w:spacing w:after="0"/>
        <w:tabs>
          <w:tab w:leader="none" w:pos="260" w:val="left"/>
        </w:tabs>
        <w:numPr>
          <w:ilvl w:val="0"/>
          <w:numId w:val="3"/>
        </w:numPr>
        <w:rPr>
          <w:rFonts w:ascii="Arial" w:cs="Arial" w:eastAsia="Arial" w:hAnsi="Arial"/>
          <w:sz w:val="18"/>
          <w:szCs w:val="18"/>
          <w:color w:val="auto"/>
        </w:rPr>
      </w:pPr>
      <w:r>
        <w:rPr>
          <w:rFonts w:ascii="Arial" w:cs="Arial" w:eastAsia="Arial" w:hAnsi="Arial"/>
          <w:sz w:val="18"/>
          <w:szCs w:val="18"/>
          <w:color w:val="auto"/>
        </w:rPr>
        <w:t>Based on 1,226 million outstanding shares in all periods.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color w:val="auto"/>
        </w:rPr>
        <w:t>II.2 NET 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Interest income, net of interest payments, in the fourth quarter of 2004 reached S/.286.4 million (US$87.3 million), lower compared to S/.300.1 million (US$91.4 million) net interest income in the same period of last year, but increased compared to net interest income of S/.260.6 million (US$79.4 million) in the preceding third quarter of 2004.</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Decreased net interest income, compared to the fourth quarter of 2003, is mostly due to continuous fall in average interest earning assets, while net interest margins also had a slight decline. Average interest earning assets reached S/.20,519 million (US$6,252 million) during fourth quarter 2004, a decline of 4.2% comparing with the fourth quarter of last year, while they are 0.5% lower than average assets in third quarter 2004. In the current quarter BCP continued its persistent excess liquidity environment in both local and foreign currencies.</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of 2004, the net interest margin was 5.58%, higher than 5.06% in the preceding third quarter, but slightly declines from 5.60% during the fourth quarter of 2003. During the current quarter the net interest margin increased mostly due to higher foreign currency loan rates, partly from increased lending to higher margin segments, while local currency loan and deposit rates remained mostly stable.</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II.3 NON-INTEREST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Non-interest income, which include fee revenue and other non-interest items, in the fourth quarter of 2004 amounted to S/.219.8 million (US$67.0 million), lower than S/.236.4 million (US$72.0 million) earned during the last quarter of 2003, mostly due to decreased banking services fees and of the Other income caption, where recoveries of charged-off accounts were lower.</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2004, fees from banking services amounted to S/.160.1 million (US$48.8 million), 6.5% lower than in the same period of 2003, due to lower revenue in various concepts related to declining accounts’ transaction volume due to the tax on financial transactions. In the quarter, fees on the most important banking services had the following growth rates: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bookmarkStart w:id="8" w:name="page9"/>
    <w:bookmarkEnd w:id="8"/>
    <w:tbl>
      <w:tblPr>
        <w:tblLayout w:type="fixed"/>
        <w:tblInd w:w="40" w:type="dxa"/>
        <w:tblCellMar>
          <w:top w:w="0" w:type="dxa"/>
          <w:left w:w="0" w:type="dxa"/>
          <w:bottom w:w="0" w:type="dxa"/>
          <w:right w:w="0" w:type="dxa"/>
        </w:tblCellMar>
      </w:tblPr>
      <w:tr>
        <w:trPr>
          <w:trHeight w:val="222"/>
        </w:trPr>
        <w:tc>
          <w:tcPr>
            <w:tcW w:w="3740" w:type="dxa"/>
            <w:vAlign w:val="bottom"/>
          </w:tcPr>
          <w:p>
            <w:pPr>
              <w:spacing w:after="0"/>
              <w:rPr>
                <w:sz w:val="20"/>
                <w:szCs w:val="20"/>
                <w:color w:val="auto"/>
              </w:rPr>
            </w:pPr>
            <w:r>
              <w:rPr>
                <w:rFonts w:ascii="Arial" w:cs="Arial" w:eastAsia="Arial" w:hAnsi="Arial"/>
                <w:sz w:val="18"/>
                <w:szCs w:val="18"/>
                <w:color w:val="auto"/>
              </w:rPr>
              <w:t>(In constant S/. Mn.)</w:t>
            </w:r>
          </w:p>
        </w:tc>
        <w:tc>
          <w:tcPr>
            <w:tcW w:w="3520" w:type="dxa"/>
            <w:vAlign w:val="bottom"/>
          </w:tcPr>
          <w:p>
            <w:pPr>
              <w:jc w:val="right"/>
              <w:ind w:right="1332"/>
              <w:spacing w:after="0"/>
              <w:rPr>
                <w:sz w:val="20"/>
                <w:szCs w:val="20"/>
                <w:color w:val="auto"/>
              </w:rPr>
            </w:pPr>
            <w:r>
              <w:rPr>
                <w:rFonts w:ascii="Arial" w:cs="Arial" w:eastAsia="Arial" w:hAnsi="Arial"/>
                <w:sz w:val="18"/>
                <w:szCs w:val="18"/>
                <w:color w:val="auto"/>
              </w:rPr>
              <w:t>4Q03</w:t>
            </w:r>
          </w:p>
        </w:tc>
        <w:tc>
          <w:tcPr>
            <w:tcW w:w="2260" w:type="dxa"/>
            <w:vAlign w:val="bottom"/>
          </w:tcPr>
          <w:p>
            <w:pPr>
              <w:jc w:val="right"/>
              <w:ind w:right="1312"/>
              <w:spacing w:after="0"/>
              <w:rPr>
                <w:sz w:val="20"/>
                <w:szCs w:val="20"/>
                <w:color w:val="auto"/>
              </w:rPr>
            </w:pPr>
            <w:r>
              <w:rPr>
                <w:rFonts w:ascii="Arial" w:cs="Arial" w:eastAsia="Arial" w:hAnsi="Arial"/>
                <w:sz w:val="18"/>
                <w:szCs w:val="18"/>
                <w:color w:val="auto"/>
              </w:rPr>
              <w:t>4Q04</w:t>
            </w:r>
          </w:p>
        </w:tc>
        <w:tc>
          <w:tcPr>
            <w:tcW w:w="1840" w:type="dxa"/>
            <w:vAlign w:val="bottom"/>
          </w:tcPr>
          <w:p>
            <w:pPr>
              <w:jc w:val="right"/>
              <w:ind w:right="772"/>
              <w:spacing w:after="0"/>
              <w:rPr>
                <w:sz w:val="20"/>
                <w:szCs w:val="20"/>
                <w:color w:val="auto"/>
              </w:rPr>
            </w:pPr>
            <w:r>
              <w:rPr>
                <w:rFonts w:ascii="Arial" w:cs="Arial" w:eastAsia="Arial" w:hAnsi="Arial"/>
                <w:sz w:val="18"/>
                <w:szCs w:val="18"/>
                <w:color w:val="auto"/>
              </w:rPr>
              <w:t>Growth</w:t>
            </w:r>
          </w:p>
        </w:tc>
      </w:tr>
      <w:tr>
        <w:trPr>
          <w:trHeight w:val="137"/>
        </w:trPr>
        <w:tc>
          <w:tcPr>
            <w:tcW w:w="3740" w:type="dxa"/>
            <w:vAlign w:val="bottom"/>
            <w:tcBorders>
              <w:bottom w:val="single" w:sz="8" w:color="auto"/>
            </w:tcBorders>
          </w:tcPr>
          <w:p>
            <w:pPr>
              <w:spacing w:after="0"/>
              <w:rPr>
                <w:sz w:val="11"/>
                <w:szCs w:val="11"/>
                <w:color w:val="auto"/>
              </w:rPr>
            </w:pPr>
          </w:p>
        </w:tc>
        <w:tc>
          <w:tcPr>
            <w:tcW w:w="352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r>
        <w:trPr>
          <w:trHeight w:val="343"/>
        </w:trPr>
        <w:tc>
          <w:tcPr>
            <w:tcW w:w="3740" w:type="dxa"/>
            <w:vAlign w:val="bottom"/>
          </w:tcPr>
          <w:p>
            <w:pPr>
              <w:spacing w:after="0"/>
              <w:rPr>
                <w:sz w:val="20"/>
                <w:szCs w:val="20"/>
                <w:color w:val="auto"/>
              </w:rPr>
            </w:pPr>
            <w:r>
              <w:rPr>
                <w:rFonts w:ascii="Arial" w:cs="Arial" w:eastAsia="Arial" w:hAnsi="Arial"/>
                <w:sz w:val="18"/>
                <w:szCs w:val="18"/>
                <w:color w:val="auto"/>
              </w:rPr>
              <w:t>Savings accounts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22.2</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19.8</w:t>
            </w:r>
          </w:p>
        </w:tc>
        <w:tc>
          <w:tcPr>
            <w:tcW w:w="184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Demand deposits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23.7</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21.7</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Credit cards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20.2</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21.9</w:t>
            </w:r>
          </w:p>
        </w:tc>
        <w:tc>
          <w:tcPr>
            <w:tcW w:w="1840" w:type="dxa"/>
            <w:vAlign w:val="bottom"/>
          </w:tcPr>
          <w:p>
            <w:pPr>
              <w:jc w:val="right"/>
              <w:spacing w:after="0"/>
              <w:rPr>
                <w:sz w:val="20"/>
                <w:szCs w:val="20"/>
                <w:color w:val="auto"/>
              </w:rPr>
            </w:pPr>
            <w:r>
              <w:rPr>
                <w:rFonts w:ascii="Arial" w:cs="Arial" w:eastAsia="Arial" w:hAnsi="Arial"/>
                <w:sz w:val="18"/>
                <w:szCs w:val="18"/>
                <w:color w:val="auto"/>
              </w:rPr>
              <w:t>8.4%</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Fund transfer services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15.0</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16.1</w:t>
            </w:r>
          </w:p>
        </w:tc>
        <w:tc>
          <w:tcPr>
            <w:tcW w:w="1840" w:type="dxa"/>
            <w:vAlign w:val="bottom"/>
          </w:tcPr>
          <w:p>
            <w:pPr>
              <w:jc w:val="right"/>
              <w:spacing w:after="0"/>
              <w:rPr>
                <w:sz w:val="20"/>
                <w:szCs w:val="20"/>
                <w:color w:val="auto"/>
              </w:rPr>
            </w:pPr>
            <w:r>
              <w:rPr>
                <w:rFonts w:ascii="Arial" w:cs="Arial" w:eastAsia="Arial" w:hAnsi="Arial"/>
                <w:sz w:val="18"/>
                <w:szCs w:val="18"/>
                <w:color w:val="auto"/>
              </w:rPr>
              <w:t>7.3%</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Collections fees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12.9</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12.5</w:t>
            </w:r>
          </w:p>
        </w:tc>
        <w:tc>
          <w:tcPr>
            <w:tcW w:w="184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Billings and payments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14.6</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13.3</w:t>
            </w:r>
          </w:p>
        </w:tc>
        <w:tc>
          <w:tcPr>
            <w:tcW w:w="1840" w:type="dxa"/>
            <w:vAlign w:val="bottom"/>
          </w:tcPr>
          <w:p>
            <w:pPr>
              <w:jc w:val="right"/>
              <w:spacing w:after="0"/>
              <w:rPr>
                <w:sz w:val="20"/>
                <w:szCs w:val="20"/>
                <w:color w:val="auto"/>
              </w:rPr>
            </w:pPr>
            <w:r>
              <w:rPr>
                <w:rFonts w:ascii="Arial" w:cs="Arial" w:eastAsia="Arial" w:hAnsi="Arial"/>
                <w:sz w:val="18"/>
                <w:szCs w:val="18"/>
                <w:color w:val="auto"/>
              </w:rPr>
              <w:t>-8.9%</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Contingent and foreign trade</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7.4</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8.3</w:t>
            </w:r>
          </w:p>
        </w:tc>
        <w:tc>
          <w:tcPr>
            <w:tcW w:w="1840" w:type="dxa"/>
            <w:vAlign w:val="bottom"/>
          </w:tcPr>
          <w:p>
            <w:pPr>
              <w:jc w:val="right"/>
              <w:spacing w:after="0"/>
              <w:rPr>
                <w:sz w:val="20"/>
                <w:szCs w:val="20"/>
                <w:color w:val="auto"/>
              </w:rPr>
            </w:pPr>
            <w:r>
              <w:rPr>
                <w:rFonts w:ascii="Arial" w:cs="Arial" w:eastAsia="Arial" w:hAnsi="Arial"/>
                <w:sz w:val="18"/>
                <w:szCs w:val="18"/>
                <w:color w:val="auto"/>
              </w:rPr>
              <w:t>12.2%</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Contingent credits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8.1</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7.0</w:t>
            </w:r>
          </w:p>
        </w:tc>
        <w:tc>
          <w:tcPr>
            <w:tcW w:w="1840" w:type="dxa"/>
            <w:vAlign w:val="bottom"/>
          </w:tcPr>
          <w:p>
            <w:pPr>
              <w:jc w:val="right"/>
              <w:spacing w:after="0"/>
              <w:rPr>
                <w:sz w:val="20"/>
                <w:szCs w:val="20"/>
                <w:color w:val="auto"/>
              </w:rPr>
            </w:pPr>
            <w:r>
              <w:rPr>
                <w:rFonts w:ascii="Arial" w:cs="Arial" w:eastAsia="Arial" w:hAnsi="Arial"/>
                <w:sz w:val="18"/>
                <w:szCs w:val="18"/>
                <w:color w:val="auto"/>
              </w:rPr>
              <w:t>-13.6%</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Debit cards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8.9</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5.5</w:t>
            </w:r>
          </w:p>
        </w:tc>
        <w:tc>
          <w:tcPr>
            <w:tcW w:w="1840" w:type="dxa"/>
            <w:vAlign w:val="bottom"/>
          </w:tcPr>
          <w:p>
            <w:pPr>
              <w:jc w:val="right"/>
              <w:spacing w:after="0"/>
              <w:rPr>
                <w:sz w:val="20"/>
                <w:szCs w:val="20"/>
                <w:color w:val="auto"/>
              </w:rPr>
            </w:pPr>
            <w:r>
              <w:rPr>
                <w:rFonts w:ascii="Arial" w:cs="Arial" w:eastAsia="Arial" w:hAnsi="Arial"/>
                <w:sz w:val="18"/>
                <w:szCs w:val="18"/>
                <w:color w:val="auto"/>
              </w:rPr>
              <w:t>-38.2%</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Corporate Finance</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4.5</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4.4</w:t>
            </w:r>
          </w:p>
        </w:tc>
        <w:tc>
          <w:tcPr>
            <w:tcW w:w="18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Brokerage</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10.2</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8.7</w:t>
            </w:r>
          </w:p>
        </w:tc>
        <w:tc>
          <w:tcPr>
            <w:tcW w:w="1840" w:type="dxa"/>
            <w:vAlign w:val="bottom"/>
          </w:tcPr>
          <w:p>
            <w:pPr>
              <w:jc w:val="right"/>
              <w:spacing w:after="0"/>
              <w:rPr>
                <w:sz w:val="20"/>
                <w:szCs w:val="20"/>
                <w:color w:val="auto"/>
              </w:rPr>
            </w:pPr>
            <w:r>
              <w:rPr>
                <w:rFonts w:ascii="Arial" w:cs="Arial" w:eastAsia="Arial" w:hAnsi="Arial"/>
                <w:sz w:val="18"/>
                <w:szCs w:val="18"/>
                <w:color w:val="auto"/>
              </w:rPr>
              <w:t>-14.7%</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Commercial loans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5.8</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4.3</w:t>
            </w:r>
          </w:p>
        </w:tc>
        <w:tc>
          <w:tcPr>
            <w:tcW w:w="1840" w:type="dxa"/>
            <w:vAlign w:val="bottom"/>
          </w:tcPr>
          <w:p>
            <w:pPr>
              <w:jc w:val="right"/>
              <w:spacing w:after="0"/>
              <w:rPr>
                <w:sz w:val="20"/>
                <w:szCs w:val="20"/>
                <w:color w:val="auto"/>
              </w:rPr>
            </w:pPr>
            <w:r>
              <w:rPr>
                <w:rFonts w:ascii="Arial" w:cs="Arial" w:eastAsia="Arial" w:hAnsi="Arial"/>
                <w:sz w:val="18"/>
                <w:szCs w:val="18"/>
                <w:color w:val="auto"/>
              </w:rPr>
              <w:t>-25.9%</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Insurance</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5.0</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4.8</w:t>
            </w:r>
          </w:p>
        </w:tc>
        <w:tc>
          <w:tcPr>
            <w:tcW w:w="1840" w:type="dxa"/>
            <w:vAlign w:val="bottom"/>
          </w:tcPr>
          <w:p>
            <w:pPr>
              <w:jc w:val="right"/>
              <w:spacing w:after="0"/>
              <w:rPr>
                <w:sz w:val="20"/>
                <w:szCs w:val="20"/>
                <w:color w:val="auto"/>
              </w:rPr>
            </w:pPr>
            <w:r>
              <w:rPr>
                <w:rFonts w:ascii="Arial" w:cs="Arial" w:eastAsia="Arial" w:hAnsi="Arial"/>
                <w:sz w:val="18"/>
                <w:szCs w:val="18"/>
                <w:color w:val="auto"/>
              </w:rPr>
              <w:t>-4.0%</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Mortgage loans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2.9</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2.0</w:t>
            </w:r>
          </w:p>
        </w:tc>
        <w:tc>
          <w:tcPr>
            <w:tcW w:w="1840" w:type="dxa"/>
            <w:vAlign w:val="bottom"/>
          </w:tcPr>
          <w:p>
            <w:pPr>
              <w:jc w:val="right"/>
              <w:spacing w:after="0"/>
              <w:rPr>
                <w:sz w:val="20"/>
                <w:szCs w:val="20"/>
                <w:color w:val="auto"/>
              </w:rPr>
            </w:pPr>
            <w:r>
              <w:rPr>
                <w:rFonts w:ascii="Arial" w:cs="Arial" w:eastAsia="Arial" w:hAnsi="Arial"/>
                <w:sz w:val="18"/>
                <w:szCs w:val="18"/>
                <w:color w:val="auto"/>
              </w:rPr>
              <w:t>-31.0%</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Channels and services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2.5</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1.8</w:t>
            </w:r>
          </w:p>
        </w:tc>
        <w:tc>
          <w:tcPr>
            <w:tcW w:w="1840" w:type="dxa"/>
            <w:vAlign w:val="bottom"/>
          </w:tcPr>
          <w:p>
            <w:pPr>
              <w:jc w:val="right"/>
              <w:spacing w:after="0"/>
              <w:rPr>
                <w:sz w:val="20"/>
                <w:szCs w:val="20"/>
                <w:color w:val="auto"/>
              </w:rPr>
            </w:pPr>
            <w:r>
              <w:rPr>
                <w:rFonts w:ascii="Arial" w:cs="Arial" w:eastAsia="Arial" w:hAnsi="Arial"/>
                <w:sz w:val="18"/>
                <w:szCs w:val="18"/>
                <w:color w:val="auto"/>
              </w:rPr>
              <w:t>-28.0%</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Master account</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1.8</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1.3</w:t>
            </w:r>
          </w:p>
        </w:tc>
        <w:tc>
          <w:tcPr>
            <w:tcW w:w="184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Personal loans</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0.9</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0.8</w:t>
            </w:r>
          </w:p>
        </w:tc>
        <w:tc>
          <w:tcPr>
            <w:tcW w:w="184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Micro-business credit</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0.5</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1.8</w:t>
            </w:r>
          </w:p>
        </w:tc>
        <w:tc>
          <w:tcPr>
            <w:tcW w:w="1840" w:type="dxa"/>
            <w:vAlign w:val="bottom"/>
          </w:tcPr>
          <w:p>
            <w:pPr>
              <w:jc w:val="right"/>
              <w:spacing w:after="0"/>
              <w:rPr>
                <w:sz w:val="20"/>
                <w:szCs w:val="20"/>
                <w:color w:val="auto"/>
              </w:rPr>
            </w:pPr>
            <w:r>
              <w:rPr>
                <w:rFonts w:ascii="Arial" w:cs="Arial" w:eastAsia="Arial" w:hAnsi="Arial"/>
                <w:sz w:val="18"/>
                <w:szCs w:val="18"/>
                <w:color w:val="auto"/>
              </w:rPr>
              <w:t>260.0%</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Other</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4.2</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4.1</w:t>
            </w:r>
          </w:p>
        </w:tc>
        <w:tc>
          <w:tcPr>
            <w:tcW w:w="1840" w:type="dxa"/>
            <w:vAlign w:val="bottom"/>
          </w:tcPr>
          <w:p>
            <w:pPr>
              <w:jc w:val="right"/>
              <w:spacing w:after="0"/>
              <w:rPr>
                <w:sz w:val="20"/>
                <w:szCs w:val="20"/>
                <w:color w:val="auto"/>
              </w:rPr>
            </w:pPr>
            <w:r>
              <w:rPr>
                <w:rFonts w:ascii="Arial" w:cs="Arial" w:eastAsia="Arial" w:hAnsi="Arial"/>
                <w:sz w:val="18"/>
                <w:szCs w:val="18"/>
                <w:color w:val="auto"/>
              </w:rPr>
              <w:t>-2.4%</w:t>
            </w:r>
          </w:p>
        </w:tc>
      </w:tr>
      <w:tr>
        <w:trPr>
          <w:trHeight w:val="243"/>
        </w:trPr>
        <w:tc>
          <w:tcPr>
            <w:tcW w:w="3740" w:type="dxa"/>
            <w:vAlign w:val="bottom"/>
          </w:tcPr>
          <w:p>
            <w:pPr>
              <w:spacing w:after="0"/>
              <w:rPr>
                <w:sz w:val="20"/>
                <w:szCs w:val="20"/>
                <w:color w:val="auto"/>
              </w:rPr>
            </w:pPr>
            <w:r>
              <w:rPr>
                <w:rFonts w:ascii="Arial" w:cs="Arial" w:eastAsia="Arial" w:hAnsi="Arial"/>
                <w:sz w:val="18"/>
                <w:szCs w:val="18"/>
                <w:color w:val="auto"/>
              </w:rPr>
              <w:t>Total</w:t>
            </w:r>
          </w:p>
        </w:tc>
        <w:tc>
          <w:tcPr>
            <w:tcW w:w="3520" w:type="dxa"/>
            <w:vAlign w:val="bottom"/>
          </w:tcPr>
          <w:p>
            <w:pPr>
              <w:jc w:val="right"/>
              <w:ind w:right="392"/>
              <w:spacing w:after="0"/>
              <w:rPr>
                <w:sz w:val="20"/>
                <w:szCs w:val="20"/>
                <w:color w:val="auto"/>
              </w:rPr>
            </w:pPr>
            <w:r>
              <w:rPr>
                <w:rFonts w:ascii="Arial" w:cs="Arial" w:eastAsia="Arial" w:hAnsi="Arial"/>
                <w:sz w:val="18"/>
                <w:szCs w:val="18"/>
                <w:color w:val="auto"/>
              </w:rPr>
              <w:t>171.3</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160.1</w:t>
            </w:r>
          </w:p>
        </w:tc>
        <w:tc>
          <w:tcPr>
            <w:tcW w:w="1840" w:type="dxa"/>
            <w:vAlign w:val="bottom"/>
          </w:tcPr>
          <w:p>
            <w:pPr>
              <w:jc w:val="right"/>
              <w:spacing w:after="0"/>
              <w:rPr>
                <w:sz w:val="20"/>
                <w:szCs w:val="20"/>
                <w:color w:val="auto"/>
              </w:rPr>
            </w:pPr>
            <w:r>
              <w:rPr>
                <w:rFonts w:ascii="Arial" w:cs="Arial" w:eastAsia="Arial" w:hAnsi="Arial"/>
                <w:sz w:val="18"/>
                <w:szCs w:val="18"/>
                <w:color w:val="auto"/>
              </w:rPr>
              <w:t>-6.5%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86995</wp:posOffset>
            </wp:positionV>
            <wp:extent cx="721233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Note: line items in this table aggregate concepts that are different from tables reported in prior year periods.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2004, securities transactions resulted in a gain of S/.6.5 million (US$2.0 million), compared a loss in the year-ago quarter of S/.0.3 million (US$0.1 million). The general index of the Lima Stock Exchange increased 13.2% in the fourth quarter of 2004, and by 52.4% in total 2004, compared to 22.9% and 74.9% increases in the same year-ago periods.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Gains from foreign exchange operations, which are the result of the foreign exchange buy-sell margin, were S/.21.9 million (US$6.7 million) in the fourth quarter of 2004, 12.5% higher than revenue in the same quarter of 2003, mainly due to increased margins due to volatility in the foreign exchange market caused by the falling exchange rate.</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Other Income caption, that mainly registers reversals of prior year expenses and provisions and recoveries of certain operating costs, decreased from S/.45.9 million (US$14.0 million) in the fourth quarter of 2003 to S/.31.2 million (US$9.5 million) in the current period, mainly due to lower recoveries of charged-off accounts.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II.4 OTHER NON-INTEREST EXPENSES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Non-interest expenses during the fourth quarter of 2004 were S/.320.7 million (US$97.7 million), 5.6% under those of the same period in 2003, mainly because of decreased other expenses and personnel costs.</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 determine operating efficiency, operating expenses are “adjusted” excluding certain non-recurrent items and that do not contribute to the performance of the business. Fourth quarter 2004 “adjusted” operating expenses are determined by excluding: (i) provisions for assets received in lieu of loan repayment (S/.20.8 million); (ii) non-recurring expenses related to the systems’ restructuring costs (S/.2.7 million); and, (iii) employee profit sharing expenses and bonuses (S/.21.1 million).</w:t>
      </w:r>
    </w:p>
    <w:p>
      <w:pPr>
        <w:spacing w:after="0" w:line="197" w:lineRule="exact"/>
        <w:rPr>
          <w:sz w:val="20"/>
          <w:szCs w:val="20"/>
          <w:color w:val="auto"/>
        </w:rPr>
      </w:pPr>
    </w:p>
    <w:p>
      <w:pPr>
        <w:spacing w:after="0"/>
        <w:rPr>
          <w:sz w:val="20"/>
          <w:szCs w:val="20"/>
          <w:color w:val="auto"/>
        </w:rPr>
      </w:pPr>
      <w:r>
        <w:rPr>
          <w:rFonts w:ascii="Arial" w:cs="Arial" w:eastAsia="Arial" w:hAnsi="Arial"/>
          <w:sz w:val="16"/>
          <w:szCs w:val="16"/>
          <w:color w:val="auto"/>
        </w:rPr>
        <w:t>“Adjusted” operating expenses reached S/.276.2 million (US$84.2 million) in the fourth quarter of 2004, increasing 1.4% compared to the year-ago period.</w:t>
      </w:r>
    </w:p>
    <w:p>
      <w:pPr>
        <w:spacing w:after="0" w:line="248"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In this quarter, approximately 43% of non-interest expenses were attributable to employee salaries and other expenses related to personnel. This concept decreased 2.7% to S/.137.1 million (US$41.8 million) when compared to the fourth quarter of 2003. At the end of December 2004 the number of employees stood at 7,694, increasing from 7,667 employees as of September 2004, and also compared to 7,530 employees at December 2003, mainly due to additional teller positions at Banco de Crédito de Bolivia.</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General and Administrative expenses, which represented 34% of non-interest expenses, reached S/.110.5 million (US$33.7 million) in the fourth quarter of 2004, remaining similar to expenses in the year-ago period. In the current quarter, lower expenses for third party fees were offset by higher supplies expenses and operating charges. In this quarter, the most significant general and administrative expenses were: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980" w:type="dxa"/>
            <w:vAlign w:val="bottom"/>
          </w:tcPr>
          <w:p>
            <w:pPr>
              <w:spacing w:after="0"/>
              <w:rPr>
                <w:sz w:val="20"/>
                <w:szCs w:val="20"/>
                <w:color w:val="auto"/>
              </w:rPr>
            </w:pPr>
            <w:r>
              <w:rPr>
                <w:rFonts w:ascii="Arial" w:cs="Arial" w:eastAsia="Arial" w:hAnsi="Arial"/>
                <w:sz w:val="18"/>
                <w:szCs w:val="18"/>
                <w:color w:val="auto"/>
              </w:rPr>
              <w:t>(In constant S/. Mn.)</w:t>
            </w:r>
          </w:p>
        </w:tc>
        <w:tc>
          <w:tcPr>
            <w:tcW w:w="3280" w:type="dxa"/>
            <w:vAlign w:val="bottom"/>
          </w:tcPr>
          <w:p>
            <w:pPr>
              <w:jc w:val="right"/>
              <w:ind w:right="1332"/>
              <w:spacing w:after="0"/>
              <w:rPr>
                <w:sz w:val="20"/>
                <w:szCs w:val="20"/>
                <w:color w:val="auto"/>
              </w:rPr>
            </w:pPr>
            <w:r>
              <w:rPr>
                <w:rFonts w:ascii="Arial" w:cs="Arial" w:eastAsia="Arial" w:hAnsi="Arial"/>
                <w:sz w:val="18"/>
                <w:szCs w:val="18"/>
                <w:color w:val="auto"/>
              </w:rPr>
              <w:t>4Q03</w:t>
            </w:r>
          </w:p>
        </w:tc>
        <w:tc>
          <w:tcPr>
            <w:tcW w:w="2260" w:type="dxa"/>
            <w:vAlign w:val="bottom"/>
          </w:tcPr>
          <w:p>
            <w:pPr>
              <w:jc w:val="right"/>
              <w:ind w:right="1312"/>
              <w:spacing w:after="0"/>
              <w:rPr>
                <w:sz w:val="20"/>
                <w:szCs w:val="20"/>
                <w:color w:val="auto"/>
              </w:rPr>
            </w:pPr>
            <w:r>
              <w:rPr>
                <w:rFonts w:ascii="Arial" w:cs="Arial" w:eastAsia="Arial" w:hAnsi="Arial"/>
                <w:sz w:val="18"/>
                <w:szCs w:val="18"/>
                <w:color w:val="auto"/>
              </w:rPr>
              <w:t>4Q04</w:t>
            </w:r>
          </w:p>
        </w:tc>
        <w:tc>
          <w:tcPr>
            <w:tcW w:w="1840" w:type="dxa"/>
            <w:vAlign w:val="bottom"/>
          </w:tcPr>
          <w:p>
            <w:pPr>
              <w:jc w:val="right"/>
              <w:ind w:right="792"/>
              <w:spacing w:after="0"/>
              <w:rPr>
                <w:sz w:val="20"/>
                <w:szCs w:val="20"/>
                <w:color w:val="auto"/>
              </w:rPr>
            </w:pPr>
            <w:r>
              <w:rPr>
                <w:rFonts w:ascii="Arial" w:cs="Arial" w:eastAsia="Arial" w:hAnsi="Arial"/>
                <w:sz w:val="18"/>
                <w:szCs w:val="18"/>
                <w:color w:val="auto"/>
              </w:rPr>
              <w:t>Chnge.</w:t>
            </w:r>
          </w:p>
        </w:tc>
      </w:tr>
      <w:tr>
        <w:trPr>
          <w:trHeight w:val="137"/>
        </w:trPr>
        <w:tc>
          <w:tcPr>
            <w:tcW w:w="39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r>
        <w:trPr>
          <w:trHeight w:val="343"/>
        </w:trPr>
        <w:tc>
          <w:tcPr>
            <w:tcW w:w="3980" w:type="dxa"/>
            <w:vAlign w:val="bottom"/>
          </w:tcPr>
          <w:p>
            <w:pPr>
              <w:spacing w:after="0"/>
              <w:rPr>
                <w:sz w:val="20"/>
                <w:szCs w:val="20"/>
                <w:color w:val="auto"/>
              </w:rPr>
            </w:pPr>
            <w:r>
              <w:rPr>
                <w:rFonts w:ascii="Arial" w:cs="Arial" w:eastAsia="Arial" w:hAnsi="Arial"/>
                <w:sz w:val="18"/>
                <w:szCs w:val="18"/>
                <w:color w:val="auto"/>
              </w:rPr>
              <w:t>Office supplies and operating costs</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14.0</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17.9</w:t>
            </w:r>
          </w:p>
        </w:tc>
        <w:tc>
          <w:tcPr>
            <w:tcW w:w="1840" w:type="dxa"/>
            <w:vAlign w:val="bottom"/>
          </w:tcPr>
          <w:p>
            <w:pPr>
              <w:jc w:val="right"/>
              <w:spacing w:after="0"/>
              <w:rPr>
                <w:sz w:val="20"/>
                <w:szCs w:val="20"/>
                <w:color w:val="auto"/>
              </w:rPr>
            </w:pPr>
            <w:r>
              <w:rPr>
                <w:rFonts w:ascii="Arial" w:cs="Arial" w:eastAsia="Arial" w:hAnsi="Arial"/>
                <w:sz w:val="18"/>
                <w:szCs w:val="18"/>
                <w:color w:val="auto"/>
              </w:rPr>
              <w:t>27.9%</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Communications</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9.7</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7.8</w:t>
            </w:r>
          </w:p>
        </w:tc>
        <w:tc>
          <w:tcPr>
            <w:tcW w:w="184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Third party fees</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21.5</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16.5</w:t>
            </w:r>
          </w:p>
        </w:tc>
        <w:tc>
          <w:tcPr>
            <w:tcW w:w="1840" w:type="dxa"/>
            <w:vAlign w:val="bottom"/>
          </w:tcPr>
          <w:p>
            <w:pPr>
              <w:jc w:val="right"/>
              <w:spacing w:after="0"/>
              <w:rPr>
                <w:sz w:val="20"/>
                <w:szCs w:val="20"/>
                <w:color w:val="auto"/>
              </w:rPr>
            </w:pPr>
            <w:r>
              <w:rPr>
                <w:rFonts w:ascii="Arial" w:cs="Arial" w:eastAsia="Arial" w:hAnsi="Arial"/>
                <w:sz w:val="18"/>
                <w:szCs w:val="18"/>
                <w:color w:val="auto"/>
              </w:rPr>
              <w:t>-23.3%</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Insurance and security</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7.9</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7.1</w:t>
            </w:r>
          </w:p>
        </w:tc>
        <w:tc>
          <w:tcPr>
            <w:tcW w:w="1840" w:type="dxa"/>
            <w:vAlign w:val="bottom"/>
          </w:tcPr>
          <w:p>
            <w:pPr>
              <w:jc w:val="right"/>
              <w:spacing w:after="0"/>
              <w:rPr>
                <w:sz w:val="20"/>
                <w:szCs w:val="20"/>
                <w:color w:val="auto"/>
              </w:rPr>
            </w:pPr>
            <w:r>
              <w:rPr>
                <w:rFonts w:ascii="Arial" w:cs="Arial" w:eastAsia="Arial" w:hAnsi="Arial"/>
                <w:sz w:val="18"/>
                <w:szCs w:val="18"/>
                <w:color w:val="auto"/>
              </w:rPr>
              <w:t>-10.1%</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Transport of currency and securities</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12.7</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12.9</w:t>
            </w:r>
          </w:p>
        </w:tc>
        <w:tc>
          <w:tcPr>
            <w:tcW w:w="1840" w:type="dxa"/>
            <w:vAlign w:val="bottom"/>
          </w:tcPr>
          <w:p>
            <w:pPr>
              <w:jc w:val="right"/>
              <w:spacing w:after="0"/>
              <w:rPr>
                <w:sz w:val="20"/>
                <w:szCs w:val="20"/>
                <w:color w:val="auto"/>
              </w:rPr>
            </w:pPr>
            <w:r>
              <w:rPr>
                <w:rFonts w:ascii="Arial" w:cs="Arial" w:eastAsia="Arial" w:hAnsi="Arial"/>
                <w:sz w:val="18"/>
                <w:szCs w:val="18"/>
                <w:color w:val="auto"/>
              </w:rPr>
              <w:t>1.6%</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Systems and maintenance</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20.8</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19.8</w:t>
            </w:r>
          </w:p>
        </w:tc>
        <w:tc>
          <w:tcPr>
            <w:tcW w:w="1840" w:type="dxa"/>
            <w:vAlign w:val="bottom"/>
          </w:tcPr>
          <w:p>
            <w:pPr>
              <w:jc w:val="right"/>
              <w:spacing w:after="0"/>
              <w:rPr>
                <w:sz w:val="20"/>
                <w:szCs w:val="20"/>
                <w:color w:val="auto"/>
              </w:rPr>
            </w:pPr>
            <w:r>
              <w:rPr>
                <w:rFonts w:ascii="Arial" w:cs="Arial" w:eastAsia="Arial" w:hAnsi="Arial"/>
                <w:sz w:val="18"/>
                <w:szCs w:val="18"/>
                <w:color w:val="auto"/>
              </w:rPr>
              <w:t>-4.8%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Advertising and marketing</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18.2</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20.4</w:t>
            </w:r>
          </w:p>
        </w:tc>
        <w:tc>
          <w:tcPr>
            <w:tcW w:w="1840" w:type="dxa"/>
            <w:vAlign w:val="bottom"/>
          </w:tcPr>
          <w:p>
            <w:pPr>
              <w:jc w:val="right"/>
              <w:spacing w:after="0"/>
              <w:rPr>
                <w:sz w:val="20"/>
                <w:szCs w:val="20"/>
                <w:color w:val="auto"/>
              </w:rPr>
            </w:pPr>
            <w:r>
              <w:rPr>
                <w:rFonts w:ascii="Arial" w:cs="Arial" w:eastAsia="Arial" w:hAnsi="Arial"/>
                <w:sz w:val="18"/>
                <w:szCs w:val="18"/>
                <w:color w:val="auto"/>
              </w:rPr>
              <w:t>12.1%</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Other G&amp;A</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5.2</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8.1</w:t>
            </w:r>
          </w:p>
        </w:tc>
        <w:tc>
          <w:tcPr>
            <w:tcW w:w="1840" w:type="dxa"/>
            <w:vAlign w:val="bottom"/>
          </w:tcPr>
          <w:p>
            <w:pPr>
              <w:jc w:val="right"/>
              <w:spacing w:after="0"/>
              <w:rPr>
                <w:sz w:val="20"/>
                <w:szCs w:val="20"/>
                <w:color w:val="auto"/>
              </w:rPr>
            </w:pPr>
            <w:r>
              <w:rPr>
                <w:rFonts w:ascii="Arial" w:cs="Arial" w:eastAsia="Arial" w:hAnsi="Arial"/>
                <w:sz w:val="18"/>
                <w:szCs w:val="18"/>
                <w:color w:val="auto"/>
              </w:rPr>
              <w:t>55.8%</w:t>
            </w:r>
          </w:p>
        </w:tc>
      </w:tr>
      <w:tr>
        <w:trPr>
          <w:trHeight w:val="243"/>
        </w:trPr>
        <w:tc>
          <w:tcPr>
            <w:tcW w:w="3980" w:type="dxa"/>
            <w:vAlign w:val="bottom"/>
          </w:tcPr>
          <w:p>
            <w:pPr>
              <w:spacing w:after="0"/>
              <w:rPr>
                <w:sz w:val="20"/>
                <w:szCs w:val="20"/>
                <w:color w:val="auto"/>
              </w:rPr>
            </w:pPr>
            <w:r>
              <w:rPr>
                <w:rFonts w:ascii="Arial" w:cs="Arial" w:eastAsia="Arial" w:hAnsi="Arial"/>
                <w:sz w:val="18"/>
                <w:szCs w:val="18"/>
                <w:color w:val="auto"/>
              </w:rPr>
              <w:t>Total G&amp;A</w:t>
            </w:r>
          </w:p>
        </w:tc>
        <w:tc>
          <w:tcPr>
            <w:tcW w:w="3280" w:type="dxa"/>
            <w:vAlign w:val="bottom"/>
          </w:tcPr>
          <w:p>
            <w:pPr>
              <w:jc w:val="right"/>
              <w:ind w:right="392"/>
              <w:spacing w:after="0"/>
              <w:rPr>
                <w:sz w:val="20"/>
                <w:szCs w:val="20"/>
                <w:color w:val="auto"/>
              </w:rPr>
            </w:pPr>
            <w:r>
              <w:rPr>
                <w:rFonts w:ascii="Arial" w:cs="Arial" w:eastAsia="Arial" w:hAnsi="Arial"/>
                <w:sz w:val="18"/>
                <w:szCs w:val="18"/>
                <w:color w:val="auto"/>
              </w:rPr>
              <w:t>110.0</w:t>
            </w:r>
          </w:p>
        </w:tc>
        <w:tc>
          <w:tcPr>
            <w:tcW w:w="2260" w:type="dxa"/>
            <w:vAlign w:val="bottom"/>
          </w:tcPr>
          <w:p>
            <w:pPr>
              <w:jc w:val="right"/>
              <w:ind w:right="352"/>
              <w:spacing w:after="0"/>
              <w:rPr>
                <w:sz w:val="20"/>
                <w:szCs w:val="20"/>
                <w:color w:val="auto"/>
              </w:rPr>
            </w:pPr>
            <w:r>
              <w:rPr>
                <w:rFonts w:ascii="Arial" w:cs="Arial" w:eastAsia="Arial" w:hAnsi="Arial"/>
                <w:sz w:val="18"/>
                <w:szCs w:val="18"/>
                <w:color w:val="auto"/>
              </w:rPr>
              <w:t>110.5</w:t>
            </w:r>
          </w:p>
        </w:tc>
        <w:tc>
          <w:tcPr>
            <w:tcW w:w="1840" w:type="dxa"/>
            <w:vAlign w:val="bottom"/>
          </w:tcPr>
          <w:p>
            <w:pPr>
              <w:jc w:val="right"/>
              <w:spacing w:after="0"/>
              <w:rPr>
                <w:sz w:val="20"/>
                <w:szCs w:val="20"/>
                <w:color w:val="auto"/>
              </w:rPr>
            </w:pPr>
            <w:r>
              <w:rPr>
                <w:rFonts w:ascii="Arial" w:cs="Arial" w:eastAsia="Arial" w:hAnsi="Arial"/>
                <w:sz w:val="18"/>
                <w:szCs w:val="18"/>
                <w:color w:val="auto"/>
              </w:rPr>
              <w:t>0.4%</w:t>
            </w:r>
          </w:p>
        </w:tc>
      </w:tr>
      <w:tr>
        <w:trPr>
          <w:trHeight w:val="137"/>
        </w:trPr>
        <w:tc>
          <w:tcPr>
            <w:tcW w:w="3980" w:type="dxa"/>
            <w:vAlign w:val="bottom"/>
            <w:tcBorders>
              <w:bottom w:val="single" w:sz="8" w:color="auto"/>
            </w:tcBorders>
          </w:tcPr>
          <w:p>
            <w:pPr>
              <w:spacing w:after="0"/>
              <w:rPr>
                <w:sz w:val="11"/>
                <w:szCs w:val="11"/>
                <w:color w:val="auto"/>
              </w:rPr>
            </w:pPr>
          </w:p>
        </w:tc>
        <w:tc>
          <w:tcPr>
            <w:tcW w:w="3280" w:type="dxa"/>
            <w:vAlign w:val="bottom"/>
            <w:tcBorders>
              <w:bottom w:val="single" w:sz="8" w:color="auto"/>
            </w:tcBorders>
          </w:tcPr>
          <w:p>
            <w:pPr>
              <w:spacing w:after="0"/>
              <w:rPr>
                <w:sz w:val="11"/>
                <w:szCs w:val="11"/>
                <w:color w:val="auto"/>
              </w:rPr>
            </w:pPr>
          </w:p>
        </w:tc>
        <w:tc>
          <w:tcPr>
            <w:tcW w:w="2260" w:type="dxa"/>
            <w:vAlign w:val="bottom"/>
            <w:tcBorders>
              <w:bottom w:val="single" w:sz="8" w:color="auto"/>
            </w:tcBorders>
          </w:tcPr>
          <w:p>
            <w:pPr>
              <w:spacing w:after="0"/>
              <w:rPr>
                <w:sz w:val="11"/>
                <w:szCs w:val="11"/>
                <w:color w:val="auto"/>
              </w:rPr>
            </w:pPr>
          </w:p>
        </w:tc>
        <w:tc>
          <w:tcPr>
            <w:tcW w:w="18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239" w:right="239" w:bottom="0" w:gutter="0" w:footer="0" w:header="0"/>
        </w:sectPr>
      </w:pPr>
    </w:p>
    <w:bookmarkStart w:id="9" w:name="page10"/>
    <w:bookmarkEnd w:id="9"/>
    <w:p>
      <w:pPr>
        <w:jc w:val="both"/>
        <w:spacing w:after="0" w:line="259" w:lineRule="auto"/>
        <w:rPr>
          <w:sz w:val="20"/>
          <w:szCs w:val="20"/>
          <w:color w:val="auto"/>
        </w:rPr>
      </w:pPr>
      <w:r>
        <w:rPr>
          <w:rFonts w:ascii="Arial" w:cs="Arial" w:eastAsia="Arial" w:hAnsi="Arial"/>
          <w:sz w:val="18"/>
          <w:szCs w:val="18"/>
          <w:color w:val="auto"/>
        </w:rPr>
        <w:t>The Other caption within Other Non-Interest Expenses, decreased from S/.40.1 million (US$12.2 million) in the fourth quarter of 2003 to S/.30.1 million (US$9.2 million) in the current quarter, mainly due to lower provisions for forclosed assets and contingencies, which are partly offset by decreased revenue from the sale of foreclosed assets.</w:t>
      </w:r>
    </w:p>
    <w:p>
      <w:pPr>
        <w:spacing w:after="0" w:line="194" w:lineRule="exact"/>
        <w:rPr>
          <w:sz w:val="20"/>
          <w:szCs w:val="20"/>
          <w:color w:val="auto"/>
        </w:rPr>
      </w:pPr>
    </w:p>
    <w:p>
      <w:pPr>
        <w:spacing w:after="0"/>
        <w:rPr>
          <w:sz w:val="20"/>
          <w:szCs w:val="20"/>
          <w:color w:val="auto"/>
        </w:rPr>
      </w:pPr>
      <w:r>
        <w:rPr>
          <w:rFonts w:ascii="Arial" w:cs="Arial" w:eastAsia="Arial" w:hAnsi="Arial"/>
          <w:sz w:val="15"/>
          <w:szCs w:val="15"/>
          <w:color w:val="auto"/>
        </w:rPr>
        <w:t>The ratio of “adjusted” operating expenses as a percentage of average total assets, increased from 4.4% in the fourth quarter of 2003 to 4.7% in the current period.</w:t>
      </w:r>
    </w:p>
    <w:p>
      <w:pPr>
        <w:spacing w:after="0" w:line="260"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The Efficiency ratio, “adjusted” operating expenses, as a percentage of total income (excluding non-recurring income), also grew from 51.8% to 54.6% when comparing the fourth quarters of 2003 and 2004, respectively.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II.5 ASSETS AND LIABILITIES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Note: For comparison purposes, on balance sheets reported in periods prior to December 31, 2004, loan loss provisions for contingent credits, previously reported as a negative concept within Reserves for loan losses, are now reported under the Other liabilities caption, with the effect of increasing net loans, total assets and total liabilities (see Table No.4).</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Total assets of BCP reached S/.23.6 billion (US$7.2 billion) at the end of December 2004, growing 1.5% with respect to September 2004, but decreases by 3.2% compared to assets at year-end 2003.</w:t>
      </w:r>
    </w:p>
    <w:p>
      <w:pPr>
        <w:spacing w:after="0" w:line="186"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Consolidated total loans were S/.13.5 billion (US$4.1 billion) at the end of December 2004, decreasing 0.9% in the quarter, but are 9.7% below loans at December 2003. The annual decline, of almost 10%, is mostly due to the application of inflation adjustment accounting rules. Loan balances translated from the original Soles figures into U.S. Dollars at the exchange rates applicable in each date, result in loan balances almost unchanged of US$4.1 billion at both December 2004 and 2003. See I. --Note on Inflation Adjusted Accounting.</w:t>
      </w:r>
    </w:p>
    <w:p>
      <w:pPr>
        <w:spacing w:after="0" w:line="197"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At December 31, 2004, the loan portfolio, net of provisions, represented 53.6% of total assets, lower than 54.7% at the preceding quarter. At the end of the fourth quarter of 2004, the Nuevos Soles portion of the loan portfolio was 16.5%, lower than 16.9% in September 2004, but is below 17.7% at December 2003.</w:t>
      </w:r>
    </w:p>
    <w:p>
      <w:pPr>
        <w:spacing w:after="0" w:line="139"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2004 total deposits were S/.19.4 billion (US$5.9 billion), increasing 0.6% compared to third quarter 2004 deposits, but are 5.4% lower than deposits in the year-ago quarter. Without applying inflation adjustment rules, deposits translated into U.S. Dollars increase 4.7% comparing 2004 and 2003 year-end figures.</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fourth quarter 2004, demand deposits grew by 6.7%, while savings deposits increased 4.0%, but time deposits decreased by 4.5%. Deposits denominated in Nuevos Soles were 25.2% of total deposits, increasing during the current quarter from 23.4% at September 2004, and also compared to 23.8% at the end of December 2003.</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BCP's subsidiaries had the following loan, net of provisions, and deposit contributions: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234315</wp:posOffset>
            </wp:positionV>
            <wp:extent cx="721233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1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1300" w:type="dxa"/>
            <w:vAlign w:val="bottom"/>
          </w:tcPr>
          <w:p>
            <w:pPr>
              <w:jc w:val="right"/>
              <w:ind w:right="332"/>
              <w:spacing w:after="0"/>
              <w:rPr>
                <w:sz w:val="20"/>
                <w:szCs w:val="20"/>
                <w:color w:val="auto"/>
              </w:rPr>
            </w:pPr>
            <w:r>
              <w:rPr>
                <w:rFonts w:ascii="Arial" w:cs="Arial" w:eastAsia="Arial" w:hAnsi="Arial"/>
                <w:sz w:val="18"/>
                <w:szCs w:val="18"/>
                <w:color w:val="auto"/>
              </w:rPr>
              <w:t>Loans, net</w:t>
            </w:r>
          </w:p>
        </w:tc>
        <w:tc>
          <w:tcPr>
            <w:tcW w:w="12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60" w:type="dxa"/>
            <w:vAlign w:val="bottom"/>
          </w:tcPr>
          <w:p>
            <w:pPr>
              <w:jc w:val="right"/>
              <w:ind w:right="172"/>
              <w:spacing w:after="0"/>
              <w:rPr>
                <w:sz w:val="20"/>
                <w:szCs w:val="20"/>
                <w:color w:val="auto"/>
              </w:rPr>
            </w:pPr>
            <w:r>
              <w:rPr>
                <w:rFonts w:ascii="Arial" w:cs="Arial" w:eastAsia="Arial" w:hAnsi="Arial"/>
                <w:sz w:val="18"/>
                <w:szCs w:val="18"/>
                <w:color w:val="auto"/>
                <w:w w:val="93"/>
              </w:rPr>
              <w:t>Total Deposits</w:t>
            </w:r>
          </w:p>
        </w:tc>
        <w:tc>
          <w:tcPr>
            <w:tcW w:w="1100" w:type="dxa"/>
            <w:vAlign w:val="bottom"/>
          </w:tcPr>
          <w:p>
            <w:pPr>
              <w:spacing w:after="0"/>
              <w:rPr>
                <w:sz w:val="19"/>
                <w:szCs w:val="19"/>
                <w:color w:val="auto"/>
              </w:rPr>
            </w:pPr>
          </w:p>
        </w:tc>
      </w:tr>
      <w:tr>
        <w:trPr>
          <w:trHeight w:val="137"/>
        </w:trPr>
        <w:tc>
          <w:tcPr>
            <w:tcW w:w="31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343"/>
        </w:trPr>
        <w:tc>
          <w:tcPr>
            <w:tcW w:w="3160" w:type="dxa"/>
            <w:vAlign w:val="bottom"/>
          </w:tcPr>
          <w:p>
            <w:pPr>
              <w:spacing w:after="0"/>
              <w:rPr>
                <w:sz w:val="20"/>
                <w:szCs w:val="20"/>
                <w:color w:val="auto"/>
              </w:rPr>
            </w:pPr>
            <w:r>
              <w:rPr>
                <w:rFonts w:ascii="Arial" w:cs="Arial" w:eastAsia="Arial" w:hAnsi="Arial"/>
                <w:sz w:val="18"/>
                <w:szCs w:val="18"/>
                <w:color w:val="auto"/>
              </w:rPr>
              <w:t>(In % and constant S/.Mn.)</w:t>
            </w:r>
          </w:p>
        </w:tc>
        <w:tc>
          <w:tcPr>
            <w:tcW w:w="2040" w:type="dxa"/>
            <w:vAlign w:val="bottom"/>
          </w:tcPr>
          <w:p>
            <w:pPr>
              <w:jc w:val="right"/>
              <w:ind w:right="352"/>
              <w:spacing w:after="0"/>
              <w:rPr>
                <w:sz w:val="20"/>
                <w:szCs w:val="20"/>
                <w:color w:val="auto"/>
              </w:rPr>
            </w:pPr>
            <w:r>
              <w:rPr>
                <w:rFonts w:ascii="Arial" w:cs="Arial" w:eastAsia="Arial" w:hAnsi="Arial"/>
                <w:sz w:val="18"/>
                <w:szCs w:val="18"/>
                <w:color w:val="auto"/>
              </w:rPr>
              <w:t>31.12.03</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30.09.04</w:t>
            </w:r>
          </w:p>
        </w:tc>
        <w:tc>
          <w:tcPr>
            <w:tcW w:w="1260" w:type="dxa"/>
            <w:vAlign w:val="bottom"/>
          </w:tcPr>
          <w:p>
            <w:pPr>
              <w:jc w:val="right"/>
              <w:ind w:right="392"/>
              <w:spacing w:after="0"/>
              <w:rPr>
                <w:sz w:val="20"/>
                <w:szCs w:val="20"/>
                <w:color w:val="auto"/>
              </w:rPr>
            </w:pPr>
            <w:r>
              <w:rPr>
                <w:rFonts w:ascii="Arial" w:cs="Arial" w:eastAsia="Arial" w:hAnsi="Arial"/>
                <w:sz w:val="18"/>
                <w:szCs w:val="18"/>
                <w:color w:val="auto"/>
              </w:rPr>
              <w:t>31.12.04</w:t>
            </w:r>
          </w:p>
        </w:tc>
        <w:tc>
          <w:tcPr>
            <w:tcW w:w="1140" w:type="dxa"/>
            <w:vAlign w:val="bottom"/>
          </w:tcPr>
          <w:p>
            <w:pPr>
              <w:jc w:val="right"/>
              <w:ind w:right="272"/>
              <w:spacing w:after="0"/>
              <w:rPr>
                <w:sz w:val="20"/>
                <w:szCs w:val="20"/>
                <w:color w:val="auto"/>
              </w:rPr>
            </w:pPr>
            <w:r>
              <w:rPr>
                <w:rFonts w:ascii="Arial" w:cs="Arial" w:eastAsia="Arial" w:hAnsi="Arial"/>
                <w:sz w:val="18"/>
                <w:szCs w:val="18"/>
                <w:color w:val="auto"/>
              </w:rPr>
              <w:t>31.12.03</w:t>
            </w:r>
          </w:p>
        </w:tc>
        <w:tc>
          <w:tcPr>
            <w:tcW w:w="1360" w:type="dxa"/>
            <w:vAlign w:val="bottom"/>
          </w:tcPr>
          <w:p>
            <w:pPr>
              <w:jc w:val="right"/>
              <w:ind w:right="392"/>
              <w:spacing w:after="0"/>
              <w:rPr>
                <w:sz w:val="20"/>
                <w:szCs w:val="20"/>
                <w:color w:val="auto"/>
              </w:rPr>
            </w:pPr>
            <w:r>
              <w:rPr>
                <w:rFonts w:ascii="Arial" w:cs="Arial" w:eastAsia="Arial" w:hAnsi="Arial"/>
                <w:sz w:val="18"/>
                <w:szCs w:val="18"/>
                <w:color w:val="auto"/>
              </w:rPr>
              <w:t>30.09.04</w:t>
            </w:r>
          </w:p>
        </w:tc>
        <w:tc>
          <w:tcPr>
            <w:tcW w:w="1100" w:type="dxa"/>
            <w:vAlign w:val="bottom"/>
          </w:tcPr>
          <w:p>
            <w:pPr>
              <w:jc w:val="right"/>
              <w:ind w:right="232"/>
              <w:spacing w:after="0"/>
              <w:rPr>
                <w:sz w:val="20"/>
                <w:szCs w:val="20"/>
                <w:color w:val="auto"/>
              </w:rPr>
            </w:pPr>
            <w:r>
              <w:rPr>
                <w:rFonts w:ascii="Arial" w:cs="Arial" w:eastAsia="Arial" w:hAnsi="Arial"/>
                <w:sz w:val="18"/>
                <w:szCs w:val="18"/>
                <w:color w:val="auto"/>
              </w:rPr>
              <w:t>31.12.04</w:t>
            </w:r>
          </w:p>
        </w:tc>
      </w:tr>
      <w:tr>
        <w:trPr>
          <w:trHeight w:val="137"/>
        </w:trPr>
        <w:tc>
          <w:tcPr>
            <w:tcW w:w="31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r>
        <w:trPr>
          <w:trHeight w:val="343"/>
        </w:trPr>
        <w:tc>
          <w:tcPr>
            <w:tcW w:w="3160" w:type="dxa"/>
            <w:vAlign w:val="bottom"/>
          </w:tcPr>
          <w:p>
            <w:pPr>
              <w:spacing w:after="0"/>
              <w:rPr>
                <w:sz w:val="20"/>
                <w:szCs w:val="20"/>
                <w:color w:val="auto"/>
              </w:rPr>
            </w:pPr>
            <w:r>
              <w:rPr>
                <w:rFonts w:ascii="Arial" w:cs="Arial" w:eastAsia="Arial" w:hAnsi="Arial"/>
                <w:sz w:val="18"/>
                <w:szCs w:val="18"/>
                <w:color w:val="auto"/>
              </w:rPr>
              <w:t>Banco de Crédito del Perú</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85.3%</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88.1%</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87.7%</w:t>
            </w:r>
          </w:p>
        </w:tc>
        <w:tc>
          <w:tcPr>
            <w:tcW w:w="1140" w:type="dxa"/>
            <w:vAlign w:val="bottom"/>
          </w:tcPr>
          <w:p>
            <w:pPr>
              <w:jc w:val="right"/>
              <w:spacing w:after="0"/>
              <w:rPr>
                <w:sz w:val="20"/>
                <w:szCs w:val="20"/>
                <w:color w:val="auto"/>
              </w:rPr>
            </w:pPr>
            <w:r>
              <w:rPr>
                <w:rFonts w:ascii="Arial" w:cs="Arial" w:eastAsia="Arial" w:hAnsi="Arial"/>
                <w:sz w:val="18"/>
                <w:szCs w:val="18"/>
                <w:color w:val="auto"/>
              </w:rPr>
              <w:t>89.6%</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91.8%</w:t>
            </w:r>
          </w:p>
        </w:tc>
        <w:tc>
          <w:tcPr>
            <w:tcW w:w="1100" w:type="dxa"/>
            <w:vAlign w:val="bottom"/>
          </w:tcPr>
          <w:p>
            <w:pPr>
              <w:jc w:val="right"/>
              <w:spacing w:after="0"/>
              <w:rPr>
                <w:sz w:val="20"/>
                <w:szCs w:val="20"/>
                <w:color w:val="auto"/>
              </w:rPr>
            </w:pPr>
            <w:r>
              <w:rPr>
                <w:rFonts w:ascii="Arial" w:cs="Arial" w:eastAsia="Arial" w:hAnsi="Arial"/>
                <w:sz w:val="18"/>
                <w:szCs w:val="18"/>
                <w:color w:val="auto"/>
              </w:rPr>
              <w:t>91.4%</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Banco de Crédito de Bolivia</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6.9%</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7.0%</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7.4%</w:t>
            </w:r>
          </w:p>
        </w:tc>
        <w:tc>
          <w:tcPr>
            <w:tcW w:w="1140" w:type="dxa"/>
            <w:vAlign w:val="bottom"/>
          </w:tcPr>
          <w:p>
            <w:pPr>
              <w:jc w:val="right"/>
              <w:spacing w:after="0"/>
              <w:rPr>
                <w:sz w:val="20"/>
                <w:szCs w:val="20"/>
                <w:color w:val="auto"/>
              </w:rPr>
            </w:pPr>
            <w:r>
              <w:rPr>
                <w:rFonts w:ascii="Arial" w:cs="Arial" w:eastAsia="Arial" w:hAnsi="Arial"/>
                <w:sz w:val="18"/>
                <w:szCs w:val="18"/>
                <w:color w:val="auto"/>
              </w:rPr>
              <w:t>6.3%</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5.7%</w:t>
            </w: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Crédito Leasing</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5.5%</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4.9%</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5.0%</w:t>
            </w:r>
          </w:p>
        </w:tc>
        <w:tc>
          <w:tcPr>
            <w:tcW w:w="1140" w:type="dxa"/>
            <w:vAlign w:val="bottom"/>
          </w:tcPr>
          <w:p>
            <w:pPr>
              <w:jc w:val="right"/>
              <w:spacing w:after="0"/>
              <w:rPr>
                <w:sz w:val="20"/>
                <w:szCs w:val="20"/>
                <w:color w:val="auto"/>
              </w:rPr>
            </w:pPr>
            <w:r>
              <w:rPr>
                <w:rFonts w:ascii="Arial" w:cs="Arial" w:eastAsia="Arial" w:hAnsi="Arial"/>
                <w:sz w:val="18"/>
                <w:szCs w:val="18"/>
                <w:color w:val="auto"/>
              </w:rPr>
              <w:t>3.1%</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2.5%</w:t>
            </w:r>
          </w:p>
        </w:tc>
        <w:tc>
          <w:tcPr>
            <w:tcW w:w="1100" w:type="dxa"/>
            <w:vAlign w:val="bottom"/>
          </w:tcPr>
          <w:p>
            <w:pPr>
              <w:jc w:val="right"/>
              <w:spacing w:after="0"/>
              <w:rPr>
                <w:sz w:val="20"/>
                <w:szCs w:val="20"/>
                <w:color w:val="auto"/>
              </w:rPr>
            </w:pPr>
            <w:r>
              <w:rPr>
                <w:rFonts w:ascii="Arial" w:cs="Arial" w:eastAsia="Arial" w:hAnsi="Arial"/>
                <w:sz w:val="18"/>
                <w:szCs w:val="18"/>
                <w:color w:val="auto"/>
              </w:rPr>
              <w:t>2.6%</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Solución Financiera de Crédito</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2.3%</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TOTAL%</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100.0%</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100.0%</w:t>
            </w:r>
          </w:p>
        </w:tc>
        <w:tc>
          <w:tcPr>
            <w:tcW w:w="1140" w:type="dxa"/>
            <w:vAlign w:val="bottom"/>
          </w:tcPr>
          <w:p>
            <w:pPr>
              <w:jc w:val="right"/>
              <w:spacing w:after="0"/>
              <w:rPr>
                <w:sz w:val="20"/>
                <w:szCs w:val="20"/>
                <w:color w:val="auto"/>
              </w:rPr>
            </w:pPr>
            <w:r>
              <w:rPr>
                <w:rFonts w:ascii="Arial" w:cs="Arial" w:eastAsia="Arial" w:hAnsi="Arial"/>
                <w:sz w:val="18"/>
                <w:szCs w:val="18"/>
                <w:color w:val="auto"/>
              </w:rPr>
              <w:t>100.0%</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100.0%</w:t>
            </w:r>
          </w:p>
        </w:tc>
        <w:tc>
          <w:tcPr>
            <w:tcW w:w="110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160" w:type="dxa"/>
            <w:vAlign w:val="bottom"/>
          </w:tcPr>
          <w:p>
            <w:pPr>
              <w:spacing w:after="0"/>
              <w:rPr>
                <w:sz w:val="20"/>
                <w:szCs w:val="20"/>
                <w:color w:val="auto"/>
              </w:rPr>
            </w:pPr>
            <w:r>
              <w:rPr>
                <w:rFonts w:ascii="Arial" w:cs="Arial" w:eastAsia="Arial" w:hAnsi="Arial"/>
                <w:sz w:val="18"/>
                <w:szCs w:val="18"/>
                <w:color w:val="auto"/>
              </w:rPr>
              <w:t>Total BCP</w:t>
            </w:r>
          </w:p>
        </w:tc>
        <w:tc>
          <w:tcPr>
            <w:tcW w:w="2040" w:type="dxa"/>
            <w:vAlign w:val="bottom"/>
          </w:tcPr>
          <w:p>
            <w:pPr>
              <w:jc w:val="right"/>
              <w:ind w:right="32"/>
              <w:spacing w:after="0"/>
              <w:rPr>
                <w:sz w:val="20"/>
                <w:szCs w:val="20"/>
                <w:color w:val="auto"/>
              </w:rPr>
            </w:pPr>
            <w:r>
              <w:rPr>
                <w:rFonts w:ascii="Arial" w:cs="Arial" w:eastAsia="Arial" w:hAnsi="Arial"/>
                <w:sz w:val="18"/>
                <w:szCs w:val="18"/>
                <w:color w:val="auto"/>
              </w:rPr>
              <w:t>S/.13,773</w:t>
            </w:r>
          </w:p>
        </w:tc>
        <w:tc>
          <w:tcPr>
            <w:tcW w:w="1300" w:type="dxa"/>
            <w:vAlign w:val="bottom"/>
          </w:tcPr>
          <w:p>
            <w:pPr>
              <w:jc w:val="right"/>
              <w:ind w:right="92"/>
              <w:spacing w:after="0"/>
              <w:rPr>
                <w:sz w:val="20"/>
                <w:szCs w:val="20"/>
                <w:color w:val="auto"/>
              </w:rPr>
            </w:pPr>
            <w:r>
              <w:rPr>
                <w:rFonts w:ascii="Arial" w:cs="Arial" w:eastAsia="Arial" w:hAnsi="Arial"/>
                <w:sz w:val="18"/>
                <w:szCs w:val="18"/>
                <w:color w:val="auto"/>
              </w:rPr>
              <w:t>S/.12,726</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S/.12,660</w:t>
            </w:r>
          </w:p>
        </w:tc>
        <w:tc>
          <w:tcPr>
            <w:tcW w:w="1140" w:type="dxa"/>
            <w:vAlign w:val="bottom"/>
          </w:tcPr>
          <w:p>
            <w:pPr>
              <w:jc w:val="right"/>
              <w:spacing w:after="0"/>
              <w:rPr>
                <w:sz w:val="20"/>
                <w:szCs w:val="20"/>
                <w:color w:val="auto"/>
              </w:rPr>
            </w:pPr>
            <w:r>
              <w:rPr>
                <w:rFonts w:ascii="Arial" w:cs="Arial" w:eastAsia="Arial" w:hAnsi="Arial"/>
                <w:sz w:val="18"/>
                <w:szCs w:val="18"/>
                <w:color w:val="auto"/>
              </w:rPr>
              <w:t>S/.20,518</w:t>
            </w:r>
          </w:p>
        </w:tc>
        <w:tc>
          <w:tcPr>
            <w:tcW w:w="1360" w:type="dxa"/>
            <w:vAlign w:val="bottom"/>
          </w:tcPr>
          <w:p>
            <w:pPr>
              <w:jc w:val="right"/>
              <w:ind w:right="72"/>
              <w:spacing w:after="0"/>
              <w:rPr>
                <w:sz w:val="20"/>
                <w:szCs w:val="20"/>
                <w:color w:val="auto"/>
              </w:rPr>
            </w:pPr>
            <w:r>
              <w:rPr>
                <w:rFonts w:ascii="Arial" w:cs="Arial" w:eastAsia="Arial" w:hAnsi="Arial"/>
                <w:sz w:val="18"/>
                <w:szCs w:val="18"/>
                <w:color w:val="auto"/>
              </w:rPr>
              <w:t>S/.19,289</w:t>
            </w:r>
          </w:p>
        </w:tc>
        <w:tc>
          <w:tcPr>
            <w:tcW w:w="1100" w:type="dxa"/>
            <w:vAlign w:val="bottom"/>
          </w:tcPr>
          <w:p>
            <w:pPr>
              <w:jc w:val="right"/>
              <w:spacing w:after="0"/>
              <w:rPr>
                <w:sz w:val="20"/>
                <w:szCs w:val="20"/>
                <w:color w:val="auto"/>
              </w:rPr>
            </w:pPr>
            <w:r>
              <w:rPr>
                <w:rFonts w:ascii="Arial" w:cs="Arial" w:eastAsia="Arial" w:hAnsi="Arial"/>
                <w:sz w:val="18"/>
                <w:szCs w:val="18"/>
                <w:color w:val="auto"/>
              </w:rPr>
              <w:t>S/.19,411</w:t>
            </w:r>
          </w:p>
        </w:tc>
      </w:tr>
      <w:tr>
        <w:trPr>
          <w:trHeight w:val="137"/>
        </w:trPr>
        <w:tc>
          <w:tcPr>
            <w:tcW w:w="3160" w:type="dxa"/>
            <w:vAlign w:val="bottom"/>
            <w:tcBorders>
              <w:bottom w:val="single" w:sz="8" w:color="auto"/>
            </w:tcBorders>
          </w:tcPr>
          <w:p>
            <w:pPr>
              <w:spacing w:after="0"/>
              <w:rPr>
                <w:sz w:val="11"/>
                <w:szCs w:val="11"/>
                <w:color w:val="auto"/>
              </w:rPr>
            </w:pPr>
          </w:p>
        </w:tc>
        <w:tc>
          <w:tcPr>
            <w:tcW w:w="20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360" w:type="dxa"/>
            <w:vAlign w:val="bottom"/>
            <w:tcBorders>
              <w:bottom w:val="single" w:sz="8" w:color="auto"/>
            </w:tcBorders>
          </w:tcPr>
          <w:p>
            <w:pPr>
              <w:spacing w:after="0"/>
              <w:rPr>
                <w:sz w:val="11"/>
                <w:szCs w:val="11"/>
                <w:color w:val="auto"/>
              </w:rPr>
            </w:pPr>
          </w:p>
        </w:tc>
        <w:tc>
          <w:tcPr>
            <w:tcW w:w="110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spacing w:after="0"/>
        <w:rPr>
          <w:sz w:val="20"/>
          <w:szCs w:val="20"/>
          <w:color w:val="auto"/>
        </w:rPr>
      </w:pPr>
      <w:r>
        <w:rPr>
          <w:rFonts w:ascii="Arial" w:cs="Arial" w:eastAsia="Arial" w:hAnsi="Arial"/>
          <w:sz w:val="18"/>
          <w:szCs w:val="18"/>
          <w:color w:val="auto"/>
        </w:rPr>
        <w:t>Loan Portfolio</w:t>
      </w:r>
    </w:p>
    <w:p>
      <w:pPr>
        <w:spacing w:after="0" w:line="212" w:lineRule="exact"/>
        <w:rPr>
          <w:sz w:val="20"/>
          <w:szCs w:val="20"/>
          <w:color w:val="auto"/>
        </w:rPr>
      </w:pPr>
    </w:p>
    <w:p>
      <w:pPr>
        <w:spacing w:after="0"/>
        <w:rPr>
          <w:sz w:val="20"/>
          <w:szCs w:val="20"/>
          <w:color w:val="auto"/>
        </w:rPr>
      </w:pPr>
      <w:r>
        <w:rPr>
          <w:rFonts w:ascii="Arial" w:cs="Arial" w:eastAsia="Arial" w:hAnsi="Arial"/>
          <w:sz w:val="22"/>
          <w:szCs w:val="22"/>
          <w:color w:val="auto"/>
        </w:rPr>
        <w:t>Loan portfolio composition by business segment developed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93345</wp:posOffset>
            </wp:positionV>
            <wp:extent cx="721233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67"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(In % of total and constant S/. Mn)</w:t>
            </w:r>
          </w:p>
        </w:tc>
        <w:tc>
          <w:tcPr>
            <w:tcW w:w="3320" w:type="dxa"/>
            <w:vAlign w:val="bottom"/>
          </w:tcPr>
          <w:p>
            <w:pPr>
              <w:jc w:val="right"/>
              <w:ind w:right="1172"/>
              <w:spacing w:after="0"/>
              <w:rPr>
                <w:sz w:val="20"/>
                <w:szCs w:val="20"/>
                <w:color w:val="auto"/>
              </w:rPr>
            </w:pPr>
            <w:r>
              <w:rPr>
                <w:rFonts w:ascii="Arial" w:cs="Arial" w:eastAsia="Arial" w:hAnsi="Arial"/>
                <w:sz w:val="18"/>
                <w:szCs w:val="18"/>
                <w:color w:val="auto"/>
              </w:rPr>
              <w:t>31.12.03</w:t>
            </w:r>
          </w:p>
        </w:tc>
        <w:tc>
          <w:tcPr>
            <w:tcW w:w="2280" w:type="dxa"/>
            <w:vAlign w:val="bottom"/>
          </w:tcPr>
          <w:p>
            <w:pPr>
              <w:jc w:val="right"/>
              <w:ind w:right="1152"/>
              <w:spacing w:after="0"/>
              <w:rPr>
                <w:sz w:val="20"/>
                <w:szCs w:val="20"/>
                <w:color w:val="auto"/>
              </w:rPr>
            </w:pPr>
            <w:r>
              <w:rPr>
                <w:rFonts w:ascii="Arial" w:cs="Arial" w:eastAsia="Arial" w:hAnsi="Arial"/>
                <w:sz w:val="18"/>
                <w:szCs w:val="18"/>
                <w:color w:val="auto"/>
              </w:rPr>
              <w:t>30.09.04</w:t>
            </w:r>
          </w:p>
        </w:tc>
        <w:tc>
          <w:tcPr>
            <w:tcW w:w="1860" w:type="dxa"/>
            <w:vAlign w:val="bottom"/>
          </w:tcPr>
          <w:p>
            <w:pPr>
              <w:jc w:val="right"/>
              <w:ind w:right="732"/>
              <w:spacing w:after="0"/>
              <w:rPr>
                <w:sz w:val="20"/>
                <w:szCs w:val="20"/>
                <w:color w:val="auto"/>
              </w:rPr>
            </w:pPr>
            <w:r>
              <w:rPr>
                <w:rFonts w:ascii="Arial" w:cs="Arial" w:eastAsia="Arial" w:hAnsi="Arial"/>
                <w:sz w:val="18"/>
                <w:szCs w:val="18"/>
                <w:color w:val="auto"/>
              </w:rPr>
              <w:t>31.12.04</w:t>
            </w:r>
          </w:p>
        </w:tc>
      </w:tr>
      <w:tr>
        <w:trPr>
          <w:trHeight w:val="137"/>
        </w:trPr>
        <w:tc>
          <w:tcPr>
            <w:tcW w:w="390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r>
        <w:trPr>
          <w:trHeight w:val="343"/>
        </w:trPr>
        <w:tc>
          <w:tcPr>
            <w:tcW w:w="3900" w:type="dxa"/>
            <w:vAlign w:val="bottom"/>
          </w:tcPr>
          <w:p>
            <w:pPr>
              <w:spacing w:after="0"/>
              <w:rPr>
                <w:sz w:val="20"/>
                <w:szCs w:val="20"/>
                <w:color w:val="auto"/>
              </w:rPr>
            </w:pPr>
            <w:r>
              <w:rPr>
                <w:rFonts w:ascii="Arial" w:cs="Arial" w:eastAsia="Arial" w:hAnsi="Arial"/>
                <w:sz w:val="18"/>
                <w:szCs w:val="18"/>
                <w:color w:val="auto"/>
              </w:rPr>
              <w:t>Corporate</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42.7%</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41.6%</w:t>
            </w:r>
          </w:p>
        </w:tc>
        <w:tc>
          <w:tcPr>
            <w:tcW w:w="1860" w:type="dxa"/>
            <w:vAlign w:val="bottom"/>
          </w:tcPr>
          <w:p>
            <w:pPr>
              <w:jc w:val="right"/>
              <w:spacing w:after="0"/>
              <w:rPr>
                <w:sz w:val="20"/>
                <w:szCs w:val="20"/>
                <w:color w:val="auto"/>
              </w:rPr>
            </w:pPr>
            <w:r>
              <w:rPr>
                <w:rFonts w:ascii="Arial" w:cs="Arial" w:eastAsia="Arial" w:hAnsi="Arial"/>
                <w:sz w:val="18"/>
                <w:szCs w:val="18"/>
                <w:color w:val="auto"/>
              </w:rPr>
              <w:t>39.5%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Middle market</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25.4%</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26.1%</w:t>
            </w:r>
          </w:p>
        </w:tc>
        <w:tc>
          <w:tcPr>
            <w:tcW w:w="1860" w:type="dxa"/>
            <w:vAlign w:val="bottom"/>
          </w:tcPr>
          <w:p>
            <w:pPr>
              <w:jc w:val="right"/>
              <w:spacing w:after="0"/>
              <w:rPr>
                <w:sz w:val="20"/>
                <w:szCs w:val="20"/>
                <w:color w:val="auto"/>
              </w:rPr>
            </w:pPr>
            <w:r>
              <w:rPr>
                <w:rFonts w:ascii="Arial" w:cs="Arial" w:eastAsia="Arial" w:hAnsi="Arial"/>
                <w:sz w:val="18"/>
                <w:szCs w:val="18"/>
                <w:color w:val="auto"/>
              </w:rPr>
              <w:t>27.2%</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Retail:</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32.0%</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32.3%</w:t>
            </w:r>
          </w:p>
        </w:tc>
        <w:tc>
          <w:tcPr>
            <w:tcW w:w="1860" w:type="dxa"/>
            <w:vAlign w:val="bottom"/>
          </w:tcPr>
          <w:p>
            <w:pPr>
              <w:jc w:val="right"/>
              <w:spacing w:after="0"/>
              <w:rPr>
                <w:sz w:val="20"/>
                <w:szCs w:val="20"/>
                <w:color w:val="auto"/>
              </w:rPr>
            </w:pPr>
            <w:r>
              <w:rPr>
                <w:rFonts w:ascii="Arial" w:cs="Arial" w:eastAsia="Arial" w:hAnsi="Arial"/>
                <w:sz w:val="18"/>
                <w:szCs w:val="18"/>
                <w:color w:val="auto"/>
              </w:rPr>
              <w:t>33.3%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 small business</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9.2%</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9.0%</w:t>
            </w:r>
          </w:p>
        </w:tc>
        <w:tc>
          <w:tcPr>
            <w:tcW w:w="186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 home mortgage</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14.3%</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16.3%</w:t>
            </w:r>
          </w:p>
        </w:tc>
        <w:tc>
          <w:tcPr>
            <w:tcW w:w="1860" w:type="dxa"/>
            <w:vAlign w:val="bottom"/>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 consumer</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4.9%</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3.3%</w:t>
            </w:r>
          </w:p>
        </w:tc>
        <w:tc>
          <w:tcPr>
            <w:tcW w:w="1860" w:type="dxa"/>
            <w:vAlign w:val="bottom"/>
          </w:tcPr>
          <w:p>
            <w:pPr>
              <w:jc w:val="right"/>
              <w:spacing w:after="0"/>
              <w:rPr>
                <w:sz w:val="20"/>
                <w:szCs w:val="20"/>
                <w:color w:val="auto"/>
              </w:rPr>
            </w:pPr>
            <w:r>
              <w:rPr>
                <w:rFonts w:ascii="Arial" w:cs="Arial" w:eastAsia="Arial" w:hAnsi="Arial"/>
                <w:sz w:val="18"/>
                <w:szCs w:val="18"/>
                <w:color w:val="auto"/>
              </w:rPr>
              <w:t>3.5%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 credit cards</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3.6%</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3.7%</w:t>
            </w:r>
          </w:p>
        </w:tc>
        <w:tc>
          <w:tcPr>
            <w:tcW w:w="1860" w:type="dxa"/>
            <w:vAlign w:val="bottom"/>
          </w:tcPr>
          <w:p>
            <w:pPr>
              <w:jc w:val="right"/>
              <w:spacing w:after="0"/>
              <w:rPr>
                <w:sz w:val="20"/>
                <w:szCs w:val="20"/>
                <w:color w:val="auto"/>
              </w:rPr>
            </w:pPr>
            <w:r>
              <w:rPr>
                <w:rFonts w:ascii="Arial" w:cs="Arial" w:eastAsia="Arial" w:hAnsi="Arial"/>
                <w:sz w:val="18"/>
                <w:szCs w:val="18"/>
                <w:color w:val="auto"/>
              </w:rPr>
              <w:t>3.8%</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100.0%</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100.0%</w:t>
            </w:r>
          </w:p>
        </w:tc>
        <w:tc>
          <w:tcPr>
            <w:tcW w:w="186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Total Loans</w:t>
            </w:r>
          </w:p>
        </w:tc>
        <w:tc>
          <w:tcPr>
            <w:tcW w:w="3320" w:type="dxa"/>
            <w:vAlign w:val="bottom"/>
          </w:tcPr>
          <w:p>
            <w:pPr>
              <w:jc w:val="right"/>
              <w:ind w:right="352"/>
              <w:spacing w:after="0"/>
              <w:rPr>
                <w:sz w:val="20"/>
                <w:szCs w:val="20"/>
                <w:color w:val="auto"/>
              </w:rPr>
            </w:pPr>
            <w:r>
              <w:rPr>
                <w:rFonts w:ascii="Arial" w:cs="Arial" w:eastAsia="Arial" w:hAnsi="Arial"/>
                <w:sz w:val="18"/>
                <w:szCs w:val="18"/>
                <w:color w:val="auto"/>
              </w:rPr>
              <w:t>S/.14,899</w:t>
            </w:r>
          </w:p>
        </w:tc>
        <w:tc>
          <w:tcPr>
            <w:tcW w:w="2280" w:type="dxa"/>
            <w:vAlign w:val="bottom"/>
          </w:tcPr>
          <w:p>
            <w:pPr>
              <w:jc w:val="right"/>
              <w:ind w:right="332"/>
              <w:spacing w:after="0"/>
              <w:rPr>
                <w:sz w:val="20"/>
                <w:szCs w:val="20"/>
                <w:color w:val="auto"/>
              </w:rPr>
            </w:pPr>
            <w:r>
              <w:rPr>
                <w:rFonts w:ascii="Arial" w:cs="Arial" w:eastAsia="Arial" w:hAnsi="Arial"/>
                <w:sz w:val="18"/>
                <w:szCs w:val="18"/>
                <w:color w:val="auto"/>
              </w:rPr>
              <w:t>S/.13,576</w:t>
            </w:r>
          </w:p>
        </w:tc>
        <w:tc>
          <w:tcPr>
            <w:tcW w:w="1860" w:type="dxa"/>
            <w:vAlign w:val="bottom"/>
          </w:tcPr>
          <w:p>
            <w:pPr>
              <w:jc w:val="right"/>
              <w:spacing w:after="0"/>
              <w:rPr>
                <w:sz w:val="20"/>
                <w:szCs w:val="20"/>
                <w:color w:val="auto"/>
              </w:rPr>
            </w:pPr>
            <w:r>
              <w:rPr>
                <w:rFonts w:ascii="Arial" w:cs="Arial" w:eastAsia="Arial" w:hAnsi="Arial"/>
                <w:sz w:val="18"/>
                <w:szCs w:val="18"/>
                <w:color w:val="auto"/>
              </w:rPr>
              <w:t>S/.13,451</w:t>
            </w:r>
          </w:p>
        </w:tc>
      </w:tr>
      <w:tr>
        <w:trPr>
          <w:trHeight w:val="137"/>
        </w:trPr>
        <w:tc>
          <w:tcPr>
            <w:tcW w:w="3900" w:type="dxa"/>
            <w:vAlign w:val="bottom"/>
            <w:tcBorders>
              <w:bottom w:val="single" w:sz="8" w:color="auto"/>
            </w:tcBorders>
          </w:tcPr>
          <w:p>
            <w:pPr>
              <w:spacing w:after="0"/>
              <w:rPr>
                <w:sz w:val="11"/>
                <w:szCs w:val="11"/>
                <w:color w:val="auto"/>
              </w:rPr>
            </w:pPr>
          </w:p>
        </w:tc>
        <w:tc>
          <w:tcPr>
            <w:tcW w:w="332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86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During the current quarter, loan balances decreased 0.9%, with corporate loans lower by 6.1% to S/.5,307 million (US$1,617 million), while middle market loans increased by 3.3% to S/.3,655 million (US$1,114 million), and retail loans grew by 2.4% to S/.4,490 million (US$1,368 million). Retail loans by product performed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78" w:lineRule="exact"/>
        <w:rPr>
          <w:sz w:val="20"/>
          <w:szCs w:val="20"/>
          <w:color w:val="auto"/>
        </w:rPr>
      </w:pPr>
    </w:p>
    <w:p>
      <w:pPr>
        <w:ind w:left="9060"/>
        <w:spacing w:after="0"/>
        <w:tabs>
          <w:tab w:leader="none" w:pos="10300" w:val="left"/>
        </w:tabs>
        <w:rPr>
          <w:sz w:val="20"/>
          <w:szCs w:val="20"/>
          <w:color w:val="auto"/>
        </w:rPr>
      </w:pPr>
      <w:r>
        <w:rPr>
          <w:rFonts w:ascii="Arial" w:cs="Arial" w:eastAsia="Arial" w:hAnsi="Arial"/>
          <w:sz w:val="18"/>
          <w:szCs w:val="18"/>
          <w:color w:val="auto"/>
        </w:rPr>
        <w:t>31.12.04</w:t>
      </w:r>
      <w:r>
        <w:rPr>
          <w:sz w:val="20"/>
          <w:szCs w:val="20"/>
          <w:color w:val="auto"/>
        </w:rPr>
        <w:tab/>
      </w:r>
      <w:r>
        <w:rPr>
          <w:rFonts w:ascii="Arial" w:cs="Arial" w:eastAsia="Arial" w:hAnsi="Arial"/>
          <w:sz w:val="15"/>
          <w:szCs w:val="15"/>
          <w:color w:val="auto"/>
        </w:rPr>
        <w:t>31.12.04 vs</w:t>
      </w:r>
    </w:p>
    <w:p>
      <w:pPr>
        <w:sectPr>
          <w:pgSz w:w="11900" w:h="16838" w:orient="portrait"/>
          <w:cols w:equalWidth="0" w:num="1">
            <w:col w:w="11420"/>
          </w:cols>
          <w:pgMar w:left="240" w:top="131" w:right="239" w:bottom="0" w:gutter="0" w:footer="0" w:header="0"/>
          <w:type w:val="continuous"/>
        </w:sectPr>
      </w:pPr>
    </w:p>
    <w:bookmarkStart w:id="10" w:name="page11"/>
    <w:bookmarkEnd w:id="10"/>
    <w:tbl>
      <w:tblPr>
        <w:tblLayout w:type="fixed"/>
        <w:tblInd w:w="40" w:type="dxa"/>
        <w:tblCellMar>
          <w:top w:w="0" w:type="dxa"/>
          <w:left w:w="0" w:type="dxa"/>
          <w:bottom w:w="0" w:type="dxa"/>
          <w:right w:w="0" w:type="dxa"/>
        </w:tblCellMar>
      </w:tblPr>
      <w:tr>
        <w:trPr>
          <w:trHeight w:val="222"/>
        </w:trPr>
        <w:tc>
          <w:tcPr>
            <w:tcW w:w="356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2480" w:type="dxa"/>
            <w:vAlign w:val="bottom"/>
          </w:tcPr>
          <w:p>
            <w:pPr>
              <w:jc w:val="right"/>
              <w:ind w:right="452"/>
              <w:spacing w:after="0"/>
              <w:rPr>
                <w:sz w:val="20"/>
                <w:szCs w:val="20"/>
                <w:color w:val="auto"/>
              </w:rPr>
            </w:pPr>
            <w:r>
              <w:rPr>
                <w:rFonts w:ascii="Arial" w:cs="Arial" w:eastAsia="Arial" w:hAnsi="Arial"/>
                <w:sz w:val="18"/>
                <w:szCs w:val="18"/>
                <w:color w:val="auto"/>
              </w:rPr>
              <w:t>31.12.03</w:t>
            </w:r>
          </w:p>
        </w:tc>
        <w:tc>
          <w:tcPr>
            <w:tcW w:w="1380" w:type="dxa"/>
            <w:vAlign w:val="bottom"/>
          </w:tcPr>
          <w:p>
            <w:pPr>
              <w:jc w:val="right"/>
              <w:ind w:right="452"/>
              <w:spacing w:after="0"/>
              <w:rPr>
                <w:sz w:val="20"/>
                <w:szCs w:val="20"/>
                <w:color w:val="auto"/>
              </w:rPr>
            </w:pPr>
            <w:r>
              <w:rPr>
                <w:rFonts w:ascii="Arial" w:cs="Arial" w:eastAsia="Arial" w:hAnsi="Arial"/>
                <w:sz w:val="18"/>
                <w:szCs w:val="18"/>
                <w:color w:val="auto"/>
              </w:rPr>
              <w:t>30.09.04</w:t>
            </w:r>
          </w:p>
        </w:tc>
        <w:tc>
          <w:tcPr>
            <w:tcW w:w="1380" w:type="dxa"/>
            <w:vAlign w:val="bottom"/>
          </w:tcPr>
          <w:p>
            <w:pPr>
              <w:jc w:val="right"/>
              <w:ind w:right="452"/>
              <w:spacing w:after="0"/>
              <w:rPr>
                <w:sz w:val="20"/>
                <w:szCs w:val="20"/>
                <w:color w:val="auto"/>
              </w:rPr>
            </w:pPr>
            <w:r>
              <w:rPr>
                <w:rFonts w:ascii="Arial" w:cs="Arial" w:eastAsia="Arial" w:hAnsi="Arial"/>
                <w:sz w:val="18"/>
                <w:szCs w:val="18"/>
                <w:color w:val="auto"/>
              </w:rPr>
              <w:t>31.12.04</w:t>
            </w:r>
          </w:p>
        </w:tc>
        <w:tc>
          <w:tcPr>
            <w:tcW w:w="1380" w:type="dxa"/>
            <w:vAlign w:val="bottom"/>
          </w:tcPr>
          <w:p>
            <w:pPr>
              <w:jc w:val="right"/>
              <w:ind w:right="472"/>
              <w:spacing w:after="0"/>
              <w:rPr>
                <w:sz w:val="20"/>
                <w:szCs w:val="20"/>
                <w:color w:val="auto"/>
              </w:rPr>
            </w:pPr>
            <w:r>
              <w:rPr>
                <w:rFonts w:ascii="Arial" w:cs="Arial" w:eastAsia="Arial" w:hAnsi="Arial"/>
                <w:sz w:val="18"/>
                <w:szCs w:val="18"/>
                <w:color w:val="auto"/>
              </w:rPr>
              <w:t>30.09.04</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31.12.03</w:t>
            </w:r>
          </w:p>
        </w:tc>
      </w:tr>
      <w:tr>
        <w:trPr>
          <w:trHeight w:val="137"/>
        </w:trPr>
        <w:tc>
          <w:tcPr>
            <w:tcW w:w="35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343"/>
        </w:trPr>
        <w:tc>
          <w:tcPr>
            <w:tcW w:w="3560" w:type="dxa"/>
            <w:vAlign w:val="bottom"/>
          </w:tcPr>
          <w:p>
            <w:pPr>
              <w:spacing w:after="0"/>
              <w:rPr>
                <w:sz w:val="20"/>
                <w:szCs w:val="20"/>
                <w:color w:val="auto"/>
              </w:rPr>
            </w:pPr>
            <w:r>
              <w:rPr>
                <w:rFonts w:ascii="Arial" w:cs="Arial" w:eastAsia="Arial" w:hAnsi="Arial"/>
                <w:sz w:val="18"/>
                <w:szCs w:val="18"/>
                <w:color w:val="auto"/>
              </w:rPr>
              <w:t>Small business loans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1,447</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1,204</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180" w:type="dxa"/>
            <w:vAlign w:val="bottom"/>
          </w:tcPr>
          <w:p>
            <w:pPr>
              <w:jc w:val="right"/>
              <w:spacing w:after="0"/>
              <w:rPr>
                <w:sz w:val="20"/>
                <w:szCs w:val="20"/>
                <w:color w:val="auto"/>
              </w:rPr>
            </w:pPr>
            <w:r>
              <w:rPr>
                <w:rFonts w:ascii="Arial" w:cs="Arial" w:eastAsia="Arial" w:hAnsi="Arial"/>
                <w:sz w:val="18"/>
                <w:szCs w:val="18"/>
                <w:color w:val="auto"/>
              </w:rPr>
              <w:t>-16.8%</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Mortgage loans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2,088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2,218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2,284</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3.0%</w:t>
            </w:r>
          </w:p>
        </w:tc>
        <w:tc>
          <w:tcPr>
            <w:tcW w:w="118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Consumer loans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710</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455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477</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4.9%</w:t>
            </w: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Credit card loans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515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497</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525</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5.5%</w:t>
            </w:r>
          </w:p>
        </w:tc>
        <w:tc>
          <w:tcPr>
            <w:tcW w:w="118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Total Retail</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4,760</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4,385</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4,490</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180" w:type="dxa"/>
            <w:vAlign w:val="bottom"/>
          </w:tcPr>
          <w:p>
            <w:pPr>
              <w:jc w:val="right"/>
              <w:spacing w:after="0"/>
              <w:rPr>
                <w:sz w:val="20"/>
                <w:szCs w:val="20"/>
                <w:color w:val="auto"/>
              </w:rPr>
            </w:pPr>
            <w:r>
              <w:rPr>
                <w:rFonts w:ascii="Arial" w:cs="Arial" w:eastAsia="Arial" w:hAnsi="Arial"/>
                <w:sz w:val="18"/>
                <w:szCs w:val="18"/>
                <w:color w:val="auto"/>
              </w:rPr>
              <w:t>-5.7%</w:t>
            </w:r>
          </w:p>
        </w:tc>
      </w:tr>
      <w:tr>
        <w:trPr>
          <w:trHeight w:val="137"/>
        </w:trPr>
        <w:tc>
          <w:tcPr>
            <w:tcW w:w="35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Lower consumer loans comparing fourth quarter 2004 with the same year-ago period, is mainly because approximately S/.240 million are reported beginning in March 2004 as micro-business loans, which are shown as part of the Small Business concept in the preceding table.</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Contingent Credits and Managed Funds</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December 31, 2004 contingent credits were S/.6,016 million (US$1,833 million), 9.0% above the September 2004 figure. In fourth quarter 2004, letters of credit increased 35.9% and foreign currency forward transactions by 30.9%, as shown in the next chart: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208915</wp:posOffset>
            </wp:positionV>
            <wp:extent cx="721233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0"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56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80" w:type="dxa"/>
            <w:vAlign w:val="bottom"/>
          </w:tcPr>
          <w:p>
            <w:pPr>
              <w:spacing w:after="0"/>
              <w:rPr>
                <w:sz w:val="19"/>
                <w:szCs w:val="19"/>
                <w:color w:val="auto"/>
              </w:rPr>
            </w:pP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31.12.04</w:t>
            </w:r>
          </w:p>
        </w:tc>
        <w:tc>
          <w:tcPr>
            <w:tcW w:w="1220" w:type="dxa"/>
            <w:vAlign w:val="bottom"/>
          </w:tcPr>
          <w:p>
            <w:pPr>
              <w:jc w:val="right"/>
              <w:ind w:right="172"/>
              <w:spacing w:after="0"/>
              <w:rPr>
                <w:sz w:val="20"/>
                <w:szCs w:val="20"/>
                <w:color w:val="auto"/>
              </w:rPr>
            </w:pPr>
            <w:r>
              <w:rPr>
                <w:rFonts w:ascii="Arial" w:cs="Arial" w:eastAsia="Arial" w:hAnsi="Arial"/>
                <w:sz w:val="18"/>
                <w:szCs w:val="18"/>
                <w:color w:val="auto"/>
              </w:rPr>
              <w:t>31.12.04 vs</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 change and constant S/. Mn)</w:t>
            </w:r>
          </w:p>
        </w:tc>
        <w:tc>
          <w:tcPr>
            <w:tcW w:w="2480" w:type="dxa"/>
            <w:vAlign w:val="bottom"/>
          </w:tcPr>
          <w:p>
            <w:pPr>
              <w:jc w:val="right"/>
              <w:ind w:right="452"/>
              <w:spacing w:after="0"/>
              <w:rPr>
                <w:sz w:val="20"/>
                <w:szCs w:val="20"/>
                <w:color w:val="auto"/>
              </w:rPr>
            </w:pPr>
            <w:r>
              <w:rPr>
                <w:rFonts w:ascii="Arial" w:cs="Arial" w:eastAsia="Arial" w:hAnsi="Arial"/>
                <w:sz w:val="18"/>
                <w:szCs w:val="18"/>
                <w:color w:val="auto"/>
              </w:rPr>
              <w:t>31.12.03</w:t>
            </w:r>
          </w:p>
        </w:tc>
        <w:tc>
          <w:tcPr>
            <w:tcW w:w="1380" w:type="dxa"/>
            <w:vAlign w:val="bottom"/>
          </w:tcPr>
          <w:p>
            <w:pPr>
              <w:jc w:val="right"/>
              <w:ind w:right="452"/>
              <w:spacing w:after="0"/>
              <w:rPr>
                <w:sz w:val="20"/>
                <w:szCs w:val="20"/>
                <w:color w:val="auto"/>
              </w:rPr>
            </w:pPr>
            <w:r>
              <w:rPr>
                <w:rFonts w:ascii="Arial" w:cs="Arial" w:eastAsia="Arial" w:hAnsi="Arial"/>
                <w:sz w:val="18"/>
                <w:szCs w:val="18"/>
                <w:color w:val="auto"/>
              </w:rPr>
              <w:t>30.09.04</w:t>
            </w:r>
          </w:p>
        </w:tc>
        <w:tc>
          <w:tcPr>
            <w:tcW w:w="1380" w:type="dxa"/>
            <w:vAlign w:val="bottom"/>
          </w:tcPr>
          <w:p>
            <w:pPr>
              <w:jc w:val="right"/>
              <w:ind w:right="452"/>
              <w:spacing w:after="0"/>
              <w:rPr>
                <w:sz w:val="20"/>
                <w:szCs w:val="20"/>
                <w:color w:val="auto"/>
              </w:rPr>
            </w:pPr>
            <w:r>
              <w:rPr>
                <w:rFonts w:ascii="Arial" w:cs="Arial" w:eastAsia="Arial" w:hAnsi="Arial"/>
                <w:sz w:val="18"/>
                <w:szCs w:val="18"/>
                <w:color w:val="auto"/>
              </w:rPr>
              <w:t>31.12.04</w:t>
            </w:r>
          </w:p>
        </w:tc>
        <w:tc>
          <w:tcPr>
            <w:tcW w:w="1340" w:type="dxa"/>
            <w:vAlign w:val="bottom"/>
          </w:tcPr>
          <w:p>
            <w:pPr>
              <w:jc w:val="right"/>
              <w:ind w:right="432"/>
              <w:spacing w:after="0"/>
              <w:rPr>
                <w:sz w:val="20"/>
                <w:szCs w:val="20"/>
                <w:color w:val="auto"/>
              </w:rPr>
            </w:pPr>
            <w:r>
              <w:rPr>
                <w:rFonts w:ascii="Arial" w:cs="Arial" w:eastAsia="Arial" w:hAnsi="Arial"/>
                <w:sz w:val="18"/>
                <w:szCs w:val="18"/>
                <w:color w:val="auto"/>
              </w:rPr>
              <w:t>30.09.04</w:t>
            </w:r>
          </w:p>
        </w:tc>
        <w:tc>
          <w:tcPr>
            <w:tcW w:w="1220" w:type="dxa"/>
            <w:vAlign w:val="bottom"/>
          </w:tcPr>
          <w:p>
            <w:pPr>
              <w:jc w:val="right"/>
              <w:ind w:right="272"/>
              <w:spacing w:after="0"/>
              <w:rPr>
                <w:sz w:val="20"/>
                <w:szCs w:val="20"/>
                <w:color w:val="auto"/>
              </w:rPr>
            </w:pPr>
            <w:r>
              <w:rPr>
                <w:rFonts w:ascii="Arial" w:cs="Arial" w:eastAsia="Arial" w:hAnsi="Arial"/>
                <w:sz w:val="18"/>
                <w:szCs w:val="18"/>
                <w:color w:val="auto"/>
              </w:rPr>
              <w:t>31.12.03</w:t>
            </w:r>
          </w:p>
        </w:tc>
      </w:tr>
      <w:tr>
        <w:trPr>
          <w:trHeight w:val="137"/>
        </w:trPr>
        <w:tc>
          <w:tcPr>
            <w:tcW w:w="35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r>
        <w:trPr>
          <w:trHeight w:val="343"/>
        </w:trPr>
        <w:tc>
          <w:tcPr>
            <w:tcW w:w="3560" w:type="dxa"/>
            <w:vAlign w:val="bottom"/>
          </w:tcPr>
          <w:p>
            <w:pPr>
              <w:spacing w:after="0"/>
              <w:rPr>
                <w:sz w:val="20"/>
                <w:szCs w:val="20"/>
                <w:color w:val="auto"/>
              </w:rPr>
            </w:pPr>
            <w:r>
              <w:rPr>
                <w:rFonts w:ascii="Arial" w:cs="Arial" w:eastAsia="Arial" w:hAnsi="Arial"/>
                <w:sz w:val="18"/>
                <w:szCs w:val="18"/>
                <w:color w:val="auto"/>
              </w:rPr>
              <w:t>- Guarantees and Stand-by LCs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2,353</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1,934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1,961</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1.4%</w:t>
            </w:r>
          </w:p>
        </w:tc>
        <w:tc>
          <w:tcPr>
            <w:tcW w:w="1220" w:type="dxa"/>
            <w:vAlign w:val="bottom"/>
          </w:tcPr>
          <w:p>
            <w:pPr>
              <w:jc w:val="right"/>
              <w:spacing w:after="0"/>
              <w:rPr>
                <w:sz w:val="20"/>
                <w:szCs w:val="20"/>
                <w:color w:val="auto"/>
              </w:rPr>
            </w:pPr>
            <w:r>
              <w:rPr>
                <w:rFonts w:ascii="Arial" w:cs="Arial" w:eastAsia="Arial" w:hAnsi="Arial"/>
                <w:sz w:val="18"/>
                <w:szCs w:val="18"/>
                <w:color w:val="auto"/>
              </w:rPr>
              <w:t>-16.7%</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 Letters of Credit</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484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547</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743</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35.9%</w:t>
            </w:r>
          </w:p>
        </w:tc>
        <w:tc>
          <w:tcPr>
            <w:tcW w:w="1220" w:type="dxa"/>
            <w:vAlign w:val="bottom"/>
          </w:tcPr>
          <w:p>
            <w:pPr>
              <w:jc w:val="right"/>
              <w:spacing w:after="0"/>
              <w:rPr>
                <w:sz w:val="20"/>
                <w:szCs w:val="20"/>
                <w:color w:val="auto"/>
              </w:rPr>
            </w:pPr>
            <w:r>
              <w:rPr>
                <w:rFonts w:ascii="Arial" w:cs="Arial" w:eastAsia="Arial" w:hAnsi="Arial"/>
                <w:sz w:val="18"/>
                <w:szCs w:val="18"/>
                <w:color w:val="auto"/>
              </w:rPr>
              <w:t>53.5</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 Acceptances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179</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164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146</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-10.5%</w:t>
            </w:r>
          </w:p>
        </w:tc>
        <w:tc>
          <w:tcPr>
            <w:tcW w:w="1220" w:type="dxa"/>
            <w:vAlign w:val="bottom"/>
          </w:tcPr>
          <w:p>
            <w:pPr>
              <w:jc w:val="right"/>
              <w:spacing w:after="0"/>
              <w:rPr>
                <w:sz w:val="20"/>
                <w:szCs w:val="20"/>
                <w:color w:val="auto"/>
              </w:rPr>
            </w:pPr>
            <w:r>
              <w:rPr>
                <w:rFonts w:ascii="Arial" w:cs="Arial" w:eastAsia="Arial" w:hAnsi="Arial"/>
                <w:sz w:val="18"/>
                <w:szCs w:val="18"/>
                <w:color w:val="auto"/>
              </w:rPr>
              <w:t>-18.4%</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 Foreign currency forwards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1,034</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1,148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1,504</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30.9%</w:t>
            </w:r>
          </w:p>
        </w:tc>
        <w:tc>
          <w:tcPr>
            <w:tcW w:w="1220" w:type="dxa"/>
            <w:vAlign w:val="bottom"/>
          </w:tcPr>
          <w:p>
            <w:pPr>
              <w:jc w:val="right"/>
              <w:spacing w:after="0"/>
              <w:rPr>
                <w:sz w:val="20"/>
                <w:szCs w:val="20"/>
                <w:color w:val="auto"/>
              </w:rPr>
            </w:pPr>
            <w:r>
              <w:rPr>
                <w:rFonts w:ascii="Arial" w:cs="Arial" w:eastAsia="Arial" w:hAnsi="Arial"/>
                <w:sz w:val="18"/>
                <w:szCs w:val="18"/>
                <w:color w:val="auto"/>
              </w:rPr>
              <w:t>45.4</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 Other contingent accounts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2,056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1,726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1,662</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-3.7%</w:t>
            </w:r>
          </w:p>
        </w:tc>
        <w:tc>
          <w:tcPr>
            <w:tcW w:w="1220" w:type="dxa"/>
            <w:vAlign w:val="bottom"/>
          </w:tcPr>
          <w:p>
            <w:pPr>
              <w:jc w:val="right"/>
              <w:spacing w:after="0"/>
              <w:rPr>
                <w:sz w:val="20"/>
                <w:szCs w:val="20"/>
                <w:color w:val="auto"/>
              </w:rPr>
            </w:pPr>
            <w:r>
              <w:rPr>
                <w:rFonts w:ascii="Arial" w:cs="Arial" w:eastAsia="Arial" w:hAnsi="Arial"/>
                <w:sz w:val="18"/>
                <w:szCs w:val="18"/>
                <w:color w:val="auto"/>
              </w:rPr>
              <w:t>-19.1%</w:t>
            </w:r>
          </w:p>
        </w:tc>
      </w:tr>
      <w:tr>
        <w:trPr>
          <w:trHeight w:val="243"/>
        </w:trPr>
        <w:tc>
          <w:tcPr>
            <w:tcW w:w="3560" w:type="dxa"/>
            <w:vAlign w:val="bottom"/>
          </w:tcPr>
          <w:p>
            <w:pPr>
              <w:spacing w:after="0"/>
              <w:rPr>
                <w:sz w:val="20"/>
                <w:szCs w:val="20"/>
                <w:color w:val="auto"/>
              </w:rPr>
            </w:pPr>
            <w:r>
              <w:rPr>
                <w:rFonts w:ascii="Arial" w:cs="Arial" w:eastAsia="Arial" w:hAnsi="Arial"/>
                <w:sz w:val="18"/>
                <w:szCs w:val="18"/>
                <w:color w:val="auto"/>
              </w:rPr>
              <w:t>Total Contingent Credits</w:t>
            </w:r>
          </w:p>
        </w:tc>
        <w:tc>
          <w:tcPr>
            <w:tcW w:w="2480" w:type="dxa"/>
            <w:vAlign w:val="bottom"/>
          </w:tcPr>
          <w:p>
            <w:pPr>
              <w:jc w:val="right"/>
              <w:ind w:right="132"/>
              <w:spacing w:after="0"/>
              <w:rPr>
                <w:sz w:val="20"/>
                <w:szCs w:val="20"/>
                <w:color w:val="auto"/>
              </w:rPr>
            </w:pPr>
            <w:r>
              <w:rPr>
                <w:rFonts w:ascii="Arial" w:cs="Arial" w:eastAsia="Arial" w:hAnsi="Arial"/>
                <w:sz w:val="18"/>
                <w:szCs w:val="18"/>
                <w:color w:val="auto"/>
              </w:rPr>
              <w:t>6,106</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5,518</w:t>
            </w:r>
          </w:p>
        </w:tc>
        <w:tc>
          <w:tcPr>
            <w:tcW w:w="1380" w:type="dxa"/>
            <w:vAlign w:val="bottom"/>
          </w:tcPr>
          <w:p>
            <w:pPr>
              <w:jc w:val="right"/>
              <w:ind w:right="132"/>
              <w:spacing w:after="0"/>
              <w:rPr>
                <w:sz w:val="20"/>
                <w:szCs w:val="20"/>
                <w:color w:val="auto"/>
              </w:rPr>
            </w:pPr>
            <w:r>
              <w:rPr>
                <w:rFonts w:ascii="Arial" w:cs="Arial" w:eastAsia="Arial" w:hAnsi="Arial"/>
                <w:sz w:val="18"/>
                <w:szCs w:val="18"/>
                <w:color w:val="auto"/>
              </w:rPr>
              <w:t>6,016</w:t>
            </w:r>
          </w:p>
        </w:tc>
        <w:tc>
          <w:tcPr>
            <w:tcW w:w="1340" w:type="dxa"/>
            <w:vAlign w:val="bottom"/>
          </w:tcPr>
          <w:p>
            <w:pPr>
              <w:jc w:val="right"/>
              <w:ind w:right="72"/>
              <w:spacing w:after="0"/>
              <w:rPr>
                <w:sz w:val="20"/>
                <w:szCs w:val="20"/>
                <w:color w:val="auto"/>
              </w:rPr>
            </w:pPr>
            <w:r>
              <w:rPr>
                <w:rFonts w:ascii="Arial" w:cs="Arial" w:eastAsia="Arial" w:hAnsi="Arial"/>
                <w:sz w:val="18"/>
                <w:szCs w:val="18"/>
                <w:color w:val="auto"/>
              </w:rPr>
              <w:t>9.0%</w:t>
            </w:r>
          </w:p>
        </w:tc>
        <w:tc>
          <w:tcPr>
            <w:tcW w:w="122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137"/>
        </w:trPr>
        <w:tc>
          <w:tcPr>
            <w:tcW w:w="3560" w:type="dxa"/>
            <w:vAlign w:val="bottom"/>
            <w:tcBorders>
              <w:bottom w:val="single" w:sz="8" w:color="auto"/>
            </w:tcBorders>
          </w:tcPr>
          <w:p>
            <w:pPr>
              <w:spacing w:after="0"/>
              <w:rPr>
                <w:sz w:val="11"/>
                <w:szCs w:val="11"/>
                <w:color w:val="auto"/>
              </w:rPr>
            </w:pPr>
          </w:p>
        </w:tc>
        <w:tc>
          <w:tcPr>
            <w:tcW w:w="24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34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Third party funds managed by several subsidiaries of BCP amounted to S/.3,131 million (US$953.8 million) as of December 31, 2004, decreasing 1.6% compared to funds at September 2004.</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According to preliminary statistics from the Peruvian Banking Association (ASBANC) for Peruvian commercial banks as of December 31, 2004, Banco de Crédito del Perú had a total loan market share of 33.0% (34.0% at September 30, 2004 and 34.4% at December 31, 2003), and 35.7% of deposits (36.1% at September 30, 2004 and 36.1% at December 31,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BCP’s market share in Peruvian mutual funds, through its subsidiary Credifondo, was 51.6% as of December 31, 2004 (51.6% at September 30, 2004 and 49.3% at December 31,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II.6 LOAN QUALITY</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past due loans as a percentage of total loans was 3.7% at December 31, 2004, improving from 5.0% at September 2004, and also compared to the ratio of 6.1% at December 2003. The ratio of past due, refinanced and restructured loans as a percentage of total loans declined to 9.4% during fourth quarter 2004 from 9.9% in September 2004, and also from 11.5% at December 2003.</w:t>
      </w:r>
    </w:p>
    <w:p>
      <w:pPr>
        <w:spacing w:after="0" w:line="194"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Consolidated past due loans amounted to S/.495.3 million (US$150.9 million) at December 31, 2004, decreasing 27.3% from the balance of S/.680.8 million (US$207.4 million) at September 2004, and are also 45.2% below S/.903.8 million (US$275.4 million) past due loans at year-end 2003.</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At the end of December 2004, refinanced loans amounted to S/.765.4 million (US$233.2 million), lower than the balance at December 2003 that was S/.814.2 million (US$248.1 million), but increased from S/.668.9 million (US$203.8 million) in the preceding third quarter.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At the end of the fourth quarter 2004, outstanding balances of loan loss provisions totaled S/.791.6 million (US$241.2 million), decreasing 6.9% compared to the preceding quarter mainly due to charge-offs. The coverage ratio of loan provisions to past due loans increased to 159.8% at the end of fourth quarter 2004, from 124.9% at September 2004, and also compared to 124.7% in December 2003.</w:t>
      </w:r>
    </w:p>
    <w:p>
      <w:pPr>
        <w:spacing w:after="0" w:line="194"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Additional provisions for contingent credits, registered in Other liabilities accounts, amounted to S/.60.6 million (US$18.5 million) at year-end 2004, compared to S/.72.4 million (US$22.0 million) at December 2003. Considering both, loan loss provisions and provisions for contingent loans, the coverage ratio of provisions to past due loans increased to 172.1% at the end of 2004, from 134.1% at December 2003.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Of total provisions outstanding at the end of the current quarter, S/.174.4 million (US$53.2 million) correspond to generic provisions assigned to loans in the Normal (A) risk category, decreasing from the balance at December 31, 2003 of S/.212.7 million (US$64.8 million).</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Loans believed to be unrecoverable, fully provisioned in prior periods, were written-off during the fourth quarter 2004 amounting to S/.65.8 million (US$20.1 million), of which approximately 44% were related to consumer and mortgage loans. This compares to charge-offs in the third quarter of 2004 of S/.74.0 million (US$22.5 million), and S/.256.4 million (US$78.1 million) in the year-ago fourth quarter.</w:t>
      </w:r>
    </w:p>
    <w:p>
      <w:pPr>
        <w:spacing w:after="0" w:line="194" w:lineRule="exact"/>
        <w:rPr>
          <w:sz w:val="20"/>
          <w:szCs w:val="20"/>
          <w:color w:val="auto"/>
        </w:rPr>
      </w:pPr>
    </w:p>
    <w:p>
      <w:pPr>
        <w:spacing w:after="0" w:line="268" w:lineRule="auto"/>
        <w:rPr>
          <w:sz w:val="20"/>
          <w:szCs w:val="20"/>
          <w:color w:val="auto"/>
        </w:rPr>
      </w:pPr>
      <w:r>
        <w:rPr>
          <w:rFonts w:ascii="Arial" w:cs="Arial" w:eastAsia="Arial" w:hAnsi="Arial"/>
          <w:sz w:val="18"/>
          <w:szCs w:val="18"/>
          <w:color w:val="auto"/>
        </w:rPr>
        <w:t>Loans classified as Substandard (i.e., Deficient, Doubtful and Loss) were 11.5% of the loan portfolio in December 2004, decreasing from 12.2% in September 2004 and from 15.3% in December 2003. The loan classification is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208915</wp:posOffset>
            </wp:positionV>
            <wp:extent cx="721233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ectPr>
          <w:pgSz w:w="11900" w:h="16838" w:orient="portrait"/>
          <w:cols w:equalWidth="0" w:num="1">
            <w:col w:w="11420"/>
          </w:cols>
          <w:pgMar w:left="240" w:top="131" w:right="239" w:bottom="0" w:gutter="0" w:footer="0" w:header="0"/>
        </w:sectPr>
      </w:pPr>
    </w:p>
    <w:p>
      <w:pPr>
        <w:spacing w:after="0" w:line="200" w:lineRule="exact"/>
        <w:rPr>
          <w:sz w:val="20"/>
          <w:szCs w:val="20"/>
          <w:color w:val="auto"/>
        </w:rPr>
      </w:pPr>
    </w:p>
    <w:p>
      <w:pPr>
        <w:spacing w:after="0" w:line="270" w:lineRule="exact"/>
        <w:rPr>
          <w:sz w:val="20"/>
          <w:szCs w:val="20"/>
          <w:color w:val="auto"/>
        </w:rPr>
      </w:pPr>
    </w:p>
    <w:p>
      <w:pPr>
        <w:ind w:left="40"/>
        <w:spacing w:after="0"/>
        <w:tabs>
          <w:tab w:leader="none" w:pos="5380" w:val="left"/>
          <w:tab w:leader="none" w:pos="7660" w:val="left"/>
          <w:tab w:leader="none" w:pos="9940" w:val="left"/>
        </w:tabs>
        <w:rPr>
          <w:sz w:val="20"/>
          <w:szCs w:val="20"/>
          <w:color w:val="auto"/>
        </w:rPr>
      </w:pPr>
      <w:r>
        <w:rPr>
          <w:rFonts w:ascii="Arial" w:cs="Arial" w:eastAsia="Arial" w:hAnsi="Arial"/>
          <w:sz w:val="18"/>
          <w:szCs w:val="18"/>
          <w:color w:val="auto"/>
        </w:rPr>
        <w:t>(% of Total loans and S/.Mn const.)</w:t>
      </w:r>
      <w:r>
        <w:rPr>
          <w:sz w:val="20"/>
          <w:szCs w:val="20"/>
          <w:color w:val="auto"/>
        </w:rPr>
        <w:tab/>
      </w:r>
      <w:r>
        <w:rPr>
          <w:rFonts w:ascii="Arial" w:cs="Arial" w:eastAsia="Arial" w:hAnsi="Arial"/>
          <w:sz w:val="18"/>
          <w:szCs w:val="18"/>
          <w:color w:val="auto"/>
        </w:rPr>
        <w:t>31.12.03</w:t>
      </w:r>
      <w:r>
        <w:rPr>
          <w:sz w:val="20"/>
          <w:szCs w:val="20"/>
          <w:color w:val="auto"/>
        </w:rPr>
        <w:tab/>
      </w:r>
      <w:r>
        <w:rPr>
          <w:rFonts w:ascii="Arial" w:cs="Arial" w:eastAsia="Arial" w:hAnsi="Arial"/>
          <w:sz w:val="18"/>
          <w:szCs w:val="18"/>
          <w:color w:val="auto"/>
        </w:rPr>
        <w:t>30.09.04</w:t>
      </w:r>
      <w:r>
        <w:rPr>
          <w:sz w:val="20"/>
          <w:szCs w:val="20"/>
          <w:color w:val="auto"/>
        </w:rPr>
        <w:tab/>
      </w:r>
      <w:r>
        <w:rPr>
          <w:rFonts w:ascii="Arial" w:cs="Arial" w:eastAsia="Arial" w:hAnsi="Arial"/>
          <w:sz w:val="15"/>
          <w:szCs w:val="15"/>
          <w:color w:val="auto"/>
        </w:rPr>
        <w:t>31.12.04</w:t>
      </w:r>
    </w:p>
    <w:p>
      <w:pPr>
        <w:sectPr>
          <w:pgSz w:w="11900" w:h="16838" w:orient="portrait"/>
          <w:cols w:equalWidth="0" w:num="1">
            <w:col w:w="11420"/>
          </w:cols>
          <w:pgMar w:left="240" w:top="131" w:right="239" w:bottom="0" w:gutter="0" w:footer="0" w:header="0"/>
          <w:type w:val="continuous"/>
        </w:sectPr>
      </w:pPr>
    </w:p>
    <w:bookmarkStart w:id="11" w:name="page12"/>
    <w:bookmarkEnd w:id="11"/>
    <w:tbl>
      <w:tblPr>
        <w:tblLayout w:type="fixed"/>
        <w:tblInd w:w="40" w:type="dxa"/>
        <w:tblCellMar>
          <w:top w:w="0" w:type="dxa"/>
          <w:left w:w="0" w:type="dxa"/>
          <w:bottom w:w="0" w:type="dxa"/>
          <w:right w:w="0" w:type="dxa"/>
        </w:tblCellMar>
      </w:tblPr>
      <w:tr>
        <w:trPr>
          <w:trHeight w:val="222"/>
        </w:trPr>
        <w:tc>
          <w:tcPr>
            <w:tcW w:w="3800" w:type="dxa"/>
            <w:vAlign w:val="bottom"/>
          </w:tcPr>
          <w:p>
            <w:pPr>
              <w:spacing w:after="0"/>
              <w:rPr>
                <w:sz w:val="20"/>
                <w:szCs w:val="20"/>
                <w:color w:val="auto"/>
              </w:rPr>
            </w:pPr>
            <w:r>
              <w:rPr>
                <w:rFonts w:ascii="Arial" w:cs="Arial" w:eastAsia="Arial" w:hAnsi="Arial"/>
                <w:sz w:val="18"/>
                <w:szCs w:val="18"/>
                <w:color w:val="auto"/>
              </w:rPr>
              <w:t>A: Normal</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75.3%</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79.7%</w:t>
            </w:r>
          </w:p>
        </w:tc>
        <w:tc>
          <w:tcPr>
            <w:tcW w:w="1480" w:type="dxa"/>
            <w:vAlign w:val="bottom"/>
          </w:tcPr>
          <w:p>
            <w:pPr>
              <w:jc w:val="right"/>
              <w:spacing w:after="0"/>
              <w:rPr>
                <w:sz w:val="20"/>
                <w:szCs w:val="20"/>
                <w:color w:val="auto"/>
              </w:rPr>
            </w:pPr>
            <w:r>
              <w:rPr>
                <w:rFonts w:ascii="Arial" w:cs="Arial" w:eastAsia="Arial" w:hAnsi="Arial"/>
                <w:sz w:val="18"/>
                <w:szCs w:val="18"/>
                <w:color w:val="auto"/>
              </w:rPr>
              <w:t>81.1%</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B: Potential Problem</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9.4%</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8.1%</w:t>
            </w:r>
          </w:p>
        </w:tc>
        <w:tc>
          <w:tcPr>
            <w:tcW w:w="148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C: Deficient</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5.7%</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4.8%</w:t>
            </w:r>
          </w:p>
        </w:tc>
        <w:tc>
          <w:tcPr>
            <w:tcW w:w="148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D: Doubtful</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6.2%</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4.4%</w:t>
            </w:r>
          </w:p>
        </w:tc>
        <w:tc>
          <w:tcPr>
            <w:tcW w:w="1480" w:type="dxa"/>
            <w:vAlign w:val="bottom"/>
          </w:tcPr>
          <w:p>
            <w:pPr>
              <w:jc w:val="right"/>
              <w:spacing w:after="0"/>
              <w:rPr>
                <w:sz w:val="20"/>
                <w:szCs w:val="20"/>
                <w:color w:val="auto"/>
              </w:rPr>
            </w:pPr>
            <w:r>
              <w:rPr>
                <w:rFonts w:ascii="Arial" w:cs="Arial" w:eastAsia="Arial" w:hAnsi="Arial"/>
                <w:sz w:val="18"/>
                <w:szCs w:val="18"/>
                <w:color w:val="auto"/>
              </w:rPr>
              <w:t>4.3%</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E: Loss</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3.4%</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3.0%</w:t>
            </w:r>
          </w:p>
        </w:tc>
        <w:tc>
          <w:tcPr>
            <w:tcW w:w="1480" w:type="dxa"/>
            <w:vAlign w:val="bottom"/>
          </w:tcPr>
          <w:p>
            <w:pPr>
              <w:jc w:val="right"/>
              <w:spacing w:after="0"/>
              <w:rPr>
                <w:sz w:val="20"/>
                <w:szCs w:val="20"/>
                <w:color w:val="auto"/>
              </w:rPr>
            </w:pPr>
            <w:r>
              <w:rPr>
                <w:rFonts w:ascii="Arial" w:cs="Arial" w:eastAsia="Arial" w:hAnsi="Arial"/>
                <w:sz w:val="18"/>
                <w:szCs w:val="18"/>
                <w:color w:val="auto"/>
              </w:rPr>
              <w:t>2.7%</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Total</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100.0%</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100.0%</w:t>
            </w:r>
          </w:p>
        </w:tc>
        <w:tc>
          <w:tcPr>
            <w:tcW w:w="1480" w:type="dxa"/>
            <w:vAlign w:val="bottom"/>
          </w:tcPr>
          <w:p>
            <w:pPr>
              <w:jc w:val="right"/>
              <w:spacing w:after="0"/>
              <w:rPr>
                <w:sz w:val="20"/>
                <w:szCs w:val="20"/>
                <w:color w:val="auto"/>
              </w:rPr>
            </w:pPr>
            <w:r>
              <w:rPr>
                <w:rFonts w:ascii="Arial" w:cs="Arial" w:eastAsia="Arial" w:hAnsi="Arial"/>
                <w:sz w:val="18"/>
                <w:szCs w:val="18"/>
                <w:color w:val="auto"/>
              </w:rPr>
              <w:t>100.0%</w:t>
            </w:r>
          </w:p>
        </w:tc>
      </w:tr>
      <w:tr>
        <w:trPr>
          <w:trHeight w:val="243"/>
        </w:trPr>
        <w:tc>
          <w:tcPr>
            <w:tcW w:w="3800" w:type="dxa"/>
            <w:vAlign w:val="bottom"/>
          </w:tcPr>
          <w:p>
            <w:pPr>
              <w:spacing w:after="0"/>
              <w:rPr>
                <w:sz w:val="20"/>
                <w:szCs w:val="20"/>
                <w:color w:val="auto"/>
              </w:rPr>
            </w:pPr>
            <w:r>
              <w:rPr>
                <w:rFonts w:ascii="Arial" w:cs="Arial" w:eastAsia="Arial" w:hAnsi="Arial"/>
                <w:sz w:val="18"/>
                <w:szCs w:val="18"/>
                <w:color w:val="auto"/>
              </w:rPr>
              <w:t>Total Loans</w:t>
            </w:r>
          </w:p>
        </w:tc>
        <w:tc>
          <w:tcPr>
            <w:tcW w:w="3800" w:type="dxa"/>
            <w:vAlign w:val="bottom"/>
          </w:tcPr>
          <w:p>
            <w:pPr>
              <w:jc w:val="right"/>
              <w:ind w:right="732"/>
              <w:spacing w:after="0"/>
              <w:rPr>
                <w:sz w:val="20"/>
                <w:szCs w:val="20"/>
                <w:color w:val="auto"/>
              </w:rPr>
            </w:pPr>
            <w:r>
              <w:rPr>
                <w:rFonts w:ascii="Arial" w:cs="Arial" w:eastAsia="Arial" w:hAnsi="Arial"/>
                <w:sz w:val="18"/>
                <w:szCs w:val="18"/>
                <w:color w:val="auto"/>
              </w:rPr>
              <w:t>S/.14,899</w:t>
            </w:r>
          </w:p>
        </w:tc>
        <w:tc>
          <w:tcPr>
            <w:tcW w:w="2280" w:type="dxa"/>
            <w:vAlign w:val="bottom"/>
          </w:tcPr>
          <w:p>
            <w:pPr>
              <w:jc w:val="right"/>
              <w:ind w:right="712"/>
              <w:spacing w:after="0"/>
              <w:rPr>
                <w:sz w:val="20"/>
                <w:szCs w:val="20"/>
                <w:color w:val="auto"/>
              </w:rPr>
            </w:pPr>
            <w:r>
              <w:rPr>
                <w:rFonts w:ascii="Arial" w:cs="Arial" w:eastAsia="Arial" w:hAnsi="Arial"/>
                <w:sz w:val="18"/>
                <w:szCs w:val="18"/>
                <w:color w:val="auto"/>
              </w:rPr>
              <w:t>S/.13,576</w:t>
            </w:r>
          </w:p>
        </w:tc>
        <w:tc>
          <w:tcPr>
            <w:tcW w:w="1480" w:type="dxa"/>
            <w:vAlign w:val="bottom"/>
          </w:tcPr>
          <w:p>
            <w:pPr>
              <w:jc w:val="right"/>
              <w:spacing w:after="0"/>
              <w:rPr>
                <w:sz w:val="20"/>
                <w:szCs w:val="20"/>
                <w:color w:val="auto"/>
              </w:rPr>
            </w:pPr>
            <w:r>
              <w:rPr>
                <w:rFonts w:ascii="Arial" w:cs="Arial" w:eastAsia="Arial" w:hAnsi="Arial"/>
                <w:sz w:val="18"/>
                <w:szCs w:val="18"/>
                <w:color w:val="auto"/>
              </w:rPr>
              <w:t>S/.13,451</w:t>
            </w:r>
          </w:p>
        </w:tc>
      </w:tr>
      <w:tr>
        <w:trPr>
          <w:trHeight w:val="137"/>
        </w:trPr>
        <w:tc>
          <w:tcPr>
            <w:tcW w:w="3800" w:type="dxa"/>
            <w:vAlign w:val="bottom"/>
            <w:tcBorders>
              <w:bottom w:val="single" w:sz="8" w:color="auto"/>
            </w:tcBorders>
          </w:tcPr>
          <w:p>
            <w:pPr>
              <w:spacing w:after="0"/>
              <w:rPr>
                <w:sz w:val="11"/>
                <w:szCs w:val="11"/>
                <w:color w:val="auto"/>
              </w:rPr>
            </w:pPr>
          </w:p>
        </w:tc>
        <w:tc>
          <w:tcPr>
            <w:tcW w:w="3800" w:type="dxa"/>
            <w:vAlign w:val="bottom"/>
            <w:tcBorders>
              <w:bottom w:val="single" w:sz="8" w:color="auto"/>
            </w:tcBorders>
          </w:tcPr>
          <w:p>
            <w:pPr>
              <w:spacing w:after="0"/>
              <w:rPr>
                <w:sz w:val="11"/>
                <w:szCs w:val="11"/>
                <w:color w:val="auto"/>
              </w:rPr>
            </w:pPr>
          </w:p>
        </w:tc>
        <w:tc>
          <w:tcPr>
            <w:tcW w:w="2280" w:type="dxa"/>
            <w:vAlign w:val="bottom"/>
            <w:tcBorders>
              <w:bottom w:val="single" w:sz="8" w:color="auto"/>
            </w:tcBorders>
          </w:tcPr>
          <w:p>
            <w:pPr>
              <w:spacing w:after="0"/>
              <w:rPr>
                <w:sz w:val="11"/>
                <w:szCs w:val="11"/>
                <w:color w:val="auto"/>
              </w:rPr>
            </w:pPr>
          </w:p>
        </w:tc>
        <w:tc>
          <w:tcPr>
            <w:tcW w:w="1480" w:type="dxa"/>
            <w:vAlign w:val="bottom"/>
            <w:tcBorders>
              <w:bottom w:val="single" w:sz="8" w:color="auto"/>
            </w:tcBorders>
          </w:tcPr>
          <w:p>
            <w:pPr>
              <w:spacing w:after="0"/>
              <w:rPr>
                <w:sz w:val="11"/>
                <w:szCs w:val="11"/>
                <w:color w:val="auto"/>
              </w:rPr>
            </w:pPr>
          </w:p>
        </w:tc>
      </w:tr>
    </w:tbl>
    <w:p>
      <w:pPr>
        <w:spacing w:after="0" w:line="343"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174625</wp:posOffset>
            </wp:positionH>
            <wp:positionV relativeFrom="page">
              <wp:posOffset>88900</wp:posOffset>
            </wp:positionV>
            <wp:extent cx="7212330"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2330" cy="8255"/>
                    </a:xfrm>
                    <a:prstGeom prst="rect">
                      <a:avLst/>
                    </a:prstGeom>
                    <a:noFill/>
                  </pic:spPr>
                </pic:pic>
              </a:graphicData>
            </a:graphic>
          </wp:anchor>
        </w:drawing>
      </w:r>
    </w:p>
    <w:p>
      <w:pPr>
        <w:jc w:val="both"/>
        <w:spacing w:after="0" w:line="259" w:lineRule="auto"/>
        <w:rPr>
          <w:sz w:val="20"/>
          <w:szCs w:val="20"/>
          <w:color w:val="auto"/>
        </w:rPr>
      </w:pPr>
      <w:r>
        <w:rPr>
          <w:rFonts w:ascii="Arial" w:cs="Arial" w:eastAsia="Arial" w:hAnsi="Arial"/>
          <w:sz w:val="18"/>
          <w:szCs w:val="18"/>
          <w:color w:val="auto"/>
        </w:rPr>
        <w:t>Loan loss provisions, net of recoveries, charged against results in fourth quarter 2004 amounted to S/.20.9 million (US$6.4 million), lower than S/.48.4 million (US$14.8 million) in the year-ago period, mainly due to improved loan quality. Provision expense in the third quarter of 2004 was S/.12.3 million (US$3.8 million).</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II.7 CAPITAL ADEQUACY</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At the end of the fourth quarter of 2004, BCP’s unconsolidated ratio of risk-weighted assets to regulatory capital was 7.7 to 1.0 (13.0%), while the corresponding consolidated ratio was 7.0 to 1.0 (14.4%). Risk-weighted assets include S/.724.3 million (US$220.7 million) of market-risk exposure whose coverage required S/.65.8 million (US$20.1 million) of regulatory capital at December 31, 2004. Peruvian regulations limit risk-weighted assets, including market-risk exposure, to a ratio of 11.0 to 1.0 (9.1%).</w:t>
      </w:r>
    </w:p>
    <w:p>
      <w:pPr>
        <w:spacing w:after="0" w:line="19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As of December 31, 2004, BCP’s consolidated “regulatory capital” was S/.2,283 million (US$695.7 million), remaining similar to the December 2003 regulatory capital. Regulatory capital included S/.135.3 million ($41.2 million) in subordinated debt in the current period, remaining almost unchanged since September 2004, but decreases from S/.172.6 million (US$52.6 million) at year-end 2003.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214630</wp:posOffset>
            </wp:positionV>
            <wp:extent cx="721233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58"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420" w:type="dxa"/>
            <w:vAlign w:val="bottom"/>
          </w:tcPr>
          <w:p>
            <w:pPr>
              <w:spacing w:after="0"/>
              <w:rPr>
                <w:sz w:val="19"/>
                <w:szCs w:val="19"/>
                <w:color w:val="auto"/>
              </w:rPr>
            </w:pPr>
          </w:p>
        </w:tc>
        <w:tc>
          <w:tcPr>
            <w:tcW w:w="4780" w:type="dxa"/>
            <w:vAlign w:val="bottom"/>
            <w:gridSpan w:val="2"/>
          </w:tcPr>
          <w:p>
            <w:pPr>
              <w:jc w:val="right"/>
              <w:ind w:right="1152"/>
              <w:spacing w:after="0"/>
              <w:rPr>
                <w:sz w:val="20"/>
                <w:szCs w:val="20"/>
                <w:color w:val="auto"/>
              </w:rPr>
            </w:pPr>
            <w:r>
              <w:rPr>
                <w:rFonts w:ascii="Arial" w:cs="Arial" w:eastAsia="Arial" w:hAnsi="Arial"/>
                <w:sz w:val="18"/>
                <w:szCs w:val="18"/>
                <w:color w:val="auto"/>
              </w:rPr>
              <w:t>BCP unconsolidated</w:t>
            </w:r>
          </w:p>
        </w:tc>
        <w:tc>
          <w:tcPr>
            <w:tcW w:w="3160" w:type="dxa"/>
            <w:vAlign w:val="bottom"/>
            <w:gridSpan w:val="2"/>
          </w:tcPr>
          <w:p>
            <w:pPr>
              <w:jc w:val="right"/>
              <w:ind w:right="992"/>
              <w:spacing w:after="0"/>
              <w:rPr>
                <w:sz w:val="20"/>
                <w:szCs w:val="20"/>
                <w:color w:val="auto"/>
              </w:rPr>
            </w:pPr>
            <w:r>
              <w:rPr>
                <w:rFonts w:ascii="Arial" w:cs="Arial" w:eastAsia="Arial" w:hAnsi="Arial"/>
                <w:sz w:val="18"/>
                <w:szCs w:val="18"/>
                <w:color w:val="auto"/>
              </w:rPr>
              <w:t>BCP consolidated</w:t>
            </w:r>
          </w:p>
        </w:tc>
      </w:tr>
      <w:tr>
        <w:trPr>
          <w:trHeight w:val="137"/>
        </w:trPr>
        <w:tc>
          <w:tcPr>
            <w:tcW w:w="342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343"/>
        </w:trPr>
        <w:tc>
          <w:tcPr>
            <w:tcW w:w="3420" w:type="dxa"/>
            <w:vAlign w:val="bottom"/>
          </w:tcPr>
          <w:p>
            <w:pPr>
              <w:spacing w:after="0"/>
              <w:rPr>
                <w:sz w:val="20"/>
                <w:szCs w:val="20"/>
                <w:color w:val="auto"/>
              </w:rPr>
            </w:pPr>
            <w:r>
              <w:rPr>
                <w:rFonts w:ascii="Arial" w:cs="Arial" w:eastAsia="Arial" w:hAnsi="Arial"/>
                <w:sz w:val="18"/>
                <w:szCs w:val="18"/>
                <w:color w:val="auto"/>
              </w:rPr>
              <w:t>(In constant S/. Mn.)</w:t>
            </w:r>
          </w:p>
        </w:tc>
        <w:tc>
          <w:tcPr>
            <w:tcW w:w="3080" w:type="dxa"/>
            <w:vAlign w:val="bottom"/>
          </w:tcPr>
          <w:p>
            <w:pPr>
              <w:jc w:val="right"/>
              <w:ind w:right="752"/>
              <w:spacing w:after="0"/>
              <w:rPr>
                <w:sz w:val="20"/>
                <w:szCs w:val="20"/>
                <w:color w:val="auto"/>
              </w:rPr>
            </w:pPr>
            <w:r>
              <w:rPr>
                <w:rFonts w:ascii="Arial" w:cs="Arial" w:eastAsia="Arial" w:hAnsi="Arial"/>
                <w:sz w:val="18"/>
                <w:szCs w:val="18"/>
                <w:color w:val="auto"/>
              </w:rPr>
              <w:t>31.12.03</w:t>
            </w:r>
          </w:p>
        </w:tc>
        <w:tc>
          <w:tcPr>
            <w:tcW w:w="1700" w:type="dxa"/>
            <w:vAlign w:val="bottom"/>
          </w:tcPr>
          <w:p>
            <w:pPr>
              <w:jc w:val="right"/>
              <w:ind w:right="732"/>
              <w:spacing w:after="0"/>
              <w:rPr>
                <w:sz w:val="20"/>
                <w:szCs w:val="20"/>
                <w:color w:val="auto"/>
              </w:rPr>
            </w:pPr>
            <w:r>
              <w:rPr>
                <w:rFonts w:ascii="Arial" w:cs="Arial" w:eastAsia="Arial" w:hAnsi="Arial"/>
                <w:sz w:val="18"/>
                <w:szCs w:val="18"/>
                <w:color w:val="auto"/>
              </w:rPr>
              <w:t>31.12.04</w:t>
            </w:r>
          </w:p>
        </w:tc>
        <w:tc>
          <w:tcPr>
            <w:tcW w:w="1720" w:type="dxa"/>
            <w:vAlign w:val="bottom"/>
          </w:tcPr>
          <w:p>
            <w:pPr>
              <w:jc w:val="right"/>
              <w:ind w:right="732"/>
              <w:spacing w:after="0"/>
              <w:rPr>
                <w:sz w:val="20"/>
                <w:szCs w:val="20"/>
                <w:color w:val="auto"/>
              </w:rPr>
            </w:pPr>
            <w:r>
              <w:rPr>
                <w:rFonts w:ascii="Arial" w:cs="Arial" w:eastAsia="Arial" w:hAnsi="Arial"/>
                <w:sz w:val="18"/>
                <w:szCs w:val="18"/>
                <w:color w:val="auto"/>
              </w:rPr>
              <w:t>31.12.03</w:t>
            </w:r>
          </w:p>
        </w:tc>
        <w:tc>
          <w:tcPr>
            <w:tcW w:w="1440" w:type="dxa"/>
            <w:vAlign w:val="bottom"/>
          </w:tcPr>
          <w:p>
            <w:pPr>
              <w:jc w:val="right"/>
              <w:ind w:right="472"/>
              <w:spacing w:after="0"/>
              <w:rPr>
                <w:sz w:val="20"/>
                <w:szCs w:val="20"/>
                <w:color w:val="auto"/>
              </w:rPr>
            </w:pPr>
            <w:r>
              <w:rPr>
                <w:rFonts w:ascii="Arial" w:cs="Arial" w:eastAsia="Arial" w:hAnsi="Arial"/>
                <w:sz w:val="18"/>
                <w:szCs w:val="18"/>
                <w:color w:val="auto"/>
              </w:rPr>
              <w:t>31.12.04</w:t>
            </w:r>
          </w:p>
        </w:tc>
      </w:tr>
      <w:tr>
        <w:trPr>
          <w:trHeight w:val="137"/>
        </w:trPr>
        <w:tc>
          <w:tcPr>
            <w:tcW w:w="342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r>
        <w:trPr>
          <w:trHeight w:val="343"/>
        </w:trPr>
        <w:tc>
          <w:tcPr>
            <w:tcW w:w="3420" w:type="dxa"/>
            <w:vAlign w:val="bottom"/>
          </w:tcPr>
          <w:p>
            <w:pPr>
              <w:spacing w:after="0"/>
              <w:rPr>
                <w:sz w:val="20"/>
                <w:szCs w:val="20"/>
                <w:color w:val="auto"/>
              </w:rPr>
            </w:pPr>
            <w:r>
              <w:rPr>
                <w:rFonts w:ascii="Arial" w:cs="Arial" w:eastAsia="Arial" w:hAnsi="Arial"/>
                <w:sz w:val="18"/>
                <w:szCs w:val="18"/>
                <w:color w:val="auto"/>
              </w:rPr>
              <w:t>Regulatory capital</w:t>
            </w:r>
          </w:p>
        </w:tc>
        <w:tc>
          <w:tcPr>
            <w:tcW w:w="3080" w:type="dxa"/>
            <w:vAlign w:val="bottom"/>
          </w:tcPr>
          <w:p>
            <w:pPr>
              <w:jc w:val="right"/>
              <w:ind w:right="232"/>
              <w:spacing w:after="0"/>
              <w:rPr>
                <w:sz w:val="20"/>
                <w:szCs w:val="20"/>
                <w:color w:val="auto"/>
              </w:rPr>
            </w:pPr>
            <w:r>
              <w:rPr>
                <w:rFonts w:ascii="Arial" w:cs="Arial" w:eastAsia="Arial" w:hAnsi="Arial"/>
                <w:sz w:val="18"/>
                <w:szCs w:val="18"/>
                <w:color w:val="auto"/>
              </w:rPr>
              <w:t>1,712</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1,858</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2,289</w:t>
            </w:r>
          </w:p>
        </w:tc>
        <w:tc>
          <w:tcPr>
            <w:tcW w:w="1440" w:type="dxa"/>
            <w:vAlign w:val="bottom"/>
          </w:tcPr>
          <w:p>
            <w:pPr>
              <w:jc w:val="right"/>
              <w:spacing w:after="0"/>
              <w:rPr>
                <w:sz w:val="20"/>
                <w:szCs w:val="20"/>
                <w:color w:val="auto"/>
              </w:rPr>
            </w:pPr>
            <w:r>
              <w:rPr>
                <w:rFonts w:ascii="Arial" w:cs="Arial" w:eastAsia="Arial" w:hAnsi="Arial"/>
                <w:sz w:val="18"/>
                <w:szCs w:val="18"/>
                <w:color w:val="auto"/>
              </w:rPr>
              <w:t>2,283</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Risk weighted assets</w:t>
            </w:r>
          </w:p>
        </w:tc>
        <w:tc>
          <w:tcPr>
            <w:tcW w:w="3080" w:type="dxa"/>
            <w:vAlign w:val="bottom"/>
          </w:tcPr>
          <w:p>
            <w:pPr>
              <w:jc w:val="right"/>
              <w:ind w:right="232"/>
              <w:spacing w:after="0"/>
              <w:rPr>
                <w:sz w:val="20"/>
                <w:szCs w:val="20"/>
                <w:color w:val="auto"/>
              </w:rPr>
            </w:pPr>
            <w:r>
              <w:rPr>
                <w:rFonts w:ascii="Arial" w:cs="Arial" w:eastAsia="Arial" w:hAnsi="Arial"/>
                <w:sz w:val="18"/>
                <w:szCs w:val="18"/>
                <w:color w:val="auto"/>
              </w:rPr>
              <w:t>15,645</w:t>
            </w:r>
          </w:p>
        </w:tc>
        <w:tc>
          <w:tcPr>
            <w:tcW w:w="1700" w:type="dxa"/>
            <w:vAlign w:val="bottom"/>
          </w:tcPr>
          <w:p>
            <w:pPr>
              <w:jc w:val="right"/>
              <w:ind w:right="212"/>
              <w:spacing w:after="0"/>
              <w:rPr>
                <w:sz w:val="20"/>
                <w:szCs w:val="20"/>
                <w:color w:val="auto"/>
              </w:rPr>
            </w:pPr>
            <w:r>
              <w:rPr>
                <w:rFonts w:ascii="Arial" w:cs="Arial" w:eastAsia="Arial" w:hAnsi="Arial"/>
                <w:sz w:val="18"/>
                <w:szCs w:val="18"/>
                <w:color w:val="auto"/>
              </w:rPr>
              <w:t>14,324</w:t>
            </w:r>
          </w:p>
        </w:tc>
        <w:tc>
          <w:tcPr>
            <w:tcW w:w="1720" w:type="dxa"/>
            <w:vAlign w:val="bottom"/>
          </w:tcPr>
          <w:p>
            <w:pPr>
              <w:jc w:val="right"/>
              <w:ind w:right="232"/>
              <w:spacing w:after="0"/>
              <w:rPr>
                <w:sz w:val="20"/>
                <w:szCs w:val="20"/>
                <w:color w:val="auto"/>
              </w:rPr>
            </w:pPr>
            <w:r>
              <w:rPr>
                <w:rFonts w:ascii="Arial" w:cs="Arial" w:eastAsia="Arial" w:hAnsi="Arial"/>
                <w:sz w:val="18"/>
                <w:szCs w:val="18"/>
                <w:color w:val="auto"/>
              </w:rPr>
              <w:t>17,817</w:t>
            </w:r>
          </w:p>
        </w:tc>
        <w:tc>
          <w:tcPr>
            <w:tcW w:w="1440" w:type="dxa"/>
            <w:vAlign w:val="bottom"/>
          </w:tcPr>
          <w:p>
            <w:pPr>
              <w:jc w:val="right"/>
              <w:spacing w:after="0"/>
              <w:rPr>
                <w:sz w:val="20"/>
                <w:szCs w:val="20"/>
                <w:color w:val="auto"/>
              </w:rPr>
            </w:pPr>
            <w:r>
              <w:rPr>
                <w:rFonts w:ascii="Arial" w:cs="Arial" w:eastAsia="Arial" w:hAnsi="Arial"/>
                <w:sz w:val="18"/>
                <w:szCs w:val="18"/>
                <w:color w:val="auto"/>
              </w:rPr>
              <w:t>15,868</w:t>
            </w:r>
          </w:p>
        </w:tc>
      </w:tr>
      <w:tr>
        <w:trPr>
          <w:trHeight w:val="486"/>
        </w:trPr>
        <w:tc>
          <w:tcPr>
            <w:tcW w:w="3420" w:type="dxa"/>
            <w:vAlign w:val="bottom"/>
          </w:tcPr>
          <w:p>
            <w:pPr>
              <w:spacing w:after="0"/>
              <w:rPr>
                <w:sz w:val="20"/>
                <w:szCs w:val="20"/>
                <w:color w:val="auto"/>
              </w:rPr>
            </w:pPr>
            <w:r>
              <w:rPr>
                <w:rFonts w:ascii="Arial" w:cs="Arial" w:eastAsia="Arial" w:hAnsi="Arial"/>
                <w:sz w:val="18"/>
                <w:szCs w:val="18"/>
                <w:color w:val="auto"/>
              </w:rPr>
              <w:t>Weighted assets / Capital</w:t>
            </w:r>
          </w:p>
        </w:tc>
        <w:tc>
          <w:tcPr>
            <w:tcW w:w="3080" w:type="dxa"/>
            <w:vAlign w:val="bottom"/>
          </w:tcPr>
          <w:p>
            <w:pPr>
              <w:jc w:val="right"/>
              <w:ind w:right="192"/>
              <w:spacing w:after="0"/>
              <w:rPr>
                <w:sz w:val="20"/>
                <w:szCs w:val="20"/>
                <w:color w:val="auto"/>
              </w:rPr>
            </w:pPr>
            <w:r>
              <w:rPr>
                <w:rFonts w:ascii="Arial" w:cs="Arial" w:eastAsia="Arial" w:hAnsi="Arial"/>
                <w:sz w:val="18"/>
                <w:szCs w:val="18"/>
                <w:color w:val="auto"/>
              </w:rPr>
              <w:t>9.1</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7.7</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7.8</w:t>
            </w:r>
          </w:p>
        </w:tc>
        <w:tc>
          <w:tcPr>
            <w:tcW w:w="1440" w:type="dxa"/>
            <w:vAlign w:val="bottom"/>
          </w:tcPr>
          <w:p>
            <w:pPr>
              <w:jc w:val="right"/>
              <w:spacing w:after="0"/>
              <w:rPr>
                <w:sz w:val="20"/>
                <w:szCs w:val="20"/>
                <w:color w:val="auto"/>
              </w:rPr>
            </w:pPr>
            <w:r>
              <w:rPr>
                <w:rFonts w:ascii="Arial" w:cs="Arial" w:eastAsia="Arial" w:hAnsi="Arial"/>
                <w:sz w:val="18"/>
                <w:szCs w:val="18"/>
                <w:color w:val="auto"/>
              </w:rPr>
              <w:t>7.0</w:t>
            </w:r>
          </w:p>
        </w:tc>
      </w:tr>
      <w:tr>
        <w:trPr>
          <w:trHeight w:val="243"/>
        </w:trPr>
        <w:tc>
          <w:tcPr>
            <w:tcW w:w="3420" w:type="dxa"/>
            <w:vAlign w:val="bottom"/>
          </w:tcPr>
          <w:p>
            <w:pPr>
              <w:spacing w:after="0"/>
              <w:rPr>
                <w:sz w:val="20"/>
                <w:szCs w:val="20"/>
                <w:color w:val="auto"/>
              </w:rPr>
            </w:pPr>
            <w:r>
              <w:rPr>
                <w:rFonts w:ascii="Arial" w:cs="Arial" w:eastAsia="Arial" w:hAnsi="Arial"/>
                <w:sz w:val="18"/>
                <w:szCs w:val="18"/>
                <w:color w:val="auto"/>
              </w:rPr>
              <w:t>Capital / Weighted Assets</w:t>
            </w:r>
          </w:p>
        </w:tc>
        <w:tc>
          <w:tcPr>
            <w:tcW w:w="3080" w:type="dxa"/>
            <w:vAlign w:val="bottom"/>
          </w:tcPr>
          <w:p>
            <w:pPr>
              <w:jc w:val="right"/>
              <w:ind w:right="192"/>
              <w:spacing w:after="0"/>
              <w:rPr>
                <w:sz w:val="20"/>
                <w:szCs w:val="20"/>
                <w:color w:val="auto"/>
              </w:rPr>
            </w:pPr>
            <w:r>
              <w:rPr>
                <w:rFonts w:ascii="Arial" w:cs="Arial" w:eastAsia="Arial" w:hAnsi="Arial"/>
                <w:sz w:val="18"/>
                <w:szCs w:val="18"/>
                <w:color w:val="auto"/>
              </w:rPr>
              <w:t>10.9%</w:t>
            </w:r>
          </w:p>
        </w:tc>
        <w:tc>
          <w:tcPr>
            <w:tcW w:w="1700" w:type="dxa"/>
            <w:vAlign w:val="bottom"/>
          </w:tcPr>
          <w:p>
            <w:pPr>
              <w:jc w:val="right"/>
              <w:ind w:right="172"/>
              <w:spacing w:after="0"/>
              <w:rPr>
                <w:sz w:val="20"/>
                <w:szCs w:val="20"/>
                <w:color w:val="auto"/>
              </w:rPr>
            </w:pPr>
            <w:r>
              <w:rPr>
                <w:rFonts w:ascii="Arial" w:cs="Arial" w:eastAsia="Arial" w:hAnsi="Arial"/>
                <w:sz w:val="18"/>
                <w:szCs w:val="18"/>
                <w:color w:val="auto"/>
              </w:rPr>
              <w:t>13.0%</w:t>
            </w:r>
          </w:p>
        </w:tc>
        <w:tc>
          <w:tcPr>
            <w:tcW w:w="1720" w:type="dxa"/>
            <w:vAlign w:val="bottom"/>
          </w:tcPr>
          <w:p>
            <w:pPr>
              <w:jc w:val="right"/>
              <w:ind w:right="172"/>
              <w:spacing w:after="0"/>
              <w:rPr>
                <w:sz w:val="20"/>
                <w:szCs w:val="20"/>
                <w:color w:val="auto"/>
              </w:rPr>
            </w:pPr>
            <w:r>
              <w:rPr>
                <w:rFonts w:ascii="Arial" w:cs="Arial" w:eastAsia="Arial" w:hAnsi="Arial"/>
                <w:sz w:val="18"/>
                <w:szCs w:val="18"/>
                <w:color w:val="auto"/>
              </w:rPr>
              <w:t>12.9%</w:t>
            </w:r>
          </w:p>
        </w:tc>
        <w:tc>
          <w:tcPr>
            <w:tcW w:w="144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137"/>
        </w:trPr>
        <w:tc>
          <w:tcPr>
            <w:tcW w:w="3420" w:type="dxa"/>
            <w:vAlign w:val="bottom"/>
            <w:tcBorders>
              <w:bottom w:val="single" w:sz="8" w:color="auto"/>
            </w:tcBorders>
          </w:tcPr>
          <w:p>
            <w:pPr>
              <w:spacing w:after="0"/>
              <w:rPr>
                <w:sz w:val="11"/>
                <w:szCs w:val="11"/>
                <w:color w:val="auto"/>
              </w:rPr>
            </w:pPr>
          </w:p>
        </w:tc>
        <w:tc>
          <w:tcPr>
            <w:tcW w:w="3080" w:type="dxa"/>
            <w:vAlign w:val="bottom"/>
            <w:tcBorders>
              <w:bottom w:val="single" w:sz="8" w:color="auto"/>
            </w:tcBorders>
          </w:tcPr>
          <w:p>
            <w:pPr>
              <w:spacing w:after="0"/>
              <w:rPr>
                <w:sz w:val="11"/>
                <w:szCs w:val="11"/>
                <w:color w:val="auto"/>
              </w:rPr>
            </w:pPr>
          </w:p>
        </w:tc>
        <w:tc>
          <w:tcPr>
            <w:tcW w:w="1700" w:type="dxa"/>
            <w:vAlign w:val="bottom"/>
            <w:tcBorders>
              <w:bottom w:val="single" w:sz="8" w:color="auto"/>
            </w:tcBorders>
          </w:tcPr>
          <w:p>
            <w:pPr>
              <w:spacing w:after="0"/>
              <w:rPr>
                <w:sz w:val="11"/>
                <w:szCs w:val="11"/>
                <w:color w:val="auto"/>
              </w:rPr>
            </w:pPr>
          </w:p>
        </w:tc>
        <w:tc>
          <w:tcPr>
            <w:tcW w:w="1720" w:type="dxa"/>
            <w:vAlign w:val="bottom"/>
            <w:tcBorders>
              <w:bottom w:val="single" w:sz="8" w:color="auto"/>
            </w:tcBorders>
          </w:tcPr>
          <w:p>
            <w:pPr>
              <w:spacing w:after="0"/>
              <w:rPr>
                <w:sz w:val="11"/>
                <w:szCs w:val="11"/>
                <w:color w:val="auto"/>
              </w:rPr>
            </w:pPr>
          </w:p>
        </w:tc>
        <w:tc>
          <w:tcPr>
            <w:tcW w:w="1440" w:type="dxa"/>
            <w:vAlign w:val="bottom"/>
            <w:tcBorders>
              <w:bottom w:val="single" w:sz="8" w:color="auto"/>
            </w:tcBorders>
          </w:tcPr>
          <w:p>
            <w:pPr>
              <w:spacing w:after="0"/>
              <w:rPr>
                <w:sz w:val="11"/>
                <w:szCs w:val="11"/>
                <w:color w:val="auto"/>
              </w:rPr>
            </w:pPr>
          </w:p>
        </w:tc>
      </w:tr>
    </w:tbl>
    <w:p>
      <w:pPr>
        <w:sectPr>
          <w:pgSz w:w="11900" w:h="16838" w:orient="portrait"/>
          <w:cols w:equalWidth="0" w:num="1">
            <w:col w:w="11420"/>
          </w:cols>
          <w:pgMar w:left="240" w:top="280" w:right="239" w:bottom="1440" w:gutter="0" w:footer="0" w:header="0"/>
        </w:sectPr>
      </w:pPr>
    </w:p>
    <w:bookmarkStart w:id="12" w:name="page13"/>
    <w:bookmarkEnd w:id="12"/>
    <w:p>
      <w:pPr>
        <w:jc w:val="center"/>
        <w:spacing w:after="0"/>
        <w:rPr>
          <w:sz w:val="20"/>
          <w:szCs w:val="20"/>
          <w:color w:val="auto"/>
        </w:rPr>
      </w:pPr>
      <w:r>
        <w:rPr>
          <w:rFonts w:ascii="Arial" w:cs="Arial" w:eastAsia="Arial" w:hAnsi="Arial"/>
          <w:sz w:val="18"/>
          <w:szCs w:val="18"/>
          <w:color w:val="auto"/>
        </w:rPr>
        <w:t>III. ATLANTIC SECURITY HOLDING CORPORATION AND SUBSIDIARIES (“ASHC”)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Consolidated net income in the year ended December 31, 2004 reached US$19.1 million, 75.2% over net income of US$10.9 million in 2003. Net income in the quarter ended December 31, 2004 was US$4.0 million, higher than US$3.1 million in the same period of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in the full year and in the fourth quarter of 2004, increase compared to the same periods of 2003, mainly due to lower market risk and loan loss provisions.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Financial and non-financial income</w:t>
      </w:r>
    </w:p>
    <w:p>
      <w:pPr>
        <w:spacing w:after="0" w:line="225" w:lineRule="exact"/>
        <w:rPr>
          <w:sz w:val="20"/>
          <w:szCs w:val="20"/>
          <w:color w:val="auto"/>
        </w:rPr>
      </w:pPr>
    </w:p>
    <w:p>
      <w:pPr>
        <w:jc w:val="both"/>
        <w:spacing w:after="0" w:line="298" w:lineRule="auto"/>
        <w:rPr>
          <w:sz w:val="20"/>
          <w:szCs w:val="20"/>
          <w:color w:val="auto"/>
        </w:rPr>
      </w:pPr>
      <w:r>
        <w:rPr>
          <w:rFonts w:ascii="Arial" w:cs="Arial" w:eastAsia="Arial" w:hAnsi="Arial"/>
          <w:sz w:val="16"/>
          <w:szCs w:val="16"/>
          <w:color w:val="auto"/>
        </w:rPr>
        <w:t>Net interest income, before risk provisions and not including dividend income, was US$3.4 million in the fourth quarter of 2004, slightly over US$3.3 million in the same quarter of last year. Net interest margin as a percentage of interest earning assets, without considering dividends, was 1.8% during fourth quarter 2004, lower than the 1.9% margin in the preceding third quarter 2004, and also decreases compared to 2.0% in fourth quarter 2003. Compared with the year-ago quarter, the margin decreased mainly because in 2004 the investment portfolio grew its lower risk and lower return segments.</w:t>
      </w:r>
    </w:p>
    <w:p>
      <w:pPr>
        <w:spacing w:after="0" w:line="167"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In the fourth quarter of 2004 charges against income made for credit risk provisions amounted to US$0.5 million, compared to US$1.4 million in the last quarter of 2003. In the current quarter, market risk provisions show a US$0.4 million reversal, while in the year-ago period a provision charge was made amounting to also US$0.4 million.</w:t>
      </w:r>
    </w:p>
    <w:p>
      <w:pPr>
        <w:spacing w:after="0" w:line="194"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Non-interest income, which includes fee income, realized gains on securities transactions before risk provisions and others, amounted to US$3.1 million in the fourth quarter of 2004, over US$2.9 million in the year-ago quarter. Fee income was US$1.1 million in the current period, increasing from US$0.9 million in the year-ago quarter. Additionally, in fourth quarter 2004, this caption includes a reversal of US$0.9 million of excess provisions made in prior years.</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operating expenses over average assets was 1.1%, annualized, in the fourth quarter of 2004 similar to the ratio of 1.0% during the same period in 2003. This ratio declines to 0.6% in fourth quarter of 2004, when funds under management are included within total assets, remaining almost unchanged compared to the prior year quarter.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Assets and liabilities</w:t>
      </w:r>
    </w:p>
    <w:p>
      <w:pPr>
        <w:spacing w:after="0" w:line="225"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The loan portfolio, net of provisions, was US$149.1 million as of December 31, 2004, decreasing during the quarter from US$154.5 million at the end of September 2004, and also when compared to loan balances of US$152.2 million at December 2003. As of December 31, 2004, the loan portfolio had 0.2% past dues, improving from 2.4% at September 2004, while the coverage ratio increased to 200.0% from 149.0%, at the same dates.</w:t>
      </w:r>
    </w:p>
    <w:p>
      <w:pPr>
        <w:spacing w:after="0" w:line="161"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The securities portfolio grew to US$518.7 million at December 2004, increasing over US$500.5 million last September 2004, and also from US$430.1 million at the end of December 2003, following the increase of available funds and the additional Credicorp shares purchased in second quarter 2004.</w:t>
      </w:r>
    </w:p>
    <w:p>
      <w:pPr>
        <w:spacing w:after="0" w:line="139"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Deposits amounted to US$686.1 million at December 31, 2004, remaining similar to the balance of US$688.7 million at the end of the preceding third quarter 2004, but grows compared to US$629.4 million at the end of December 2003.</w:t>
      </w:r>
    </w:p>
    <w:p>
      <w:pPr>
        <w:spacing w:after="0" w:line="186" w:lineRule="exact"/>
        <w:rPr>
          <w:sz w:val="20"/>
          <w:szCs w:val="20"/>
          <w:color w:val="auto"/>
        </w:rPr>
      </w:pPr>
    </w:p>
    <w:p>
      <w:pPr>
        <w:jc w:val="both"/>
        <w:spacing w:after="0" w:line="332" w:lineRule="auto"/>
        <w:rPr>
          <w:sz w:val="20"/>
          <w:szCs w:val="20"/>
          <w:color w:val="auto"/>
        </w:rPr>
      </w:pPr>
      <w:r>
        <w:rPr>
          <w:rFonts w:ascii="Arial" w:cs="Arial" w:eastAsia="Arial" w:hAnsi="Arial"/>
          <w:sz w:val="16"/>
          <w:szCs w:val="16"/>
          <w:color w:val="auto"/>
        </w:rPr>
        <w:t>Funds under management were US$746.6 million at December 31, 2004, 14.7% higher than US$650.7 million at December 2003, and grow 5.3% compared to US$708.8 million at September 2004, growth mainly due to a combination of increased managed funds and higher market prices of the securities held.</w:t>
      </w:r>
    </w:p>
    <w:p>
      <w:pPr>
        <w:spacing w:after="0" w:line="139"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Net equity reached US$151.0 million at the end of December 2004, increasing over US$146.5 million at September 2004, due to higher retained earnings and reserves for unrealized gains on market value. The equity account of reserves for market value of investments, increased from a balance of unrealized gains of US$9.5 million at the end of September 2004, to unrealized gains of US$9.9 million at December 31, 2004.</w:t>
      </w:r>
    </w:p>
    <w:p>
      <w:pPr>
        <w:sectPr>
          <w:pgSz w:w="11900" w:h="16838" w:orient="portrait"/>
          <w:cols w:equalWidth="0" w:num="1">
            <w:col w:w="11420"/>
          </w:cols>
          <w:pgMar w:left="240" w:top="131" w:right="239" w:bottom="1440" w:gutter="0" w:footer="0" w:header="0"/>
        </w:sectPr>
      </w:pPr>
    </w:p>
    <w:bookmarkStart w:id="13" w:name="page14"/>
    <w:bookmarkEnd w:id="13"/>
    <w:p>
      <w:pPr>
        <w:jc w:val="center"/>
        <w:spacing w:after="0"/>
        <w:rPr>
          <w:sz w:val="20"/>
          <w:szCs w:val="20"/>
          <w:color w:val="auto"/>
        </w:rPr>
      </w:pPr>
      <w:r>
        <w:rPr>
          <w:rFonts w:ascii="Arial" w:cs="Arial" w:eastAsia="Arial" w:hAnsi="Arial"/>
          <w:sz w:val="18"/>
          <w:szCs w:val="18"/>
          <w:color w:val="auto"/>
        </w:rPr>
        <w:t>IV. EL PACIFICO-PERUANO SUIZA AND SUBSIDIARIES (“PPS”)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Net income</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PPS obtained in full-year 2004 a consolidated net income of S/.88.4 million (US$26.9 million), 119.6% higher than S/.40.3 million (US$12.3 million) in 2003. In the quarter ended December 31, 2004, net income was S/.10.2 million (US$3.1 million), compared to the net loss of S/.7.1 million (US$2.2 million) in the same year-ago quarter.</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Cumulative net income through December 2004 increased over the prior year mainly because of gains from the sale to ASHC of Credicorp equity shares, which were kept by PPS as part of its investment portfolio. The sale, made in second quarter 2004, resulted in a net gain of S/.75.6 million (US$23.0 million), not subject to income taxes, in PPS’s local records. In Credicorp’s consolidated financial statements, all the effects of the transfer of these shares, including the gains, are eliminated in the consolidation process.</w:t>
      </w:r>
    </w:p>
    <w:p>
      <w:pPr>
        <w:spacing w:after="0" w:line="197"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income in fourth quarter 2004, is compared to the net loss in the year-ago period, which was mainly due to weak net consolidated underwriting results, high reserves, and to increased minority interests.</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Novasalud, which was acquired in March 2004, merged with Pacífico Salud in August 2004. This explains the substantial increases seen specially in Premiums and health fees, Claims and health costs, and Operating expenses. Higher operating expenses include extraordinary merger costs amounting to S/.5.4 million (US$1.6 million), mainly related to headcount reductions.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Revenue and operating expense</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Total premiums and Pacífico Salud health fees in the fourth quarter of 2004 were S/.310.6 million (US$94.6 million), 40.1% higher than premiums of S/.221.7 million (US$67.5 million) in the year-ago quarter, due mainly to growth in Pacífico Salud after the Novasalud acquisition.</w:t>
      </w:r>
    </w:p>
    <w:p>
      <w:pPr>
        <w:spacing w:after="0" w:line="186"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Retained premiums increase 54.4% to S/.243.3 million (US$74.1 million) in this quarter from S/.157.6 million (US$48.0 million) in fourth quarter 2003. Net premiums earned and health fees, net of reinsured premiums and reserves, were S/.200.0 million (US$61.0 million) in fourth quarter 2004, 80.4% above premiums in the prior year quarter. These increases are mostly due to transactions registered with the above mentioned merger.</w:t>
      </w:r>
    </w:p>
    <w:p>
      <w:pPr>
        <w:spacing w:after="0" w:line="161"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Additions to technical reserves for premiums grew by S/.43.3 million (US$13.2 million) in the fourth quarter of 2004, 30.6% lower than additions in the preceding third quarter, and also are 7.3% lower than reserve additions in the same quarter of last year. Most of reserves in the fourth quarter of 2004 were established by Pacífico Vida, for its life annuities and life insurance lines.</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Net consolidated underwriting results was S/.35.2 million (US$10.7 million) in the fourth quarter of 2004, increasing from S/.6.5 million (US$2.0 million) in the prior year quarter.</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The ratio of net underwriting results (net premiums and health fees less reserves and claims as a percentage of total premiums) was 11.3% in the fourth quarter of 2004, similar to the preceding quarter ratio, but increases compared to the 2.9%% ratio in the last quarter of 2003, mainly due to lower claims in general insurance lines.</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Financial results increase from S/.26.5 million (US$8.1 million) in fourth quarter 2003 to S/.31.3 million (US$9.5 million) in the current quarter.</w:t>
      </w:r>
    </w:p>
    <w:p>
      <w:pPr>
        <w:spacing w:after="0" w:line="225" w:lineRule="exact"/>
        <w:rPr>
          <w:sz w:val="20"/>
          <w:szCs w:val="20"/>
          <w:color w:val="auto"/>
        </w:rPr>
      </w:pPr>
    </w:p>
    <w:p>
      <w:pPr>
        <w:jc w:val="both"/>
        <w:ind w:right="20"/>
        <w:spacing w:after="0" w:line="268" w:lineRule="auto"/>
        <w:rPr>
          <w:sz w:val="20"/>
          <w:szCs w:val="20"/>
          <w:color w:val="auto"/>
        </w:rPr>
      </w:pPr>
      <w:r>
        <w:rPr>
          <w:rFonts w:ascii="Arial" w:cs="Arial" w:eastAsia="Arial" w:hAnsi="Arial"/>
          <w:sz w:val="18"/>
          <w:szCs w:val="18"/>
          <w:color w:val="auto"/>
        </w:rPr>
        <w:t>Adjustments for exposure to inflation and exchange differences resulted in a loss of S/.8.9 million (US$2.7 million) in fourth quarter 2004, compared to a loss of S/.4.9 million (US$1.5 million) in the same period of 2003.</w:t>
      </w:r>
    </w:p>
    <w:p>
      <w:pPr>
        <w:spacing w:after="0" w:line="186"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Operating expenses over net premiums earned, decreased from 30.7% to 24.3% comparing the fourth quarters of 2003 and 2004, respectively. The ratio of operating expenses over average assets increased from 7.5% to 9.8%, in these same periods.</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Business lines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Comparing cumulative results for full-years 2004 and 2003, consolidated total premiums and fees consisted of:</w:t>
      </w:r>
    </w:p>
    <w:p>
      <w:pPr>
        <w:spacing w:after="0" w:line="225" w:lineRule="exact"/>
        <w:rPr>
          <w:sz w:val="20"/>
          <w:szCs w:val="20"/>
          <w:color w:val="auto"/>
        </w:rPr>
      </w:pPr>
    </w:p>
    <w:p>
      <w:pPr>
        <w:ind w:firstLine="8"/>
        <w:spacing w:after="0" w:line="268" w:lineRule="auto"/>
        <w:tabs>
          <w:tab w:leader="none" w:pos="165"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insurance lines, that amounted to 46.6% of total premiums and decreased 8.3%; ii) fees at Pacífico Salud, that were 21.8% of total premiums and increased 198.1%; and, iii) Pacífico Vida, which amounted to 31.5% of the total and increased 4.1%.</w:t>
      </w:r>
    </w:p>
    <w:p>
      <w:pPr>
        <w:spacing w:after="0" w:line="186"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Cumulative through December 31, 2004, growth of Pacífico Salud and the health and medical assistance insurance line (30.5% of total premiums) was 86.8%; fire insurance lines (16.0% of total premiums) decreased 23.1%; while the automobile insurance line (4.8% of total premiums) decreased 3.3% compared to the prior year period.</w:t>
      </w:r>
    </w:p>
    <w:p>
      <w:pPr>
        <w:spacing w:after="0" w:line="194"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Through December 2004, group life insurance and individual life insurance policies (10.0% of total premiums) grew 2.8%; life annuities (15.4% of total premiums) increased 12.2%; while pension fund benefits insurance (5.2% of total premiums) decreased 13.8%, compared to the prior year. Decreased pension fund insurance premiums is due to regulatory changes in procedures for the purchase of insurance coverage by Private Pension Funds (“AFPs”), after the end of the Transitory Arrangement, which caused increased competition and lower fees.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color w:val="auto"/>
        </w:rPr>
        <w:t>Claims</w:t>
      </w:r>
    </w:p>
    <w:p>
      <w:pPr>
        <w:spacing w:after="0" w:line="225"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Net insurance claims and health services costs incurred in the fourth quarter of 2004 were S/.142.4 million (US$43.4 million), increasing over claims of S/.84.1 million (US$25.6 million) in the same quarter of 2003, mainly due to increased operating volume at Pacífico Salud after the inclusion of Novasalud’s transactions.</w:t>
      </w:r>
    </w:p>
    <w:p>
      <w:pPr>
        <w:spacing w:after="0" w:line="194" w:lineRule="exact"/>
        <w:rPr>
          <w:sz w:val="20"/>
          <w:szCs w:val="20"/>
          <w:color w:val="auto"/>
        </w:rPr>
      </w:pPr>
    </w:p>
    <w:p>
      <w:pPr>
        <w:jc w:val="both"/>
        <w:ind w:right="20"/>
        <w:spacing w:after="0" w:line="259" w:lineRule="auto"/>
        <w:rPr>
          <w:sz w:val="20"/>
          <w:szCs w:val="20"/>
          <w:color w:val="auto"/>
        </w:rPr>
      </w:pPr>
      <w:r>
        <w:rPr>
          <w:rFonts w:ascii="Arial" w:cs="Arial" w:eastAsia="Arial" w:hAnsi="Arial"/>
          <w:sz w:val="18"/>
          <w:szCs w:val="18"/>
          <w:color w:val="auto"/>
        </w:rPr>
        <w:t>The net loss ratio (net claims to net premiums) increases to 58.5% in the current quarter from 53.4% in fourth quarter 2003. Cumulative through December 2004, the net loss ratio was 52.0%, also above 48.7% in 2003. Cumulative through December 2004, the net loss ratio continues high in pension fund insurance (81.8%), marine hull (72.1%), dishonesty (101.1%), health (82.2%) and in Pacífico Salud (76.3%).</w:t>
      </w:r>
    </w:p>
    <w:p>
      <w:pPr>
        <w:spacing w:after="0" w:line="194"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The combined ratio (the sum of net claims and health services, general expenses and commissions, as a percentage of net earned premiums and health fees, without including Pacifico Vida) improved from 126.9% in the fourth quarter of 2003 to 98.4% in the current quarter.</w:t>
      </w:r>
    </w:p>
    <w:p>
      <w:pPr>
        <w:sectPr>
          <w:pgSz w:w="11900" w:h="16838" w:orient="portrait"/>
          <w:cols w:equalWidth="0" w:num="1">
            <w:col w:w="11420"/>
          </w:cols>
          <w:pgMar w:left="240" w:top="131" w:right="239" w:bottom="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t>Assets and investments</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Investments in real estate and financial assets were S/.1,575 million (US$479.8 million) at the end of 2004, increasing 14.0% from the year-ago balance.</w:t>
      </w:r>
    </w:p>
    <w:p>
      <w:pPr>
        <w:spacing w:after="0" w:line="248" w:lineRule="exact"/>
        <w:rPr>
          <w:sz w:val="20"/>
          <w:szCs w:val="20"/>
          <w:color w:val="auto"/>
        </w:rPr>
      </w:pPr>
    </w:p>
    <w:p>
      <w:pPr>
        <w:jc w:val="both"/>
        <w:spacing w:after="0" w:line="268" w:lineRule="auto"/>
        <w:rPr>
          <w:sz w:val="20"/>
          <w:szCs w:val="20"/>
          <w:color w:val="auto"/>
        </w:rPr>
      </w:pPr>
      <w:r>
        <w:rPr>
          <w:rFonts w:ascii="Arial" w:cs="Arial" w:eastAsia="Arial" w:hAnsi="Arial"/>
          <w:sz w:val="18"/>
          <w:szCs w:val="18"/>
          <w:color w:val="auto"/>
        </w:rPr>
        <w:t>As of December 31, 2004, total assets were S/.2,068 million (US$630.1 million) increasing 11.4% compared to the year-ago balance. At the end of the current period net equity amounted to S/.416.7 million (US$126.9 million), 5.7% above net equity at December 2003.</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color w:val="auto"/>
        </w:rPr>
        <w:t>Market share</w:t>
      </w:r>
    </w:p>
    <w:p>
      <w:pPr>
        <w:spacing w:after="0" w:line="225"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The Peruvian insurance market through November 30, 2004, had total premiums of US$812.4 million, remaining similar to premiums in the same eleven month period in 2003. For the first eleven months of 2004, PPS's market share in total premiums was 30.4% (30.2% in the year-ago period), with the share in general risks and health lines being 33.4% (33.0% in the same period of 2003) and in life insurance and pension fund benefits lines of 26.7% (26.4% in the same period of 2003).</w:t>
      </w:r>
    </w:p>
    <w:p>
      <w:pPr>
        <w:spacing w:after="0" w:line="1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8 Tables To Follow ***</w:t>
      </w:r>
    </w:p>
    <w:p>
      <w:pPr>
        <w:sectPr>
          <w:pgSz w:w="11900" w:h="16838" w:orient="portrait"/>
          <w:cols w:equalWidth="0" w:num="1">
            <w:col w:w="11420"/>
          </w:cols>
          <w:pgMar w:left="240" w:top="131" w:right="239" w:bottom="1440" w:gutter="0" w:footer="0" w:header="0"/>
        </w:sectPr>
      </w:pPr>
    </w:p>
    <w:bookmarkStart w:id="15" w:name="page16"/>
    <w:bookmarkEnd w:id="15"/>
    <w:p>
      <w:pPr>
        <w:jc w:val="center"/>
        <w:ind w:right="20"/>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1</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40" w:type="dxa"/>
            <w:vAlign w:val="bottom"/>
          </w:tcPr>
          <w:p>
            <w:pPr>
              <w:spacing w:after="0"/>
              <w:rPr>
                <w:sz w:val="19"/>
                <w:szCs w:val="19"/>
                <w:color w:val="auto"/>
              </w:rPr>
            </w:pPr>
          </w:p>
        </w:tc>
        <w:tc>
          <w:tcPr>
            <w:tcW w:w="1880" w:type="dxa"/>
            <w:vAlign w:val="bottom"/>
          </w:tcPr>
          <w:p>
            <w:pPr>
              <w:spacing w:after="0"/>
              <w:rPr>
                <w:sz w:val="19"/>
                <w:szCs w:val="19"/>
                <w:color w:val="auto"/>
              </w:rPr>
            </w:pPr>
          </w:p>
        </w:tc>
        <w:tc>
          <w:tcPr>
            <w:tcW w:w="1800" w:type="dxa"/>
            <w:vAlign w:val="bottom"/>
          </w:tcPr>
          <w:p>
            <w:pPr>
              <w:jc w:val="right"/>
              <w:spacing w:after="0"/>
              <w:rPr>
                <w:sz w:val="20"/>
                <w:szCs w:val="20"/>
                <w:color w:val="auto"/>
              </w:rPr>
            </w:pPr>
            <w:r>
              <w:rPr>
                <w:rFonts w:ascii="Arial" w:cs="Arial" w:eastAsia="Arial" w:hAnsi="Arial"/>
                <w:sz w:val="18"/>
                <w:szCs w:val="18"/>
                <w:color w:val="auto"/>
              </w:rPr>
              <w:t>As of</w:t>
            </w:r>
          </w:p>
        </w:tc>
        <w:tc>
          <w:tcPr>
            <w:tcW w:w="162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151"/>
        </w:trPr>
        <w:tc>
          <w:tcPr>
            <w:tcW w:w="4540" w:type="dxa"/>
            <w:vAlign w:val="bottom"/>
          </w:tcPr>
          <w:p>
            <w:pPr>
              <w:spacing w:after="0"/>
              <w:rPr>
                <w:sz w:val="13"/>
                <w:szCs w:val="13"/>
                <w:color w:val="auto"/>
              </w:rPr>
            </w:pPr>
          </w:p>
        </w:tc>
        <w:tc>
          <w:tcPr>
            <w:tcW w:w="1880" w:type="dxa"/>
            <w:vAlign w:val="bottom"/>
            <w:tcBorders>
              <w:bottom w:val="single" w:sz="8" w:color="auto"/>
            </w:tcBorders>
          </w:tcPr>
          <w:p>
            <w:pPr>
              <w:spacing w:after="0"/>
              <w:rPr>
                <w:sz w:val="13"/>
                <w:szCs w:val="13"/>
                <w:color w:val="auto"/>
              </w:rPr>
            </w:pPr>
          </w:p>
        </w:tc>
        <w:tc>
          <w:tcPr>
            <w:tcW w:w="1800" w:type="dxa"/>
            <w:vAlign w:val="bottom"/>
            <w:tcBorders>
              <w:bottom w:val="single" w:sz="8" w:color="auto"/>
            </w:tcBorders>
          </w:tcPr>
          <w:p>
            <w:pPr>
              <w:spacing w:after="0"/>
              <w:rPr>
                <w:sz w:val="13"/>
                <w:szCs w:val="13"/>
                <w:color w:val="auto"/>
              </w:rPr>
            </w:pPr>
          </w:p>
        </w:tc>
        <w:tc>
          <w:tcPr>
            <w:tcW w:w="1620" w:type="dxa"/>
            <w:vAlign w:val="bottom"/>
            <w:tcBorders>
              <w:bottom w:val="single" w:sz="8" w:color="auto"/>
            </w:tcBorders>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r>
      <w:tr>
        <w:trPr>
          <w:trHeight w:val="356"/>
        </w:trPr>
        <w:tc>
          <w:tcPr>
            <w:tcW w:w="4540" w:type="dxa"/>
            <w:vAlign w:val="bottom"/>
          </w:tcPr>
          <w:p>
            <w:pPr>
              <w:spacing w:after="0"/>
              <w:rPr>
                <w:sz w:val="20"/>
                <w:szCs w:val="20"/>
                <w:color w:val="auto"/>
              </w:rPr>
            </w:pPr>
            <w:r>
              <w:rPr>
                <w:rFonts w:ascii="Arial" w:cs="Arial" w:eastAsia="Arial" w:hAnsi="Arial"/>
                <w:sz w:val="18"/>
                <w:szCs w:val="18"/>
                <w:color w:val="auto"/>
              </w:rPr>
              <w:t>ASSETS</w:t>
            </w:r>
          </w:p>
        </w:tc>
        <w:tc>
          <w:tcPr>
            <w:tcW w:w="1880" w:type="dxa"/>
            <w:vAlign w:val="bottom"/>
          </w:tcPr>
          <w:p>
            <w:pPr>
              <w:jc w:val="right"/>
              <w:ind w:right="472"/>
              <w:spacing w:after="0"/>
              <w:rPr>
                <w:sz w:val="20"/>
                <w:szCs w:val="20"/>
                <w:color w:val="auto"/>
              </w:rPr>
            </w:pPr>
            <w:r>
              <w:rPr>
                <w:rFonts w:ascii="Arial" w:cs="Arial" w:eastAsia="Arial" w:hAnsi="Arial"/>
                <w:sz w:val="18"/>
                <w:szCs w:val="18"/>
                <w:color w:val="auto"/>
              </w:rPr>
              <w:t>Sep. 30, 2003</w:t>
            </w:r>
          </w:p>
        </w:tc>
        <w:tc>
          <w:tcPr>
            <w:tcW w:w="1800" w:type="dxa"/>
            <w:vAlign w:val="bottom"/>
          </w:tcPr>
          <w:p>
            <w:pPr>
              <w:jc w:val="right"/>
              <w:ind w:right="552"/>
              <w:spacing w:after="0"/>
              <w:rPr>
                <w:sz w:val="20"/>
                <w:szCs w:val="20"/>
                <w:color w:val="auto"/>
              </w:rPr>
            </w:pPr>
            <w:r>
              <w:rPr>
                <w:rFonts w:ascii="Arial" w:cs="Arial" w:eastAsia="Arial" w:hAnsi="Arial"/>
                <w:sz w:val="18"/>
                <w:szCs w:val="18"/>
                <w:color w:val="auto"/>
              </w:rPr>
              <w:t>Dec. 31, 2003</w:t>
            </w:r>
          </w:p>
        </w:tc>
        <w:tc>
          <w:tcPr>
            <w:tcW w:w="1620" w:type="dxa"/>
            <w:vAlign w:val="bottom"/>
          </w:tcPr>
          <w:p>
            <w:pPr>
              <w:jc w:val="right"/>
              <w:ind w:right="452"/>
              <w:spacing w:after="0"/>
              <w:rPr>
                <w:sz w:val="20"/>
                <w:szCs w:val="20"/>
                <w:color w:val="auto"/>
              </w:rPr>
            </w:pPr>
            <w:r>
              <w:rPr>
                <w:rFonts w:ascii="Arial" w:cs="Arial" w:eastAsia="Arial" w:hAnsi="Arial"/>
                <w:sz w:val="18"/>
                <w:szCs w:val="18"/>
                <w:color w:val="auto"/>
                <w:w w:val="94"/>
              </w:rPr>
              <w:t>Sep. 30, 2004</w:t>
            </w:r>
          </w:p>
        </w:tc>
        <w:tc>
          <w:tcPr>
            <w:tcW w:w="1520" w:type="dxa"/>
            <w:vAlign w:val="bottom"/>
          </w:tcPr>
          <w:p>
            <w:pPr>
              <w:jc w:val="right"/>
              <w:ind w:right="272"/>
              <w:spacing w:after="0"/>
              <w:rPr>
                <w:sz w:val="20"/>
                <w:szCs w:val="20"/>
                <w:color w:val="auto"/>
              </w:rPr>
            </w:pPr>
            <w:r>
              <w:rPr>
                <w:rFonts w:ascii="Arial" w:cs="Arial" w:eastAsia="Arial" w:hAnsi="Arial"/>
                <w:sz w:val="18"/>
                <w:szCs w:val="18"/>
                <w:color w:val="auto"/>
              </w:rPr>
              <w:t>Dec. 31, 2004</w:t>
            </w:r>
          </w:p>
        </w:tc>
      </w:tr>
      <w:tr>
        <w:trPr>
          <w:trHeight w:val="137"/>
        </w:trPr>
        <w:tc>
          <w:tcPr>
            <w:tcW w:w="4540" w:type="dxa"/>
            <w:vAlign w:val="bottom"/>
            <w:tcBorders>
              <w:bottom w:val="single" w:sz="8" w:color="auto"/>
            </w:tcBorders>
          </w:tcPr>
          <w:p>
            <w:pPr>
              <w:spacing w:after="0"/>
              <w:rPr>
                <w:sz w:val="11"/>
                <w:szCs w:val="11"/>
                <w:color w:val="auto"/>
              </w:rPr>
            </w:pPr>
          </w:p>
        </w:tc>
        <w:tc>
          <w:tcPr>
            <w:tcW w:w="1880" w:type="dxa"/>
            <w:vAlign w:val="bottom"/>
            <w:tcBorders>
              <w:bottom w:val="single" w:sz="8" w:color="auto"/>
            </w:tcBorders>
          </w:tcPr>
          <w:p>
            <w:pPr>
              <w:spacing w:after="0"/>
              <w:rPr>
                <w:sz w:val="11"/>
                <w:szCs w:val="11"/>
                <w:color w:val="auto"/>
              </w:rPr>
            </w:pPr>
          </w:p>
        </w:tc>
        <w:tc>
          <w:tcPr>
            <w:tcW w:w="1800" w:type="dxa"/>
            <w:vAlign w:val="bottom"/>
            <w:tcBorders>
              <w:bottom w:val="single" w:sz="8" w:color="auto"/>
            </w:tcBorders>
          </w:tcPr>
          <w:p>
            <w:pPr>
              <w:spacing w:after="0"/>
              <w:rPr>
                <w:sz w:val="11"/>
                <w:szCs w:val="11"/>
                <w:color w:val="auto"/>
              </w:rPr>
            </w:pPr>
          </w:p>
        </w:tc>
        <w:tc>
          <w:tcPr>
            <w:tcW w:w="16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r>
      <w:tr>
        <w:trPr>
          <w:trHeight w:val="343"/>
        </w:trPr>
        <w:tc>
          <w:tcPr>
            <w:tcW w:w="454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8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Cash and non interest bearing deposits in banks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251,491</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240,294</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278,249</w:t>
            </w:r>
          </w:p>
        </w:tc>
        <w:tc>
          <w:tcPr>
            <w:tcW w:w="1520" w:type="dxa"/>
            <w:vAlign w:val="bottom"/>
          </w:tcPr>
          <w:p>
            <w:pPr>
              <w:jc w:val="right"/>
              <w:spacing w:after="0"/>
              <w:rPr>
                <w:sz w:val="20"/>
                <w:szCs w:val="20"/>
                <w:color w:val="auto"/>
              </w:rPr>
            </w:pPr>
            <w:r>
              <w:rPr>
                <w:rFonts w:ascii="Arial" w:cs="Arial" w:eastAsia="Arial" w:hAnsi="Arial"/>
                <w:sz w:val="18"/>
                <w:szCs w:val="18"/>
                <w:color w:val="auto"/>
              </w:rPr>
              <w:t>264,218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Interest bearing deposits in banks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1,488,942</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1,372,436</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1,543,537</w:t>
            </w:r>
          </w:p>
        </w:tc>
        <w:tc>
          <w:tcPr>
            <w:tcW w:w="1520" w:type="dxa"/>
            <w:vAlign w:val="bottom"/>
          </w:tcPr>
          <w:p>
            <w:pPr>
              <w:jc w:val="right"/>
              <w:spacing w:after="0"/>
              <w:rPr>
                <w:sz w:val="20"/>
                <w:szCs w:val="20"/>
                <w:color w:val="auto"/>
              </w:rPr>
            </w:pPr>
            <w:r>
              <w:rPr>
                <w:rFonts w:ascii="Arial" w:cs="Arial" w:eastAsia="Arial" w:hAnsi="Arial"/>
                <w:sz w:val="18"/>
                <w:szCs w:val="18"/>
                <w:color w:val="auto"/>
              </w:rPr>
              <w:t>1,575,241</w:t>
            </w:r>
          </w:p>
        </w:tc>
      </w:tr>
      <w:tr>
        <w:trPr>
          <w:trHeight w:val="243"/>
        </w:trPr>
        <w:tc>
          <w:tcPr>
            <w:tcW w:w="4540" w:type="dxa"/>
            <w:vAlign w:val="bottom"/>
          </w:tcPr>
          <w:p>
            <w:pPr>
              <w:spacing w:after="0"/>
              <w:rPr>
                <w:sz w:val="21"/>
                <w:szCs w:val="21"/>
                <w:color w:val="auto"/>
              </w:rPr>
            </w:pP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1,740,433</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1,612,730</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1,821,786</w:t>
            </w:r>
          </w:p>
        </w:tc>
        <w:tc>
          <w:tcPr>
            <w:tcW w:w="1520" w:type="dxa"/>
            <w:vAlign w:val="bottom"/>
          </w:tcPr>
          <w:p>
            <w:pPr>
              <w:jc w:val="right"/>
              <w:spacing w:after="0"/>
              <w:rPr>
                <w:sz w:val="20"/>
                <w:szCs w:val="20"/>
                <w:color w:val="auto"/>
              </w:rPr>
            </w:pPr>
            <w:r>
              <w:rPr>
                <w:rFonts w:ascii="Arial" w:cs="Arial" w:eastAsia="Arial" w:hAnsi="Arial"/>
                <w:sz w:val="18"/>
                <w:szCs w:val="18"/>
                <w:color w:val="auto"/>
              </w:rPr>
              <w:t>1,839,459</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MARKETABLE SECURITIES, net</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115,721</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127,365</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83,749</w:t>
            </w:r>
          </w:p>
        </w:tc>
        <w:tc>
          <w:tcPr>
            <w:tcW w:w="1520" w:type="dxa"/>
            <w:vAlign w:val="bottom"/>
          </w:tcPr>
          <w:p>
            <w:pPr>
              <w:jc w:val="right"/>
              <w:spacing w:after="0"/>
              <w:rPr>
                <w:sz w:val="20"/>
                <w:szCs w:val="20"/>
                <w:color w:val="auto"/>
              </w:rPr>
            </w:pPr>
            <w:r>
              <w:rPr>
                <w:rFonts w:ascii="Arial" w:cs="Arial" w:eastAsia="Arial" w:hAnsi="Arial"/>
                <w:sz w:val="18"/>
                <w:szCs w:val="18"/>
                <w:color w:val="auto"/>
              </w:rPr>
              <w:t>82,513</w:t>
            </w: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LOANS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4,471,996</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4,481,496</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4,531,648</w:t>
            </w:r>
          </w:p>
        </w:tc>
        <w:tc>
          <w:tcPr>
            <w:tcW w:w="1520" w:type="dxa"/>
            <w:vAlign w:val="bottom"/>
          </w:tcPr>
          <w:p>
            <w:pPr>
              <w:jc w:val="right"/>
              <w:spacing w:after="0"/>
              <w:rPr>
                <w:sz w:val="20"/>
                <w:szCs w:val="20"/>
                <w:color w:val="auto"/>
              </w:rPr>
            </w:pPr>
            <w:r>
              <w:rPr>
                <w:rFonts w:ascii="Arial" w:cs="Arial" w:eastAsia="Arial" w:hAnsi="Arial"/>
                <w:sz w:val="18"/>
                <w:szCs w:val="18"/>
                <w:color w:val="auto"/>
              </w:rPr>
              <w:t>4,587,997</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Current</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4,130,984</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4,225,001</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4,316,616</w:t>
            </w:r>
          </w:p>
        </w:tc>
        <w:tc>
          <w:tcPr>
            <w:tcW w:w="1520" w:type="dxa"/>
            <w:vAlign w:val="bottom"/>
          </w:tcPr>
          <w:p>
            <w:pPr>
              <w:jc w:val="right"/>
              <w:spacing w:after="0"/>
              <w:rPr>
                <w:sz w:val="20"/>
                <w:szCs w:val="20"/>
                <w:color w:val="auto"/>
              </w:rPr>
            </w:pPr>
            <w:r>
              <w:rPr>
                <w:rFonts w:ascii="Arial" w:cs="Arial" w:eastAsia="Arial" w:hAnsi="Arial"/>
                <w:sz w:val="18"/>
                <w:szCs w:val="18"/>
                <w:color w:val="auto"/>
              </w:rPr>
              <w:t>4,427,626</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Past Due</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341,012</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256,495</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215,032</w:t>
            </w:r>
          </w:p>
        </w:tc>
        <w:tc>
          <w:tcPr>
            <w:tcW w:w="1520" w:type="dxa"/>
            <w:vAlign w:val="bottom"/>
          </w:tcPr>
          <w:p>
            <w:pPr>
              <w:jc w:val="right"/>
              <w:spacing w:after="0"/>
              <w:rPr>
                <w:sz w:val="20"/>
                <w:szCs w:val="20"/>
                <w:color w:val="auto"/>
              </w:rPr>
            </w:pPr>
            <w:r>
              <w:rPr>
                <w:rFonts w:ascii="Arial" w:cs="Arial" w:eastAsia="Arial" w:hAnsi="Arial"/>
                <w:sz w:val="18"/>
                <w:szCs w:val="18"/>
                <w:color w:val="auto"/>
              </w:rPr>
              <w:t>160,371</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Less - Reserve for possible loan losses(1)</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(367,538)</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(306,758)</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(262,412)</w:t>
            </w:r>
          </w:p>
        </w:tc>
        <w:tc>
          <w:tcPr>
            <w:tcW w:w="1520" w:type="dxa"/>
            <w:vAlign w:val="bottom"/>
          </w:tcPr>
          <w:p>
            <w:pPr>
              <w:jc w:val="right"/>
              <w:spacing w:after="0"/>
              <w:rPr>
                <w:sz w:val="20"/>
                <w:szCs w:val="20"/>
                <w:color w:val="auto"/>
              </w:rPr>
            </w:pPr>
            <w:r>
              <w:rPr>
                <w:rFonts w:ascii="Arial" w:cs="Arial" w:eastAsia="Arial" w:hAnsi="Arial"/>
                <w:sz w:val="18"/>
                <w:szCs w:val="18"/>
                <w:color w:val="auto"/>
              </w:rPr>
              <w:t>(253,408)</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LOANS NET</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4,104,458</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4,174,738</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4,269,236</w:t>
            </w:r>
          </w:p>
        </w:tc>
        <w:tc>
          <w:tcPr>
            <w:tcW w:w="1520" w:type="dxa"/>
            <w:vAlign w:val="bottom"/>
          </w:tcPr>
          <w:p>
            <w:pPr>
              <w:jc w:val="right"/>
              <w:spacing w:after="0"/>
              <w:rPr>
                <w:sz w:val="20"/>
                <w:szCs w:val="20"/>
                <w:color w:val="auto"/>
              </w:rPr>
            </w:pPr>
            <w:r>
              <w:rPr>
                <w:rFonts w:ascii="Arial" w:cs="Arial" w:eastAsia="Arial" w:hAnsi="Arial"/>
                <w:sz w:val="18"/>
                <w:szCs w:val="18"/>
                <w:color w:val="auto"/>
              </w:rPr>
              <w:t>4,334,589</w:t>
            </w: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INVESTMENT SECURITIES AVAILABLE FOR SALE</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1,493,526</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1,612,887</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1,885,455</w:t>
            </w:r>
          </w:p>
        </w:tc>
        <w:tc>
          <w:tcPr>
            <w:tcW w:w="1520" w:type="dxa"/>
            <w:vAlign w:val="bottom"/>
          </w:tcPr>
          <w:p>
            <w:pPr>
              <w:jc w:val="right"/>
              <w:spacing w:after="0"/>
              <w:rPr>
                <w:sz w:val="20"/>
                <w:szCs w:val="20"/>
                <w:color w:val="auto"/>
              </w:rPr>
            </w:pPr>
            <w:r>
              <w:rPr>
                <w:rFonts w:ascii="Arial" w:cs="Arial" w:eastAsia="Arial" w:hAnsi="Arial"/>
                <w:sz w:val="18"/>
                <w:szCs w:val="18"/>
                <w:color w:val="auto"/>
              </w:rPr>
              <w:t>2,118,690</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REINSURANCE ASSETS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47,142</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45,904</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38,666</w:t>
            </w:r>
          </w:p>
        </w:tc>
        <w:tc>
          <w:tcPr>
            <w:tcW w:w="1520" w:type="dxa"/>
            <w:vAlign w:val="bottom"/>
          </w:tcPr>
          <w:p>
            <w:pPr>
              <w:jc w:val="right"/>
              <w:spacing w:after="0"/>
              <w:rPr>
                <w:sz w:val="20"/>
                <w:szCs w:val="20"/>
                <w:color w:val="auto"/>
              </w:rPr>
            </w:pPr>
            <w:r>
              <w:rPr>
                <w:rFonts w:ascii="Arial" w:cs="Arial" w:eastAsia="Arial" w:hAnsi="Arial"/>
                <w:sz w:val="18"/>
                <w:szCs w:val="18"/>
                <w:color w:val="auto"/>
              </w:rPr>
              <w:t>35,453</w:t>
            </w:r>
          </w:p>
        </w:tc>
      </w:tr>
      <w:tr>
        <w:trPr>
          <w:trHeight w:val="237"/>
        </w:trPr>
        <w:tc>
          <w:tcPr>
            <w:tcW w:w="4540" w:type="dxa"/>
            <w:vAlign w:val="bottom"/>
          </w:tcPr>
          <w:p>
            <w:pPr>
              <w:spacing w:after="0"/>
              <w:rPr>
                <w:sz w:val="20"/>
                <w:szCs w:val="20"/>
                <w:color w:val="auto"/>
              </w:rPr>
            </w:pPr>
            <w:r>
              <w:rPr>
                <w:rFonts w:ascii="Arial" w:cs="Arial" w:eastAsia="Arial" w:hAnsi="Arial"/>
                <w:sz w:val="18"/>
                <w:szCs w:val="18"/>
                <w:color w:val="auto"/>
              </w:rPr>
              <w:t>PREMIUMS AND OTHER POLICYHOLDER</w:t>
            </w:r>
          </w:p>
        </w:tc>
        <w:tc>
          <w:tcPr>
            <w:tcW w:w="18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620" w:type="dxa"/>
            <w:vAlign w:val="bottom"/>
          </w:tcPr>
          <w:p>
            <w:pPr>
              <w:spacing w:after="0"/>
              <w:rPr>
                <w:sz w:val="20"/>
                <w:szCs w:val="20"/>
                <w:color w:val="auto"/>
              </w:rPr>
            </w:pPr>
          </w:p>
        </w:tc>
        <w:tc>
          <w:tcPr>
            <w:tcW w:w="1520" w:type="dxa"/>
            <w:vAlign w:val="bottom"/>
          </w:tcPr>
          <w:p>
            <w:pPr>
              <w:spacing w:after="0"/>
              <w:rPr>
                <w:sz w:val="20"/>
                <w:szCs w:val="20"/>
                <w:color w:val="auto"/>
              </w:rPr>
            </w:pPr>
          </w:p>
        </w:tc>
      </w:tr>
      <w:tr>
        <w:trPr>
          <w:trHeight w:val="222"/>
        </w:trPr>
        <w:tc>
          <w:tcPr>
            <w:tcW w:w="4540" w:type="dxa"/>
            <w:vAlign w:val="bottom"/>
          </w:tcPr>
          <w:p>
            <w:pPr>
              <w:spacing w:after="0"/>
              <w:rPr>
                <w:sz w:val="20"/>
                <w:szCs w:val="20"/>
                <w:color w:val="auto"/>
              </w:rPr>
            </w:pPr>
            <w:r>
              <w:rPr>
                <w:rFonts w:ascii="Arial" w:cs="Arial" w:eastAsia="Arial" w:hAnsi="Arial"/>
                <w:sz w:val="18"/>
                <w:szCs w:val="18"/>
                <w:color w:val="auto"/>
              </w:rPr>
              <w:t>RECEIVABLES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61,212</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60,057</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58,322</w:t>
            </w:r>
          </w:p>
        </w:tc>
        <w:tc>
          <w:tcPr>
            <w:tcW w:w="1520" w:type="dxa"/>
            <w:vAlign w:val="bottom"/>
          </w:tcPr>
          <w:p>
            <w:pPr>
              <w:jc w:val="right"/>
              <w:spacing w:after="0"/>
              <w:rPr>
                <w:sz w:val="20"/>
                <w:szCs w:val="20"/>
                <w:color w:val="auto"/>
              </w:rPr>
            </w:pPr>
            <w:r>
              <w:rPr>
                <w:rFonts w:ascii="Arial" w:cs="Arial" w:eastAsia="Arial" w:hAnsi="Arial"/>
                <w:sz w:val="18"/>
                <w:szCs w:val="18"/>
                <w:color w:val="auto"/>
              </w:rPr>
              <w:t>60,665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268,498</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264,533</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248,129</w:t>
            </w:r>
          </w:p>
        </w:tc>
        <w:tc>
          <w:tcPr>
            <w:tcW w:w="1520" w:type="dxa"/>
            <w:vAlign w:val="bottom"/>
          </w:tcPr>
          <w:p>
            <w:pPr>
              <w:jc w:val="right"/>
              <w:spacing w:after="0"/>
              <w:rPr>
                <w:sz w:val="20"/>
                <w:szCs w:val="20"/>
                <w:color w:val="auto"/>
              </w:rPr>
            </w:pPr>
            <w:r>
              <w:rPr>
                <w:rFonts w:ascii="Arial" w:cs="Arial" w:eastAsia="Arial" w:hAnsi="Arial"/>
                <w:sz w:val="18"/>
                <w:szCs w:val="18"/>
                <w:color w:val="auto"/>
              </w:rPr>
              <w:t>249,083</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DUE FROM CUSTOMERS ON ACCEPTANCES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51,821</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50,178</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51,765</w:t>
            </w:r>
          </w:p>
        </w:tc>
        <w:tc>
          <w:tcPr>
            <w:tcW w:w="1520" w:type="dxa"/>
            <w:vAlign w:val="bottom"/>
          </w:tcPr>
          <w:p>
            <w:pPr>
              <w:jc w:val="right"/>
              <w:spacing w:after="0"/>
              <w:rPr>
                <w:sz w:val="20"/>
                <w:szCs w:val="20"/>
                <w:color w:val="auto"/>
              </w:rPr>
            </w:pPr>
            <w:r>
              <w:rPr>
                <w:rFonts w:ascii="Arial" w:cs="Arial" w:eastAsia="Arial" w:hAnsi="Arial"/>
                <w:sz w:val="18"/>
                <w:szCs w:val="18"/>
                <w:color w:val="auto"/>
              </w:rPr>
              <w:t>47,635</w:t>
            </w:r>
          </w:p>
        </w:tc>
      </w:tr>
      <w:tr>
        <w:trPr>
          <w:trHeight w:val="243"/>
        </w:trPr>
        <w:tc>
          <w:tcPr>
            <w:tcW w:w="4540" w:type="dxa"/>
            <w:vAlign w:val="bottom"/>
          </w:tcPr>
          <w:p>
            <w:pPr>
              <w:spacing w:after="0"/>
              <w:rPr>
                <w:sz w:val="20"/>
                <w:szCs w:val="20"/>
                <w:color w:val="auto"/>
              </w:rPr>
            </w:pPr>
            <w:r>
              <w:rPr>
                <w:rFonts w:ascii="Arial" w:cs="Arial" w:eastAsia="Arial" w:hAnsi="Arial"/>
                <w:sz w:val="18"/>
                <w:szCs w:val="18"/>
                <w:color w:val="auto"/>
              </w:rPr>
              <w:t>OTHER ASSETS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361,416</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370,672</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349,188</w:t>
            </w:r>
          </w:p>
        </w:tc>
        <w:tc>
          <w:tcPr>
            <w:tcW w:w="1520" w:type="dxa"/>
            <w:vAlign w:val="bottom"/>
          </w:tcPr>
          <w:p>
            <w:pPr>
              <w:jc w:val="right"/>
              <w:spacing w:after="0"/>
              <w:rPr>
                <w:sz w:val="20"/>
                <w:szCs w:val="20"/>
                <w:color w:val="auto"/>
              </w:rPr>
            </w:pPr>
            <w:r>
              <w:rPr>
                <w:rFonts w:ascii="Arial" w:cs="Arial" w:eastAsia="Arial" w:hAnsi="Arial"/>
                <w:sz w:val="18"/>
                <w:szCs w:val="18"/>
                <w:color w:val="auto"/>
              </w:rPr>
              <w:t>352,501</w:t>
            </w:r>
          </w:p>
        </w:tc>
      </w:tr>
      <w:tr>
        <w:trPr>
          <w:trHeight w:val="486"/>
        </w:trPr>
        <w:tc>
          <w:tcPr>
            <w:tcW w:w="4540" w:type="dxa"/>
            <w:vAlign w:val="bottom"/>
          </w:tcPr>
          <w:p>
            <w:pPr>
              <w:spacing w:after="0"/>
              <w:rPr>
                <w:sz w:val="20"/>
                <w:szCs w:val="20"/>
                <w:color w:val="auto"/>
              </w:rPr>
            </w:pPr>
            <w:r>
              <w:rPr>
                <w:rFonts w:ascii="Arial" w:cs="Arial" w:eastAsia="Arial" w:hAnsi="Arial"/>
                <w:sz w:val="18"/>
                <w:szCs w:val="18"/>
                <w:color w:val="auto"/>
              </w:rPr>
              <w:t>TOTAL ASSETS</w:t>
            </w:r>
          </w:p>
        </w:tc>
        <w:tc>
          <w:tcPr>
            <w:tcW w:w="1880" w:type="dxa"/>
            <w:vAlign w:val="bottom"/>
          </w:tcPr>
          <w:p>
            <w:pPr>
              <w:jc w:val="right"/>
              <w:ind w:right="112"/>
              <w:spacing w:after="0"/>
              <w:rPr>
                <w:sz w:val="20"/>
                <w:szCs w:val="20"/>
                <w:color w:val="auto"/>
              </w:rPr>
            </w:pPr>
            <w:r>
              <w:rPr>
                <w:rFonts w:ascii="Arial" w:cs="Arial" w:eastAsia="Arial" w:hAnsi="Arial"/>
                <w:sz w:val="18"/>
                <w:szCs w:val="18"/>
                <w:color w:val="auto"/>
              </w:rPr>
              <w:t>8,244,227</w:t>
            </w:r>
          </w:p>
        </w:tc>
        <w:tc>
          <w:tcPr>
            <w:tcW w:w="1800" w:type="dxa"/>
            <w:vAlign w:val="bottom"/>
          </w:tcPr>
          <w:p>
            <w:pPr>
              <w:jc w:val="right"/>
              <w:ind w:right="192"/>
              <w:spacing w:after="0"/>
              <w:rPr>
                <w:sz w:val="20"/>
                <w:szCs w:val="20"/>
                <w:color w:val="auto"/>
              </w:rPr>
            </w:pPr>
            <w:r>
              <w:rPr>
                <w:rFonts w:ascii="Arial" w:cs="Arial" w:eastAsia="Arial" w:hAnsi="Arial"/>
                <w:sz w:val="18"/>
                <w:szCs w:val="18"/>
                <w:color w:val="auto"/>
              </w:rPr>
              <w:t>8,319,064</w:t>
            </w:r>
          </w:p>
        </w:tc>
        <w:tc>
          <w:tcPr>
            <w:tcW w:w="1620" w:type="dxa"/>
            <w:vAlign w:val="bottom"/>
          </w:tcPr>
          <w:p>
            <w:pPr>
              <w:jc w:val="right"/>
              <w:ind w:right="92"/>
              <w:spacing w:after="0"/>
              <w:rPr>
                <w:sz w:val="20"/>
                <w:szCs w:val="20"/>
                <w:color w:val="auto"/>
              </w:rPr>
            </w:pPr>
            <w:r>
              <w:rPr>
                <w:rFonts w:ascii="Arial" w:cs="Arial" w:eastAsia="Arial" w:hAnsi="Arial"/>
                <w:sz w:val="18"/>
                <w:szCs w:val="18"/>
                <w:color w:val="auto"/>
              </w:rPr>
              <w:t>8,806,296</w:t>
            </w:r>
          </w:p>
        </w:tc>
        <w:tc>
          <w:tcPr>
            <w:tcW w:w="1520" w:type="dxa"/>
            <w:vAlign w:val="bottom"/>
          </w:tcPr>
          <w:p>
            <w:pPr>
              <w:jc w:val="right"/>
              <w:spacing w:after="0"/>
              <w:rPr>
                <w:sz w:val="20"/>
                <w:szCs w:val="20"/>
                <w:color w:val="auto"/>
              </w:rPr>
            </w:pPr>
            <w:r>
              <w:rPr>
                <w:rFonts w:ascii="Arial" w:cs="Arial" w:eastAsia="Arial" w:hAnsi="Arial"/>
                <w:sz w:val="18"/>
                <w:szCs w:val="18"/>
                <w:color w:val="auto"/>
              </w:rPr>
              <w:t>9,120,588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98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74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200" w:type="dxa"/>
            <w:vAlign w:val="bottom"/>
          </w:tcPr>
          <w:p>
            <w:pPr>
              <w:spacing w:after="0"/>
              <w:rPr>
                <w:sz w:val="19"/>
                <w:szCs w:val="19"/>
                <w:color w:val="auto"/>
              </w:rPr>
            </w:pPr>
          </w:p>
        </w:tc>
      </w:tr>
      <w:tr>
        <w:trPr>
          <w:trHeight w:val="486"/>
        </w:trPr>
        <w:tc>
          <w:tcPr>
            <w:tcW w:w="498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74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Non-interest bearing</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813,726</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860,585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813,737</w:t>
            </w:r>
          </w:p>
        </w:tc>
        <w:tc>
          <w:tcPr>
            <w:tcW w:w="1200" w:type="dxa"/>
            <w:vAlign w:val="bottom"/>
          </w:tcPr>
          <w:p>
            <w:pPr>
              <w:jc w:val="right"/>
              <w:spacing w:after="0"/>
              <w:rPr>
                <w:sz w:val="20"/>
                <w:szCs w:val="20"/>
                <w:color w:val="auto"/>
              </w:rPr>
            </w:pPr>
            <w:r>
              <w:rPr>
                <w:rFonts w:ascii="Arial" w:cs="Arial" w:eastAsia="Arial" w:hAnsi="Arial"/>
                <w:sz w:val="18"/>
                <w:szCs w:val="18"/>
                <w:color w:val="auto"/>
              </w:rPr>
              <w:t>1,406,846</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Interest bearing</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5,076,358</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5,125,645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5,391,114</w:t>
            </w:r>
          </w:p>
        </w:tc>
        <w:tc>
          <w:tcPr>
            <w:tcW w:w="1200" w:type="dxa"/>
            <w:vAlign w:val="bottom"/>
          </w:tcPr>
          <w:p>
            <w:pPr>
              <w:jc w:val="right"/>
              <w:spacing w:after="0"/>
              <w:rPr>
                <w:sz w:val="20"/>
                <w:szCs w:val="20"/>
                <w:color w:val="auto"/>
              </w:rPr>
            </w:pPr>
            <w:r>
              <w:rPr>
                <w:rFonts w:ascii="Arial" w:cs="Arial" w:eastAsia="Arial" w:hAnsi="Arial"/>
                <w:sz w:val="18"/>
                <w:szCs w:val="18"/>
                <w:color w:val="auto"/>
              </w:rPr>
              <w:t>4,983,883</w:t>
            </w:r>
          </w:p>
        </w:tc>
      </w:tr>
      <w:tr>
        <w:trPr>
          <w:trHeight w:val="243"/>
        </w:trPr>
        <w:tc>
          <w:tcPr>
            <w:tcW w:w="4980" w:type="dxa"/>
            <w:vAlign w:val="bottom"/>
          </w:tcPr>
          <w:p>
            <w:pPr>
              <w:spacing w:after="0"/>
              <w:rPr>
                <w:sz w:val="21"/>
                <w:szCs w:val="21"/>
                <w:color w:val="auto"/>
              </w:rPr>
            </w:pP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5,890,084</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5,986,230</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6,204,851</w:t>
            </w:r>
          </w:p>
        </w:tc>
        <w:tc>
          <w:tcPr>
            <w:tcW w:w="1200" w:type="dxa"/>
            <w:vAlign w:val="bottom"/>
          </w:tcPr>
          <w:p>
            <w:pPr>
              <w:jc w:val="right"/>
              <w:spacing w:after="0"/>
              <w:rPr>
                <w:sz w:val="20"/>
                <w:szCs w:val="20"/>
                <w:color w:val="auto"/>
              </w:rPr>
            </w:pPr>
            <w:r>
              <w:rPr>
                <w:rFonts w:ascii="Arial" w:cs="Arial" w:eastAsia="Arial" w:hAnsi="Arial"/>
                <w:sz w:val="18"/>
                <w:szCs w:val="18"/>
                <w:color w:val="auto"/>
              </w:rPr>
              <w:t>6,390,729</w:t>
            </w:r>
          </w:p>
        </w:tc>
      </w:tr>
      <w:tr>
        <w:trPr>
          <w:trHeight w:val="486"/>
        </w:trPr>
        <w:tc>
          <w:tcPr>
            <w:tcW w:w="498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279,660</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273,234</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349,147</w:t>
            </w:r>
          </w:p>
        </w:tc>
        <w:tc>
          <w:tcPr>
            <w:tcW w:w="1200" w:type="dxa"/>
            <w:vAlign w:val="bottom"/>
          </w:tcPr>
          <w:p>
            <w:pPr>
              <w:jc w:val="right"/>
              <w:spacing w:after="0"/>
              <w:rPr>
                <w:sz w:val="20"/>
                <w:szCs w:val="20"/>
                <w:color w:val="auto"/>
              </w:rPr>
            </w:pPr>
            <w:r>
              <w:rPr>
                <w:rFonts w:ascii="Arial" w:cs="Arial" w:eastAsia="Arial" w:hAnsi="Arial"/>
                <w:sz w:val="18"/>
                <w:szCs w:val="18"/>
                <w:color w:val="auto"/>
              </w:rPr>
              <w:t>392,511</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ACCEPTANCES OUTSTANDING</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51,821</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50,178</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51,765</w:t>
            </w:r>
          </w:p>
        </w:tc>
        <w:tc>
          <w:tcPr>
            <w:tcW w:w="1200" w:type="dxa"/>
            <w:vAlign w:val="bottom"/>
          </w:tcPr>
          <w:p>
            <w:pPr>
              <w:jc w:val="right"/>
              <w:spacing w:after="0"/>
              <w:rPr>
                <w:sz w:val="20"/>
                <w:szCs w:val="20"/>
                <w:color w:val="auto"/>
              </w:rPr>
            </w:pPr>
            <w:r>
              <w:rPr>
                <w:rFonts w:ascii="Arial" w:cs="Arial" w:eastAsia="Arial" w:hAnsi="Arial"/>
                <w:sz w:val="18"/>
                <w:szCs w:val="18"/>
                <w:color w:val="auto"/>
              </w:rPr>
              <w:t>47,635</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RESERVE FOR PROPERTY AND CASUALTY CLAIMS</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289,245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303,587</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381,492</w:t>
            </w:r>
          </w:p>
        </w:tc>
        <w:tc>
          <w:tcPr>
            <w:tcW w:w="1200" w:type="dxa"/>
            <w:vAlign w:val="bottom"/>
          </w:tcPr>
          <w:p>
            <w:pPr>
              <w:jc w:val="right"/>
              <w:spacing w:after="0"/>
              <w:rPr>
                <w:sz w:val="20"/>
                <w:szCs w:val="20"/>
                <w:color w:val="auto"/>
              </w:rPr>
            </w:pPr>
            <w:r>
              <w:rPr>
                <w:rFonts w:ascii="Arial" w:cs="Arial" w:eastAsia="Arial" w:hAnsi="Arial"/>
                <w:sz w:val="18"/>
                <w:szCs w:val="18"/>
                <w:color w:val="auto"/>
              </w:rPr>
              <w:t>398,439</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RESERVE FOR UNEARNED PREMIUMS</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63,905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66,084</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62,095</w:t>
            </w:r>
          </w:p>
        </w:tc>
        <w:tc>
          <w:tcPr>
            <w:tcW w:w="1200" w:type="dxa"/>
            <w:vAlign w:val="bottom"/>
          </w:tcPr>
          <w:p>
            <w:pPr>
              <w:jc w:val="right"/>
              <w:spacing w:after="0"/>
              <w:rPr>
                <w:sz w:val="20"/>
                <w:szCs w:val="20"/>
                <w:color w:val="auto"/>
              </w:rPr>
            </w:pPr>
            <w:r>
              <w:rPr>
                <w:rFonts w:ascii="Arial" w:cs="Arial" w:eastAsia="Arial" w:hAnsi="Arial"/>
                <w:sz w:val="18"/>
                <w:szCs w:val="18"/>
                <w:color w:val="auto"/>
              </w:rPr>
              <w:t>66,678</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REINSURANCE PAYABLE</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43,737</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33,043</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30,157</w:t>
            </w:r>
          </w:p>
        </w:tc>
        <w:tc>
          <w:tcPr>
            <w:tcW w:w="1200" w:type="dxa"/>
            <w:vAlign w:val="bottom"/>
          </w:tcPr>
          <w:p>
            <w:pPr>
              <w:jc w:val="right"/>
              <w:spacing w:after="0"/>
              <w:rPr>
                <w:sz w:val="20"/>
                <w:szCs w:val="20"/>
                <w:color w:val="auto"/>
              </w:rPr>
            </w:pPr>
            <w:r>
              <w:rPr>
                <w:rFonts w:ascii="Arial" w:cs="Arial" w:eastAsia="Arial" w:hAnsi="Arial"/>
                <w:sz w:val="18"/>
                <w:szCs w:val="18"/>
                <w:color w:val="auto"/>
              </w:rPr>
              <w:t>23,612</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BONDS AND SUBORDINATED DEBT (2)</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367,914</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419,461</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424,889</w:t>
            </w:r>
          </w:p>
        </w:tc>
        <w:tc>
          <w:tcPr>
            <w:tcW w:w="1200" w:type="dxa"/>
            <w:vAlign w:val="bottom"/>
          </w:tcPr>
          <w:p>
            <w:pPr>
              <w:jc w:val="right"/>
              <w:spacing w:after="0"/>
              <w:rPr>
                <w:sz w:val="20"/>
                <w:szCs w:val="20"/>
                <w:color w:val="auto"/>
              </w:rPr>
            </w:pPr>
            <w:r>
              <w:rPr>
                <w:rFonts w:ascii="Arial" w:cs="Arial" w:eastAsia="Arial" w:hAnsi="Arial"/>
                <w:sz w:val="18"/>
                <w:szCs w:val="18"/>
                <w:color w:val="auto"/>
              </w:rPr>
              <w:t>424,227</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OTHER LIABILITIES</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293,915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203,673</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222,475</w:t>
            </w:r>
          </w:p>
        </w:tc>
        <w:tc>
          <w:tcPr>
            <w:tcW w:w="1200" w:type="dxa"/>
            <w:vAlign w:val="bottom"/>
          </w:tcPr>
          <w:p>
            <w:pPr>
              <w:jc w:val="right"/>
              <w:spacing w:after="0"/>
              <w:rPr>
                <w:sz w:val="20"/>
                <w:szCs w:val="20"/>
                <w:color w:val="auto"/>
              </w:rPr>
            </w:pPr>
            <w:r>
              <w:rPr>
                <w:rFonts w:ascii="Arial" w:cs="Arial" w:eastAsia="Arial" w:hAnsi="Arial"/>
                <w:sz w:val="18"/>
                <w:szCs w:val="18"/>
                <w:color w:val="auto"/>
              </w:rPr>
              <w:t>226,307</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MINORITY INTEREST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71,723</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72,841</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77,776</w:t>
            </w:r>
          </w:p>
        </w:tc>
        <w:tc>
          <w:tcPr>
            <w:tcW w:w="1200" w:type="dxa"/>
            <w:vAlign w:val="bottom"/>
          </w:tcPr>
          <w:p>
            <w:pPr>
              <w:jc w:val="right"/>
              <w:spacing w:after="0"/>
              <w:rPr>
                <w:sz w:val="20"/>
                <w:szCs w:val="20"/>
                <w:color w:val="auto"/>
              </w:rPr>
            </w:pPr>
            <w:r>
              <w:rPr>
                <w:rFonts w:ascii="Arial" w:cs="Arial" w:eastAsia="Arial" w:hAnsi="Arial"/>
                <w:sz w:val="18"/>
                <w:szCs w:val="18"/>
                <w:color w:val="auto"/>
              </w:rPr>
              <w:t>85,253</w:t>
            </w:r>
          </w:p>
        </w:tc>
      </w:tr>
      <w:tr>
        <w:trPr>
          <w:trHeight w:val="486"/>
        </w:trPr>
        <w:tc>
          <w:tcPr>
            <w:tcW w:w="4980" w:type="dxa"/>
            <w:vAlign w:val="bottom"/>
          </w:tcPr>
          <w:p>
            <w:pPr>
              <w:spacing w:after="0"/>
              <w:rPr>
                <w:sz w:val="20"/>
                <w:szCs w:val="20"/>
                <w:color w:val="auto"/>
              </w:rPr>
            </w:pPr>
            <w:r>
              <w:rPr>
                <w:rFonts w:ascii="Arial" w:cs="Arial" w:eastAsia="Arial" w:hAnsi="Arial"/>
                <w:sz w:val="18"/>
                <w:szCs w:val="18"/>
                <w:color w:val="auto"/>
              </w:rPr>
              <w:t>TOTAL LIABILITIES</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7,352,004</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7,408,331</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7,804,647</w:t>
            </w:r>
          </w:p>
        </w:tc>
        <w:tc>
          <w:tcPr>
            <w:tcW w:w="1200" w:type="dxa"/>
            <w:vAlign w:val="bottom"/>
          </w:tcPr>
          <w:p>
            <w:pPr>
              <w:jc w:val="right"/>
              <w:spacing w:after="0"/>
              <w:rPr>
                <w:sz w:val="20"/>
                <w:szCs w:val="20"/>
                <w:color w:val="auto"/>
              </w:rPr>
            </w:pPr>
            <w:r>
              <w:rPr>
                <w:rFonts w:ascii="Arial" w:cs="Arial" w:eastAsia="Arial" w:hAnsi="Arial"/>
                <w:sz w:val="18"/>
                <w:szCs w:val="18"/>
                <w:color w:val="auto"/>
              </w:rPr>
              <w:t>8,055,391</w:t>
            </w:r>
          </w:p>
        </w:tc>
      </w:tr>
      <w:tr>
        <w:trPr>
          <w:trHeight w:val="486"/>
        </w:trPr>
        <w:tc>
          <w:tcPr>
            <w:tcW w:w="4980" w:type="dxa"/>
            <w:vAlign w:val="bottom"/>
          </w:tcPr>
          <w:p>
            <w:pPr>
              <w:spacing w:after="0"/>
              <w:rPr>
                <w:sz w:val="20"/>
                <w:szCs w:val="20"/>
                <w:color w:val="auto"/>
              </w:rPr>
            </w:pPr>
            <w:r>
              <w:rPr>
                <w:rFonts w:ascii="Arial" w:cs="Arial" w:eastAsia="Arial" w:hAnsi="Arial"/>
                <w:sz w:val="18"/>
                <w:szCs w:val="18"/>
                <w:color w:val="auto"/>
              </w:rPr>
              <w:t>NET SHAREHOLDERS' EQUITY</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892,223</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910,733</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1,001,649</w:t>
            </w:r>
          </w:p>
        </w:tc>
        <w:tc>
          <w:tcPr>
            <w:tcW w:w="1200" w:type="dxa"/>
            <w:vAlign w:val="bottom"/>
          </w:tcPr>
          <w:p>
            <w:pPr>
              <w:jc w:val="right"/>
              <w:spacing w:after="0"/>
              <w:rPr>
                <w:sz w:val="20"/>
                <w:szCs w:val="20"/>
                <w:color w:val="auto"/>
              </w:rPr>
            </w:pPr>
            <w:r>
              <w:rPr>
                <w:rFonts w:ascii="Arial" w:cs="Arial" w:eastAsia="Arial" w:hAnsi="Arial"/>
                <w:sz w:val="18"/>
                <w:szCs w:val="18"/>
                <w:color w:val="auto"/>
              </w:rPr>
              <w:t>1,065,197</w:t>
            </w:r>
          </w:p>
        </w:tc>
      </w:tr>
      <w:tr>
        <w:trPr>
          <w:trHeight w:val="486"/>
        </w:trPr>
        <w:tc>
          <w:tcPr>
            <w:tcW w:w="4980" w:type="dxa"/>
            <w:vAlign w:val="bottom"/>
          </w:tcPr>
          <w:p>
            <w:pPr>
              <w:spacing w:after="0"/>
              <w:rPr>
                <w:sz w:val="20"/>
                <w:szCs w:val="20"/>
                <w:color w:val="auto"/>
              </w:rPr>
            </w:pPr>
            <w:r>
              <w:rPr>
                <w:rFonts w:ascii="Arial" w:cs="Arial" w:eastAsia="Arial" w:hAnsi="Arial"/>
                <w:sz w:val="18"/>
                <w:szCs w:val="18"/>
                <w:color w:val="auto"/>
              </w:rPr>
              <w:t>TOTAL LIABILITIES and NET SHAREHOLDERS' EQUITY</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8,244,227</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8,319,064</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8,806,296</w:t>
            </w:r>
          </w:p>
        </w:tc>
        <w:tc>
          <w:tcPr>
            <w:tcW w:w="1200" w:type="dxa"/>
            <w:vAlign w:val="bottom"/>
          </w:tcPr>
          <w:p>
            <w:pPr>
              <w:jc w:val="right"/>
              <w:spacing w:after="0"/>
              <w:rPr>
                <w:sz w:val="20"/>
                <w:szCs w:val="20"/>
                <w:color w:val="auto"/>
              </w:rPr>
            </w:pPr>
            <w:r>
              <w:rPr>
                <w:rFonts w:ascii="Arial" w:cs="Arial" w:eastAsia="Arial" w:hAnsi="Arial"/>
                <w:sz w:val="18"/>
                <w:szCs w:val="18"/>
                <w:color w:val="auto"/>
              </w:rPr>
              <w:t>9,120,588</w:t>
            </w:r>
          </w:p>
        </w:tc>
      </w:tr>
      <w:tr>
        <w:trPr>
          <w:trHeight w:val="486"/>
        </w:trPr>
        <w:tc>
          <w:tcPr>
            <w:tcW w:w="4980" w:type="dxa"/>
            <w:vAlign w:val="bottom"/>
          </w:tcPr>
          <w:p>
            <w:pPr>
              <w:spacing w:after="0"/>
              <w:rPr>
                <w:sz w:val="20"/>
                <w:szCs w:val="20"/>
                <w:color w:val="auto"/>
              </w:rPr>
            </w:pPr>
            <w:r>
              <w:rPr>
                <w:rFonts w:ascii="Arial" w:cs="Arial" w:eastAsia="Arial" w:hAnsi="Arial"/>
                <w:sz w:val="18"/>
                <w:szCs w:val="18"/>
                <w:color w:val="auto"/>
              </w:rPr>
              <w:t>CONTINGENT CREDITS</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1,373,995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1,768,605</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1,765,015</w:t>
            </w:r>
          </w:p>
        </w:tc>
        <w:tc>
          <w:tcPr>
            <w:tcW w:w="1200" w:type="dxa"/>
            <w:vAlign w:val="bottom"/>
          </w:tcPr>
          <w:p>
            <w:pPr>
              <w:jc w:val="right"/>
              <w:spacing w:after="0"/>
              <w:rPr>
                <w:sz w:val="20"/>
                <w:szCs w:val="20"/>
                <w:color w:val="auto"/>
              </w:rPr>
            </w:pPr>
            <w:r>
              <w:rPr>
                <w:rFonts w:ascii="Arial" w:cs="Arial" w:eastAsia="Arial" w:hAnsi="Arial"/>
                <w:sz w:val="18"/>
                <w:szCs w:val="18"/>
                <w:color w:val="auto"/>
              </w:rPr>
              <w:t>2,017,731</w:t>
            </w:r>
          </w:p>
        </w:tc>
      </w:tr>
      <w:tr>
        <w:trPr>
          <w:trHeight w:val="243"/>
        </w:trPr>
        <w:tc>
          <w:tcPr>
            <w:tcW w:w="4980" w:type="dxa"/>
            <w:vAlign w:val="bottom"/>
          </w:tcPr>
          <w:p>
            <w:pPr>
              <w:spacing w:after="0"/>
              <w:rPr>
                <w:sz w:val="20"/>
                <w:szCs w:val="20"/>
                <w:color w:val="auto"/>
              </w:rPr>
            </w:pPr>
            <w:r>
              <w:rPr>
                <w:rFonts w:ascii="Arial" w:cs="Arial" w:eastAsia="Arial" w:hAnsi="Arial"/>
                <w:sz w:val="18"/>
                <w:szCs w:val="18"/>
                <w:color w:val="auto"/>
              </w:rPr>
              <w:t>FUNDS UNDER MANAGEMENT</w:t>
            </w:r>
          </w:p>
        </w:tc>
        <w:tc>
          <w:tcPr>
            <w:tcW w:w="1740" w:type="dxa"/>
            <w:vAlign w:val="bottom"/>
          </w:tcPr>
          <w:p>
            <w:pPr>
              <w:jc w:val="right"/>
              <w:ind w:right="412"/>
              <w:spacing w:after="0"/>
              <w:rPr>
                <w:sz w:val="20"/>
                <w:szCs w:val="20"/>
                <w:color w:val="auto"/>
              </w:rPr>
            </w:pPr>
            <w:r>
              <w:rPr>
                <w:rFonts w:ascii="Arial" w:cs="Arial" w:eastAsia="Arial" w:hAnsi="Arial"/>
                <w:sz w:val="18"/>
                <w:szCs w:val="18"/>
                <w:color w:val="auto"/>
              </w:rPr>
              <w:t>1,618,763</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1,724,130</w:t>
            </w:r>
          </w:p>
        </w:tc>
        <w:tc>
          <w:tcPr>
            <w:tcW w:w="1720" w:type="dxa"/>
            <w:vAlign w:val="bottom"/>
          </w:tcPr>
          <w:p>
            <w:pPr>
              <w:jc w:val="right"/>
              <w:ind w:right="412"/>
              <w:spacing w:after="0"/>
              <w:rPr>
                <w:sz w:val="20"/>
                <w:szCs w:val="20"/>
                <w:color w:val="auto"/>
              </w:rPr>
            </w:pPr>
            <w:r>
              <w:rPr>
                <w:rFonts w:ascii="Arial" w:cs="Arial" w:eastAsia="Arial" w:hAnsi="Arial"/>
                <w:sz w:val="18"/>
                <w:szCs w:val="18"/>
                <w:color w:val="auto"/>
              </w:rPr>
              <w:t>1,705,826</w:t>
            </w:r>
          </w:p>
        </w:tc>
        <w:tc>
          <w:tcPr>
            <w:tcW w:w="1200" w:type="dxa"/>
            <w:vAlign w:val="bottom"/>
          </w:tcPr>
          <w:p>
            <w:pPr>
              <w:jc w:val="right"/>
              <w:spacing w:after="0"/>
              <w:rPr>
                <w:sz w:val="20"/>
                <w:szCs w:val="20"/>
                <w:color w:val="auto"/>
              </w:rPr>
            </w:pPr>
            <w:r>
              <w:rPr>
                <w:rFonts w:ascii="Arial" w:cs="Arial" w:eastAsia="Arial" w:hAnsi="Arial"/>
                <w:sz w:val="18"/>
                <w:szCs w:val="18"/>
                <w:color w:val="auto"/>
              </w:rPr>
              <w:t>1,796,126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86995</wp:posOffset>
            </wp:positionV>
            <wp:extent cx="721233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Does not include provisons for contingent credits, now reported within Other liabilities.</w:t>
      </w:r>
    </w:p>
    <w:p>
      <w:pPr>
        <w:spacing w:after="0" w:line="15"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 prior periods this concept was reported within Deposits and Obligations and Other liabilities.</w:t>
      </w:r>
    </w:p>
    <w:p>
      <w:pPr>
        <w:sectPr>
          <w:pgSz w:w="11900" w:h="16838" w:orient="portrait"/>
          <w:cols w:equalWidth="0" w:num="1">
            <w:col w:w="11400"/>
          </w:cols>
          <w:pgMar w:left="240" w:top="131" w:right="259" w:bottom="1440" w:gutter="0" w:footer="0" w:header="0"/>
        </w:sectPr>
      </w:pPr>
    </w:p>
    <w:bookmarkStart w:id="16" w:name="page17"/>
    <w:bookmarkEnd w:id="16"/>
    <w:p>
      <w:pPr>
        <w:jc w:val="center"/>
        <w:ind w:right="-19"/>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 thousands of U.S.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492"/>
              <w:spacing w:after="0"/>
              <w:rPr>
                <w:sz w:val="20"/>
                <w:szCs w:val="20"/>
                <w:color w:val="auto"/>
              </w:rPr>
            </w:pPr>
            <w:r>
              <w:rPr>
                <w:rFonts w:ascii="Arial" w:cs="Arial" w:eastAsia="Arial" w:hAnsi="Arial"/>
                <w:sz w:val="18"/>
                <w:szCs w:val="18"/>
                <w:color w:val="auto"/>
              </w:rPr>
              <w:t>Twelve months ended</w:t>
            </w:r>
          </w:p>
        </w:tc>
      </w:tr>
      <w:tr>
        <w:trPr>
          <w:trHeight w:val="151"/>
        </w:trPr>
        <w:tc>
          <w:tcPr>
            <w:tcW w:w="452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356"/>
        </w:trPr>
        <w:tc>
          <w:tcPr>
            <w:tcW w:w="4520" w:type="dxa"/>
            <w:vAlign w:val="bottom"/>
          </w:tcPr>
          <w:p>
            <w:pPr>
              <w:spacing w:after="0"/>
              <w:rPr>
                <w:sz w:val="24"/>
                <w:szCs w:val="24"/>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400" w:type="dxa"/>
            <w:vAlign w:val="bottom"/>
          </w:tcPr>
          <w:p>
            <w:pPr>
              <w:jc w:val="right"/>
              <w:ind w:right="492"/>
              <w:spacing w:after="0"/>
              <w:rPr>
                <w:sz w:val="20"/>
                <w:szCs w:val="20"/>
                <w:color w:val="auto"/>
              </w:rPr>
            </w:pPr>
            <w:r>
              <w:rPr>
                <w:rFonts w:ascii="Arial" w:cs="Arial" w:eastAsia="Arial" w:hAnsi="Arial"/>
                <w:sz w:val="18"/>
                <w:szCs w:val="18"/>
                <w:color w:val="auto"/>
              </w:rPr>
              <w:t>30.09.04</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31.12.04</w:t>
            </w:r>
          </w:p>
        </w:tc>
        <w:tc>
          <w:tcPr>
            <w:tcW w:w="40" w:type="dxa"/>
            <w:vAlign w:val="bottom"/>
          </w:tcPr>
          <w:p>
            <w:pPr>
              <w:spacing w:after="0"/>
              <w:rPr>
                <w:sz w:val="24"/>
                <w:szCs w:val="24"/>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31.12.04</w:t>
            </w:r>
          </w:p>
        </w:tc>
      </w:tr>
      <w:tr>
        <w:trPr>
          <w:trHeight w:val="137"/>
        </w:trPr>
        <w:tc>
          <w:tcPr>
            <w:tcW w:w="45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INTEREST INCOME</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on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109,896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108,052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114,001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444,325</w:t>
            </w:r>
          </w:p>
        </w:tc>
        <w:tc>
          <w:tcPr>
            <w:tcW w:w="1180" w:type="dxa"/>
            <w:vAlign w:val="bottom"/>
          </w:tcPr>
          <w:p>
            <w:pPr>
              <w:jc w:val="right"/>
              <w:spacing w:after="0"/>
              <w:rPr>
                <w:sz w:val="20"/>
                <w:szCs w:val="20"/>
                <w:color w:val="auto"/>
              </w:rPr>
            </w:pPr>
            <w:r>
              <w:rPr>
                <w:rFonts w:ascii="Arial" w:cs="Arial" w:eastAsia="Arial" w:hAnsi="Arial"/>
                <w:sz w:val="18"/>
                <w:szCs w:val="18"/>
                <w:color w:val="auto"/>
              </w:rPr>
              <w:t>426,537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and dividends on investments:</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822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(401)</w:t>
            </w:r>
          </w:p>
        </w:tc>
        <w:tc>
          <w:tcPr>
            <w:tcW w:w="1160" w:type="dxa"/>
            <w:vAlign w:val="bottom"/>
          </w:tcPr>
          <w:p>
            <w:pPr>
              <w:jc w:val="right"/>
              <w:spacing w:after="0"/>
              <w:rPr>
                <w:sz w:val="20"/>
                <w:szCs w:val="20"/>
                <w:color w:val="auto"/>
              </w:rPr>
            </w:pPr>
            <w:r>
              <w:rPr>
                <w:rFonts w:ascii="Arial" w:cs="Arial" w:eastAsia="Arial" w:hAnsi="Arial"/>
                <w:sz w:val="18"/>
                <w:szCs w:val="18"/>
                <w:color w:val="auto"/>
              </w:rPr>
              <w:t>2,534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1,977</w:t>
            </w:r>
          </w:p>
        </w:tc>
        <w:tc>
          <w:tcPr>
            <w:tcW w:w="1180" w:type="dxa"/>
            <w:vAlign w:val="bottom"/>
          </w:tcPr>
          <w:p>
            <w:pPr>
              <w:jc w:val="right"/>
              <w:spacing w:after="0"/>
              <w:rPr>
                <w:sz w:val="20"/>
                <w:szCs w:val="20"/>
                <w:color w:val="auto"/>
              </w:rPr>
            </w:pPr>
            <w:r>
              <w:rPr>
                <w:rFonts w:ascii="Arial" w:cs="Arial" w:eastAsia="Arial" w:hAnsi="Arial"/>
                <w:sz w:val="18"/>
                <w:szCs w:val="18"/>
                <w:color w:val="auto"/>
              </w:rPr>
              <w:t>3,492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on deposits with banks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4,525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5,878</w:t>
            </w:r>
          </w:p>
        </w:tc>
        <w:tc>
          <w:tcPr>
            <w:tcW w:w="1160" w:type="dxa"/>
            <w:vAlign w:val="bottom"/>
          </w:tcPr>
          <w:p>
            <w:pPr>
              <w:jc w:val="right"/>
              <w:spacing w:after="0"/>
              <w:rPr>
                <w:sz w:val="20"/>
                <w:szCs w:val="20"/>
                <w:color w:val="auto"/>
              </w:rPr>
            </w:pPr>
            <w:r>
              <w:rPr>
                <w:rFonts w:ascii="Arial" w:cs="Arial" w:eastAsia="Arial" w:hAnsi="Arial"/>
                <w:sz w:val="18"/>
                <w:szCs w:val="18"/>
                <w:color w:val="auto"/>
              </w:rPr>
              <w:t>7,096</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18,826</w:t>
            </w:r>
          </w:p>
        </w:tc>
        <w:tc>
          <w:tcPr>
            <w:tcW w:w="1180" w:type="dxa"/>
            <w:vAlign w:val="bottom"/>
          </w:tcPr>
          <w:p>
            <w:pPr>
              <w:jc w:val="right"/>
              <w:spacing w:after="0"/>
              <w:rPr>
                <w:sz w:val="20"/>
                <w:szCs w:val="20"/>
                <w:color w:val="auto"/>
              </w:rPr>
            </w:pPr>
            <w:r>
              <w:rPr>
                <w:rFonts w:ascii="Arial" w:cs="Arial" w:eastAsia="Arial" w:hAnsi="Arial"/>
                <w:sz w:val="18"/>
                <w:szCs w:val="18"/>
                <w:color w:val="auto"/>
              </w:rPr>
              <w:t>20,143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on trading securities (1)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22,721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23,276</w:t>
            </w:r>
          </w:p>
        </w:tc>
        <w:tc>
          <w:tcPr>
            <w:tcW w:w="1160" w:type="dxa"/>
            <w:vAlign w:val="bottom"/>
          </w:tcPr>
          <w:p>
            <w:pPr>
              <w:jc w:val="right"/>
              <w:spacing w:after="0"/>
              <w:rPr>
                <w:sz w:val="20"/>
                <w:szCs w:val="20"/>
                <w:color w:val="auto"/>
              </w:rPr>
            </w:pPr>
            <w:r>
              <w:rPr>
                <w:rFonts w:ascii="Arial" w:cs="Arial" w:eastAsia="Arial" w:hAnsi="Arial"/>
                <w:sz w:val="18"/>
                <w:szCs w:val="18"/>
                <w:color w:val="auto"/>
              </w:rPr>
              <w:t>23,642</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82,837</w:t>
            </w:r>
          </w:p>
        </w:tc>
        <w:tc>
          <w:tcPr>
            <w:tcW w:w="1180" w:type="dxa"/>
            <w:vAlign w:val="bottom"/>
          </w:tcPr>
          <w:p>
            <w:pPr>
              <w:jc w:val="right"/>
              <w:spacing w:after="0"/>
              <w:rPr>
                <w:sz w:val="20"/>
                <w:szCs w:val="20"/>
                <w:color w:val="auto"/>
              </w:rPr>
            </w:pPr>
            <w:r>
              <w:rPr>
                <w:rFonts w:ascii="Arial" w:cs="Arial" w:eastAsia="Arial" w:hAnsi="Arial"/>
                <w:sz w:val="18"/>
                <w:szCs w:val="18"/>
                <w:color w:val="auto"/>
              </w:rPr>
              <w:t>92,235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Interest Income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137,964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136,805</w:t>
            </w:r>
          </w:p>
        </w:tc>
        <w:tc>
          <w:tcPr>
            <w:tcW w:w="1160" w:type="dxa"/>
            <w:vAlign w:val="bottom"/>
          </w:tcPr>
          <w:p>
            <w:pPr>
              <w:jc w:val="right"/>
              <w:spacing w:after="0"/>
              <w:rPr>
                <w:sz w:val="20"/>
                <w:szCs w:val="20"/>
                <w:color w:val="auto"/>
              </w:rPr>
            </w:pPr>
            <w:r>
              <w:rPr>
                <w:rFonts w:ascii="Arial" w:cs="Arial" w:eastAsia="Arial" w:hAnsi="Arial"/>
                <w:sz w:val="18"/>
                <w:szCs w:val="18"/>
                <w:color w:val="auto"/>
              </w:rPr>
              <w:t>147,273</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547,965</w:t>
            </w:r>
          </w:p>
        </w:tc>
        <w:tc>
          <w:tcPr>
            <w:tcW w:w="1180" w:type="dxa"/>
            <w:vAlign w:val="bottom"/>
          </w:tcPr>
          <w:p>
            <w:pPr>
              <w:jc w:val="right"/>
              <w:spacing w:after="0"/>
              <w:rPr>
                <w:sz w:val="20"/>
                <w:szCs w:val="20"/>
                <w:color w:val="auto"/>
              </w:rPr>
            </w:pPr>
            <w:r>
              <w:rPr>
                <w:rFonts w:ascii="Arial" w:cs="Arial" w:eastAsia="Arial" w:hAnsi="Arial"/>
                <w:sz w:val="18"/>
                <w:szCs w:val="18"/>
                <w:color w:val="auto"/>
              </w:rPr>
              <w:t>542,407</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INTEREST EXPENSE</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on deposits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29,293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24,315</w:t>
            </w:r>
          </w:p>
        </w:tc>
        <w:tc>
          <w:tcPr>
            <w:tcW w:w="1160" w:type="dxa"/>
            <w:vAlign w:val="bottom"/>
          </w:tcPr>
          <w:p>
            <w:pPr>
              <w:jc w:val="right"/>
              <w:spacing w:after="0"/>
              <w:rPr>
                <w:sz w:val="20"/>
                <w:szCs w:val="20"/>
                <w:color w:val="auto"/>
              </w:rPr>
            </w:pPr>
            <w:r>
              <w:rPr>
                <w:rFonts w:ascii="Arial" w:cs="Arial" w:eastAsia="Arial" w:hAnsi="Arial"/>
                <w:sz w:val="18"/>
                <w:szCs w:val="18"/>
                <w:color w:val="auto"/>
              </w:rPr>
              <w:t>27,245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126,757</w:t>
            </w:r>
          </w:p>
        </w:tc>
        <w:tc>
          <w:tcPr>
            <w:tcW w:w="1180" w:type="dxa"/>
            <w:vAlign w:val="bottom"/>
          </w:tcPr>
          <w:p>
            <w:pPr>
              <w:jc w:val="right"/>
              <w:spacing w:after="0"/>
              <w:rPr>
                <w:sz w:val="20"/>
                <w:szCs w:val="20"/>
                <w:color w:val="auto"/>
              </w:rPr>
            </w:pPr>
            <w:r>
              <w:rPr>
                <w:rFonts w:ascii="Arial" w:cs="Arial" w:eastAsia="Arial" w:hAnsi="Arial"/>
                <w:sz w:val="18"/>
                <w:szCs w:val="18"/>
                <w:color w:val="auto"/>
              </w:rPr>
              <w:t>95,497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on borrowed funds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6,094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4,558</w:t>
            </w:r>
          </w:p>
        </w:tc>
        <w:tc>
          <w:tcPr>
            <w:tcW w:w="1160" w:type="dxa"/>
            <w:vAlign w:val="bottom"/>
          </w:tcPr>
          <w:p>
            <w:pPr>
              <w:jc w:val="right"/>
              <w:spacing w:after="0"/>
              <w:rPr>
                <w:sz w:val="20"/>
                <w:szCs w:val="20"/>
                <w:color w:val="auto"/>
              </w:rPr>
            </w:pPr>
            <w:r>
              <w:rPr>
                <w:rFonts w:ascii="Arial" w:cs="Arial" w:eastAsia="Arial" w:hAnsi="Arial"/>
                <w:sz w:val="18"/>
                <w:szCs w:val="18"/>
                <w:color w:val="auto"/>
              </w:rPr>
              <w:t>4,716</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17,235</w:t>
            </w:r>
          </w:p>
        </w:tc>
        <w:tc>
          <w:tcPr>
            <w:tcW w:w="1180" w:type="dxa"/>
            <w:vAlign w:val="bottom"/>
          </w:tcPr>
          <w:p>
            <w:pPr>
              <w:jc w:val="right"/>
              <w:spacing w:after="0"/>
              <w:rPr>
                <w:sz w:val="20"/>
                <w:szCs w:val="20"/>
                <w:color w:val="auto"/>
              </w:rPr>
            </w:pPr>
            <w:r>
              <w:rPr>
                <w:rFonts w:ascii="Arial" w:cs="Arial" w:eastAsia="Arial" w:hAnsi="Arial"/>
                <w:sz w:val="18"/>
                <w:szCs w:val="18"/>
                <w:color w:val="auto"/>
              </w:rPr>
              <w:t>16,367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Other interest expense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3,801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13,741</w:t>
            </w:r>
          </w:p>
        </w:tc>
        <w:tc>
          <w:tcPr>
            <w:tcW w:w="1160" w:type="dxa"/>
            <w:vAlign w:val="bottom"/>
          </w:tcPr>
          <w:p>
            <w:pPr>
              <w:jc w:val="right"/>
              <w:spacing w:after="0"/>
              <w:rPr>
                <w:sz w:val="20"/>
                <w:szCs w:val="20"/>
                <w:color w:val="auto"/>
              </w:rPr>
            </w:pPr>
            <w:r>
              <w:rPr>
                <w:rFonts w:ascii="Arial" w:cs="Arial" w:eastAsia="Arial" w:hAnsi="Arial"/>
                <w:sz w:val="18"/>
                <w:szCs w:val="18"/>
                <w:color w:val="auto"/>
              </w:rPr>
              <w:t>9,547</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18,322</w:t>
            </w:r>
          </w:p>
        </w:tc>
        <w:tc>
          <w:tcPr>
            <w:tcW w:w="1180" w:type="dxa"/>
            <w:vAlign w:val="bottom"/>
          </w:tcPr>
          <w:p>
            <w:pPr>
              <w:jc w:val="right"/>
              <w:spacing w:after="0"/>
              <w:rPr>
                <w:sz w:val="20"/>
                <w:szCs w:val="20"/>
                <w:color w:val="auto"/>
              </w:rPr>
            </w:pPr>
            <w:r>
              <w:rPr>
                <w:rFonts w:ascii="Arial" w:cs="Arial" w:eastAsia="Arial" w:hAnsi="Arial"/>
                <w:sz w:val="18"/>
                <w:szCs w:val="18"/>
                <w:color w:val="auto"/>
              </w:rPr>
              <w:t>48,038</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Interest Expense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39,188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42,614</w:t>
            </w:r>
          </w:p>
        </w:tc>
        <w:tc>
          <w:tcPr>
            <w:tcW w:w="1160" w:type="dxa"/>
            <w:vAlign w:val="bottom"/>
          </w:tcPr>
          <w:p>
            <w:pPr>
              <w:jc w:val="right"/>
              <w:spacing w:after="0"/>
              <w:rPr>
                <w:sz w:val="20"/>
                <w:szCs w:val="20"/>
                <w:color w:val="auto"/>
              </w:rPr>
            </w:pPr>
            <w:r>
              <w:rPr>
                <w:rFonts w:ascii="Arial" w:cs="Arial" w:eastAsia="Arial" w:hAnsi="Arial"/>
                <w:sz w:val="18"/>
                <w:szCs w:val="18"/>
                <w:color w:val="auto"/>
              </w:rPr>
              <w:t>41,508</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162,314</w:t>
            </w:r>
          </w:p>
        </w:tc>
        <w:tc>
          <w:tcPr>
            <w:tcW w:w="1180" w:type="dxa"/>
            <w:vAlign w:val="bottom"/>
          </w:tcPr>
          <w:p>
            <w:pPr>
              <w:jc w:val="right"/>
              <w:spacing w:after="0"/>
              <w:rPr>
                <w:sz w:val="20"/>
                <w:szCs w:val="20"/>
                <w:color w:val="auto"/>
              </w:rPr>
            </w:pPr>
            <w:r>
              <w:rPr>
                <w:rFonts w:ascii="Arial" w:cs="Arial" w:eastAsia="Arial" w:hAnsi="Arial"/>
                <w:sz w:val="18"/>
                <w:szCs w:val="18"/>
                <w:color w:val="auto"/>
              </w:rPr>
              <w:t>159,902</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Net Interest Income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98,776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94,191</w:t>
            </w:r>
          </w:p>
        </w:tc>
        <w:tc>
          <w:tcPr>
            <w:tcW w:w="1160" w:type="dxa"/>
            <w:vAlign w:val="bottom"/>
          </w:tcPr>
          <w:p>
            <w:pPr>
              <w:jc w:val="right"/>
              <w:spacing w:after="0"/>
              <w:rPr>
                <w:sz w:val="20"/>
                <w:szCs w:val="20"/>
                <w:color w:val="auto"/>
              </w:rPr>
            </w:pPr>
            <w:r>
              <w:rPr>
                <w:rFonts w:ascii="Arial" w:cs="Arial" w:eastAsia="Arial" w:hAnsi="Arial"/>
                <w:sz w:val="18"/>
                <w:szCs w:val="18"/>
                <w:color w:val="auto"/>
              </w:rPr>
              <w:t>105,765</w:t>
            </w:r>
          </w:p>
        </w:tc>
        <w:tc>
          <w:tcPr>
            <w:tcW w:w="4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385,651</w:t>
            </w:r>
          </w:p>
        </w:tc>
        <w:tc>
          <w:tcPr>
            <w:tcW w:w="1180" w:type="dxa"/>
            <w:vAlign w:val="bottom"/>
          </w:tcPr>
          <w:p>
            <w:pPr>
              <w:jc w:val="right"/>
              <w:spacing w:after="0"/>
              <w:rPr>
                <w:sz w:val="20"/>
                <w:szCs w:val="20"/>
                <w:color w:val="auto"/>
              </w:rPr>
            </w:pPr>
            <w:r>
              <w:rPr>
                <w:rFonts w:ascii="Arial" w:cs="Arial" w:eastAsia="Arial" w:hAnsi="Arial"/>
                <w:sz w:val="18"/>
                <w:szCs w:val="18"/>
                <w:color w:val="auto"/>
              </w:rPr>
              <w:t>382,505</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Provision for possible loan losses, net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16,175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9,818</w:t>
            </w:r>
          </w:p>
        </w:tc>
        <w:tc>
          <w:tcPr>
            <w:tcW w:w="1160" w:type="dxa"/>
            <w:vAlign w:val="bottom"/>
          </w:tcPr>
          <w:p>
            <w:pPr>
              <w:jc w:val="right"/>
              <w:spacing w:after="0"/>
              <w:rPr>
                <w:sz w:val="20"/>
                <w:szCs w:val="20"/>
                <w:color w:val="auto"/>
              </w:rPr>
            </w:pPr>
            <w:r>
              <w:rPr>
                <w:rFonts w:ascii="Arial" w:cs="Arial" w:eastAsia="Arial" w:hAnsi="Arial"/>
                <w:sz w:val="18"/>
                <w:szCs w:val="18"/>
                <w:color w:val="auto"/>
              </w:rPr>
              <w:t>12,459</w:t>
            </w:r>
          </w:p>
        </w:tc>
        <w:tc>
          <w:tcPr>
            <w:tcW w:w="4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93,949</w:t>
            </w:r>
          </w:p>
        </w:tc>
        <w:tc>
          <w:tcPr>
            <w:tcW w:w="1180" w:type="dxa"/>
            <w:vAlign w:val="bottom"/>
          </w:tcPr>
          <w:p>
            <w:pPr>
              <w:jc w:val="right"/>
              <w:spacing w:after="0"/>
              <w:rPr>
                <w:sz w:val="20"/>
                <w:szCs w:val="20"/>
                <w:color w:val="auto"/>
              </w:rPr>
            </w:pPr>
            <w:r>
              <w:rPr>
                <w:rFonts w:ascii="Arial" w:cs="Arial" w:eastAsia="Arial" w:hAnsi="Arial"/>
                <w:sz w:val="18"/>
                <w:szCs w:val="18"/>
                <w:color w:val="auto"/>
              </w:rPr>
              <w:t>48,418</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Net interest income after provision for</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possible loan losses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82,601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84,373</w:t>
            </w:r>
          </w:p>
        </w:tc>
        <w:tc>
          <w:tcPr>
            <w:tcW w:w="1160" w:type="dxa"/>
            <w:vAlign w:val="bottom"/>
          </w:tcPr>
          <w:p>
            <w:pPr>
              <w:jc w:val="right"/>
              <w:spacing w:after="0"/>
              <w:rPr>
                <w:sz w:val="20"/>
                <w:szCs w:val="20"/>
                <w:color w:val="auto"/>
              </w:rPr>
            </w:pPr>
            <w:r>
              <w:rPr>
                <w:rFonts w:ascii="Arial" w:cs="Arial" w:eastAsia="Arial" w:hAnsi="Arial"/>
                <w:sz w:val="18"/>
                <w:szCs w:val="18"/>
                <w:color w:val="auto"/>
              </w:rPr>
              <w:t>93,306</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291,702</w:t>
            </w:r>
          </w:p>
        </w:tc>
        <w:tc>
          <w:tcPr>
            <w:tcW w:w="1180" w:type="dxa"/>
            <w:vAlign w:val="bottom"/>
          </w:tcPr>
          <w:p>
            <w:pPr>
              <w:jc w:val="right"/>
              <w:spacing w:after="0"/>
              <w:rPr>
                <w:sz w:val="20"/>
                <w:szCs w:val="20"/>
                <w:color w:val="auto"/>
              </w:rPr>
            </w:pPr>
            <w:r>
              <w:rPr>
                <w:rFonts w:ascii="Arial" w:cs="Arial" w:eastAsia="Arial" w:hAnsi="Arial"/>
                <w:sz w:val="18"/>
                <w:szCs w:val="18"/>
                <w:color w:val="auto"/>
              </w:rPr>
              <w:t>334,087</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OTHER INCOME</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Fees and commissions from banking services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46,816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52,007</w:t>
            </w:r>
          </w:p>
        </w:tc>
        <w:tc>
          <w:tcPr>
            <w:tcW w:w="1160" w:type="dxa"/>
            <w:vAlign w:val="bottom"/>
          </w:tcPr>
          <w:p>
            <w:pPr>
              <w:jc w:val="right"/>
              <w:spacing w:after="0"/>
              <w:rPr>
                <w:sz w:val="20"/>
                <w:szCs w:val="20"/>
                <w:color w:val="auto"/>
              </w:rPr>
            </w:pPr>
            <w:r>
              <w:rPr>
                <w:rFonts w:ascii="Arial" w:cs="Arial" w:eastAsia="Arial" w:hAnsi="Arial"/>
                <w:sz w:val="18"/>
                <w:szCs w:val="18"/>
                <w:color w:val="auto"/>
              </w:rPr>
              <w:t>52,945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189,472</w:t>
            </w:r>
          </w:p>
        </w:tc>
        <w:tc>
          <w:tcPr>
            <w:tcW w:w="1180" w:type="dxa"/>
            <w:vAlign w:val="bottom"/>
          </w:tcPr>
          <w:p>
            <w:pPr>
              <w:jc w:val="right"/>
              <w:spacing w:after="0"/>
              <w:rPr>
                <w:sz w:val="20"/>
                <w:szCs w:val="20"/>
                <w:color w:val="auto"/>
              </w:rPr>
            </w:pPr>
            <w:r>
              <w:rPr>
                <w:rFonts w:ascii="Arial" w:cs="Arial" w:eastAsia="Arial" w:hAnsi="Arial"/>
                <w:sz w:val="18"/>
                <w:szCs w:val="18"/>
                <w:color w:val="auto"/>
              </w:rPr>
              <w:t>201,474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(2,791)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3,661</w:t>
            </w:r>
          </w:p>
        </w:tc>
        <w:tc>
          <w:tcPr>
            <w:tcW w:w="1160" w:type="dxa"/>
            <w:vAlign w:val="bottom"/>
          </w:tcPr>
          <w:p>
            <w:pPr>
              <w:jc w:val="right"/>
              <w:spacing w:after="0"/>
              <w:rPr>
                <w:sz w:val="20"/>
                <w:szCs w:val="20"/>
                <w:color w:val="auto"/>
              </w:rPr>
            </w:pPr>
            <w:r>
              <w:rPr>
                <w:rFonts w:ascii="Arial" w:cs="Arial" w:eastAsia="Arial" w:hAnsi="Arial"/>
                <w:sz w:val="18"/>
                <w:szCs w:val="18"/>
                <w:color w:val="auto"/>
              </w:rPr>
              <w:t>5,915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1,969</w:t>
            </w:r>
          </w:p>
        </w:tc>
        <w:tc>
          <w:tcPr>
            <w:tcW w:w="1180" w:type="dxa"/>
            <w:vAlign w:val="bottom"/>
          </w:tcPr>
          <w:p>
            <w:pPr>
              <w:jc w:val="right"/>
              <w:spacing w:after="0"/>
              <w:rPr>
                <w:sz w:val="20"/>
                <w:szCs w:val="20"/>
                <w:color w:val="auto"/>
              </w:rPr>
            </w:pPr>
            <w:r>
              <w:rPr>
                <w:rFonts w:ascii="Arial" w:cs="Arial" w:eastAsia="Arial" w:hAnsi="Arial"/>
                <w:sz w:val="18"/>
                <w:szCs w:val="18"/>
                <w:color w:val="auto"/>
              </w:rPr>
              <w:t>10,135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gains on foreign exchange transactions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6,107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6,576</w:t>
            </w:r>
          </w:p>
        </w:tc>
        <w:tc>
          <w:tcPr>
            <w:tcW w:w="1160" w:type="dxa"/>
            <w:vAlign w:val="bottom"/>
          </w:tcPr>
          <w:p>
            <w:pPr>
              <w:jc w:val="right"/>
              <w:spacing w:after="0"/>
              <w:rPr>
                <w:sz w:val="20"/>
                <w:szCs w:val="20"/>
                <w:color w:val="auto"/>
              </w:rPr>
            </w:pPr>
            <w:r>
              <w:rPr>
                <w:rFonts w:ascii="Arial" w:cs="Arial" w:eastAsia="Arial" w:hAnsi="Arial"/>
                <w:sz w:val="18"/>
                <w:szCs w:val="18"/>
                <w:color w:val="auto"/>
              </w:rPr>
              <w:t>7,014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23,681</w:t>
            </w:r>
          </w:p>
        </w:tc>
        <w:tc>
          <w:tcPr>
            <w:tcW w:w="1180" w:type="dxa"/>
            <w:vAlign w:val="bottom"/>
          </w:tcPr>
          <w:p>
            <w:pPr>
              <w:jc w:val="right"/>
              <w:spacing w:after="0"/>
              <w:rPr>
                <w:sz w:val="20"/>
                <w:szCs w:val="20"/>
                <w:color w:val="auto"/>
              </w:rPr>
            </w:pPr>
            <w:r>
              <w:rPr>
                <w:rFonts w:ascii="Arial" w:cs="Arial" w:eastAsia="Arial" w:hAnsi="Arial"/>
                <w:sz w:val="18"/>
                <w:szCs w:val="18"/>
                <w:color w:val="auto"/>
              </w:rPr>
              <w:t>24,165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premiums earned</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27,281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64,376</w:t>
            </w:r>
          </w:p>
        </w:tc>
        <w:tc>
          <w:tcPr>
            <w:tcW w:w="1160" w:type="dxa"/>
            <w:vAlign w:val="bottom"/>
          </w:tcPr>
          <w:p>
            <w:pPr>
              <w:jc w:val="right"/>
              <w:spacing w:after="0"/>
              <w:rPr>
                <w:sz w:val="20"/>
                <w:szCs w:val="20"/>
                <w:color w:val="auto"/>
              </w:rPr>
            </w:pPr>
            <w:r>
              <w:rPr>
                <w:rFonts w:ascii="Arial" w:cs="Arial" w:eastAsia="Arial" w:hAnsi="Arial"/>
                <w:sz w:val="18"/>
                <w:szCs w:val="18"/>
                <w:color w:val="auto"/>
              </w:rPr>
              <w:t>57,209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125,115</w:t>
            </w:r>
          </w:p>
        </w:tc>
        <w:tc>
          <w:tcPr>
            <w:tcW w:w="1180" w:type="dxa"/>
            <w:vAlign w:val="bottom"/>
          </w:tcPr>
          <w:p>
            <w:pPr>
              <w:jc w:val="right"/>
              <w:spacing w:after="0"/>
              <w:rPr>
                <w:sz w:val="20"/>
                <w:szCs w:val="20"/>
                <w:color w:val="auto"/>
              </w:rPr>
            </w:pPr>
            <w:r>
              <w:rPr>
                <w:rFonts w:ascii="Arial" w:cs="Arial" w:eastAsia="Arial" w:hAnsi="Arial"/>
                <w:sz w:val="18"/>
                <w:szCs w:val="18"/>
                <w:color w:val="auto"/>
              </w:rPr>
              <w:t>192,672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Other income (1)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12,162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6,665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11,446</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57,773</w:t>
            </w:r>
          </w:p>
        </w:tc>
        <w:tc>
          <w:tcPr>
            <w:tcW w:w="1180" w:type="dxa"/>
            <w:vAlign w:val="bottom"/>
          </w:tcPr>
          <w:p>
            <w:pPr>
              <w:jc w:val="right"/>
              <w:spacing w:after="0"/>
              <w:rPr>
                <w:sz w:val="20"/>
                <w:szCs w:val="20"/>
                <w:color w:val="auto"/>
              </w:rPr>
            </w:pPr>
            <w:r>
              <w:rPr>
                <w:rFonts w:ascii="Arial" w:cs="Arial" w:eastAsia="Arial" w:hAnsi="Arial"/>
                <w:sz w:val="18"/>
                <w:szCs w:val="18"/>
                <w:color w:val="auto"/>
              </w:rPr>
              <w:t>45,028</w:t>
            </w:r>
          </w:p>
        </w:tc>
      </w:tr>
      <w:tr>
        <w:trPr>
          <w:trHeight w:val="243"/>
        </w:trPr>
        <w:tc>
          <w:tcPr>
            <w:tcW w:w="452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89,576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133,285</w:t>
            </w:r>
          </w:p>
        </w:tc>
        <w:tc>
          <w:tcPr>
            <w:tcW w:w="1160" w:type="dxa"/>
            <w:vAlign w:val="bottom"/>
          </w:tcPr>
          <w:p>
            <w:pPr>
              <w:jc w:val="right"/>
              <w:spacing w:after="0"/>
              <w:rPr>
                <w:sz w:val="20"/>
                <w:szCs w:val="20"/>
                <w:color w:val="auto"/>
              </w:rPr>
            </w:pPr>
            <w:r>
              <w:rPr>
                <w:rFonts w:ascii="Arial" w:cs="Arial" w:eastAsia="Arial" w:hAnsi="Arial"/>
                <w:sz w:val="18"/>
                <w:szCs w:val="18"/>
                <w:color w:val="auto"/>
              </w:rPr>
              <w:t>134,529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398,010</w:t>
            </w:r>
          </w:p>
        </w:tc>
        <w:tc>
          <w:tcPr>
            <w:tcW w:w="1180" w:type="dxa"/>
            <w:vAlign w:val="bottom"/>
          </w:tcPr>
          <w:p>
            <w:pPr>
              <w:jc w:val="right"/>
              <w:spacing w:after="0"/>
              <w:rPr>
                <w:sz w:val="20"/>
                <w:szCs w:val="20"/>
                <w:color w:val="auto"/>
              </w:rPr>
            </w:pPr>
            <w:r>
              <w:rPr>
                <w:rFonts w:ascii="Arial" w:cs="Arial" w:eastAsia="Arial" w:hAnsi="Arial"/>
                <w:sz w:val="18"/>
                <w:szCs w:val="18"/>
                <w:color w:val="auto"/>
              </w:rPr>
              <w:t>473,474</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CLAIMS ON INSURANCE ACTIVITIES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claims incurred</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6,743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8,652</w:t>
            </w:r>
          </w:p>
        </w:tc>
        <w:tc>
          <w:tcPr>
            <w:tcW w:w="1160" w:type="dxa"/>
            <w:vAlign w:val="bottom"/>
          </w:tcPr>
          <w:p>
            <w:pPr>
              <w:jc w:val="right"/>
              <w:spacing w:after="0"/>
              <w:rPr>
                <w:sz w:val="20"/>
                <w:szCs w:val="20"/>
                <w:color w:val="auto"/>
              </w:rPr>
            </w:pPr>
            <w:r>
              <w:rPr>
                <w:rFonts w:ascii="Arial" w:cs="Arial" w:eastAsia="Arial" w:hAnsi="Arial"/>
                <w:sz w:val="18"/>
                <w:szCs w:val="18"/>
                <w:color w:val="auto"/>
              </w:rPr>
              <w:t>9,057</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23,844</w:t>
            </w:r>
          </w:p>
        </w:tc>
        <w:tc>
          <w:tcPr>
            <w:tcW w:w="1180" w:type="dxa"/>
            <w:vAlign w:val="bottom"/>
          </w:tcPr>
          <w:p>
            <w:pPr>
              <w:jc w:val="right"/>
              <w:spacing w:after="0"/>
              <w:rPr>
                <w:sz w:val="20"/>
                <w:szCs w:val="20"/>
                <w:color w:val="auto"/>
              </w:rPr>
            </w:pPr>
            <w:r>
              <w:rPr>
                <w:rFonts w:ascii="Arial" w:cs="Arial" w:eastAsia="Arial" w:hAnsi="Arial"/>
                <w:sz w:val="18"/>
                <w:szCs w:val="18"/>
                <w:color w:val="auto"/>
              </w:rPr>
              <w:t>34,791</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Increase in future policy benefits for life and health</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16,715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39,963</w:t>
            </w:r>
          </w:p>
        </w:tc>
        <w:tc>
          <w:tcPr>
            <w:tcW w:w="1160" w:type="dxa"/>
            <w:vAlign w:val="bottom"/>
          </w:tcPr>
          <w:p>
            <w:pPr>
              <w:jc w:val="right"/>
              <w:spacing w:after="0"/>
              <w:rPr>
                <w:sz w:val="20"/>
                <w:szCs w:val="20"/>
                <w:color w:val="auto"/>
              </w:rPr>
            </w:pPr>
            <w:r>
              <w:rPr>
                <w:rFonts w:ascii="Arial" w:cs="Arial" w:eastAsia="Arial" w:hAnsi="Arial"/>
                <w:sz w:val="18"/>
                <w:szCs w:val="18"/>
                <w:color w:val="auto"/>
              </w:rPr>
              <w:t>34,954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75,930</w:t>
            </w:r>
          </w:p>
        </w:tc>
        <w:tc>
          <w:tcPr>
            <w:tcW w:w="1180" w:type="dxa"/>
            <w:vAlign w:val="bottom"/>
          </w:tcPr>
          <w:p>
            <w:pPr>
              <w:jc w:val="right"/>
              <w:spacing w:after="0"/>
              <w:rPr>
                <w:sz w:val="20"/>
                <w:szCs w:val="20"/>
                <w:color w:val="auto"/>
              </w:rPr>
            </w:pPr>
            <w:r>
              <w:rPr>
                <w:rFonts w:ascii="Arial" w:cs="Arial" w:eastAsia="Arial" w:hAnsi="Arial"/>
                <w:sz w:val="18"/>
                <w:szCs w:val="18"/>
                <w:color w:val="auto"/>
              </w:rPr>
              <w:t>113,604</w:t>
            </w:r>
          </w:p>
        </w:tc>
      </w:tr>
      <w:tr>
        <w:trPr>
          <w:trHeight w:val="243"/>
        </w:trPr>
        <w:tc>
          <w:tcPr>
            <w:tcW w:w="452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23,458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48,615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44,011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99,774</w:t>
            </w:r>
          </w:p>
        </w:tc>
        <w:tc>
          <w:tcPr>
            <w:tcW w:w="1180" w:type="dxa"/>
            <w:vAlign w:val="bottom"/>
          </w:tcPr>
          <w:p>
            <w:pPr>
              <w:jc w:val="right"/>
              <w:spacing w:after="0"/>
              <w:rPr>
                <w:sz w:val="20"/>
                <w:szCs w:val="20"/>
                <w:color w:val="auto"/>
              </w:rPr>
            </w:pPr>
            <w:r>
              <w:rPr>
                <w:rFonts w:ascii="Arial" w:cs="Arial" w:eastAsia="Arial" w:hAnsi="Arial"/>
                <w:sz w:val="18"/>
                <w:szCs w:val="18"/>
                <w:color w:val="auto"/>
              </w:rPr>
              <w:t>148,395</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OTHER EXPENSES</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48,713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50,041</w:t>
            </w:r>
          </w:p>
        </w:tc>
        <w:tc>
          <w:tcPr>
            <w:tcW w:w="1160" w:type="dxa"/>
            <w:vAlign w:val="bottom"/>
          </w:tcPr>
          <w:p>
            <w:pPr>
              <w:jc w:val="right"/>
              <w:spacing w:after="0"/>
              <w:rPr>
                <w:sz w:val="20"/>
                <w:szCs w:val="20"/>
                <w:color w:val="auto"/>
              </w:rPr>
            </w:pPr>
            <w:r>
              <w:rPr>
                <w:rFonts w:ascii="Arial" w:cs="Arial" w:eastAsia="Arial" w:hAnsi="Arial"/>
                <w:sz w:val="18"/>
                <w:szCs w:val="18"/>
                <w:color w:val="auto"/>
              </w:rPr>
              <w:t>54,320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184,737</w:t>
            </w:r>
          </w:p>
        </w:tc>
        <w:tc>
          <w:tcPr>
            <w:tcW w:w="1180" w:type="dxa"/>
            <w:vAlign w:val="bottom"/>
          </w:tcPr>
          <w:p>
            <w:pPr>
              <w:jc w:val="right"/>
              <w:spacing w:after="0"/>
              <w:rPr>
                <w:sz w:val="20"/>
                <w:szCs w:val="20"/>
                <w:color w:val="auto"/>
              </w:rPr>
            </w:pPr>
            <w:r>
              <w:rPr>
                <w:rFonts w:ascii="Arial" w:cs="Arial" w:eastAsia="Arial" w:hAnsi="Arial"/>
                <w:sz w:val="18"/>
                <w:szCs w:val="18"/>
                <w:color w:val="auto"/>
              </w:rPr>
              <w:t>195,607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General, administrative, and other taxes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38,223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37,191</w:t>
            </w:r>
          </w:p>
        </w:tc>
        <w:tc>
          <w:tcPr>
            <w:tcW w:w="1160" w:type="dxa"/>
            <w:vAlign w:val="bottom"/>
          </w:tcPr>
          <w:p>
            <w:pPr>
              <w:jc w:val="right"/>
              <w:spacing w:after="0"/>
              <w:rPr>
                <w:sz w:val="20"/>
                <w:szCs w:val="20"/>
                <w:color w:val="auto"/>
              </w:rPr>
            </w:pPr>
            <w:r>
              <w:rPr>
                <w:rFonts w:ascii="Arial" w:cs="Arial" w:eastAsia="Arial" w:hAnsi="Arial"/>
                <w:sz w:val="18"/>
                <w:szCs w:val="18"/>
                <w:color w:val="auto"/>
              </w:rPr>
              <w:t>44,168</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147,593</w:t>
            </w:r>
          </w:p>
        </w:tc>
        <w:tc>
          <w:tcPr>
            <w:tcW w:w="1180" w:type="dxa"/>
            <w:vAlign w:val="bottom"/>
          </w:tcPr>
          <w:p>
            <w:pPr>
              <w:jc w:val="right"/>
              <w:spacing w:after="0"/>
              <w:rPr>
                <w:sz w:val="20"/>
                <w:szCs w:val="20"/>
                <w:color w:val="auto"/>
              </w:rPr>
            </w:pPr>
            <w:r>
              <w:rPr>
                <w:rFonts w:ascii="Arial" w:cs="Arial" w:eastAsia="Arial" w:hAnsi="Arial"/>
                <w:sz w:val="18"/>
                <w:szCs w:val="18"/>
                <w:color w:val="auto"/>
              </w:rPr>
              <w:t>153,710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11,700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12,312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11,626</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47,883</w:t>
            </w:r>
          </w:p>
        </w:tc>
        <w:tc>
          <w:tcPr>
            <w:tcW w:w="1180" w:type="dxa"/>
            <w:vAlign w:val="bottom"/>
          </w:tcPr>
          <w:p>
            <w:pPr>
              <w:jc w:val="right"/>
              <w:spacing w:after="0"/>
              <w:rPr>
                <w:sz w:val="20"/>
                <w:szCs w:val="20"/>
                <w:color w:val="auto"/>
              </w:rPr>
            </w:pPr>
            <w:r>
              <w:rPr>
                <w:rFonts w:ascii="Arial" w:cs="Arial" w:eastAsia="Arial" w:hAnsi="Arial"/>
                <w:sz w:val="18"/>
                <w:szCs w:val="18"/>
                <w:color w:val="auto"/>
              </w:rPr>
              <w:t>46,595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Other</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15,287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22,896</w:t>
            </w:r>
          </w:p>
        </w:tc>
        <w:tc>
          <w:tcPr>
            <w:tcW w:w="1160" w:type="dxa"/>
            <w:vAlign w:val="bottom"/>
          </w:tcPr>
          <w:p>
            <w:pPr>
              <w:jc w:val="right"/>
              <w:spacing w:after="0"/>
              <w:rPr>
                <w:sz w:val="20"/>
                <w:szCs w:val="20"/>
                <w:color w:val="auto"/>
              </w:rPr>
            </w:pPr>
            <w:r>
              <w:rPr>
                <w:rFonts w:ascii="Arial" w:cs="Arial" w:eastAsia="Arial" w:hAnsi="Arial"/>
                <w:sz w:val="18"/>
                <w:szCs w:val="18"/>
                <w:color w:val="auto"/>
              </w:rPr>
              <w:t>27,750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57,839</w:t>
            </w:r>
          </w:p>
        </w:tc>
        <w:tc>
          <w:tcPr>
            <w:tcW w:w="1180" w:type="dxa"/>
            <w:vAlign w:val="bottom"/>
          </w:tcPr>
          <w:p>
            <w:pPr>
              <w:jc w:val="right"/>
              <w:spacing w:after="0"/>
              <w:rPr>
                <w:sz w:val="20"/>
                <w:szCs w:val="20"/>
                <w:color w:val="auto"/>
              </w:rPr>
            </w:pPr>
            <w:r>
              <w:rPr>
                <w:rFonts w:ascii="Arial" w:cs="Arial" w:eastAsia="Arial" w:hAnsi="Arial"/>
                <w:sz w:val="18"/>
                <w:szCs w:val="18"/>
                <w:color w:val="auto"/>
              </w:rPr>
              <w:t>78,820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Merger costs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1,100</w:t>
            </w:r>
          </w:p>
        </w:tc>
        <w:tc>
          <w:tcPr>
            <w:tcW w:w="1400" w:type="dxa"/>
            <w:vAlign w:val="bottom"/>
          </w:tcPr>
          <w:p>
            <w:pPr>
              <w:jc w:val="right"/>
              <w:ind w:right="172"/>
              <w:spacing w:after="0"/>
              <w:rPr>
                <w:sz w:val="20"/>
                <w:szCs w:val="20"/>
                <w:color w:val="auto"/>
              </w:rPr>
            </w:pPr>
            <w:r>
              <w:rPr>
                <w:rFonts w:ascii="Arial" w:cs="Arial" w:eastAsia="Arial" w:hAnsi="Arial"/>
                <w:sz w:val="18"/>
                <w:szCs w:val="18"/>
                <w:color w:val="auto"/>
              </w:rPr>
              <w:t>538</w:t>
            </w:r>
          </w:p>
        </w:tc>
        <w:tc>
          <w:tcPr>
            <w:tcW w:w="1160" w:type="dxa"/>
            <w:vAlign w:val="bottom"/>
          </w:tcPr>
          <w:p>
            <w:pPr>
              <w:jc w:val="right"/>
              <w:spacing w:after="0"/>
              <w:rPr>
                <w:sz w:val="20"/>
                <w:szCs w:val="20"/>
                <w:color w:val="auto"/>
              </w:rPr>
            </w:pPr>
            <w:r>
              <w:rPr>
                <w:rFonts w:ascii="Arial" w:cs="Arial" w:eastAsia="Arial" w:hAnsi="Arial"/>
                <w:sz w:val="18"/>
                <w:szCs w:val="18"/>
                <w:color w:val="auto"/>
              </w:rPr>
              <w:t>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18,587</w:t>
            </w:r>
          </w:p>
        </w:tc>
        <w:tc>
          <w:tcPr>
            <w:tcW w:w="1180" w:type="dxa"/>
            <w:vAlign w:val="bottom"/>
          </w:tcPr>
          <w:p>
            <w:pPr>
              <w:jc w:val="right"/>
              <w:spacing w:after="0"/>
              <w:rPr>
                <w:sz w:val="20"/>
                <w:szCs w:val="20"/>
                <w:color w:val="auto"/>
              </w:rPr>
            </w:pPr>
            <w:r>
              <w:rPr>
                <w:rFonts w:ascii="Arial" w:cs="Arial" w:eastAsia="Arial" w:hAnsi="Arial"/>
                <w:sz w:val="18"/>
                <w:szCs w:val="18"/>
                <w:color w:val="auto"/>
              </w:rPr>
              <w:t>3,742</w:t>
            </w:r>
          </w:p>
        </w:tc>
      </w:tr>
      <w:tr>
        <w:trPr>
          <w:trHeight w:val="243"/>
        </w:trPr>
        <w:tc>
          <w:tcPr>
            <w:tcW w:w="4520" w:type="dxa"/>
            <w:vAlign w:val="bottom"/>
          </w:tcPr>
          <w:p>
            <w:pPr>
              <w:spacing w:after="0"/>
              <w:rPr>
                <w:sz w:val="21"/>
                <w:szCs w:val="21"/>
                <w:color w:val="auto"/>
              </w:rPr>
            </w:pP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115,023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122,978</w:t>
            </w:r>
          </w:p>
        </w:tc>
        <w:tc>
          <w:tcPr>
            <w:tcW w:w="1160" w:type="dxa"/>
            <w:vAlign w:val="bottom"/>
          </w:tcPr>
          <w:p>
            <w:pPr>
              <w:jc w:val="right"/>
              <w:spacing w:after="0"/>
              <w:rPr>
                <w:sz w:val="20"/>
                <w:szCs w:val="20"/>
                <w:color w:val="auto"/>
              </w:rPr>
            </w:pPr>
            <w:r>
              <w:rPr>
                <w:rFonts w:ascii="Arial" w:cs="Arial" w:eastAsia="Arial" w:hAnsi="Arial"/>
                <w:sz w:val="18"/>
                <w:szCs w:val="18"/>
                <w:color w:val="auto"/>
              </w:rPr>
              <w:t>137,864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456,639</w:t>
            </w:r>
          </w:p>
        </w:tc>
        <w:tc>
          <w:tcPr>
            <w:tcW w:w="1180" w:type="dxa"/>
            <w:vAlign w:val="bottom"/>
          </w:tcPr>
          <w:p>
            <w:pPr>
              <w:jc w:val="right"/>
              <w:spacing w:after="0"/>
              <w:rPr>
                <w:sz w:val="20"/>
                <w:szCs w:val="20"/>
                <w:color w:val="auto"/>
              </w:rPr>
            </w:pPr>
            <w:r>
              <w:rPr>
                <w:rFonts w:ascii="Arial" w:cs="Arial" w:eastAsia="Arial" w:hAnsi="Arial"/>
                <w:sz w:val="18"/>
                <w:szCs w:val="18"/>
                <w:color w:val="auto"/>
              </w:rPr>
              <w:t>478,474</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Translation result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1,075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(171)</w:t>
            </w:r>
          </w:p>
        </w:tc>
        <w:tc>
          <w:tcPr>
            <w:tcW w:w="1160" w:type="dxa"/>
            <w:vAlign w:val="bottom"/>
          </w:tcPr>
          <w:p>
            <w:pPr>
              <w:jc w:val="right"/>
              <w:spacing w:after="0"/>
              <w:rPr>
                <w:sz w:val="20"/>
                <w:szCs w:val="20"/>
                <w:color w:val="auto"/>
              </w:rPr>
            </w:pPr>
            <w:r>
              <w:rPr>
                <w:rFonts w:ascii="Arial" w:cs="Arial" w:eastAsia="Arial" w:hAnsi="Arial"/>
                <w:sz w:val="18"/>
                <w:szCs w:val="18"/>
                <w:color w:val="auto"/>
              </w:rPr>
              <w:t>2,455</w:t>
            </w:r>
          </w:p>
        </w:tc>
        <w:tc>
          <w:tcPr>
            <w:tcW w:w="4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(2,693)</w:t>
            </w:r>
          </w:p>
        </w:tc>
        <w:tc>
          <w:tcPr>
            <w:tcW w:w="1180" w:type="dxa"/>
            <w:vAlign w:val="bottom"/>
          </w:tcPr>
          <w:p>
            <w:pPr>
              <w:jc w:val="right"/>
              <w:spacing w:after="0"/>
              <w:rPr>
                <w:sz w:val="20"/>
                <w:szCs w:val="20"/>
                <w:color w:val="auto"/>
              </w:rPr>
            </w:pPr>
            <w:r>
              <w:rPr>
                <w:rFonts w:ascii="Arial" w:cs="Arial" w:eastAsia="Arial" w:hAnsi="Arial"/>
                <w:sz w:val="18"/>
                <w:szCs w:val="18"/>
                <w:color w:val="auto"/>
              </w:rPr>
              <w:t>6,316</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Income before income tax, and minority interest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34,771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45,894</w:t>
            </w:r>
          </w:p>
        </w:tc>
        <w:tc>
          <w:tcPr>
            <w:tcW w:w="1160" w:type="dxa"/>
            <w:vAlign w:val="bottom"/>
          </w:tcPr>
          <w:p>
            <w:pPr>
              <w:jc w:val="right"/>
              <w:spacing w:after="0"/>
              <w:rPr>
                <w:sz w:val="20"/>
                <w:szCs w:val="20"/>
                <w:color w:val="auto"/>
              </w:rPr>
            </w:pPr>
            <w:r>
              <w:rPr>
                <w:rFonts w:ascii="Arial" w:cs="Arial" w:eastAsia="Arial" w:hAnsi="Arial"/>
                <w:sz w:val="18"/>
                <w:szCs w:val="18"/>
                <w:color w:val="auto"/>
              </w:rPr>
              <w:t>48,415</w:t>
            </w:r>
          </w:p>
        </w:tc>
        <w:tc>
          <w:tcPr>
            <w:tcW w:w="4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130,606</w:t>
            </w:r>
          </w:p>
        </w:tc>
        <w:tc>
          <w:tcPr>
            <w:tcW w:w="1180" w:type="dxa"/>
            <w:vAlign w:val="bottom"/>
          </w:tcPr>
          <w:p>
            <w:pPr>
              <w:jc w:val="right"/>
              <w:spacing w:after="0"/>
              <w:rPr>
                <w:sz w:val="20"/>
                <w:szCs w:val="20"/>
                <w:color w:val="auto"/>
              </w:rPr>
            </w:pPr>
            <w:r>
              <w:rPr>
                <w:rFonts w:ascii="Arial" w:cs="Arial" w:eastAsia="Arial" w:hAnsi="Arial"/>
                <w:sz w:val="18"/>
                <w:szCs w:val="18"/>
                <w:color w:val="auto"/>
              </w:rPr>
              <w:t>187,008</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Income Tax</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(9,835)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(10,813)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(10,378)</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(39,695)</w:t>
            </w:r>
          </w:p>
        </w:tc>
        <w:tc>
          <w:tcPr>
            <w:tcW w:w="1180" w:type="dxa"/>
            <w:vAlign w:val="bottom"/>
          </w:tcPr>
          <w:p>
            <w:pPr>
              <w:jc w:val="right"/>
              <w:spacing w:after="0"/>
              <w:rPr>
                <w:sz w:val="20"/>
                <w:szCs w:val="20"/>
                <w:color w:val="auto"/>
              </w:rPr>
            </w:pPr>
            <w:r>
              <w:rPr>
                <w:rFonts w:ascii="Arial" w:cs="Arial" w:eastAsia="Arial" w:hAnsi="Arial"/>
                <w:sz w:val="18"/>
                <w:szCs w:val="18"/>
                <w:color w:val="auto"/>
              </w:rPr>
              <w:t>(45,497)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Minority Interest</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(1,099)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(2,141)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(3,175)</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(10,304)</w:t>
            </w:r>
          </w:p>
        </w:tc>
        <w:tc>
          <w:tcPr>
            <w:tcW w:w="1180" w:type="dxa"/>
            <w:vAlign w:val="bottom"/>
          </w:tcPr>
          <w:p>
            <w:pPr>
              <w:jc w:val="right"/>
              <w:spacing w:after="0"/>
              <w:rPr>
                <w:sz w:val="20"/>
                <w:szCs w:val="20"/>
                <w:color w:val="auto"/>
              </w:rPr>
            </w:pPr>
            <w:r>
              <w:rPr>
                <w:rFonts w:ascii="Arial" w:cs="Arial" w:eastAsia="Arial" w:hAnsi="Arial"/>
                <w:sz w:val="18"/>
                <w:szCs w:val="18"/>
                <w:color w:val="auto"/>
              </w:rPr>
              <w:t>(10,764)</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NET INCOME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23,837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32,940</w:t>
            </w:r>
          </w:p>
        </w:tc>
        <w:tc>
          <w:tcPr>
            <w:tcW w:w="1160" w:type="dxa"/>
            <w:vAlign w:val="bottom"/>
          </w:tcPr>
          <w:p>
            <w:pPr>
              <w:jc w:val="right"/>
              <w:spacing w:after="0"/>
              <w:rPr>
                <w:sz w:val="20"/>
                <w:szCs w:val="20"/>
                <w:color w:val="auto"/>
              </w:rPr>
            </w:pPr>
            <w:r>
              <w:rPr>
                <w:rFonts w:ascii="Arial" w:cs="Arial" w:eastAsia="Arial" w:hAnsi="Arial"/>
                <w:sz w:val="18"/>
                <w:szCs w:val="18"/>
                <w:color w:val="auto"/>
              </w:rPr>
              <w:t>34,862</w:t>
            </w:r>
          </w:p>
        </w:tc>
        <w:tc>
          <w:tcPr>
            <w:tcW w:w="40" w:type="dxa"/>
            <w:vAlign w:val="bottom"/>
          </w:tcPr>
          <w:p>
            <w:pPr>
              <w:spacing w:after="0"/>
              <w:rPr>
                <w:sz w:val="24"/>
                <w:szCs w:val="24"/>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80,607</w:t>
            </w:r>
          </w:p>
        </w:tc>
        <w:tc>
          <w:tcPr>
            <w:tcW w:w="1180" w:type="dxa"/>
            <w:vAlign w:val="bottom"/>
          </w:tcPr>
          <w:p>
            <w:pPr>
              <w:jc w:val="right"/>
              <w:spacing w:after="0"/>
              <w:rPr>
                <w:sz w:val="20"/>
                <w:szCs w:val="20"/>
                <w:color w:val="auto"/>
              </w:rPr>
            </w:pPr>
            <w:r>
              <w:rPr>
                <w:rFonts w:ascii="Arial" w:cs="Arial" w:eastAsia="Arial" w:hAnsi="Arial"/>
                <w:sz w:val="18"/>
                <w:szCs w:val="18"/>
                <w:color w:val="auto"/>
              </w:rPr>
              <w:t>130,747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86995</wp:posOffset>
            </wp:positionV>
            <wp:extent cx="721233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57" w:lineRule="exact"/>
        <w:rPr>
          <w:sz w:val="20"/>
          <w:szCs w:val="20"/>
          <w:color w:val="auto"/>
        </w:rPr>
      </w:pPr>
    </w:p>
    <w:p>
      <w:pPr>
        <w:spacing w:after="0"/>
        <w:rPr>
          <w:sz w:val="20"/>
          <w:szCs w:val="20"/>
          <w:color w:val="auto"/>
        </w:rPr>
      </w:pPr>
      <w:r>
        <w:rPr>
          <w:rFonts w:ascii="Arial" w:cs="Arial" w:eastAsia="Arial" w:hAnsi="Arial"/>
          <w:sz w:val="18"/>
          <w:szCs w:val="18"/>
          <w:color w:val="auto"/>
        </w:rPr>
        <w:t>(1) Note: for comparison purposes, US$8.3Mn in 4Q03 and US$26.7Mn in 12M03 were reclassified from other income into interest income.</w:t>
      </w:r>
    </w:p>
    <w:p>
      <w:pPr>
        <w:sectPr>
          <w:pgSz w:w="11900" w:h="16838" w:orient="portrait"/>
          <w:cols w:equalWidth="0" w:num="1">
            <w:col w:w="11400"/>
          </w:cols>
          <w:pgMar w:left="240" w:top="131" w:right="259" w:bottom="1440" w:gutter="0" w:footer="0" w:header="0"/>
        </w:sectPr>
      </w:pPr>
    </w:p>
    <w:bookmarkStart w:id="17" w:name="page18"/>
    <w:bookmarkEnd w:id="17"/>
    <w:p>
      <w:pPr>
        <w:jc w:val="center"/>
        <w:ind w:right="-19"/>
        <w:spacing w:after="0"/>
        <w:rPr>
          <w:sz w:val="20"/>
          <w:szCs w:val="20"/>
          <w:color w:val="auto"/>
        </w:rPr>
      </w:pPr>
      <w:r>
        <w:rPr>
          <w:rFonts w:ascii="Arial" w:cs="Arial" w:eastAsia="Arial" w:hAnsi="Arial"/>
          <w:sz w:val="18"/>
          <w:szCs w:val="18"/>
          <w:color w:val="auto"/>
        </w:rPr>
        <w:t>CREDICORP LTD.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3</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492"/>
              <w:spacing w:after="0"/>
              <w:rPr>
                <w:sz w:val="20"/>
                <w:szCs w:val="20"/>
                <w:color w:val="auto"/>
              </w:rPr>
            </w:pPr>
            <w:r>
              <w:rPr>
                <w:rFonts w:ascii="Arial" w:cs="Arial" w:eastAsia="Arial" w:hAnsi="Arial"/>
                <w:sz w:val="18"/>
                <w:szCs w:val="18"/>
                <w:color w:val="auto"/>
              </w:rPr>
              <w:t>Twelve months ended</w:t>
            </w:r>
          </w:p>
        </w:tc>
      </w:tr>
      <w:tr>
        <w:trPr>
          <w:trHeight w:val="151"/>
        </w:trPr>
        <w:tc>
          <w:tcPr>
            <w:tcW w:w="452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356"/>
        </w:trPr>
        <w:tc>
          <w:tcPr>
            <w:tcW w:w="4520" w:type="dxa"/>
            <w:vAlign w:val="bottom"/>
          </w:tcPr>
          <w:p>
            <w:pPr>
              <w:spacing w:after="0"/>
              <w:rPr>
                <w:sz w:val="24"/>
                <w:szCs w:val="24"/>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400" w:type="dxa"/>
            <w:vAlign w:val="bottom"/>
          </w:tcPr>
          <w:p>
            <w:pPr>
              <w:jc w:val="right"/>
              <w:ind w:right="492"/>
              <w:spacing w:after="0"/>
              <w:rPr>
                <w:sz w:val="20"/>
                <w:szCs w:val="20"/>
                <w:color w:val="auto"/>
              </w:rPr>
            </w:pPr>
            <w:r>
              <w:rPr>
                <w:rFonts w:ascii="Arial" w:cs="Arial" w:eastAsia="Arial" w:hAnsi="Arial"/>
                <w:sz w:val="18"/>
                <w:szCs w:val="18"/>
                <w:color w:val="auto"/>
              </w:rPr>
              <w:t>30.09.04</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31.12.04</w:t>
            </w:r>
          </w:p>
        </w:tc>
        <w:tc>
          <w:tcPr>
            <w:tcW w:w="40" w:type="dxa"/>
            <w:vAlign w:val="bottom"/>
          </w:tcPr>
          <w:p>
            <w:pPr>
              <w:spacing w:after="0"/>
              <w:rPr>
                <w:sz w:val="24"/>
                <w:szCs w:val="24"/>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31.12.04</w:t>
            </w:r>
          </w:p>
        </w:tc>
      </w:tr>
      <w:tr>
        <w:trPr>
          <w:trHeight w:val="137"/>
        </w:trPr>
        <w:tc>
          <w:tcPr>
            <w:tcW w:w="45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586"/>
        </w:trPr>
        <w:tc>
          <w:tcPr>
            <w:tcW w:w="4520" w:type="dxa"/>
            <w:vAlign w:val="bottom"/>
          </w:tcPr>
          <w:p>
            <w:pPr>
              <w:spacing w:after="0"/>
              <w:rPr>
                <w:sz w:val="20"/>
                <w:szCs w:val="20"/>
                <w:color w:val="auto"/>
              </w:rPr>
            </w:pPr>
            <w:r>
              <w:rPr>
                <w:rFonts w:ascii="Arial" w:cs="Arial" w:eastAsia="Arial" w:hAnsi="Arial"/>
                <w:sz w:val="18"/>
                <w:szCs w:val="18"/>
                <w:color w:val="auto"/>
              </w:rPr>
              <w:t>Profitability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income per common share (US$ per share)(1)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0.30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0.41</w:t>
            </w:r>
          </w:p>
        </w:tc>
        <w:tc>
          <w:tcPr>
            <w:tcW w:w="1160" w:type="dxa"/>
            <w:vAlign w:val="bottom"/>
          </w:tcPr>
          <w:p>
            <w:pPr>
              <w:jc w:val="right"/>
              <w:spacing w:after="0"/>
              <w:rPr>
                <w:sz w:val="20"/>
                <w:szCs w:val="20"/>
                <w:color w:val="auto"/>
              </w:rPr>
            </w:pPr>
            <w:r>
              <w:rPr>
                <w:rFonts w:ascii="Arial" w:cs="Arial" w:eastAsia="Arial" w:hAnsi="Arial"/>
                <w:sz w:val="18"/>
                <w:szCs w:val="18"/>
                <w:color w:val="auto"/>
              </w:rPr>
              <w:t>0.44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180" w:type="dxa"/>
            <w:vAlign w:val="bottom"/>
          </w:tcPr>
          <w:p>
            <w:pPr>
              <w:jc w:val="right"/>
              <w:spacing w:after="0"/>
              <w:rPr>
                <w:sz w:val="20"/>
                <w:szCs w:val="20"/>
                <w:color w:val="auto"/>
              </w:rPr>
            </w:pPr>
            <w:r>
              <w:rPr>
                <w:rFonts w:ascii="Arial" w:cs="Arial" w:eastAsia="Arial" w:hAnsi="Arial"/>
                <w:sz w:val="18"/>
                <w:szCs w:val="18"/>
                <w:color w:val="auto"/>
              </w:rPr>
              <w:t>1.64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5.80%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5.23%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5.70%</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5.62%</w:t>
            </w:r>
          </w:p>
        </w:tc>
        <w:tc>
          <w:tcPr>
            <w:tcW w:w="1180" w:type="dxa"/>
            <w:vAlign w:val="bottom"/>
          </w:tcPr>
          <w:p>
            <w:pPr>
              <w:jc w:val="right"/>
              <w:spacing w:after="0"/>
              <w:rPr>
                <w:sz w:val="20"/>
                <w:szCs w:val="20"/>
                <w:color w:val="auto"/>
              </w:rPr>
            </w:pPr>
            <w:r>
              <w:rPr>
                <w:rFonts w:ascii="Arial" w:cs="Arial" w:eastAsia="Arial" w:hAnsi="Arial"/>
                <w:sz w:val="18"/>
                <w:szCs w:val="18"/>
                <w:color w:val="auto"/>
              </w:rPr>
              <w:t>5.37%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1.52%</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1.56%</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0.96%</w:t>
            </w:r>
          </w:p>
        </w:tc>
        <w:tc>
          <w:tcPr>
            <w:tcW w:w="1180" w:type="dxa"/>
            <w:vAlign w:val="bottom"/>
          </w:tcPr>
          <w:p>
            <w:pPr>
              <w:jc w:val="right"/>
              <w:spacing w:after="0"/>
              <w:rPr>
                <w:sz w:val="20"/>
                <w:szCs w:val="20"/>
                <w:color w:val="auto"/>
              </w:rPr>
            </w:pPr>
            <w:r>
              <w:rPr>
                <w:rFonts w:ascii="Arial" w:cs="Arial" w:eastAsia="Arial" w:hAnsi="Arial"/>
                <w:sz w:val="18"/>
                <w:szCs w:val="18"/>
                <w:color w:val="auto"/>
              </w:rPr>
              <w:t>1.52%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10.58%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13.57%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13.49%</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9.39%</w:t>
            </w:r>
          </w:p>
        </w:tc>
        <w:tc>
          <w:tcPr>
            <w:tcW w:w="1180" w:type="dxa"/>
            <w:vAlign w:val="bottom"/>
          </w:tcPr>
          <w:p>
            <w:pPr>
              <w:jc w:val="right"/>
              <w:spacing w:after="0"/>
              <w:rPr>
                <w:sz w:val="20"/>
                <w:szCs w:val="20"/>
                <w:color w:val="auto"/>
              </w:rPr>
            </w:pPr>
            <w:r>
              <w:rPr>
                <w:rFonts w:ascii="Arial" w:cs="Arial" w:eastAsia="Arial" w:hAnsi="Arial"/>
                <w:sz w:val="18"/>
                <w:szCs w:val="18"/>
                <w:color w:val="auto"/>
              </w:rPr>
              <w:t>13.52%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No. of outstanding shares (millions)(4)</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79.75</w:t>
            </w:r>
          </w:p>
        </w:tc>
        <w:tc>
          <w:tcPr>
            <w:tcW w:w="1160" w:type="dxa"/>
            <w:vAlign w:val="bottom"/>
          </w:tcPr>
          <w:p>
            <w:pPr>
              <w:jc w:val="right"/>
              <w:spacing w:after="0"/>
              <w:rPr>
                <w:sz w:val="20"/>
                <w:szCs w:val="20"/>
                <w:color w:val="auto"/>
              </w:rPr>
            </w:pPr>
            <w:r>
              <w:rPr>
                <w:rFonts w:ascii="Arial" w:cs="Arial" w:eastAsia="Arial" w:hAnsi="Arial"/>
                <w:sz w:val="18"/>
                <w:szCs w:val="18"/>
                <w:color w:val="auto"/>
              </w:rPr>
              <w:t>79.75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79.75</w:t>
            </w:r>
          </w:p>
        </w:tc>
        <w:tc>
          <w:tcPr>
            <w:tcW w:w="1180" w:type="dxa"/>
            <w:vAlign w:val="bottom"/>
          </w:tcPr>
          <w:p>
            <w:pPr>
              <w:jc w:val="right"/>
              <w:spacing w:after="0"/>
              <w:rPr>
                <w:sz w:val="20"/>
                <w:szCs w:val="20"/>
                <w:color w:val="auto"/>
              </w:rPr>
            </w:pPr>
            <w:r>
              <w:rPr>
                <w:rFonts w:ascii="Arial" w:cs="Arial" w:eastAsia="Arial" w:hAnsi="Arial"/>
                <w:sz w:val="18"/>
                <w:szCs w:val="18"/>
                <w:color w:val="auto"/>
              </w:rPr>
              <w:t>79.75</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Quality of loan portfolio</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5.72%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4.75%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3.50%</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5.72%</w:t>
            </w:r>
          </w:p>
        </w:tc>
        <w:tc>
          <w:tcPr>
            <w:tcW w:w="1180" w:type="dxa"/>
            <w:vAlign w:val="bottom"/>
          </w:tcPr>
          <w:p>
            <w:pPr>
              <w:jc w:val="right"/>
              <w:spacing w:after="0"/>
              <w:rPr>
                <w:sz w:val="20"/>
                <w:szCs w:val="20"/>
                <w:color w:val="auto"/>
              </w:rPr>
            </w:pPr>
            <w:r>
              <w:rPr>
                <w:rFonts w:ascii="Arial" w:cs="Arial" w:eastAsia="Arial" w:hAnsi="Arial"/>
                <w:sz w:val="18"/>
                <w:szCs w:val="18"/>
                <w:color w:val="auto"/>
              </w:rPr>
              <w:t>3.50%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past due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119.60%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122.03%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158.01%</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119.60%</w:t>
            </w:r>
          </w:p>
        </w:tc>
        <w:tc>
          <w:tcPr>
            <w:tcW w:w="1180" w:type="dxa"/>
            <w:vAlign w:val="bottom"/>
          </w:tcPr>
          <w:p>
            <w:pPr>
              <w:jc w:val="right"/>
              <w:spacing w:after="0"/>
              <w:rPr>
                <w:sz w:val="20"/>
                <w:szCs w:val="20"/>
                <w:color w:val="auto"/>
              </w:rPr>
            </w:pPr>
            <w:r>
              <w:rPr>
                <w:rFonts w:ascii="Arial" w:cs="Arial" w:eastAsia="Arial" w:hAnsi="Arial"/>
                <w:sz w:val="18"/>
                <w:szCs w:val="18"/>
                <w:color w:val="auto"/>
              </w:rPr>
              <w:t>158.01%</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6.84%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5.79%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6.84%</w:t>
            </w:r>
          </w:p>
        </w:tc>
        <w:tc>
          <w:tcPr>
            <w:tcW w:w="1180" w:type="dxa"/>
            <w:vAlign w:val="bottom"/>
          </w:tcPr>
          <w:p>
            <w:pPr>
              <w:jc w:val="right"/>
              <w:spacing w:after="0"/>
              <w:rPr>
                <w:sz w:val="20"/>
                <w:szCs w:val="20"/>
                <w:color w:val="auto"/>
              </w:rPr>
            </w:pPr>
            <w:r>
              <w:rPr>
                <w:rFonts w:ascii="Arial" w:cs="Arial" w:eastAsia="Arial" w:hAnsi="Arial"/>
                <w:sz w:val="18"/>
                <w:szCs w:val="18"/>
                <w:color w:val="auto"/>
              </w:rPr>
              <w:t>5.52%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substandard loans (C+D+E)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47.82%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50.75%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52.00%</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47.82%</w:t>
            </w:r>
          </w:p>
        </w:tc>
        <w:tc>
          <w:tcPr>
            <w:tcW w:w="1180" w:type="dxa"/>
            <w:vAlign w:val="bottom"/>
          </w:tcPr>
          <w:p>
            <w:pPr>
              <w:jc w:val="right"/>
              <w:spacing w:after="0"/>
              <w:rPr>
                <w:sz w:val="20"/>
                <w:szCs w:val="20"/>
                <w:color w:val="auto"/>
              </w:rPr>
            </w:pPr>
            <w:r>
              <w:rPr>
                <w:rFonts w:ascii="Arial" w:cs="Arial" w:eastAsia="Arial" w:hAnsi="Arial"/>
                <w:sz w:val="18"/>
                <w:szCs w:val="18"/>
                <w:color w:val="auto"/>
              </w:rPr>
              <w:t>52.00%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percentage of shareholders' equity</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-5.52%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-4.73%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-8.73%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-5.52%</w:t>
            </w:r>
          </w:p>
        </w:tc>
        <w:tc>
          <w:tcPr>
            <w:tcW w:w="1180" w:type="dxa"/>
            <w:vAlign w:val="bottom"/>
          </w:tcPr>
          <w:p>
            <w:pPr>
              <w:jc w:val="right"/>
              <w:spacing w:after="0"/>
              <w:rPr>
                <w:sz w:val="20"/>
                <w:szCs w:val="20"/>
                <w:color w:val="auto"/>
              </w:rPr>
            </w:pPr>
            <w:r>
              <w:rPr>
                <w:rFonts w:ascii="Arial" w:cs="Arial" w:eastAsia="Arial" w:hAnsi="Arial"/>
                <w:sz w:val="18"/>
                <w:szCs w:val="18"/>
                <w:color w:val="auto"/>
              </w:rPr>
              <w:t>-8.73%</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Operating efficiency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Oper. expense as a percent. of total income (5)</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51.79%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48.61%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51.74%</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50.56%</w:t>
            </w:r>
          </w:p>
        </w:tc>
        <w:tc>
          <w:tcPr>
            <w:tcW w:w="1180" w:type="dxa"/>
            <w:vAlign w:val="bottom"/>
          </w:tcPr>
          <w:p>
            <w:pPr>
              <w:jc w:val="right"/>
              <w:spacing w:after="0"/>
              <w:rPr>
                <w:sz w:val="20"/>
                <w:szCs w:val="20"/>
                <w:color w:val="auto"/>
              </w:rPr>
            </w:pPr>
            <w:r>
              <w:rPr>
                <w:rFonts w:ascii="Arial" w:cs="Arial" w:eastAsia="Arial" w:hAnsi="Arial"/>
                <w:sz w:val="18"/>
                <w:szCs w:val="18"/>
                <w:color w:val="auto"/>
              </w:rPr>
              <w:t>50.45%</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Oper. expense as a percent. of av. tot. assets(2)(3)(5)</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4.64%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5.55%</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4.59%</w:t>
            </w:r>
          </w:p>
        </w:tc>
        <w:tc>
          <w:tcPr>
            <w:tcW w:w="1180" w:type="dxa"/>
            <w:vAlign w:val="bottom"/>
          </w:tcPr>
          <w:p>
            <w:pPr>
              <w:jc w:val="right"/>
              <w:spacing w:after="0"/>
              <w:rPr>
                <w:sz w:val="20"/>
                <w:szCs w:val="20"/>
                <w:color w:val="auto"/>
              </w:rPr>
            </w:pPr>
            <w:r>
              <w:rPr>
                <w:rFonts w:ascii="Arial" w:cs="Arial" w:eastAsia="Arial" w:hAnsi="Arial"/>
                <w:sz w:val="18"/>
                <w:szCs w:val="18"/>
                <w:color w:val="auto"/>
              </w:rPr>
              <w:t>4.95%</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Capital adequacy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Regulatory Capital (US$Mn)</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731.4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835.2</w:t>
            </w:r>
          </w:p>
        </w:tc>
        <w:tc>
          <w:tcPr>
            <w:tcW w:w="1160" w:type="dxa"/>
            <w:vAlign w:val="bottom"/>
          </w:tcPr>
          <w:p>
            <w:pPr>
              <w:jc w:val="right"/>
              <w:spacing w:after="0"/>
              <w:rPr>
                <w:sz w:val="20"/>
                <w:szCs w:val="20"/>
                <w:color w:val="auto"/>
              </w:rPr>
            </w:pPr>
            <w:r>
              <w:rPr>
                <w:rFonts w:ascii="Arial" w:cs="Arial" w:eastAsia="Arial" w:hAnsi="Arial"/>
                <w:sz w:val="18"/>
                <w:szCs w:val="18"/>
                <w:color w:val="auto"/>
              </w:rPr>
              <w:t>837.1</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731.4</w:t>
            </w:r>
          </w:p>
        </w:tc>
        <w:tc>
          <w:tcPr>
            <w:tcW w:w="1180" w:type="dxa"/>
            <w:vAlign w:val="bottom"/>
          </w:tcPr>
          <w:p>
            <w:pPr>
              <w:jc w:val="right"/>
              <w:spacing w:after="0"/>
              <w:rPr>
                <w:sz w:val="20"/>
                <w:szCs w:val="20"/>
                <w:color w:val="auto"/>
              </w:rPr>
            </w:pPr>
            <w:r>
              <w:rPr>
                <w:rFonts w:ascii="Arial" w:cs="Arial" w:eastAsia="Arial" w:hAnsi="Arial"/>
                <w:sz w:val="18"/>
                <w:szCs w:val="18"/>
                <w:color w:val="auto"/>
              </w:rPr>
              <w:t>837.1</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Tier I Capital (US$Mn)</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602.0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733.5</w:t>
            </w:r>
          </w:p>
        </w:tc>
        <w:tc>
          <w:tcPr>
            <w:tcW w:w="1160" w:type="dxa"/>
            <w:vAlign w:val="bottom"/>
          </w:tcPr>
          <w:p>
            <w:pPr>
              <w:jc w:val="right"/>
              <w:spacing w:after="0"/>
              <w:rPr>
                <w:sz w:val="20"/>
                <w:szCs w:val="20"/>
                <w:color w:val="auto"/>
              </w:rPr>
            </w:pPr>
            <w:r>
              <w:rPr>
                <w:rFonts w:ascii="Arial" w:cs="Arial" w:eastAsia="Arial" w:hAnsi="Arial"/>
                <w:sz w:val="18"/>
                <w:szCs w:val="18"/>
                <w:color w:val="auto"/>
              </w:rPr>
              <w:t>733.8</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602.0</w:t>
            </w:r>
          </w:p>
        </w:tc>
        <w:tc>
          <w:tcPr>
            <w:tcW w:w="1180" w:type="dxa"/>
            <w:vAlign w:val="bottom"/>
          </w:tcPr>
          <w:p>
            <w:pPr>
              <w:jc w:val="right"/>
              <w:spacing w:after="0"/>
              <w:rPr>
                <w:sz w:val="20"/>
                <w:szCs w:val="20"/>
                <w:color w:val="auto"/>
              </w:rPr>
            </w:pPr>
            <w:r>
              <w:rPr>
                <w:rFonts w:ascii="Arial" w:cs="Arial" w:eastAsia="Arial" w:hAnsi="Arial"/>
                <w:sz w:val="18"/>
                <w:szCs w:val="18"/>
                <w:color w:val="auto"/>
              </w:rPr>
              <w:t>733.8</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Regulatory capital / risk-weighted assets (6)</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11.37%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12.87%</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12.42%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11.37%</w:t>
            </w:r>
          </w:p>
        </w:tc>
        <w:tc>
          <w:tcPr>
            <w:tcW w:w="1180" w:type="dxa"/>
            <w:vAlign w:val="bottom"/>
          </w:tcPr>
          <w:p>
            <w:pPr>
              <w:jc w:val="right"/>
              <w:spacing w:after="0"/>
              <w:rPr>
                <w:sz w:val="20"/>
                <w:szCs w:val="20"/>
                <w:color w:val="auto"/>
              </w:rPr>
            </w:pPr>
            <w:r>
              <w:rPr>
                <w:rFonts w:ascii="Arial" w:cs="Arial" w:eastAsia="Arial" w:hAnsi="Arial"/>
                <w:sz w:val="18"/>
                <w:szCs w:val="18"/>
                <w:color w:val="auto"/>
              </w:rPr>
              <w:t>12.42%</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Average balances (US$Mn) (3)</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6,817.5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7,199.3</w:t>
            </w:r>
          </w:p>
        </w:tc>
        <w:tc>
          <w:tcPr>
            <w:tcW w:w="1160" w:type="dxa"/>
            <w:vAlign w:val="bottom"/>
          </w:tcPr>
          <w:p>
            <w:pPr>
              <w:jc w:val="right"/>
              <w:spacing w:after="0"/>
              <w:rPr>
                <w:sz w:val="20"/>
                <w:szCs w:val="20"/>
                <w:color w:val="auto"/>
              </w:rPr>
            </w:pPr>
            <w:r>
              <w:rPr>
                <w:rFonts w:ascii="Arial" w:cs="Arial" w:eastAsia="Arial" w:hAnsi="Arial"/>
                <w:sz w:val="18"/>
                <w:szCs w:val="18"/>
                <w:color w:val="auto"/>
              </w:rPr>
              <w:t>7,416.1</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6,860.2</w:t>
            </w:r>
          </w:p>
        </w:tc>
        <w:tc>
          <w:tcPr>
            <w:tcW w:w="1180" w:type="dxa"/>
            <w:vAlign w:val="bottom"/>
          </w:tcPr>
          <w:p>
            <w:pPr>
              <w:jc w:val="right"/>
              <w:spacing w:after="0"/>
              <w:rPr>
                <w:sz w:val="20"/>
                <w:szCs w:val="20"/>
                <w:color w:val="auto"/>
              </w:rPr>
            </w:pPr>
            <w:r>
              <w:rPr>
                <w:rFonts w:ascii="Arial" w:cs="Arial" w:eastAsia="Arial" w:hAnsi="Arial"/>
                <w:sz w:val="18"/>
                <w:szCs w:val="18"/>
                <w:color w:val="auto"/>
              </w:rPr>
              <w:t>7,128.3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8,281.6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8,684.7</w:t>
            </w:r>
          </w:p>
        </w:tc>
        <w:tc>
          <w:tcPr>
            <w:tcW w:w="1160" w:type="dxa"/>
            <w:vAlign w:val="bottom"/>
          </w:tcPr>
          <w:p>
            <w:pPr>
              <w:jc w:val="right"/>
              <w:spacing w:after="0"/>
              <w:rPr>
                <w:sz w:val="20"/>
                <w:szCs w:val="20"/>
                <w:color w:val="auto"/>
              </w:rPr>
            </w:pPr>
            <w:r>
              <w:rPr>
                <w:rFonts w:ascii="Arial" w:cs="Arial" w:eastAsia="Arial" w:hAnsi="Arial"/>
                <w:sz w:val="18"/>
                <w:szCs w:val="18"/>
                <w:color w:val="auto"/>
              </w:rPr>
              <w:t>8,963.4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8,398.6</w:t>
            </w:r>
          </w:p>
        </w:tc>
        <w:tc>
          <w:tcPr>
            <w:tcW w:w="1180" w:type="dxa"/>
            <w:vAlign w:val="bottom"/>
          </w:tcPr>
          <w:p>
            <w:pPr>
              <w:jc w:val="right"/>
              <w:spacing w:after="0"/>
              <w:rPr>
                <w:sz w:val="20"/>
                <w:szCs w:val="20"/>
                <w:color w:val="auto"/>
              </w:rPr>
            </w:pPr>
            <w:r>
              <w:rPr>
                <w:rFonts w:ascii="Arial" w:cs="Arial" w:eastAsia="Arial" w:hAnsi="Arial"/>
                <w:sz w:val="18"/>
                <w:szCs w:val="18"/>
                <w:color w:val="auto"/>
              </w:rPr>
              <w:t>8,624.4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equity</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901.5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971.2</w:t>
            </w:r>
          </w:p>
        </w:tc>
        <w:tc>
          <w:tcPr>
            <w:tcW w:w="1160" w:type="dxa"/>
            <w:vAlign w:val="bottom"/>
          </w:tcPr>
          <w:p>
            <w:pPr>
              <w:jc w:val="right"/>
              <w:spacing w:after="0"/>
              <w:rPr>
                <w:sz w:val="20"/>
                <w:szCs w:val="20"/>
                <w:color w:val="auto"/>
              </w:rPr>
            </w:pPr>
            <w:r>
              <w:rPr>
                <w:rFonts w:ascii="Arial" w:cs="Arial" w:eastAsia="Arial" w:hAnsi="Arial"/>
                <w:sz w:val="18"/>
                <w:szCs w:val="18"/>
                <w:color w:val="auto"/>
              </w:rPr>
              <w:t>1,033.4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858.1</w:t>
            </w:r>
          </w:p>
        </w:tc>
        <w:tc>
          <w:tcPr>
            <w:tcW w:w="1180" w:type="dxa"/>
            <w:vAlign w:val="bottom"/>
          </w:tcPr>
          <w:p>
            <w:pPr>
              <w:jc w:val="right"/>
              <w:spacing w:after="0"/>
              <w:rPr>
                <w:sz w:val="20"/>
                <w:szCs w:val="20"/>
                <w:color w:val="auto"/>
              </w:rPr>
            </w:pPr>
            <w:r>
              <w:rPr>
                <w:rFonts w:ascii="Arial" w:cs="Arial" w:eastAsia="Arial" w:hAnsi="Arial"/>
                <w:sz w:val="18"/>
                <w:szCs w:val="18"/>
                <w:color w:val="auto"/>
              </w:rPr>
              <w:t>967.3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(1)Number of shares outstanding of 79.8 million in all periods.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(2)Ratios are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(4)Net of treasury shares. The total number of shares was of 94.38 million.</w:t>
      </w:r>
    </w:p>
    <w:p>
      <w:pPr>
        <w:spacing w:after="0" w:line="9" w:lineRule="exact"/>
        <w:rPr>
          <w:sz w:val="20"/>
          <w:szCs w:val="20"/>
          <w:color w:val="auto"/>
        </w:rPr>
      </w:pPr>
    </w:p>
    <w:p>
      <w:pPr>
        <w:jc w:val="both"/>
        <w:spacing w:after="0" w:line="250" w:lineRule="auto"/>
        <w:rPr>
          <w:sz w:val="20"/>
          <w:szCs w:val="20"/>
          <w:color w:val="auto"/>
        </w:rPr>
      </w:pPr>
      <w:r>
        <w:rPr>
          <w:rFonts w:ascii="Arial" w:cs="Arial" w:eastAsia="Arial" w:hAnsi="Arial"/>
          <w:sz w:val="18"/>
          <w:szCs w:val="18"/>
          <w:color w:val="auto"/>
        </w:rPr>
        <w:t>(5)Total income includes net interest income and other income. Operating expense is net of provisions for other assets received in lieu of loan repayment and mandatory employee profit sharing expense. Non-recurring items are not included.</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(6)Risk-weighted assets include market risk assets.</w:t>
      </w:r>
    </w:p>
    <w:p>
      <w:pPr>
        <w:sectPr>
          <w:pgSz w:w="11900" w:h="16838" w:orient="portrait"/>
          <w:cols w:equalWidth="0" w:num="1">
            <w:col w:w="11420"/>
          </w:cols>
          <w:pgMar w:left="240" w:top="131" w:right="239" w:bottom="1440" w:gutter="0" w:footer="0" w:header="0"/>
        </w:sectPr>
      </w:pPr>
    </w:p>
    <w:bookmarkStart w:id="18" w:name="page19"/>
    <w:bookmarkEnd w:id="18"/>
    <w:p>
      <w:pPr>
        <w:jc w:val="center"/>
        <w:ind w:right="40"/>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4</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BALANCE SHEETS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(Constant Nuevos Soles, as of December 31, 2004,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900" w:type="dxa"/>
            <w:vAlign w:val="bottom"/>
          </w:tcPr>
          <w:p>
            <w:pPr>
              <w:spacing w:after="0"/>
              <w:rPr>
                <w:sz w:val="20"/>
                <w:szCs w:val="20"/>
                <w:color w:val="auto"/>
              </w:rPr>
            </w:pPr>
            <w:r>
              <w:rPr>
                <w:rFonts w:ascii="Arial" w:cs="Arial" w:eastAsia="Arial" w:hAnsi="Arial"/>
                <w:sz w:val="18"/>
                <w:szCs w:val="18"/>
                <w:color w:val="auto"/>
              </w:rPr>
              <w:t>ASSETS</w:t>
            </w:r>
          </w:p>
        </w:tc>
        <w:tc>
          <w:tcPr>
            <w:tcW w:w="1580" w:type="dxa"/>
            <w:vAlign w:val="bottom"/>
          </w:tcPr>
          <w:p>
            <w:pPr>
              <w:jc w:val="right"/>
              <w:ind w:right="592"/>
              <w:spacing w:after="0"/>
              <w:rPr>
                <w:sz w:val="20"/>
                <w:szCs w:val="20"/>
                <w:color w:val="auto"/>
              </w:rPr>
            </w:pPr>
            <w:r>
              <w:rPr>
                <w:rFonts w:ascii="Arial" w:cs="Arial" w:eastAsia="Arial" w:hAnsi="Arial"/>
                <w:sz w:val="18"/>
                <w:szCs w:val="18"/>
                <w:color w:val="auto"/>
              </w:rPr>
              <w:t>30.09.03</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31.12.03</w:t>
            </w:r>
          </w:p>
        </w:tc>
        <w:tc>
          <w:tcPr>
            <w:tcW w:w="1520" w:type="dxa"/>
            <w:vAlign w:val="bottom"/>
          </w:tcPr>
          <w:p>
            <w:pPr>
              <w:jc w:val="right"/>
              <w:ind w:right="592"/>
              <w:spacing w:after="0"/>
              <w:rPr>
                <w:sz w:val="20"/>
                <w:szCs w:val="20"/>
                <w:color w:val="auto"/>
              </w:rPr>
            </w:pPr>
            <w:r>
              <w:rPr>
                <w:rFonts w:ascii="Arial" w:cs="Arial" w:eastAsia="Arial" w:hAnsi="Arial"/>
                <w:sz w:val="18"/>
                <w:szCs w:val="18"/>
                <w:color w:val="auto"/>
              </w:rPr>
              <w:t>30.09.04</w:t>
            </w:r>
          </w:p>
        </w:tc>
        <w:tc>
          <w:tcPr>
            <w:tcW w:w="1540" w:type="dxa"/>
            <w:vAlign w:val="bottom"/>
          </w:tcPr>
          <w:p>
            <w:pPr>
              <w:jc w:val="right"/>
              <w:ind w:right="612"/>
              <w:spacing w:after="0"/>
              <w:rPr>
                <w:sz w:val="20"/>
                <w:szCs w:val="20"/>
                <w:color w:val="auto"/>
              </w:rPr>
            </w:pPr>
            <w:r>
              <w:rPr>
                <w:rFonts w:ascii="Arial" w:cs="Arial" w:eastAsia="Arial" w:hAnsi="Arial"/>
                <w:sz w:val="18"/>
                <w:szCs w:val="18"/>
                <w:color w:val="auto"/>
              </w:rPr>
              <w:t>31.12.04</w:t>
            </w:r>
          </w:p>
        </w:tc>
        <w:tc>
          <w:tcPr>
            <w:tcW w:w="1300" w:type="dxa"/>
            <w:vAlign w:val="bottom"/>
          </w:tcPr>
          <w:p>
            <w:pPr>
              <w:jc w:val="right"/>
              <w:ind w:right="392"/>
              <w:spacing w:after="0"/>
              <w:rPr>
                <w:sz w:val="20"/>
                <w:szCs w:val="20"/>
                <w:color w:val="auto"/>
              </w:rPr>
            </w:pPr>
            <w:r>
              <w:rPr>
                <w:rFonts w:ascii="Arial" w:cs="Arial" w:eastAsia="Arial" w:hAnsi="Arial"/>
                <w:sz w:val="18"/>
                <w:szCs w:val="18"/>
                <w:color w:val="auto"/>
              </w:rPr>
              <w:t>31.12.04</w:t>
            </w:r>
          </w:p>
        </w:tc>
      </w:tr>
      <w:tr>
        <w:trPr>
          <w:trHeight w:val="137"/>
        </w:trPr>
        <w:tc>
          <w:tcPr>
            <w:tcW w:w="3900" w:type="dxa"/>
            <w:vAlign w:val="bottom"/>
            <w:tcBorders>
              <w:bottom w:val="single" w:sz="8" w:color="auto"/>
            </w:tcBorders>
          </w:tcPr>
          <w:p>
            <w:pPr>
              <w:spacing w:after="0"/>
              <w:rPr>
                <w:sz w:val="11"/>
                <w:szCs w:val="11"/>
                <w:color w:val="auto"/>
              </w:rPr>
            </w:pPr>
          </w:p>
        </w:tc>
        <w:tc>
          <w:tcPr>
            <w:tcW w:w="158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300" w:type="dxa"/>
            <w:vAlign w:val="bottom"/>
            <w:tcBorders>
              <w:bottom w:val="single" w:sz="8" w:color="auto"/>
            </w:tcBorders>
          </w:tcPr>
          <w:p>
            <w:pPr>
              <w:spacing w:after="0"/>
              <w:rPr>
                <w:sz w:val="11"/>
                <w:szCs w:val="11"/>
                <w:color w:val="auto"/>
              </w:rPr>
            </w:pPr>
          </w:p>
        </w:tc>
      </w:tr>
      <w:tr>
        <w:trPr>
          <w:trHeight w:val="343"/>
        </w:trPr>
        <w:tc>
          <w:tcPr>
            <w:tcW w:w="39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US$000(1)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CASH AND DUE FROM BANKS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6,072.733</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5,435.842</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5,615.886</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5,615.337</w:t>
            </w:r>
          </w:p>
        </w:tc>
        <w:tc>
          <w:tcPr>
            <w:tcW w:w="1300" w:type="dxa"/>
            <w:vAlign w:val="bottom"/>
          </w:tcPr>
          <w:p>
            <w:pPr>
              <w:jc w:val="right"/>
              <w:spacing w:after="0"/>
              <w:rPr>
                <w:sz w:val="20"/>
                <w:szCs w:val="20"/>
                <w:color w:val="auto"/>
              </w:rPr>
            </w:pPr>
            <w:r>
              <w:rPr>
                <w:rFonts w:ascii="Arial" w:cs="Arial" w:eastAsia="Arial" w:hAnsi="Arial"/>
                <w:sz w:val="18"/>
                <w:szCs w:val="18"/>
                <w:color w:val="auto"/>
              </w:rPr>
              <w:t>$1,710.950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Cash and Checks</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924.346</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830.291</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892.957</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828.264</w:t>
            </w:r>
          </w:p>
        </w:tc>
        <w:tc>
          <w:tcPr>
            <w:tcW w:w="1300" w:type="dxa"/>
            <w:vAlign w:val="bottom"/>
          </w:tcPr>
          <w:p>
            <w:pPr>
              <w:jc w:val="right"/>
              <w:spacing w:after="0"/>
              <w:rPr>
                <w:sz w:val="20"/>
                <w:szCs w:val="20"/>
                <w:color w:val="auto"/>
              </w:rPr>
            </w:pPr>
            <w:r>
              <w:rPr>
                <w:rFonts w:ascii="Arial" w:cs="Arial" w:eastAsia="Arial" w:hAnsi="Arial"/>
                <w:sz w:val="18"/>
                <w:szCs w:val="18"/>
                <w:color w:val="auto"/>
              </w:rPr>
              <w:t>$252.366</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in Central Bank of Peru</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4,223.190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3,488.055</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3,510.499</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3,618.377</w:t>
            </w:r>
          </w:p>
        </w:tc>
        <w:tc>
          <w:tcPr>
            <w:tcW w:w="1300" w:type="dxa"/>
            <w:vAlign w:val="bottom"/>
          </w:tcPr>
          <w:p>
            <w:pPr>
              <w:jc w:val="right"/>
              <w:spacing w:after="0"/>
              <w:rPr>
                <w:sz w:val="20"/>
                <w:szCs w:val="20"/>
                <w:color w:val="auto"/>
              </w:rPr>
            </w:pPr>
            <w:r>
              <w:rPr>
                <w:rFonts w:ascii="Arial" w:cs="Arial" w:eastAsia="Arial" w:hAnsi="Arial"/>
                <w:sz w:val="18"/>
                <w:szCs w:val="18"/>
                <w:color w:val="auto"/>
              </w:rPr>
              <w:t>$1,102.491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with local and foreign banks</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925.197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1,117.496</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1,212.430</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1,168.696</w:t>
            </w:r>
          </w:p>
        </w:tc>
        <w:tc>
          <w:tcPr>
            <w:tcW w:w="1300" w:type="dxa"/>
            <w:vAlign w:val="bottom"/>
          </w:tcPr>
          <w:p>
            <w:pPr>
              <w:jc w:val="right"/>
              <w:spacing w:after="0"/>
              <w:rPr>
                <w:sz w:val="20"/>
                <w:szCs w:val="20"/>
                <w:color w:val="auto"/>
              </w:rPr>
            </w:pPr>
            <w:r>
              <w:rPr>
                <w:rFonts w:ascii="Arial" w:cs="Arial" w:eastAsia="Arial" w:hAnsi="Arial"/>
                <w:sz w:val="18"/>
                <w:szCs w:val="18"/>
                <w:color w:val="auto"/>
              </w:rPr>
              <w:t>$356.093</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TRADING SECURITIES, net</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179.930</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144.042</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183.601</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154.137</w:t>
            </w:r>
          </w:p>
        </w:tc>
        <w:tc>
          <w:tcPr>
            <w:tcW w:w="1300" w:type="dxa"/>
            <w:vAlign w:val="bottom"/>
          </w:tcPr>
          <w:p>
            <w:pPr>
              <w:jc w:val="right"/>
              <w:spacing w:after="0"/>
              <w:rPr>
                <w:sz w:val="20"/>
                <w:szCs w:val="20"/>
                <w:color w:val="auto"/>
              </w:rPr>
            </w:pPr>
            <w:r>
              <w:rPr>
                <w:rFonts w:ascii="Arial" w:cs="Arial" w:eastAsia="Arial" w:hAnsi="Arial"/>
                <w:sz w:val="18"/>
                <w:szCs w:val="18"/>
                <w:color w:val="auto"/>
              </w:rPr>
              <w:t>$46.964</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LOANS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15,138.536</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14,899.936</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13,576.346</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13,451.233</w:t>
            </w:r>
          </w:p>
        </w:tc>
        <w:tc>
          <w:tcPr>
            <w:tcW w:w="1300" w:type="dxa"/>
            <w:vAlign w:val="bottom"/>
          </w:tcPr>
          <w:p>
            <w:pPr>
              <w:jc w:val="right"/>
              <w:spacing w:after="0"/>
              <w:rPr>
                <w:sz w:val="20"/>
                <w:szCs w:val="20"/>
                <w:color w:val="auto"/>
              </w:rPr>
            </w:pPr>
            <w:r>
              <w:rPr>
                <w:rFonts w:ascii="Arial" w:cs="Arial" w:eastAsia="Arial" w:hAnsi="Arial"/>
                <w:sz w:val="18"/>
                <w:szCs w:val="18"/>
                <w:color w:val="auto"/>
              </w:rPr>
              <w:t>$4,098.487</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Current</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13,907.662</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13,996.097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12,895.540</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12,955.976</w:t>
            </w:r>
          </w:p>
        </w:tc>
        <w:tc>
          <w:tcPr>
            <w:tcW w:w="1300" w:type="dxa"/>
            <w:vAlign w:val="bottom"/>
          </w:tcPr>
          <w:p>
            <w:pPr>
              <w:jc w:val="right"/>
              <w:spacing w:after="0"/>
              <w:rPr>
                <w:sz w:val="20"/>
                <w:szCs w:val="20"/>
                <w:color w:val="auto"/>
              </w:rPr>
            </w:pPr>
            <w:r>
              <w:rPr>
                <w:rFonts w:ascii="Arial" w:cs="Arial" w:eastAsia="Arial" w:hAnsi="Arial"/>
                <w:sz w:val="18"/>
                <w:szCs w:val="18"/>
                <w:color w:val="auto"/>
              </w:rPr>
              <w:t>$3,947.586</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Past Due</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1,230.874</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903.839</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680.806</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495.257</w:t>
            </w:r>
          </w:p>
        </w:tc>
        <w:tc>
          <w:tcPr>
            <w:tcW w:w="1300" w:type="dxa"/>
            <w:vAlign w:val="bottom"/>
          </w:tcPr>
          <w:p>
            <w:pPr>
              <w:jc w:val="right"/>
              <w:spacing w:after="0"/>
              <w:rPr>
                <w:sz w:val="20"/>
                <w:szCs w:val="20"/>
                <w:color w:val="auto"/>
              </w:rPr>
            </w:pPr>
            <w:r>
              <w:rPr>
                <w:rFonts w:ascii="Arial" w:cs="Arial" w:eastAsia="Arial" w:hAnsi="Arial"/>
                <w:sz w:val="18"/>
                <w:szCs w:val="18"/>
                <w:color w:val="auto"/>
              </w:rPr>
              <w:t>$150.901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Less - Reserve for possible loan losses(2)</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(1,374.568)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(1,127.305)</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(850.246)</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(791.581)</w:t>
            </w:r>
          </w:p>
        </w:tc>
        <w:tc>
          <w:tcPr>
            <w:tcW w:w="1300" w:type="dxa"/>
            <w:vAlign w:val="bottom"/>
          </w:tcPr>
          <w:p>
            <w:pPr>
              <w:jc w:val="right"/>
              <w:spacing w:after="0"/>
              <w:rPr>
                <w:sz w:val="20"/>
                <w:szCs w:val="20"/>
                <w:color w:val="auto"/>
              </w:rPr>
            </w:pPr>
            <w:r>
              <w:rPr>
                <w:rFonts w:ascii="Arial" w:cs="Arial" w:eastAsia="Arial" w:hAnsi="Arial"/>
                <w:sz w:val="18"/>
                <w:szCs w:val="18"/>
                <w:color w:val="auto"/>
              </w:rPr>
              <w:t>($241.189)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LOANS NET</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13,763.968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13,772.631</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12,726.100</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12,659.652</w:t>
            </w:r>
          </w:p>
        </w:tc>
        <w:tc>
          <w:tcPr>
            <w:tcW w:w="1300" w:type="dxa"/>
            <w:vAlign w:val="bottom"/>
          </w:tcPr>
          <w:p>
            <w:pPr>
              <w:jc w:val="right"/>
              <w:spacing w:after="0"/>
              <w:rPr>
                <w:sz w:val="20"/>
                <w:szCs w:val="20"/>
                <w:color w:val="auto"/>
              </w:rPr>
            </w:pPr>
            <w:r>
              <w:rPr>
                <w:rFonts w:ascii="Arial" w:cs="Arial" w:eastAsia="Arial" w:hAnsi="Arial"/>
                <w:sz w:val="18"/>
                <w:szCs w:val="18"/>
                <w:color w:val="auto"/>
              </w:rPr>
              <w:t>$3,857.298</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INVESTMENT SECURITIES AVAIL. FOR SALE</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2,917.667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3,166.132</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3,120.714</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3,553.037</w:t>
            </w:r>
          </w:p>
        </w:tc>
        <w:tc>
          <w:tcPr>
            <w:tcW w:w="1300" w:type="dxa"/>
            <w:vAlign w:val="bottom"/>
          </w:tcPr>
          <w:p>
            <w:pPr>
              <w:jc w:val="right"/>
              <w:spacing w:after="0"/>
              <w:rPr>
                <w:sz w:val="20"/>
                <w:szCs w:val="20"/>
                <w:color w:val="auto"/>
              </w:rPr>
            </w:pPr>
            <w:r>
              <w:rPr>
                <w:rFonts w:ascii="Arial" w:cs="Arial" w:eastAsia="Arial" w:hAnsi="Arial"/>
                <w:sz w:val="18"/>
                <w:szCs w:val="18"/>
                <w:color w:val="auto"/>
              </w:rPr>
              <w:t>$1,082.583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756.185</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767.529</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699.043</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698.542</w:t>
            </w:r>
          </w:p>
        </w:tc>
        <w:tc>
          <w:tcPr>
            <w:tcW w:w="1300" w:type="dxa"/>
            <w:vAlign w:val="bottom"/>
          </w:tcPr>
          <w:p>
            <w:pPr>
              <w:jc w:val="right"/>
              <w:spacing w:after="0"/>
              <w:rPr>
                <w:sz w:val="20"/>
                <w:szCs w:val="20"/>
                <w:color w:val="auto"/>
              </w:rPr>
            </w:pPr>
            <w:r>
              <w:rPr>
                <w:rFonts w:ascii="Arial" w:cs="Arial" w:eastAsia="Arial" w:hAnsi="Arial"/>
                <w:sz w:val="18"/>
                <w:szCs w:val="18"/>
                <w:color w:val="auto"/>
              </w:rPr>
              <w:t>$212.840</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OTHER ASSETS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1,177.167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1,080.871</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882.330</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896.687</w:t>
            </w:r>
          </w:p>
        </w:tc>
        <w:tc>
          <w:tcPr>
            <w:tcW w:w="1300" w:type="dxa"/>
            <w:vAlign w:val="bottom"/>
          </w:tcPr>
          <w:p>
            <w:pPr>
              <w:jc w:val="right"/>
              <w:spacing w:after="0"/>
              <w:rPr>
                <w:sz w:val="20"/>
                <w:szCs w:val="20"/>
                <w:color w:val="auto"/>
              </w:rPr>
            </w:pPr>
            <w:r>
              <w:rPr>
                <w:rFonts w:ascii="Arial" w:cs="Arial" w:eastAsia="Arial" w:hAnsi="Arial"/>
                <w:sz w:val="18"/>
                <w:szCs w:val="18"/>
                <w:color w:val="auto"/>
              </w:rPr>
              <w:t>$273.214</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TOTAL ASSETS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24,867.650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24,367.047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23,227.674</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23,577.392</w:t>
            </w:r>
          </w:p>
        </w:tc>
        <w:tc>
          <w:tcPr>
            <w:tcW w:w="1300" w:type="dxa"/>
            <w:vAlign w:val="bottom"/>
          </w:tcPr>
          <w:p>
            <w:pPr>
              <w:jc w:val="right"/>
              <w:spacing w:after="0"/>
              <w:rPr>
                <w:sz w:val="20"/>
                <w:szCs w:val="20"/>
                <w:color w:val="auto"/>
              </w:rPr>
            </w:pPr>
            <w:r>
              <w:rPr>
                <w:rFonts w:ascii="Arial" w:cs="Arial" w:eastAsia="Arial" w:hAnsi="Arial"/>
                <w:sz w:val="18"/>
                <w:szCs w:val="18"/>
                <w:color w:val="auto"/>
              </w:rPr>
              <w:t>$7,183.849</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LIABILITIES AND SHAREHOLDERS' EQUITY</w:t>
            </w:r>
          </w:p>
        </w:tc>
        <w:tc>
          <w:tcPr>
            <w:tcW w:w="158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DEPOSITS AND OBLIGATIONS: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21,015.430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20,517.718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19,288.961</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19,411.321</w:t>
            </w:r>
          </w:p>
        </w:tc>
        <w:tc>
          <w:tcPr>
            <w:tcW w:w="1300" w:type="dxa"/>
            <w:vAlign w:val="bottom"/>
          </w:tcPr>
          <w:p>
            <w:pPr>
              <w:jc w:val="right"/>
              <w:spacing w:after="0"/>
              <w:rPr>
                <w:sz w:val="20"/>
                <w:szCs w:val="20"/>
                <w:color w:val="auto"/>
              </w:rPr>
            </w:pPr>
            <w:r>
              <w:rPr>
                <w:rFonts w:ascii="Arial" w:cs="Arial" w:eastAsia="Arial" w:hAnsi="Arial"/>
                <w:sz w:val="18"/>
                <w:szCs w:val="18"/>
                <w:color w:val="auto"/>
              </w:rPr>
              <w:t>$5,914.479</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Demand deposits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5,004.157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5,056.006</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5,243.913</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5,597.258</w:t>
            </w:r>
          </w:p>
        </w:tc>
        <w:tc>
          <w:tcPr>
            <w:tcW w:w="1300" w:type="dxa"/>
            <w:vAlign w:val="bottom"/>
          </w:tcPr>
          <w:p>
            <w:pPr>
              <w:jc w:val="right"/>
              <w:spacing w:after="0"/>
              <w:rPr>
                <w:sz w:val="20"/>
                <w:szCs w:val="20"/>
                <w:color w:val="auto"/>
              </w:rPr>
            </w:pPr>
            <w:r>
              <w:rPr>
                <w:rFonts w:ascii="Arial" w:cs="Arial" w:eastAsia="Arial" w:hAnsi="Arial"/>
                <w:sz w:val="18"/>
                <w:szCs w:val="18"/>
                <w:color w:val="auto"/>
              </w:rPr>
              <w:t>$1,705.441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Saving accounts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5,607.244</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5,557.836</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4,741.729</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4,931.819</w:t>
            </w:r>
          </w:p>
        </w:tc>
        <w:tc>
          <w:tcPr>
            <w:tcW w:w="1300" w:type="dxa"/>
            <w:vAlign w:val="bottom"/>
          </w:tcPr>
          <w:p>
            <w:pPr>
              <w:jc w:val="right"/>
              <w:spacing w:after="0"/>
              <w:rPr>
                <w:sz w:val="20"/>
                <w:szCs w:val="20"/>
                <w:color w:val="auto"/>
              </w:rPr>
            </w:pPr>
            <w:r>
              <w:rPr>
                <w:rFonts w:ascii="Arial" w:cs="Arial" w:eastAsia="Arial" w:hAnsi="Arial"/>
                <w:sz w:val="18"/>
                <w:szCs w:val="18"/>
                <w:color w:val="auto"/>
              </w:rPr>
              <w:t>$1,502.687</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Time deposits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10,404.029</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9,903.876</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9,303.319</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8,882.244</w:t>
            </w:r>
          </w:p>
        </w:tc>
        <w:tc>
          <w:tcPr>
            <w:tcW w:w="1300" w:type="dxa"/>
            <w:vAlign w:val="bottom"/>
          </w:tcPr>
          <w:p>
            <w:pPr>
              <w:jc w:val="right"/>
              <w:spacing w:after="0"/>
              <w:rPr>
                <w:sz w:val="20"/>
                <w:szCs w:val="20"/>
                <w:color w:val="auto"/>
              </w:rPr>
            </w:pPr>
            <w:r>
              <w:rPr>
                <w:rFonts w:ascii="Arial" w:cs="Arial" w:eastAsia="Arial" w:hAnsi="Arial"/>
                <w:sz w:val="18"/>
                <w:szCs w:val="18"/>
                <w:color w:val="auto"/>
              </w:rPr>
              <w:t>$2,706.351</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DUE TO BANKS AND CORRESPONDENTS</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375.586</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372.122</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537.652</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708.562</w:t>
            </w:r>
          </w:p>
        </w:tc>
        <w:tc>
          <w:tcPr>
            <w:tcW w:w="1300" w:type="dxa"/>
            <w:vAlign w:val="bottom"/>
          </w:tcPr>
          <w:p>
            <w:pPr>
              <w:jc w:val="right"/>
              <w:spacing w:after="0"/>
              <w:rPr>
                <w:sz w:val="20"/>
                <w:szCs w:val="20"/>
                <w:color w:val="auto"/>
              </w:rPr>
            </w:pPr>
            <w:r>
              <w:rPr>
                <w:rFonts w:ascii="Arial" w:cs="Arial" w:eastAsia="Arial" w:hAnsi="Arial"/>
                <w:sz w:val="18"/>
                <w:szCs w:val="18"/>
                <w:color w:val="auto"/>
              </w:rPr>
              <w:t>$215.893</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OTHER LIABILITIES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1,223.127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1,132.937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1,081.252</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1,039.263</w:t>
            </w:r>
          </w:p>
        </w:tc>
        <w:tc>
          <w:tcPr>
            <w:tcW w:w="1300" w:type="dxa"/>
            <w:vAlign w:val="bottom"/>
          </w:tcPr>
          <w:p>
            <w:pPr>
              <w:jc w:val="right"/>
              <w:spacing w:after="0"/>
              <w:rPr>
                <w:sz w:val="20"/>
                <w:szCs w:val="20"/>
                <w:color w:val="auto"/>
              </w:rPr>
            </w:pPr>
            <w:r>
              <w:rPr>
                <w:rFonts w:ascii="Arial" w:cs="Arial" w:eastAsia="Arial" w:hAnsi="Arial"/>
                <w:sz w:val="18"/>
                <w:szCs w:val="18"/>
                <w:color w:val="auto"/>
              </w:rPr>
              <w:t>$316.655</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SHAREHOLDERS EQUITY:</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2,253.507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2,344.270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2,319.809</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2,418.246</w:t>
            </w:r>
          </w:p>
        </w:tc>
        <w:tc>
          <w:tcPr>
            <w:tcW w:w="1300" w:type="dxa"/>
            <w:vAlign w:val="bottom"/>
          </w:tcPr>
          <w:p>
            <w:pPr>
              <w:jc w:val="right"/>
              <w:spacing w:after="0"/>
              <w:rPr>
                <w:sz w:val="20"/>
                <w:szCs w:val="20"/>
                <w:color w:val="auto"/>
              </w:rPr>
            </w:pPr>
            <w:r>
              <w:rPr>
                <w:rFonts w:ascii="Arial" w:cs="Arial" w:eastAsia="Arial" w:hAnsi="Arial"/>
                <w:sz w:val="18"/>
                <w:szCs w:val="18"/>
                <w:color w:val="auto"/>
              </w:rPr>
              <w:t>$736.821</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Capital stock</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1,287.287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1,286.528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1,286.528</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1,286.528</w:t>
            </w:r>
          </w:p>
        </w:tc>
        <w:tc>
          <w:tcPr>
            <w:tcW w:w="1300" w:type="dxa"/>
            <w:vAlign w:val="bottom"/>
          </w:tcPr>
          <w:p>
            <w:pPr>
              <w:jc w:val="right"/>
              <w:spacing w:after="0"/>
              <w:rPr>
                <w:sz w:val="20"/>
                <w:szCs w:val="20"/>
                <w:color w:val="auto"/>
              </w:rPr>
            </w:pPr>
            <w:r>
              <w:rPr>
                <w:rFonts w:ascii="Arial" w:cs="Arial" w:eastAsia="Arial" w:hAnsi="Arial"/>
                <w:sz w:val="18"/>
                <w:szCs w:val="18"/>
                <w:color w:val="auto"/>
              </w:rPr>
              <w:t>$391.995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Legal reserve</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733.015</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732.583</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805.484</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805.484</w:t>
            </w:r>
          </w:p>
        </w:tc>
        <w:tc>
          <w:tcPr>
            <w:tcW w:w="1300" w:type="dxa"/>
            <w:vAlign w:val="bottom"/>
          </w:tcPr>
          <w:p>
            <w:pPr>
              <w:jc w:val="right"/>
              <w:spacing w:after="0"/>
              <w:rPr>
                <w:sz w:val="20"/>
                <w:szCs w:val="20"/>
                <w:color w:val="auto"/>
              </w:rPr>
            </w:pPr>
            <w:r>
              <w:rPr>
                <w:rFonts w:ascii="Arial" w:cs="Arial" w:eastAsia="Arial" w:hAnsi="Arial"/>
                <w:sz w:val="18"/>
                <w:szCs w:val="18"/>
                <w:color w:val="auto"/>
              </w:rPr>
              <w:t>$245.425</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Retained earnings</w:t>
            </w:r>
          </w:p>
        </w:tc>
        <w:tc>
          <w:tcPr>
            <w:tcW w:w="1580" w:type="dxa"/>
            <w:vAlign w:val="bottom"/>
          </w:tcPr>
          <w:p>
            <w:pPr>
              <w:jc w:val="right"/>
              <w:ind w:right="172"/>
              <w:spacing w:after="0"/>
              <w:rPr>
                <w:sz w:val="20"/>
                <w:szCs w:val="20"/>
                <w:color w:val="auto"/>
              </w:rPr>
            </w:pPr>
            <w:r>
              <w:rPr>
                <w:rFonts w:ascii="Arial" w:cs="Arial" w:eastAsia="Arial" w:hAnsi="Arial"/>
                <w:sz w:val="18"/>
                <w:szCs w:val="18"/>
                <w:color w:val="auto"/>
              </w:rPr>
              <w:t>233.205</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325.159</w:t>
            </w:r>
          </w:p>
        </w:tc>
        <w:tc>
          <w:tcPr>
            <w:tcW w:w="1520" w:type="dxa"/>
            <w:vAlign w:val="bottom"/>
          </w:tcPr>
          <w:p>
            <w:pPr>
              <w:jc w:val="right"/>
              <w:ind w:right="172"/>
              <w:spacing w:after="0"/>
              <w:rPr>
                <w:sz w:val="20"/>
                <w:szCs w:val="20"/>
                <w:color w:val="auto"/>
              </w:rPr>
            </w:pPr>
            <w:r>
              <w:rPr>
                <w:rFonts w:ascii="Arial" w:cs="Arial" w:eastAsia="Arial" w:hAnsi="Arial"/>
                <w:sz w:val="18"/>
                <w:szCs w:val="18"/>
                <w:color w:val="auto"/>
              </w:rPr>
              <w:t>227.797</w:t>
            </w:r>
          </w:p>
        </w:tc>
        <w:tc>
          <w:tcPr>
            <w:tcW w:w="1540" w:type="dxa"/>
            <w:vAlign w:val="bottom"/>
          </w:tcPr>
          <w:p>
            <w:pPr>
              <w:jc w:val="right"/>
              <w:ind w:right="192"/>
              <w:spacing w:after="0"/>
              <w:rPr>
                <w:sz w:val="20"/>
                <w:szCs w:val="20"/>
                <w:color w:val="auto"/>
              </w:rPr>
            </w:pPr>
            <w:r>
              <w:rPr>
                <w:rFonts w:ascii="Arial" w:cs="Arial" w:eastAsia="Arial" w:hAnsi="Arial"/>
                <w:sz w:val="18"/>
                <w:szCs w:val="18"/>
                <w:color w:val="auto"/>
              </w:rPr>
              <w:t>326.234</w:t>
            </w:r>
          </w:p>
        </w:tc>
        <w:tc>
          <w:tcPr>
            <w:tcW w:w="1300" w:type="dxa"/>
            <w:vAlign w:val="bottom"/>
          </w:tcPr>
          <w:p>
            <w:pPr>
              <w:jc w:val="right"/>
              <w:spacing w:after="0"/>
              <w:rPr>
                <w:sz w:val="20"/>
                <w:szCs w:val="20"/>
                <w:color w:val="auto"/>
              </w:rPr>
            </w:pPr>
            <w:r>
              <w:rPr>
                <w:rFonts w:ascii="Arial" w:cs="Arial" w:eastAsia="Arial" w:hAnsi="Arial"/>
                <w:sz w:val="18"/>
                <w:szCs w:val="18"/>
                <w:color w:val="auto"/>
              </w:rPr>
              <w:t>$99.401</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TOTAL LIABILITIES AND EQUITY</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24,867.650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24,367.047</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23,227.674</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23,577.392</w:t>
            </w:r>
          </w:p>
        </w:tc>
        <w:tc>
          <w:tcPr>
            <w:tcW w:w="1300" w:type="dxa"/>
            <w:vAlign w:val="bottom"/>
          </w:tcPr>
          <w:p>
            <w:pPr>
              <w:jc w:val="right"/>
              <w:spacing w:after="0"/>
              <w:rPr>
                <w:sz w:val="20"/>
                <w:szCs w:val="20"/>
                <w:color w:val="auto"/>
              </w:rPr>
            </w:pPr>
            <w:r>
              <w:rPr>
                <w:rFonts w:ascii="Arial" w:cs="Arial" w:eastAsia="Arial" w:hAnsi="Arial"/>
                <w:sz w:val="18"/>
                <w:szCs w:val="18"/>
                <w:color w:val="auto"/>
              </w:rPr>
              <w:t>$7,183.849</w:t>
            </w:r>
          </w:p>
        </w:tc>
      </w:tr>
      <w:tr>
        <w:trPr>
          <w:trHeight w:val="486"/>
        </w:trPr>
        <w:tc>
          <w:tcPr>
            <w:tcW w:w="3900" w:type="dxa"/>
            <w:vAlign w:val="bottom"/>
          </w:tcPr>
          <w:p>
            <w:pPr>
              <w:spacing w:after="0"/>
              <w:rPr>
                <w:sz w:val="20"/>
                <w:szCs w:val="20"/>
                <w:color w:val="auto"/>
              </w:rPr>
            </w:pPr>
            <w:r>
              <w:rPr>
                <w:rFonts w:ascii="Arial" w:cs="Arial" w:eastAsia="Arial" w:hAnsi="Arial"/>
                <w:sz w:val="18"/>
                <w:szCs w:val="18"/>
                <w:color w:val="auto"/>
              </w:rPr>
              <w:t>Contingent Credits</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4,836.768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6,105.920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5,518.437</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6,016.122</w:t>
            </w:r>
          </w:p>
        </w:tc>
        <w:tc>
          <w:tcPr>
            <w:tcW w:w="1300" w:type="dxa"/>
            <w:vAlign w:val="bottom"/>
          </w:tcPr>
          <w:p>
            <w:pPr>
              <w:jc w:val="right"/>
              <w:spacing w:after="0"/>
              <w:rPr>
                <w:sz w:val="20"/>
                <w:szCs w:val="20"/>
                <w:color w:val="auto"/>
              </w:rPr>
            </w:pPr>
            <w:r>
              <w:rPr>
                <w:rFonts w:ascii="Arial" w:cs="Arial" w:eastAsia="Arial" w:hAnsi="Arial"/>
                <w:sz w:val="18"/>
                <w:szCs w:val="18"/>
                <w:color w:val="auto"/>
              </w:rPr>
              <w:t>$1,833.066</w:t>
            </w:r>
          </w:p>
        </w:tc>
      </w:tr>
      <w:tr>
        <w:trPr>
          <w:trHeight w:val="243"/>
        </w:trPr>
        <w:tc>
          <w:tcPr>
            <w:tcW w:w="3900" w:type="dxa"/>
            <w:vAlign w:val="bottom"/>
          </w:tcPr>
          <w:p>
            <w:pPr>
              <w:spacing w:after="0"/>
              <w:rPr>
                <w:sz w:val="20"/>
                <w:szCs w:val="20"/>
                <w:color w:val="auto"/>
              </w:rPr>
            </w:pPr>
            <w:r>
              <w:rPr>
                <w:rFonts w:ascii="Arial" w:cs="Arial" w:eastAsia="Arial" w:hAnsi="Arial"/>
                <w:sz w:val="18"/>
                <w:szCs w:val="18"/>
                <w:color w:val="auto"/>
              </w:rPr>
              <w:t>Funds under management</w:t>
            </w:r>
          </w:p>
        </w:tc>
        <w:tc>
          <w:tcPr>
            <w:tcW w:w="1580" w:type="dxa"/>
            <w:vAlign w:val="bottom"/>
          </w:tcPr>
          <w:p>
            <w:pPr>
              <w:jc w:val="right"/>
              <w:ind w:right="132"/>
              <w:spacing w:after="0"/>
              <w:rPr>
                <w:sz w:val="20"/>
                <w:szCs w:val="20"/>
                <w:color w:val="auto"/>
              </w:rPr>
            </w:pPr>
            <w:r>
              <w:rPr>
                <w:rFonts w:ascii="Arial" w:cs="Arial" w:eastAsia="Arial" w:hAnsi="Arial"/>
                <w:sz w:val="18"/>
                <w:szCs w:val="18"/>
                <w:color w:val="auto"/>
              </w:rPr>
              <w:t>3,886.098</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3,938.220</w:t>
            </w:r>
          </w:p>
        </w:tc>
        <w:tc>
          <w:tcPr>
            <w:tcW w:w="1520" w:type="dxa"/>
            <w:vAlign w:val="bottom"/>
          </w:tcPr>
          <w:p>
            <w:pPr>
              <w:jc w:val="right"/>
              <w:ind w:right="132"/>
              <w:spacing w:after="0"/>
              <w:rPr>
                <w:sz w:val="20"/>
                <w:szCs w:val="20"/>
                <w:color w:val="auto"/>
              </w:rPr>
            </w:pPr>
            <w:r>
              <w:rPr>
                <w:rFonts w:ascii="Arial" w:cs="Arial" w:eastAsia="Arial" w:hAnsi="Arial"/>
                <w:sz w:val="18"/>
                <w:szCs w:val="18"/>
                <w:color w:val="auto"/>
              </w:rPr>
              <w:t>3,182.042</w:t>
            </w:r>
          </w:p>
        </w:tc>
        <w:tc>
          <w:tcPr>
            <w:tcW w:w="1540" w:type="dxa"/>
            <w:vAlign w:val="bottom"/>
          </w:tcPr>
          <w:p>
            <w:pPr>
              <w:jc w:val="right"/>
              <w:ind w:right="152"/>
              <w:spacing w:after="0"/>
              <w:rPr>
                <w:sz w:val="20"/>
                <w:szCs w:val="20"/>
                <w:color w:val="auto"/>
              </w:rPr>
            </w:pPr>
            <w:r>
              <w:rPr>
                <w:rFonts w:ascii="Arial" w:cs="Arial" w:eastAsia="Arial" w:hAnsi="Arial"/>
                <w:sz w:val="18"/>
                <w:szCs w:val="18"/>
                <w:color w:val="auto"/>
              </w:rPr>
              <w:t>3,130.458</w:t>
            </w:r>
          </w:p>
        </w:tc>
        <w:tc>
          <w:tcPr>
            <w:tcW w:w="1300" w:type="dxa"/>
            <w:vAlign w:val="bottom"/>
          </w:tcPr>
          <w:p>
            <w:pPr>
              <w:jc w:val="right"/>
              <w:spacing w:after="0"/>
              <w:rPr>
                <w:sz w:val="20"/>
                <w:szCs w:val="20"/>
                <w:color w:val="auto"/>
              </w:rPr>
            </w:pPr>
            <w:r>
              <w:rPr>
                <w:rFonts w:ascii="Arial" w:cs="Arial" w:eastAsia="Arial" w:hAnsi="Arial"/>
                <w:sz w:val="18"/>
                <w:szCs w:val="18"/>
                <w:color w:val="auto"/>
              </w:rPr>
              <w:t>$953.826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S/.3.282 per US$1.00.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 Does not include provisons for contingent credits, now reported within Other liabilities.</w:t>
      </w:r>
    </w:p>
    <w:p>
      <w:pPr>
        <w:sectPr>
          <w:pgSz w:w="11900" w:h="16838" w:orient="portrait"/>
          <w:cols w:equalWidth="0" w:num="1">
            <w:col w:w="11400"/>
          </w:cols>
          <w:pgMar w:left="240" w:top="131" w:right="25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5</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CONSOLIDATED INCOME STATEMENTS</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(Constant Nuevos Soles, as of December 31, 2004 and U.S. Dollars in 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33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2300" w:type="dxa"/>
            <w:vAlign w:val="bottom"/>
            <w:gridSpan w:val="2"/>
          </w:tcPr>
          <w:p>
            <w:pPr>
              <w:jc w:val="right"/>
              <w:ind w:right="472"/>
              <w:spacing w:after="0"/>
              <w:rPr>
                <w:sz w:val="20"/>
                <w:szCs w:val="20"/>
                <w:color w:val="auto"/>
              </w:rPr>
            </w:pPr>
            <w:r>
              <w:rPr>
                <w:rFonts w:ascii="Arial" w:cs="Arial" w:eastAsia="Arial" w:hAnsi="Arial"/>
                <w:sz w:val="18"/>
                <w:szCs w:val="18"/>
                <w:color w:val="auto"/>
              </w:rPr>
              <w:t>Three months ended</w:t>
            </w:r>
          </w:p>
        </w:tc>
        <w:tc>
          <w:tcPr>
            <w:tcW w:w="10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480" w:type="dxa"/>
            <w:vAlign w:val="bottom"/>
            <w:gridSpan w:val="2"/>
          </w:tcPr>
          <w:p>
            <w:pPr>
              <w:jc w:val="right"/>
              <w:spacing w:after="0"/>
              <w:rPr>
                <w:sz w:val="20"/>
                <w:szCs w:val="20"/>
                <w:color w:val="auto"/>
              </w:rPr>
            </w:pPr>
            <w:r>
              <w:rPr>
                <w:rFonts w:ascii="Arial" w:cs="Arial" w:eastAsia="Arial" w:hAnsi="Arial"/>
                <w:sz w:val="18"/>
                <w:szCs w:val="18"/>
                <w:color w:val="auto"/>
              </w:rPr>
              <w:t>Twelve months ended</w:t>
            </w:r>
          </w:p>
        </w:tc>
        <w:tc>
          <w:tcPr>
            <w:tcW w:w="900" w:type="dxa"/>
            <w:vAlign w:val="bottom"/>
          </w:tcPr>
          <w:p>
            <w:pPr>
              <w:spacing w:after="0"/>
              <w:rPr>
                <w:sz w:val="19"/>
                <w:szCs w:val="19"/>
                <w:color w:val="auto"/>
              </w:rPr>
            </w:pPr>
          </w:p>
        </w:tc>
      </w:tr>
      <w:tr>
        <w:trPr>
          <w:trHeight w:val="151"/>
        </w:trPr>
        <w:tc>
          <w:tcPr>
            <w:tcW w:w="3380" w:type="dxa"/>
            <w:vAlign w:val="bottom"/>
          </w:tcPr>
          <w:p>
            <w:pPr>
              <w:spacing w:after="0"/>
              <w:rPr>
                <w:sz w:val="13"/>
                <w:szCs w:val="13"/>
                <w:color w:val="auto"/>
              </w:rPr>
            </w:pPr>
          </w:p>
        </w:tc>
        <w:tc>
          <w:tcPr>
            <w:tcW w:w="126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114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tcPr>
          <w:p>
            <w:pPr>
              <w:spacing w:after="0"/>
              <w:rPr>
                <w:sz w:val="13"/>
                <w:szCs w:val="13"/>
                <w:color w:val="auto"/>
              </w:rPr>
            </w:pPr>
          </w:p>
        </w:tc>
        <w:tc>
          <w:tcPr>
            <w:tcW w:w="900" w:type="dxa"/>
            <w:vAlign w:val="bottom"/>
            <w:tcBorders>
              <w:bottom w:val="single" w:sz="8" w:color="auto"/>
            </w:tcBorders>
          </w:tcPr>
          <w:p>
            <w:pPr>
              <w:spacing w:after="0"/>
              <w:rPr>
                <w:sz w:val="13"/>
                <w:szCs w:val="13"/>
                <w:color w:val="auto"/>
              </w:rPr>
            </w:pPr>
          </w:p>
        </w:tc>
      </w:tr>
      <w:tr>
        <w:trPr>
          <w:trHeight w:val="343"/>
        </w:trPr>
        <w:tc>
          <w:tcPr>
            <w:tcW w:w="3380" w:type="dxa"/>
            <w:vAlign w:val="bottom"/>
          </w:tcPr>
          <w:p>
            <w:pPr>
              <w:spacing w:after="0"/>
              <w:rPr>
                <w:sz w:val="24"/>
                <w:szCs w:val="24"/>
                <w:color w:val="auto"/>
              </w:rPr>
            </w:pPr>
          </w:p>
        </w:tc>
        <w:tc>
          <w:tcPr>
            <w:tcW w:w="1260" w:type="dxa"/>
            <w:vAlign w:val="bottom"/>
          </w:tcPr>
          <w:p>
            <w:pPr>
              <w:jc w:val="right"/>
              <w:ind w:right="292"/>
              <w:spacing w:after="0"/>
              <w:rPr>
                <w:sz w:val="20"/>
                <w:szCs w:val="20"/>
                <w:color w:val="auto"/>
              </w:rPr>
            </w:pPr>
            <w:r>
              <w:rPr>
                <w:rFonts w:ascii="Arial" w:cs="Arial" w:eastAsia="Arial" w:hAnsi="Arial"/>
                <w:sz w:val="18"/>
                <w:szCs w:val="18"/>
                <w:color w:val="auto"/>
              </w:rPr>
              <w:t>31.12.03</w:t>
            </w:r>
          </w:p>
        </w:tc>
        <w:tc>
          <w:tcPr>
            <w:tcW w:w="1160" w:type="dxa"/>
            <w:vAlign w:val="bottom"/>
          </w:tcPr>
          <w:p>
            <w:pPr>
              <w:jc w:val="right"/>
              <w:ind w:right="312"/>
              <w:spacing w:after="0"/>
              <w:rPr>
                <w:sz w:val="20"/>
                <w:szCs w:val="20"/>
                <w:color w:val="auto"/>
              </w:rPr>
            </w:pPr>
            <w:r>
              <w:rPr>
                <w:rFonts w:ascii="Arial" w:cs="Arial" w:eastAsia="Arial" w:hAnsi="Arial"/>
                <w:sz w:val="18"/>
                <w:szCs w:val="18"/>
                <w:color w:val="auto"/>
              </w:rPr>
              <w:t>30.09.04</w:t>
            </w:r>
          </w:p>
        </w:tc>
        <w:tc>
          <w:tcPr>
            <w:tcW w:w="1140" w:type="dxa"/>
            <w:vAlign w:val="bottom"/>
          </w:tcPr>
          <w:p>
            <w:pPr>
              <w:jc w:val="right"/>
              <w:ind w:right="312"/>
              <w:spacing w:after="0"/>
              <w:rPr>
                <w:sz w:val="20"/>
                <w:szCs w:val="20"/>
                <w:color w:val="auto"/>
              </w:rPr>
            </w:pPr>
            <w:r>
              <w:rPr>
                <w:rFonts w:ascii="Arial" w:cs="Arial" w:eastAsia="Arial" w:hAnsi="Arial"/>
                <w:sz w:val="18"/>
                <w:szCs w:val="18"/>
                <w:color w:val="auto"/>
              </w:rPr>
              <w:t>31.12.04</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31.12.04</w:t>
            </w:r>
          </w:p>
        </w:tc>
        <w:tc>
          <w:tcPr>
            <w:tcW w:w="40" w:type="dxa"/>
            <w:vAlign w:val="bottom"/>
          </w:tcPr>
          <w:p>
            <w:pPr>
              <w:spacing w:after="0"/>
              <w:rPr>
                <w:sz w:val="24"/>
                <w:szCs w:val="24"/>
                <w:color w:val="auto"/>
              </w:rPr>
            </w:pPr>
          </w:p>
        </w:tc>
        <w:tc>
          <w:tcPr>
            <w:tcW w:w="1240" w:type="dxa"/>
            <w:vAlign w:val="bottom"/>
          </w:tcPr>
          <w:p>
            <w:pPr>
              <w:jc w:val="right"/>
              <w:ind w:right="292"/>
              <w:spacing w:after="0"/>
              <w:rPr>
                <w:sz w:val="20"/>
                <w:szCs w:val="20"/>
                <w:color w:val="auto"/>
              </w:rPr>
            </w:pPr>
            <w:r>
              <w:rPr>
                <w:rFonts w:ascii="Arial" w:cs="Arial" w:eastAsia="Arial" w:hAnsi="Arial"/>
                <w:sz w:val="18"/>
                <w:szCs w:val="18"/>
                <w:color w:val="auto"/>
              </w:rPr>
              <w:t>31.12.03</w:t>
            </w:r>
          </w:p>
        </w:tc>
        <w:tc>
          <w:tcPr>
            <w:tcW w:w="1240" w:type="dxa"/>
            <w:vAlign w:val="bottom"/>
          </w:tcPr>
          <w:p>
            <w:pPr>
              <w:jc w:val="right"/>
              <w:ind w:right="392"/>
              <w:spacing w:after="0"/>
              <w:rPr>
                <w:sz w:val="20"/>
                <w:szCs w:val="20"/>
                <w:color w:val="auto"/>
              </w:rPr>
            </w:pPr>
            <w:r>
              <w:rPr>
                <w:rFonts w:ascii="Arial" w:cs="Arial" w:eastAsia="Arial" w:hAnsi="Arial"/>
                <w:sz w:val="18"/>
                <w:szCs w:val="18"/>
                <w:color w:val="auto"/>
              </w:rPr>
              <w:t>31.12.04</w:t>
            </w:r>
          </w:p>
        </w:tc>
        <w:tc>
          <w:tcPr>
            <w:tcW w:w="900" w:type="dxa"/>
            <w:vAlign w:val="bottom"/>
          </w:tcPr>
          <w:p>
            <w:pPr>
              <w:jc w:val="right"/>
              <w:ind w:right="172"/>
              <w:spacing w:after="0"/>
              <w:rPr>
                <w:sz w:val="20"/>
                <w:szCs w:val="20"/>
                <w:color w:val="auto"/>
              </w:rPr>
            </w:pPr>
            <w:r>
              <w:rPr>
                <w:rFonts w:ascii="Arial" w:cs="Arial" w:eastAsia="Arial" w:hAnsi="Arial"/>
                <w:sz w:val="18"/>
                <w:szCs w:val="18"/>
                <w:color w:val="auto"/>
                <w:w w:val="88"/>
              </w:rPr>
              <w:t>31.12.04</w:t>
            </w:r>
          </w:p>
        </w:tc>
      </w:tr>
      <w:tr>
        <w:trPr>
          <w:trHeight w:val="137"/>
        </w:trPr>
        <w:tc>
          <w:tcPr>
            <w:tcW w:w="3380" w:type="dxa"/>
            <w:vAlign w:val="bottom"/>
            <w:tcBorders>
              <w:bottom w:val="single" w:sz="8" w:color="auto"/>
            </w:tcBorders>
          </w:tcPr>
          <w:p>
            <w:pPr>
              <w:spacing w:after="0"/>
              <w:rPr>
                <w:sz w:val="11"/>
                <w:szCs w:val="11"/>
                <w:color w:val="auto"/>
              </w:rPr>
            </w:pPr>
          </w:p>
        </w:tc>
        <w:tc>
          <w:tcPr>
            <w:tcW w:w="126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40" w:type="dxa"/>
            <w:vAlign w:val="bottom"/>
            <w:tcBorders>
              <w:bottom w:val="single" w:sz="8" w:color="auto"/>
            </w:tcBorders>
            <w:gridSpan w:val="2"/>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1240" w:type="dxa"/>
            <w:vAlign w:val="bottom"/>
            <w:tcBorders>
              <w:bottom w:val="single" w:sz="8" w:color="auto"/>
            </w:tcBorders>
          </w:tcPr>
          <w:p>
            <w:pPr>
              <w:spacing w:after="0"/>
              <w:rPr>
                <w:sz w:val="11"/>
                <w:szCs w:val="11"/>
                <w:color w:val="auto"/>
              </w:rPr>
            </w:pPr>
          </w:p>
        </w:tc>
        <w:tc>
          <w:tcPr>
            <w:tcW w:w="900" w:type="dxa"/>
            <w:vAlign w:val="bottom"/>
            <w:tcBorders>
              <w:bottom w:val="single" w:sz="8" w:color="auto"/>
            </w:tcBorders>
          </w:tcPr>
          <w:p>
            <w:pPr>
              <w:spacing w:after="0"/>
              <w:rPr>
                <w:sz w:val="11"/>
                <w:szCs w:val="11"/>
                <w:color w:val="auto"/>
              </w:rPr>
            </w:pPr>
          </w:p>
        </w:tc>
      </w:tr>
      <w:tr>
        <w:trPr>
          <w:trHeight w:val="343"/>
        </w:trPr>
        <w:tc>
          <w:tcPr>
            <w:tcW w:w="3380" w:type="dxa"/>
            <w:vAlign w:val="bottom"/>
          </w:tcPr>
          <w:p>
            <w:pPr>
              <w:spacing w:after="0"/>
              <w:rPr>
                <w:sz w:val="20"/>
                <w:szCs w:val="20"/>
                <w:color w:val="auto"/>
              </w:rPr>
            </w:pPr>
            <w:r>
              <w:rPr>
                <w:rFonts w:ascii="Arial" w:cs="Arial" w:eastAsia="Arial" w:hAnsi="Arial"/>
                <w:sz w:val="18"/>
                <w:szCs w:val="18"/>
                <w:color w:val="auto"/>
              </w:rPr>
              <w:t>Interest income and expense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40" w:type="dxa"/>
            <w:vAlign w:val="bottom"/>
            <w:gridSpan w:val="2"/>
          </w:tcPr>
          <w:p>
            <w:pPr>
              <w:ind w:left="220"/>
              <w:spacing w:after="0"/>
              <w:rPr>
                <w:sz w:val="20"/>
                <w:szCs w:val="20"/>
                <w:color w:val="auto"/>
              </w:rPr>
            </w:pPr>
            <w:r>
              <w:rPr>
                <w:rFonts w:ascii="Arial" w:cs="Arial" w:eastAsia="Arial" w:hAnsi="Arial"/>
                <w:sz w:val="18"/>
                <w:szCs w:val="18"/>
                <w:color w:val="auto"/>
                <w:w w:val="91"/>
              </w:rPr>
              <w:t>US$000(1)</w:t>
            </w: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US$000(1)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Interest income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402.970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372.396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392.256</w:t>
            </w:r>
          </w:p>
        </w:tc>
        <w:tc>
          <w:tcPr>
            <w:tcW w:w="1000" w:type="dxa"/>
            <w:vAlign w:val="bottom"/>
          </w:tcPr>
          <w:p>
            <w:pPr>
              <w:jc w:val="right"/>
              <w:spacing w:after="0"/>
              <w:rPr>
                <w:sz w:val="20"/>
                <w:szCs w:val="20"/>
                <w:color w:val="auto"/>
              </w:rPr>
            </w:pPr>
            <w:r>
              <w:rPr>
                <w:rFonts w:ascii="Arial" w:cs="Arial" w:eastAsia="Arial" w:hAnsi="Arial"/>
                <w:sz w:val="18"/>
                <w:szCs w:val="18"/>
                <w:color w:val="auto"/>
              </w:rPr>
              <w:t>$119.517</w:t>
            </w:r>
          </w:p>
        </w:tc>
        <w:tc>
          <w:tcPr>
            <w:tcW w:w="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1,694.835</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1,509.833</w:t>
            </w:r>
          </w:p>
        </w:tc>
        <w:tc>
          <w:tcPr>
            <w:tcW w:w="900" w:type="dxa"/>
            <w:vAlign w:val="bottom"/>
          </w:tcPr>
          <w:p>
            <w:pPr>
              <w:jc w:val="right"/>
              <w:spacing w:after="0"/>
              <w:rPr>
                <w:sz w:val="20"/>
                <w:szCs w:val="20"/>
                <w:color w:val="auto"/>
              </w:rPr>
            </w:pPr>
            <w:r>
              <w:rPr>
                <w:rFonts w:ascii="Arial" w:cs="Arial" w:eastAsia="Arial" w:hAnsi="Arial"/>
                <w:sz w:val="18"/>
                <w:szCs w:val="18"/>
                <w:color w:val="auto"/>
              </w:rPr>
              <w:t>$460.034</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Less - Interest expense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102.914</w:t>
            </w:r>
          </w:p>
        </w:tc>
        <w:tc>
          <w:tcPr>
            <w:tcW w:w="1160" w:type="dxa"/>
            <w:vAlign w:val="bottom"/>
          </w:tcPr>
          <w:p>
            <w:pPr>
              <w:jc w:val="right"/>
              <w:ind w:right="92"/>
              <w:spacing w:after="0"/>
              <w:rPr>
                <w:sz w:val="20"/>
                <w:szCs w:val="20"/>
                <w:color w:val="auto"/>
              </w:rPr>
            </w:pPr>
            <w:r>
              <w:rPr>
                <w:rFonts w:ascii="Arial" w:cs="Arial" w:eastAsia="Arial" w:hAnsi="Arial"/>
                <w:sz w:val="18"/>
                <w:szCs w:val="18"/>
                <w:color w:val="auto"/>
              </w:rPr>
              <w:t>111.793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105.871</w:t>
            </w:r>
          </w:p>
        </w:tc>
        <w:tc>
          <w:tcPr>
            <w:tcW w:w="1000" w:type="dxa"/>
            <w:vAlign w:val="bottom"/>
          </w:tcPr>
          <w:p>
            <w:pPr>
              <w:jc w:val="right"/>
              <w:spacing w:after="0"/>
              <w:rPr>
                <w:sz w:val="20"/>
                <w:szCs w:val="20"/>
                <w:color w:val="auto"/>
              </w:rPr>
            </w:pPr>
            <w:r>
              <w:rPr>
                <w:rFonts w:ascii="Arial" w:cs="Arial" w:eastAsia="Arial" w:hAnsi="Arial"/>
                <w:sz w:val="18"/>
                <w:szCs w:val="18"/>
                <w:color w:val="auto"/>
              </w:rPr>
              <w:t>$32.258</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481.281</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431.586</w:t>
            </w:r>
          </w:p>
        </w:tc>
        <w:tc>
          <w:tcPr>
            <w:tcW w:w="900" w:type="dxa"/>
            <w:vAlign w:val="bottom"/>
          </w:tcPr>
          <w:p>
            <w:pPr>
              <w:jc w:val="right"/>
              <w:spacing w:after="0"/>
              <w:rPr>
                <w:sz w:val="20"/>
                <w:szCs w:val="20"/>
                <w:color w:val="auto"/>
              </w:rPr>
            </w:pPr>
            <w:r>
              <w:rPr>
                <w:rFonts w:ascii="Arial" w:cs="Arial" w:eastAsia="Arial" w:hAnsi="Arial"/>
                <w:sz w:val="18"/>
                <w:szCs w:val="18"/>
                <w:color w:val="auto"/>
              </w:rPr>
              <w:t>$131.501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interest income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300.056</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260.603</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286.385</w:t>
            </w:r>
          </w:p>
        </w:tc>
        <w:tc>
          <w:tcPr>
            <w:tcW w:w="1000" w:type="dxa"/>
            <w:vAlign w:val="bottom"/>
          </w:tcPr>
          <w:p>
            <w:pPr>
              <w:jc w:val="right"/>
              <w:spacing w:after="0"/>
              <w:rPr>
                <w:sz w:val="20"/>
                <w:szCs w:val="20"/>
                <w:color w:val="auto"/>
              </w:rPr>
            </w:pPr>
            <w:r>
              <w:rPr>
                <w:rFonts w:ascii="Arial" w:cs="Arial" w:eastAsia="Arial" w:hAnsi="Arial"/>
                <w:sz w:val="18"/>
                <w:szCs w:val="18"/>
                <w:color w:val="auto"/>
              </w:rPr>
              <w:t>$87.259</w:t>
            </w:r>
          </w:p>
        </w:tc>
        <w:tc>
          <w:tcPr>
            <w:tcW w:w="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1.213.554</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1.078.247</w:t>
            </w:r>
          </w:p>
        </w:tc>
        <w:tc>
          <w:tcPr>
            <w:tcW w:w="900" w:type="dxa"/>
            <w:vAlign w:val="bottom"/>
          </w:tcPr>
          <w:p>
            <w:pPr>
              <w:jc w:val="right"/>
              <w:spacing w:after="0"/>
              <w:rPr>
                <w:sz w:val="20"/>
                <w:szCs w:val="20"/>
                <w:color w:val="auto"/>
              </w:rPr>
            </w:pPr>
            <w:r>
              <w:rPr>
                <w:rFonts w:ascii="Arial" w:cs="Arial" w:eastAsia="Arial" w:hAnsi="Arial"/>
                <w:sz w:val="18"/>
                <w:szCs w:val="18"/>
                <w:color w:val="auto"/>
              </w:rPr>
              <w:t>$328.534</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Provisions for possible loan losses, net</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48.425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12.317</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20.864</w:t>
            </w:r>
          </w:p>
        </w:tc>
        <w:tc>
          <w:tcPr>
            <w:tcW w:w="1000" w:type="dxa"/>
            <w:vAlign w:val="bottom"/>
          </w:tcPr>
          <w:p>
            <w:pPr>
              <w:jc w:val="right"/>
              <w:spacing w:after="0"/>
              <w:rPr>
                <w:sz w:val="20"/>
                <w:szCs w:val="20"/>
                <w:color w:val="auto"/>
              </w:rPr>
            </w:pPr>
            <w:r>
              <w:rPr>
                <w:rFonts w:ascii="Arial" w:cs="Arial" w:eastAsia="Arial" w:hAnsi="Arial"/>
                <w:sz w:val="18"/>
                <w:szCs w:val="18"/>
                <w:color w:val="auto"/>
              </w:rPr>
              <w:t>$6.357</w:t>
            </w:r>
          </w:p>
        </w:tc>
        <w:tc>
          <w:tcPr>
            <w:tcW w:w="4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325.394</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101.886</w:t>
            </w:r>
          </w:p>
        </w:tc>
        <w:tc>
          <w:tcPr>
            <w:tcW w:w="900" w:type="dxa"/>
            <w:vAlign w:val="bottom"/>
          </w:tcPr>
          <w:p>
            <w:pPr>
              <w:jc w:val="right"/>
              <w:spacing w:after="0"/>
              <w:rPr>
                <w:sz w:val="20"/>
                <w:szCs w:val="20"/>
                <w:color w:val="auto"/>
              </w:rPr>
            </w:pPr>
            <w:r>
              <w:rPr>
                <w:rFonts w:ascii="Arial" w:cs="Arial" w:eastAsia="Arial" w:hAnsi="Arial"/>
                <w:sz w:val="18"/>
                <w:szCs w:val="18"/>
                <w:color w:val="auto"/>
              </w:rPr>
              <w:t>$31.044</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Net interest income after provisions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251.631</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248.286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265.521</w:t>
            </w:r>
          </w:p>
        </w:tc>
        <w:tc>
          <w:tcPr>
            <w:tcW w:w="1000" w:type="dxa"/>
            <w:vAlign w:val="bottom"/>
          </w:tcPr>
          <w:p>
            <w:pPr>
              <w:jc w:val="right"/>
              <w:spacing w:after="0"/>
              <w:rPr>
                <w:sz w:val="20"/>
                <w:szCs w:val="20"/>
                <w:color w:val="auto"/>
              </w:rPr>
            </w:pPr>
            <w:r>
              <w:rPr>
                <w:rFonts w:ascii="Arial" w:cs="Arial" w:eastAsia="Arial" w:hAnsi="Arial"/>
                <w:sz w:val="18"/>
                <w:szCs w:val="18"/>
                <w:color w:val="auto"/>
              </w:rPr>
              <w:t>$80.902</w:t>
            </w:r>
          </w:p>
        </w:tc>
        <w:tc>
          <w:tcPr>
            <w:tcW w:w="4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888.160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976.361</w:t>
            </w:r>
          </w:p>
        </w:tc>
        <w:tc>
          <w:tcPr>
            <w:tcW w:w="900" w:type="dxa"/>
            <w:vAlign w:val="bottom"/>
          </w:tcPr>
          <w:p>
            <w:pPr>
              <w:jc w:val="right"/>
              <w:spacing w:after="0"/>
              <w:rPr>
                <w:sz w:val="20"/>
                <w:szCs w:val="20"/>
                <w:color w:val="auto"/>
              </w:rPr>
            </w:pPr>
            <w:r>
              <w:rPr>
                <w:rFonts w:ascii="Arial" w:cs="Arial" w:eastAsia="Arial" w:hAnsi="Arial"/>
                <w:sz w:val="18"/>
                <w:szCs w:val="18"/>
                <w:color w:val="auto"/>
              </w:rPr>
              <w:t>$297.490</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Fees and commissions from services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171.285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167.610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160.124</w:t>
            </w:r>
          </w:p>
        </w:tc>
        <w:tc>
          <w:tcPr>
            <w:tcW w:w="1000" w:type="dxa"/>
            <w:vAlign w:val="bottom"/>
          </w:tcPr>
          <w:p>
            <w:pPr>
              <w:jc w:val="right"/>
              <w:spacing w:after="0"/>
              <w:rPr>
                <w:sz w:val="20"/>
                <w:szCs w:val="20"/>
                <w:color w:val="auto"/>
              </w:rPr>
            </w:pPr>
            <w:r>
              <w:rPr>
                <w:rFonts w:ascii="Arial" w:cs="Arial" w:eastAsia="Arial" w:hAnsi="Arial"/>
                <w:sz w:val="18"/>
                <w:szCs w:val="18"/>
                <w:color w:val="auto"/>
              </w:rPr>
              <w:t>$48.789</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680.071</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649.549</w:t>
            </w:r>
          </w:p>
        </w:tc>
        <w:tc>
          <w:tcPr>
            <w:tcW w:w="900" w:type="dxa"/>
            <w:vAlign w:val="bottom"/>
          </w:tcPr>
          <w:p>
            <w:pPr>
              <w:jc w:val="right"/>
              <w:spacing w:after="0"/>
              <w:rPr>
                <w:sz w:val="20"/>
                <w:szCs w:val="20"/>
                <w:color w:val="auto"/>
              </w:rPr>
            </w:pPr>
            <w:r>
              <w:rPr>
                <w:rFonts w:ascii="Arial" w:cs="Arial" w:eastAsia="Arial" w:hAnsi="Arial"/>
                <w:sz w:val="18"/>
                <w:szCs w:val="18"/>
                <w:color w:val="auto"/>
              </w:rPr>
              <w:t>$197.913</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gains from sales of securities</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(0.261)</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5.579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6.458</w:t>
            </w:r>
          </w:p>
        </w:tc>
        <w:tc>
          <w:tcPr>
            <w:tcW w:w="1000" w:type="dxa"/>
            <w:vAlign w:val="bottom"/>
          </w:tcPr>
          <w:p>
            <w:pPr>
              <w:jc w:val="right"/>
              <w:spacing w:after="0"/>
              <w:rPr>
                <w:sz w:val="20"/>
                <w:szCs w:val="20"/>
                <w:color w:val="auto"/>
              </w:rPr>
            </w:pPr>
            <w:r>
              <w:rPr>
                <w:rFonts w:ascii="Arial" w:cs="Arial" w:eastAsia="Arial" w:hAnsi="Arial"/>
                <w:sz w:val="18"/>
                <w:szCs w:val="18"/>
                <w:color w:val="auto"/>
              </w:rPr>
              <w:t>$1.968</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7.557</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13.292</w:t>
            </w:r>
          </w:p>
        </w:tc>
        <w:tc>
          <w:tcPr>
            <w:tcW w:w="900" w:type="dxa"/>
            <w:vAlign w:val="bottom"/>
          </w:tcPr>
          <w:p>
            <w:pPr>
              <w:jc w:val="right"/>
              <w:spacing w:after="0"/>
              <w:rPr>
                <w:sz w:val="20"/>
                <w:szCs w:val="20"/>
                <w:color w:val="auto"/>
              </w:rPr>
            </w:pPr>
            <w:r>
              <w:rPr>
                <w:rFonts w:ascii="Arial" w:cs="Arial" w:eastAsia="Arial" w:hAnsi="Arial"/>
                <w:sz w:val="18"/>
                <w:szCs w:val="18"/>
                <w:color w:val="auto"/>
              </w:rPr>
              <w:t>$4.050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gains on foreing exchg. transacts.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19.522</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21.559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21.958</w:t>
            </w:r>
          </w:p>
        </w:tc>
        <w:tc>
          <w:tcPr>
            <w:tcW w:w="1000" w:type="dxa"/>
            <w:vAlign w:val="bottom"/>
          </w:tcPr>
          <w:p>
            <w:pPr>
              <w:jc w:val="right"/>
              <w:spacing w:after="0"/>
              <w:rPr>
                <w:sz w:val="20"/>
                <w:szCs w:val="20"/>
                <w:color w:val="auto"/>
              </w:rPr>
            </w:pPr>
            <w:r>
              <w:rPr>
                <w:rFonts w:ascii="Arial" w:cs="Arial" w:eastAsia="Arial" w:hAnsi="Arial"/>
                <w:sz w:val="18"/>
                <w:szCs w:val="18"/>
                <w:color w:val="auto"/>
              </w:rPr>
              <w:t>$6.690</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81.579</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81.050</w:t>
            </w:r>
          </w:p>
        </w:tc>
        <w:tc>
          <w:tcPr>
            <w:tcW w:w="900" w:type="dxa"/>
            <w:vAlign w:val="bottom"/>
          </w:tcPr>
          <w:p>
            <w:pPr>
              <w:jc w:val="right"/>
              <w:spacing w:after="0"/>
              <w:rPr>
                <w:sz w:val="20"/>
                <w:szCs w:val="20"/>
                <w:color w:val="auto"/>
              </w:rPr>
            </w:pPr>
            <w:r>
              <w:rPr>
                <w:rFonts w:ascii="Arial" w:cs="Arial" w:eastAsia="Arial" w:hAnsi="Arial"/>
                <w:sz w:val="18"/>
                <w:szCs w:val="18"/>
                <w:color w:val="auto"/>
              </w:rPr>
              <w:t>$24.695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Other income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45.886</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20.278</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31.245</w:t>
            </w:r>
          </w:p>
        </w:tc>
        <w:tc>
          <w:tcPr>
            <w:tcW w:w="1000" w:type="dxa"/>
            <w:vAlign w:val="bottom"/>
          </w:tcPr>
          <w:p>
            <w:pPr>
              <w:jc w:val="right"/>
              <w:spacing w:after="0"/>
              <w:rPr>
                <w:sz w:val="20"/>
                <w:szCs w:val="20"/>
                <w:color w:val="auto"/>
              </w:rPr>
            </w:pPr>
            <w:r>
              <w:rPr>
                <w:rFonts w:ascii="Arial" w:cs="Arial" w:eastAsia="Arial" w:hAnsi="Arial"/>
                <w:sz w:val="18"/>
                <w:szCs w:val="18"/>
                <w:color w:val="auto"/>
              </w:rPr>
              <w:t>$9.520</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193.686</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123.574</w:t>
            </w:r>
          </w:p>
        </w:tc>
        <w:tc>
          <w:tcPr>
            <w:tcW w:w="900" w:type="dxa"/>
            <w:vAlign w:val="bottom"/>
          </w:tcPr>
          <w:p>
            <w:pPr>
              <w:jc w:val="right"/>
              <w:spacing w:after="0"/>
              <w:rPr>
                <w:sz w:val="20"/>
                <w:szCs w:val="20"/>
                <w:color w:val="auto"/>
              </w:rPr>
            </w:pPr>
            <w:r>
              <w:rPr>
                <w:rFonts w:ascii="Arial" w:cs="Arial" w:eastAsia="Arial" w:hAnsi="Arial"/>
                <w:sz w:val="18"/>
                <w:szCs w:val="18"/>
                <w:color w:val="auto"/>
              </w:rPr>
              <w:t>$37.652</w:t>
            </w:r>
          </w:p>
        </w:tc>
      </w:tr>
      <w:tr>
        <w:trPr>
          <w:trHeight w:val="243"/>
        </w:trPr>
        <w:tc>
          <w:tcPr>
            <w:tcW w:w="33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236.432</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215.026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219.785</w:t>
            </w:r>
          </w:p>
        </w:tc>
        <w:tc>
          <w:tcPr>
            <w:tcW w:w="1000" w:type="dxa"/>
            <w:vAlign w:val="bottom"/>
          </w:tcPr>
          <w:p>
            <w:pPr>
              <w:jc w:val="right"/>
              <w:spacing w:after="0"/>
              <w:rPr>
                <w:sz w:val="20"/>
                <w:szCs w:val="20"/>
                <w:color w:val="auto"/>
              </w:rPr>
            </w:pPr>
            <w:r>
              <w:rPr>
                <w:rFonts w:ascii="Arial" w:cs="Arial" w:eastAsia="Arial" w:hAnsi="Arial"/>
                <w:sz w:val="18"/>
                <w:szCs w:val="18"/>
                <w:color w:val="auto"/>
              </w:rPr>
              <w:t>$66.967</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962.893</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867.465</w:t>
            </w:r>
          </w:p>
        </w:tc>
        <w:tc>
          <w:tcPr>
            <w:tcW w:w="900" w:type="dxa"/>
            <w:vAlign w:val="bottom"/>
          </w:tcPr>
          <w:p>
            <w:pPr>
              <w:jc w:val="right"/>
              <w:spacing w:after="0"/>
              <w:rPr>
                <w:sz w:val="20"/>
                <w:szCs w:val="20"/>
                <w:color w:val="auto"/>
              </w:rPr>
            </w:pPr>
            <w:r>
              <w:rPr>
                <w:rFonts w:ascii="Arial" w:cs="Arial" w:eastAsia="Arial" w:hAnsi="Arial"/>
                <w:sz w:val="18"/>
                <w:szCs w:val="18"/>
                <w:color w:val="auto"/>
              </w:rPr>
              <w:t>$264.310</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Other Expenses</w:t>
            </w:r>
          </w:p>
        </w:tc>
        <w:tc>
          <w:tcPr>
            <w:tcW w:w="12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Salaries and employee benefits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140.808</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127.765</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137.069</w:t>
            </w:r>
          </w:p>
        </w:tc>
        <w:tc>
          <w:tcPr>
            <w:tcW w:w="1000" w:type="dxa"/>
            <w:vAlign w:val="bottom"/>
          </w:tcPr>
          <w:p>
            <w:pPr>
              <w:jc w:val="right"/>
              <w:spacing w:after="0"/>
              <w:rPr>
                <w:sz w:val="20"/>
                <w:szCs w:val="20"/>
                <w:color w:val="auto"/>
              </w:rPr>
            </w:pPr>
            <w:r>
              <w:rPr>
                <w:rFonts w:ascii="Arial" w:cs="Arial" w:eastAsia="Arial" w:hAnsi="Arial"/>
                <w:sz w:val="18"/>
                <w:szCs w:val="18"/>
                <w:color w:val="auto"/>
              </w:rPr>
              <w:t>$41.764</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550.754</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524.532</w:t>
            </w:r>
          </w:p>
        </w:tc>
        <w:tc>
          <w:tcPr>
            <w:tcW w:w="900" w:type="dxa"/>
            <w:vAlign w:val="bottom"/>
          </w:tcPr>
          <w:p>
            <w:pPr>
              <w:jc w:val="right"/>
              <w:spacing w:after="0"/>
              <w:rPr>
                <w:sz w:val="20"/>
                <w:szCs w:val="20"/>
                <w:color w:val="auto"/>
              </w:rPr>
            </w:pPr>
            <w:r>
              <w:rPr>
                <w:rFonts w:ascii="Arial" w:cs="Arial" w:eastAsia="Arial" w:hAnsi="Arial"/>
                <w:sz w:val="18"/>
                <w:szCs w:val="18"/>
                <w:color w:val="auto"/>
              </w:rPr>
              <w:t>$159.821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General and administrative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110.043</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95.704</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110.514</w:t>
            </w:r>
          </w:p>
        </w:tc>
        <w:tc>
          <w:tcPr>
            <w:tcW w:w="1000" w:type="dxa"/>
            <w:vAlign w:val="bottom"/>
          </w:tcPr>
          <w:p>
            <w:pPr>
              <w:jc w:val="right"/>
              <w:spacing w:after="0"/>
              <w:rPr>
                <w:sz w:val="20"/>
                <w:szCs w:val="20"/>
                <w:color w:val="auto"/>
              </w:rPr>
            </w:pPr>
            <w:r>
              <w:rPr>
                <w:rFonts w:ascii="Arial" w:cs="Arial" w:eastAsia="Arial" w:hAnsi="Arial"/>
                <w:sz w:val="18"/>
                <w:szCs w:val="18"/>
                <w:color w:val="auto"/>
              </w:rPr>
              <w:t>$33.673</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429.910</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406.686</w:t>
            </w:r>
          </w:p>
        </w:tc>
        <w:tc>
          <w:tcPr>
            <w:tcW w:w="900" w:type="dxa"/>
            <w:vAlign w:val="bottom"/>
          </w:tcPr>
          <w:p>
            <w:pPr>
              <w:jc w:val="right"/>
              <w:spacing w:after="0"/>
              <w:rPr>
                <w:sz w:val="20"/>
                <w:szCs w:val="20"/>
                <w:color w:val="auto"/>
              </w:rPr>
            </w:pPr>
            <w:r>
              <w:rPr>
                <w:rFonts w:ascii="Arial" w:cs="Arial" w:eastAsia="Arial" w:hAnsi="Arial"/>
                <w:sz w:val="18"/>
                <w:szCs w:val="18"/>
                <w:color w:val="auto"/>
              </w:rPr>
              <w:t>$123.914</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34.645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34.176</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33.952</w:t>
            </w:r>
          </w:p>
        </w:tc>
        <w:tc>
          <w:tcPr>
            <w:tcW w:w="1000" w:type="dxa"/>
            <w:vAlign w:val="bottom"/>
          </w:tcPr>
          <w:p>
            <w:pPr>
              <w:jc w:val="right"/>
              <w:spacing w:after="0"/>
              <w:rPr>
                <w:sz w:val="20"/>
                <w:szCs w:val="20"/>
                <w:color w:val="auto"/>
              </w:rPr>
            </w:pPr>
            <w:r>
              <w:rPr>
                <w:rFonts w:ascii="Arial" w:cs="Arial" w:eastAsia="Arial" w:hAnsi="Arial"/>
                <w:sz w:val="18"/>
                <w:szCs w:val="18"/>
                <w:color w:val="auto"/>
              </w:rPr>
              <w:t>$10.345</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143.302</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137.977</w:t>
            </w:r>
          </w:p>
        </w:tc>
        <w:tc>
          <w:tcPr>
            <w:tcW w:w="900" w:type="dxa"/>
            <w:vAlign w:val="bottom"/>
          </w:tcPr>
          <w:p>
            <w:pPr>
              <w:jc w:val="right"/>
              <w:spacing w:after="0"/>
              <w:rPr>
                <w:sz w:val="20"/>
                <w:szCs w:val="20"/>
                <w:color w:val="auto"/>
              </w:rPr>
            </w:pPr>
            <w:r>
              <w:rPr>
                <w:rFonts w:ascii="Arial" w:cs="Arial" w:eastAsia="Arial" w:hAnsi="Arial"/>
                <w:sz w:val="18"/>
                <w:szCs w:val="18"/>
                <w:color w:val="auto"/>
              </w:rPr>
              <w:t>$42.041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Taxes other than income tax</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10.242</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10.162</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8.988</w:t>
            </w:r>
          </w:p>
        </w:tc>
        <w:tc>
          <w:tcPr>
            <w:tcW w:w="1000" w:type="dxa"/>
            <w:vAlign w:val="bottom"/>
          </w:tcPr>
          <w:p>
            <w:pPr>
              <w:jc w:val="right"/>
              <w:spacing w:after="0"/>
              <w:rPr>
                <w:sz w:val="20"/>
                <w:szCs w:val="20"/>
                <w:color w:val="auto"/>
              </w:rPr>
            </w:pPr>
            <w:r>
              <w:rPr>
                <w:rFonts w:ascii="Arial" w:cs="Arial" w:eastAsia="Arial" w:hAnsi="Arial"/>
                <w:sz w:val="18"/>
                <w:szCs w:val="18"/>
                <w:color w:val="auto"/>
              </w:rPr>
              <w:t>$2.739</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43.344</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44.466</w:t>
            </w:r>
          </w:p>
        </w:tc>
        <w:tc>
          <w:tcPr>
            <w:tcW w:w="900" w:type="dxa"/>
            <w:vAlign w:val="bottom"/>
          </w:tcPr>
          <w:p>
            <w:pPr>
              <w:jc w:val="right"/>
              <w:spacing w:after="0"/>
              <w:rPr>
                <w:sz w:val="20"/>
                <w:szCs w:val="20"/>
                <w:color w:val="auto"/>
              </w:rPr>
            </w:pPr>
            <w:r>
              <w:rPr>
                <w:rFonts w:ascii="Arial" w:cs="Arial" w:eastAsia="Arial" w:hAnsi="Arial"/>
                <w:sz w:val="18"/>
                <w:szCs w:val="18"/>
                <w:color w:val="auto"/>
              </w:rPr>
              <w:t>$13.548</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Other</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40.086</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36.534</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30.136</w:t>
            </w:r>
          </w:p>
        </w:tc>
        <w:tc>
          <w:tcPr>
            <w:tcW w:w="1000" w:type="dxa"/>
            <w:vAlign w:val="bottom"/>
          </w:tcPr>
          <w:p>
            <w:pPr>
              <w:jc w:val="right"/>
              <w:spacing w:after="0"/>
              <w:rPr>
                <w:sz w:val="20"/>
                <w:szCs w:val="20"/>
                <w:color w:val="auto"/>
              </w:rPr>
            </w:pPr>
            <w:r>
              <w:rPr>
                <w:rFonts w:ascii="Arial" w:cs="Arial" w:eastAsia="Arial" w:hAnsi="Arial"/>
                <w:sz w:val="18"/>
                <w:szCs w:val="18"/>
                <w:color w:val="auto"/>
              </w:rPr>
              <w:t>$9.182</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125.106</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125.893</w:t>
            </w:r>
          </w:p>
        </w:tc>
        <w:tc>
          <w:tcPr>
            <w:tcW w:w="900" w:type="dxa"/>
            <w:vAlign w:val="bottom"/>
          </w:tcPr>
          <w:p>
            <w:pPr>
              <w:jc w:val="right"/>
              <w:spacing w:after="0"/>
              <w:rPr>
                <w:sz w:val="20"/>
                <w:szCs w:val="20"/>
                <w:color w:val="auto"/>
              </w:rPr>
            </w:pPr>
            <w:r>
              <w:rPr>
                <w:rFonts w:ascii="Arial" w:cs="Arial" w:eastAsia="Arial" w:hAnsi="Arial"/>
                <w:sz w:val="18"/>
                <w:szCs w:val="18"/>
                <w:color w:val="auto"/>
              </w:rPr>
              <w:t>$38.359</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Merger costs</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3.965</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1.830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0.000</w:t>
            </w:r>
          </w:p>
        </w:tc>
        <w:tc>
          <w:tcPr>
            <w:tcW w:w="1000" w:type="dxa"/>
            <w:vAlign w:val="bottom"/>
          </w:tcPr>
          <w:p>
            <w:pPr>
              <w:jc w:val="right"/>
              <w:spacing w:after="0"/>
              <w:rPr>
                <w:sz w:val="20"/>
                <w:szCs w:val="20"/>
                <w:color w:val="auto"/>
              </w:rPr>
            </w:pPr>
            <w:r>
              <w:rPr>
                <w:rFonts w:ascii="Arial" w:cs="Arial" w:eastAsia="Arial" w:hAnsi="Arial"/>
                <w:sz w:val="18"/>
                <w:szCs w:val="18"/>
                <w:color w:val="auto"/>
              </w:rPr>
              <w:t>$0.000</w:t>
            </w:r>
          </w:p>
        </w:tc>
        <w:tc>
          <w:tcPr>
            <w:tcW w:w="40" w:type="dxa"/>
            <w:vAlign w:val="bottom"/>
          </w:tcPr>
          <w:p>
            <w:pPr>
              <w:spacing w:after="0"/>
              <w:rPr>
                <w:sz w:val="21"/>
                <w:szCs w:val="21"/>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68.404</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13.204</w:t>
            </w:r>
          </w:p>
        </w:tc>
        <w:tc>
          <w:tcPr>
            <w:tcW w:w="900" w:type="dxa"/>
            <w:vAlign w:val="bottom"/>
          </w:tcPr>
          <w:p>
            <w:pPr>
              <w:jc w:val="right"/>
              <w:spacing w:after="0"/>
              <w:rPr>
                <w:sz w:val="20"/>
                <w:szCs w:val="20"/>
                <w:color w:val="auto"/>
              </w:rPr>
            </w:pPr>
            <w:r>
              <w:rPr>
                <w:rFonts w:ascii="Arial" w:cs="Arial" w:eastAsia="Arial" w:hAnsi="Arial"/>
                <w:sz w:val="18"/>
                <w:szCs w:val="18"/>
                <w:color w:val="auto"/>
              </w:rPr>
              <w:t>$4.023</w:t>
            </w:r>
          </w:p>
        </w:tc>
      </w:tr>
      <w:tr>
        <w:trPr>
          <w:trHeight w:val="243"/>
        </w:trPr>
        <w:tc>
          <w:tcPr>
            <w:tcW w:w="3380" w:type="dxa"/>
            <w:vAlign w:val="bottom"/>
          </w:tcPr>
          <w:p>
            <w:pPr>
              <w:spacing w:after="0"/>
              <w:rPr>
                <w:sz w:val="21"/>
                <w:szCs w:val="21"/>
                <w:color w:val="auto"/>
              </w:rPr>
            </w:pP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339.789</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306.171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320.659</w:t>
            </w:r>
          </w:p>
        </w:tc>
        <w:tc>
          <w:tcPr>
            <w:tcW w:w="1000" w:type="dxa"/>
            <w:vAlign w:val="bottom"/>
          </w:tcPr>
          <w:p>
            <w:pPr>
              <w:jc w:val="right"/>
              <w:spacing w:after="0"/>
              <w:rPr>
                <w:sz w:val="20"/>
                <w:szCs w:val="20"/>
                <w:color w:val="auto"/>
              </w:rPr>
            </w:pPr>
            <w:r>
              <w:rPr>
                <w:rFonts w:ascii="Arial" w:cs="Arial" w:eastAsia="Arial" w:hAnsi="Arial"/>
                <w:sz w:val="18"/>
                <w:szCs w:val="18"/>
                <w:color w:val="auto"/>
              </w:rPr>
              <w:t>$97.702</w:t>
            </w:r>
          </w:p>
        </w:tc>
        <w:tc>
          <w:tcPr>
            <w:tcW w:w="40" w:type="dxa"/>
            <w:vAlign w:val="bottom"/>
          </w:tcPr>
          <w:p>
            <w:pPr>
              <w:spacing w:after="0"/>
              <w:rPr>
                <w:sz w:val="21"/>
                <w:szCs w:val="21"/>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1.360.820</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1.252.758</w:t>
            </w:r>
          </w:p>
        </w:tc>
        <w:tc>
          <w:tcPr>
            <w:tcW w:w="900" w:type="dxa"/>
            <w:vAlign w:val="bottom"/>
          </w:tcPr>
          <w:p>
            <w:pPr>
              <w:jc w:val="right"/>
              <w:spacing w:after="0"/>
              <w:rPr>
                <w:sz w:val="20"/>
                <w:szCs w:val="20"/>
                <w:color w:val="auto"/>
              </w:rPr>
            </w:pPr>
            <w:r>
              <w:rPr>
                <w:rFonts w:ascii="Arial" w:cs="Arial" w:eastAsia="Arial" w:hAnsi="Arial"/>
                <w:sz w:val="18"/>
                <w:szCs w:val="18"/>
                <w:color w:val="auto"/>
              </w:rPr>
              <w:t>$381.706</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Result from exposure to inflation</w:t>
            </w:r>
          </w:p>
        </w:tc>
        <w:tc>
          <w:tcPr>
            <w:tcW w:w="1260" w:type="dxa"/>
            <w:vAlign w:val="bottom"/>
          </w:tcPr>
          <w:p>
            <w:pPr>
              <w:jc w:val="right"/>
              <w:ind w:right="52"/>
              <w:spacing w:after="0"/>
              <w:rPr>
                <w:sz w:val="20"/>
                <w:szCs w:val="20"/>
                <w:color w:val="auto"/>
              </w:rPr>
            </w:pPr>
            <w:r>
              <w:rPr>
                <w:rFonts w:ascii="Arial" w:cs="Arial" w:eastAsia="Arial" w:hAnsi="Arial"/>
                <w:sz w:val="18"/>
                <w:szCs w:val="18"/>
                <w:color w:val="auto"/>
              </w:rPr>
              <w:t>(21.267)</w:t>
            </w:r>
          </w:p>
        </w:tc>
        <w:tc>
          <w:tcPr>
            <w:tcW w:w="1160" w:type="dxa"/>
            <w:vAlign w:val="bottom"/>
          </w:tcPr>
          <w:p>
            <w:pPr>
              <w:jc w:val="right"/>
              <w:ind w:right="52"/>
              <w:spacing w:after="0"/>
              <w:rPr>
                <w:sz w:val="20"/>
                <w:szCs w:val="20"/>
                <w:color w:val="auto"/>
              </w:rPr>
            </w:pPr>
            <w:r>
              <w:rPr>
                <w:rFonts w:ascii="Arial" w:cs="Arial" w:eastAsia="Arial" w:hAnsi="Arial"/>
                <w:sz w:val="18"/>
                <w:szCs w:val="18"/>
                <w:color w:val="auto"/>
              </w:rPr>
              <w:t>(53.610)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(25.538)</w:t>
            </w:r>
          </w:p>
        </w:tc>
        <w:tc>
          <w:tcPr>
            <w:tcW w:w="1000" w:type="dxa"/>
            <w:vAlign w:val="bottom"/>
          </w:tcPr>
          <w:p>
            <w:pPr>
              <w:jc w:val="right"/>
              <w:spacing w:after="0"/>
              <w:rPr>
                <w:sz w:val="20"/>
                <w:szCs w:val="20"/>
                <w:color w:val="auto"/>
              </w:rPr>
            </w:pPr>
            <w:r>
              <w:rPr>
                <w:rFonts w:ascii="Arial" w:cs="Arial" w:eastAsia="Arial" w:hAnsi="Arial"/>
                <w:sz w:val="18"/>
                <w:szCs w:val="18"/>
                <w:color w:val="auto"/>
              </w:rPr>
              <w:t>($7.781)</w:t>
            </w:r>
          </w:p>
        </w:tc>
        <w:tc>
          <w:tcPr>
            <w:tcW w:w="40" w:type="dxa"/>
            <w:vAlign w:val="bottom"/>
          </w:tcPr>
          <w:p>
            <w:pPr>
              <w:spacing w:after="0"/>
              <w:rPr>
                <w:sz w:val="24"/>
                <w:szCs w:val="24"/>
                <w:color w:val="auto"/>
              </w:rPr>
            </w:pPr>
          </w:p>
        </w:tc>
        <w:tc>
          <w:tcPr>
            <w:tcW w:w="1240" w:type="dxa"/>
            <w:vAlign w:val="bottom"/>
          </w:tcPr>
          <w:p>
            <w:pPr>
              <w:jc w:val="right"/>
              <w:ind w:right="52"/>
              <w:spacing w:after="0"/>
              <w:rPr>
                <w:sz w:val="20"/>
                <w:szCs w:val="20"/>
                <w:color w:val="auto"/>
              </w:rPr>
            </w:pPr>
            <w:r>
              <w:rPr>
                <w:rFonts w:ascii="Arial" w:cs="Arial" w:eastAsia="Arial" w:hAnsi="Arial"/>
                <w:sz w:val="18"/>
                <w:szCs w:val="18"/>
                <w:color w:val="auto"/>
              </w:rPr>
              <w:t>(43.107)</w:t>
            </w:r>
          </w:p>
        </w:tc>
        <w:tc>
          <w:tcPr>
            <w:tcW w:w="1240" w:type="dxa"/>
            <w:vAlign w:val="bottom"/>
          </w:tcPr>
          <w:p>
            <w:pPr>
              <w:jc w:val="right"/>
              <w:ind w:right="152"/>
              <w:spacing w:after="0"/>
              <w:rPr>
                <w:sz w:val="20"/>
                <w:szCs w:val="20"/>
                <w:color w:val="auto"/>
              </w:rPr>
            </w:pPr>
            <w:r>
              <w:rPr>
                <w:rFonts w:ascii="Arial" w:cs="Arial" w:eastAsia="Arial" w:hAnsi="Arial"/>
                <w:sz w:val="18"/>
                <w:szCs w:val="18"/>
                <w:color w:val="auto"/>
              </w:rPr>
              <w:t>(131.581)</w:t>
            </w:r>
          </w:p>
        </w:tc>
        <w:tc>
          <w:tcPr>
            <w:tcW w:w="900" w:type="dxa"/>
            <w:vAlign w:val="bottom"/>
          </w:tcPr>
          <w:p>
            <w:pPr>
              <w:jc w:val="right"/>
              <w:spacing w:after="0"/>
              <w:rPr>
                <w:sz w:val="20"/>
                <w:szCs w:val="20"/>
                <w:color w:val="auto"/>
              </w:rPr>
            </w:pPr>
            <w:r>
              <w:rPr>
                <w:rFonts w:ascii="Arial" w:cs="Arial" w:eastAsia="Arial" w:hAnsi="Arial"/>
                <w:sz w:val="18"/>
                <w:szCs w:val="18"/>
                <w:color w:val="auto"/>
              </w:rPr>
              <w:t>($40.092)</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Income before income tax</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127.007</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103.530</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139.110</w:t>
            </w:r>
          </w:p>
        </w:tc>
        <w:tc>
          <w:tcPr>
            <w:tcW w:w="1000" w:type="dxa"/>
            <w:vAlign w:val="bottom"/>
          </w:tcPr>
          <w:p>
            <w:pPr>
              <w:jc w:val="right"/>
              <w:spacing w:after="0"/>
              <w:rPr>
                <w:sz w:val="20"/>
                <w:szCs w:val="20"/>
                <w:color w:val="auto"/>
              </w:rPr>
            </w:pPr>
            <w:r>
              <w:rPr>
                <w:rFonts w:ascii="Arial" w:cs="Arial" w:eastAsia="Arial" w:hAnsi="Arial"/>
                <w:sz w:val="18"/>
                <w:szCs w:val="18"/>
                <w:color w:val="auto"/>
              </w:rPr>
              <w:t>$42.386</w:t>
            </w:r>
          </w:p>
        </w:tc>
        <w:tc>
          <w:tcPr>
            <w:tcW w:w="4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447.126</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459.487</w:t>
            </w:r>
          </w:p>
        </w:tc>
        <w:tc>
          <w:tcPr>
            <w:tcW w:w="900" w:type="dxa"/>
            <w:vAlign w:val="bottom"/>
          </w:tcPr>
          <w:p>
            <w:pPr>
              <w:jc w:val="right"/>
              <w:spacing w:after="0"/>
              <w:rPr>
                <w:sz w:val="20"/>
                <w:szCs w:val="20"/>
                <w:color w:val="auto"/>
              </w:rPr>
            </w:pPr>
            <w:r>
              <w:rPr>
                <w:rFonts w:ascii="Arial" w:cs="Arial" w:eastAsia="Arial" w:hAnsi="Arial"/>
                <w:sz w:val="18"/>
                <w:szCs w:val="18"/>
                <w:color w:val="auto"/>
              </w:rPr>
              <w:t>$140.002</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Income Tax</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35.147</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33.609</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40.674</w:t>
            </w:r>
          </w:p>
        </w:tc>
        <w:tc>
          <w:tcPr>
            <w:tcW w:w="1000" w:type="dxa"/>
            <w:vAlign w:val="bottom"/>
          </w:tcPr>
          <w:p>
            <w:pPr>
              <w:jc w:val="right"/>
              <w:spacing w:after="0"/>
              <w:rPr>
                <w:sz w:val="20"/>
                <w:szCs w:val="20"/>
                <w:color w:val="auto"/>
              </w:rPr>
            </w:pPr>
            <w:r>
              <w:rPr>
                <w:rFonts w:ascii="Arial" w:cs="Arial" w:eastAsia="Arial" w:hAnsi="Arial"/>
                <w:sz w:val="18"/>
                <w:szCs w:val="18"/>
                <w:color w:val="auto"/>
              </w:rPr>
              <w:t>$12.393</w:t>
            </w:r>
          </w:p>
        </w:tc>
        <w:tc>
          <w:tcPr>
            <w:tcW w:w="4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123.209</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140.227</w:t>
            </w:r>
          </w:p>
        </w:tc>
        <w:tc>
          <w:tcPr>
            <w:tcW w:w="900" w:type="dxa"/>
            <w:vAlign w:val="bottom"/>
          </w:tcPr>
          <w:p>
            <w:pPr>
              <w:jc w:val="right"/>
              <w:spacing w:after="0"/>
              <w:rPr>
                <w:sz w:val="20"/>
                <w:szCs w:val="20"/>
                <w:color w:val="auto"/>
              </w:rPr>
            </w:pPr>
            <w:r>
              <w:rPr>
                <w:rFonts w:ascii="Arial" w:cs="Arial" w:eastAsia="Arial" w:hAnsi="Arial"/>
                <w:sz w:val="18"/>
                <w:szCs w:val="18"/>
                <w:color w:val="auto"/>
              </w:rPr>
              <w:t>$42.726</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260" w:type="dxa"/>
            <w:vAlign w:val="bottom"/>
          </w:tcPr>
          <w:p>
            <w:pPr>
              <w:jc w:val="right"/>
              <w:ind w:right="92"/>
              <w:spacing w:after="0"/>
              <w:rPr>
                <w:sz w:val="20"/>
                <w:szCs w:val="20"/>
                <w:color w:val="auto"/>
              </w:rPr>
            </w:pPr>
            <w:r>
              <w:rPr>
                <w:rFonts w:ascii="Arial" w:cs="Arial" w:eastAsia="Arial" w:hAnsi="Arial"/>
                <w:sz w:val="18"/>
                <w:szCs w:val="18"/>
                <w:color w:val="auto"/>
              </w:rPr>
              <w:t>91.860</w:t>
            </w:r>
          </w:p>
        </w:tc>
        <w:tc>
          <w:tcPr>
            <w:tcW w:w="1160" w:type="dxa"/>
            <w:vAlign w:val="bottom"/>
          </w:tcPr>
          <w:p>
            <w:pPr>
              <w:jc w:val="right"/>
              <w:ind w:right="112"/>
              <w:spacing w:after="0"/>
              <w:rPr>
                <w:sz w:val="20"/>
                <w:szCs w:val="20"/>
                <w:color w:val="auto"/>
              </w:rPr>
            </w:pPr>
            <w:r>
              <w:rPr>
                <w:rFonts w:ascii="Arial" w:cs="Arial" w:eastAsia="Arial" w:hAnsi="Arial"/>
                <w:sz w:val="18"/>
                <w:szCs w:val="18"/>
                <w:color w:val="auto"/>
              </w:rPr>
              <w:t>69.921</w:t>
            </w:r>
          </w:p>
        </w:tc>
        <w:tc>
          <w:tcPr>
            <w:tcW w:w="1140" w:type="dxa"/>
            <w:vAlign w:val="bottom"/>
          </w:tcPr>
          <w:p>
            <w:pPr>
              <w:jc w:val="right"/>
              <w:ind w:right="92"/>
              <w:spacing w:after="0"/>
              <w:rPr>
                <w:sz w:val="20"/>
                <w:szCs w:val="20"/>
                <w:color w:val="auto"/>
              </w:rPr>
            </w:pPr>
            <w:r>
              <w:rPr>
                <w:rFonts w:ascii="Arial" w:cs="Arial" w:eastAsia="Arial" w:hAnsi="Arial"/>
                <w:sz w:val="18"/>
                <w:szCs w:val="18"/>
                <w:color w:val="auto"/>
              </w:rPr>
              <w:t>98.436</w:t>
            </w:r>
          </w:p>
        </w:tc>
        <w:tc>
          <w:tcPr>
            <w:tcW w:w="1000" w:type="dxa"/>
            <w:vAlign w:val="bottom"/>
          </w:tcPr>
          <w:p>
            <w:pPr>
              <w:jc w:val="right"/>
              <w:spacing w:after="0"/>
              <w:rPr>
                <w:sz w:val="20"/>
                <w:szCs w:val="20"/>
                <w:color w:val="auto"/>
              </w:rPr>
            </w:pPr>
            <w:r>
              <w:rPr>
                <w:rFonts w:ascii="Arial" w:cs="Arial" w:eastAsia="Arial" w:hAnsi="Arial"/>
                <w:sz w:val="18"/>
                <w:szCs w:val="18"/>
                <w:color w:val="auto"/>
              </w:rPr>
              <w:t>$29.993</w:t>
            </w:r>
          </w:p>
        </w:tc>
        <w:tc>
          <w:tcPr>
            <w:tcW w:w="40" w:type="dxa"/>
            <w:vAlign w:val="bottom"/>
          </w:tcPr>
          <w:p>
            <w:pPr>
              <w:spacing w:after="0"/>
              <w:rPr>
                <w:sz w:val="24"/>
                <w:szCs w:val="24"/>
                <w:color w:val="auto"/>
              </w:rPr>
            </w:pPr>
          </w:p>
        </w:tc>
        <w:tc>
          <w:tcPr>
            <w:tcW w:w="1240" w:type="dxa"/>
            <w:vAlign w:val="bottom"/>
          </w:tcPr>
          <w:p>
            <w:pPr>
              <w:jc w:val="right"/>
              <w:ind w:right="92"/>
              <w:spacing w:after="0"/>
              <w:rPr>
                <w:sz w:val="20"/>
                <w:szCs w:val="20"/>
                <w:color w:val="auto"/>
              </w:rPr>
            </w:pPr>
            <w:r>
              <w:rPr>
                <w:rFonts w:ascii="Arial" w:cs="Arial" w:eastAsia="Arial" w:hAnsi="Arial"/>
                <w:sz w:val="18"/>
                <w:szCs w:val="18"/>
                <w:color w:val="auto"/>
              </w:rPr>
              <w:t>323.917</w:t>
            </w:r>
          </w:p>
        </w:tc>
        <w:tc>
          <w:tcPr>
            <w:tcW w:w="1240" w:type="dxa"/>
            <w:vAlign w:val="bottom"/>
          </w:tcPr>
          <w:p>
            <w:pPr>
              <w:jc w:val="right"/>
              <w:ind w:right="192"/>
              <w:spacing w:after="0"/>
              <w:rPr>
                <w:sz w:val="20"/>
                <w:szCs w:val="20"/>
                <w:color w:val="auto"/>
              </w:rPr>
            </w:pPr>
            <w:r>
              <w:rPr>
                <w:rFonts w:ascii="Arial" w:cs="Arial" w:eastAsia="Arial" w:hAnsi="Arial"/>
                <w:sz w:val="18"/>
                <w:szCs w:val="18"/>
                <w:color w:val="auto"/>
              </w:rPr>
              <w:t>319.260</w:t>
            </w:r>
          </w:p>
        </w:tc>
        <w:tc>
          <w:tcPr>
            <w:tcW w:w="900" w:type="dxa"/>
            <w:vAlign w:val="bottom"/>
          </w:tcPr>
          <w:p>
            <w:pPr>
              <w:jc w:val="right"/>
              <w:spacing w:after="0"/>
              <w:rPr>
                <w:sz w:val="20"/>
                <w:szCs w:val="20"/>
                <w:color w:val="auto"/>
              </w:rPr>
            </w:pPr>
            <w:r>
              <w:rPr>
                <w:rFonts w:ascii="Arial" w:cs="Arial" w:eastAsia="Arial" w:hAnsi="Arial"/>
                <w:sz w:val="18"/>
                <w:szCs w:val="18"/>
                <w:color w:val="auto"/>
              </w:rPr>
              <w:t>$97.276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S/.3.282 per US$1.00.</w:t>
      </w:r>
    </w:p>
    <w:p>
      <w:pPr>
        <w:sectPr>
          <w:pgSz w:w="11900" w:h="16838" w:orient="portrait"/>
          <w:cols w:equalWidth="0" w:num="1">
            <w:col w:w="11400"/>
          </w:cols>
          <w:pgMar w:left="240" w:top="131"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color w:val="auto"/>
        </w:rPr>
        <w:t>BANCO DE CREDITO DEL PERU AND SUBSIDIARIES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Table 6</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SELECTED FINANCIAL INDICATORS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21233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2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700" w:type="dxa"/>
            <w:vAlign w:val="bottom"/>
            <w:gridSpan w:val="2"/>
          </w:tcPr>
          <w:p>
            <w:pPr>
              <w:jc w:val="right"/>
              <w:ind w:right="492"/>
              <w:spacing w:after="0"/>
              <w:rPr>
                <w:sz w:val="20"/>
                <w:szCs w:val="20"/>
                <w:color w:val="auto"/>
              </w:rPr>
            </w:pPr>
            <w:r>
              <w:rPr>
                <w:rFonts w:ascii="Arial" w:cs="Arial" w:eastAsia="Arial" w:hAnsi="Arial"/>
                <w:sz w:val="18"/>
                <w:szCs w:val="18"/>
                <w:color w:val="auto"/>
              </w:rPr>
              <w:t>Twelve months ended</w:t>
            </w:r>
          </w:p>
        </w:tc>
      </w:tr>
      <w:tr>
        <w:trPr>
          <w:trHeight w:val="151"/>
        </w:trPr>
        <w:tc>
          <w:tcPr>
            <w:tcW w:w="452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40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40" w:type="dxa"/>
            <w:vAlign w:val="bottom"/>
          </w:tcPr>
          <w:p>
            <w:pPr>
              <w:spacing w:after="0"/>
              <w:rPr>
                <w:sz w:val="13"/>
                <w:szCs w:val="13"/>
                <w:color w:val="auto"/>
              </w:rPr>
            </w:pPr>
          </w:p>
        </w:tc>
        <w:tc>
          <w:tcPr>
            <w:tcW w:w="1520" w:type="dxa"/>
            <w:vAlign w:val="bottom"/>
            <w:tcBorders>
              <w:bottom w:val="single" w:sz="8" w:color="auto"/>
            </w:tcBorders>
          </w:tcPr>
          <w:p>
            <w:pPr>
              <w:spacing w:after="0"/>
              <w:rPr>
                <w:sz w:val="13"/>
                <w:szCs w:val="13"/>
                <w:color w:val="auto"/>
              </w:rPr>
            </w:pPr>
          </w:p>
        </w:tc>
        <w:tc>
          <w:tcPr>
            <w:tcW w:w="1180" w:type="dxa"/>
            <w:vAlign w:val="bottom"/>
            <w:tcBorders>
              <w:bottom w:val="single" w:sz="8" w:color="auto"/>
            </w:tcBorders>
          </w:tcPr>
          <w:p>
            <w:pPr>
              <w:spacing w:after="0"/>
              <w:rPr>
                <w:sz w:val="13"/>
                <w:szCs w:val="13"/>
                <w:color w:val="auto"/>
              </w:rPr>
            </w:pPr>
          </w:p>
        </w:tc>
      </w:tr>
      <w:tr>
        <w:trPr>
          <w:trHeight w:val="343"/>
        </w:trPr>
        <w:tc>
          <w:tcPr>
            <w:tcW w:w="4520" w:type="dxa"/>
            <w:vAlign w:val="bottom"/>
          </w:tcPr>
          <w:p>
            <w:pPr>
              <w:spacing w:after="0"/>
              <w:rPr>
                <w:sz w:val="24"/>
                <w:szCs w:val="24"/>
                <w:color w:val="auto"/>
              </w:rPr>
            </w:pPr>
          </w:p>
        </w:tc>
        <w:tc>
          <w:tcPr>
            <w:tcW w:w="154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400" w:type="dxa"/>
            <w:vAlign w:val="bottom"/>
          </w:tcPr>
          <w:p>
            <w:pPr>
              <w:jc w:val="right"/>
              <w:ind w:right="492"/>
              <w:spacing w:after="0"/>
              <w:rPr>
                <w:sz w:val="20"/>
                <w:szCs w:val="20"/>
                <w:color w:val="auto"/>
              </w:rPr>
            </w:pPr>
            <w:r>
              <w:rPr>
                <w:rFonts w:ascii="Arial" w:cs="Arial" w:eastAsia="Arial" w:hAnsi="Arial"/>
                <w:sz w:val="18"/>
                <w:szCs w:val="18"/>
                <w:color w:val="auto"/>
              </w:rPr>
              <w:t>30.09.04</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31.12.04</w:t>
            </w:r>
          </w:p>
        </w:tc>
        <w:tc>
          <w:tcPr>
            <w:tcW w:w="40" w:type="dxa"/>
            <w:vAlign w:val="bottom"/>
          </w:tcPr>
          <w:p>
            <w:pPr>
              <w:spacing w:after="0"/>
              <w:rPr>
                <w:sz w:val="24"/>
                <w:szCs w:val="24"/>
                <w:color w:val="auto"/>
              </w:rPr>
            </w:pPr>
          </w:p>
        </w:tc>
        <w:tc>
          <w:tcPr>
            <w:tcW w:w="1520" w:type="dxa"/>
            <w:vAlign w:val="bottom"/>
          </w:tcPr>
          <w:p>
            <w:pPr>
              <w:jc w:val="right"/>
              <w:ind w:right="472"/>
              <w:spacing w:after="0"/>
              <w:rPr>
                <w:sz w:val="20"/>
                <w:szCs w:val="20"/>
                <w:color w:val="auto"/>
              </w:rPr>
            </w:pPr>
            <w:r>
              <w:rPr>
                <w:rFonts w:ascii="Arial" w:cs="Arial" w:eastAsia="Arial" w:hAnsi="Arial"/>
                <w:sz w:val="18"/>
                <w:szCs w:val="18"/>
                <w:color w:val="auto"/>
              </w:rPr>
              <w:t>31.12.03</w:t>
            </w:r>
          </w:p>
        </w:tc>
        <w:tc>
          <w:tcPr>
            <w:tcW w:w="1180" w:type="dxa"/>
            <w:vAlign w:val="bottom"/>
          </w:tcPr>
          <w:p>
            <w:pPr>
              <w:jc w:val="right"/>
              <w:ind w:right="272"/>
              <w:spacing w:after="0"/>
              <w:rPr>
                <w:sz w:val="20"/>
                <w:szCs w:val="20"/>
                <w:color w:val="auto"/>
              </w:rPr>
            </w:pPr>
            <w:r>
              <w:rPr>
                <w:rFonts w:ascii="Arial" w:cs="Arial" w:eastAsia="Arial" w:hAnsi="Arial"/>
                <w:sz w:val="18"/>
                <w:szCs w:val="18"/>
                <w:color w:val="auto"/>
              </w:rPr>
              <w:t>31.12.04</w:t>
            </w:r>
          </w:p>
        </w:tc>
      </w:tr>
      <w:tr>
        <w:trPr>
          <w:trHeight w:val="137"/>
        </w:trPr>
        <w:tc>
          <w:tcPr>
            <w:tcW w:w="45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4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5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r>
      <w:tr>
        <w:trPr>
          <w:trHeight w:val="343"/>
        </w:trPr>
        <w:tc>
          <w:tcPr>
            <w:tcW w:w="4520" w:type="dxa"/>
            <w:vAlign w:val="bottom"/>
          </w:tcPr>
          <w:p>
            <w:pPr>
              <w:spacing w:after="0"/>
              <w:rPr>
                <w:sz w:val="20"/>
                <w:szCs w:val="20"/>
                <w:color w:val="auto"/>
              </w:rPr>
            </w:pPr>
            <w:r>
              <w:rPr>
                <w:rFonts w:ascii="Arial" w:cs="Arial" w:eastAsia="Arial" w:hAnsi="Arial"/>
                <w:sz w:val="18"/>
                <w:szCs w:val="18"/>
                <w:color w:val="auto"/>
              </w:rPr>
              <w:t>Profitability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income per common share (S/. per share)(1)</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0.075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0.057</w:t>
            </w:r>
          </w:p>
        </w:tc>
        <w:tc>
          <w:tcPr>
            <w:tcW w:w="1160" w:type="dxa"/>
            <w:vAlign w:val="bottom"/>
          </w:tcPr>
          <w:p>
            <w:pPr>
              <w:jc w:val="right"/>
              <w:spacing w:after="0"/>
              <w:rPr>
                <w:sz w:val="20"/>
                <w:szCs w:val="20"/>
                <w:color w:val="auto"/>
              </w:rPr>
            </w:pPr>
            <w:r>
              <w:rPr>
                <w:rFonts w:ascii="Arial" w:cs="Arial" w:eastAsia="Arial" w:hAnsi="Arial"/>
                <w:sz w:val="18"/>
                <w:szCs w:val="18"/>
                <w:color w:val="auto"/>
              </w:rPr>
              <w:t>0.080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0.264</w:t>
            </w:r>
          </w:p>
        </w:tc>
        <w:tc>
          <w:tcPr>
            <w:tcW w:w="1180" w:type="dxa"/>
            <w:vAlign w:val="bottom"/>
          </w:tcPr>
          <w:p>
            <w:pPr>
              <w:jc w:val="right"/>
              <w:spacing w:after="0"/>
              <w:rPr>
                <w:sz w:val="20"/>
                <w:szCs w:val="20"/>
                <w:color w:val="auto"/>
              </w:rPr>
            </w:pPr>
            <w:r>
              <w:rPr>
                <w:rFonts w:ascii="Arial" w:cs="Arial" w:eastAsia="Arial" w:hAnsi="Arial"/>
                <w:sz w:val="18"/>
                <w:szCs w:val="18"/>
                <w:color w:val="auto"/>
              </w:rPr>
              <w:t>0.260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interest margin on interest earning assets (2)</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5.60%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5.06%</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5.58%</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5.42%</w:t>
            </w:r>
          </w:p>
        </w:tc>
        <w:tc>
          <w:tcPr>
            <w:tcW w:w="1180" w:type="dxa"/>
            <w:vAlign w:val="bottom"/>
          </w:tcPr>
          <w:p>
            <w:pPr>
              <w:jc w:val="right"/>
              <w:spacing w:after="0"/>
              <w:rPr>
                <w:sz w:val="20"/>
                <w:szCs w:val="20"/>
                <w:color w:val="auto"/>
              </w:rPr>
            </w:pPr>
            <w:r>
              <w:rPr>
                <w:rFonts w:ascii="Arial" w:cs="Arial" w:eastAsia="Arial" w:hAnsi="Arial"/>
                <w:sz w:val="18"/>
                <w:szCs w:val="18"/>
                <w:color w:val="auto"/>
              </w:rPr>
              <w:t>5.19%</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Return on average total assets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1.49%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1.19%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1.68%</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1.25%</w:t>
            </w:r>
          </w:p>
        </w:tc>
        <w:tc>
          <w:tcPr>
            <w:tcW w:w="1180" w:type="dxa"/>
            <w:vAlign w:val="bottom"/>
          </w:tcPr>
          <w:p>
            <w:pPr>
              <w:jc w:val="right"/>
              <w:spacing w:after="0"/>
              <w:rPr>
                <w:sz w:val="20"/>
                <w:szCs w:val="20"/>
                <w:color w:val="auto"/>
              </w:rPr>
            </w:pPr>
            <w:r>
              <w:rPr>
                <w:rFonts w:ascii="Arial" w:cs="Arial" w:eastAsia="Arial" w:hAnsi="Arial"/>
                <w:sz w:val="18"/>
                <w:szCs w:val="18"/>
                <w:color w:val="auto"/>
              </w:rPr>
              <w:t>1.33%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Return on average shareholders' equity (2)(3)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15.98%</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12.24%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16.62%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14.86%</w:t>
            </w:r>
          </w:p>
        </w:tc>
        <w:tc>
          <w:tcPr>
            <w:tcW w:w="1180" w:type="dxa"/>
            <w:vAlign w:val="bottom"/>
          </w:tcPr>
          <w:p>
            <w:pPr>
              <w:jc w:val="right"/>
              <w:spacing w:after="0"/>
              <w:rPr>
                <w:sz w:val="20"/>
                <w:szCs w:val="20"/>
                <w:color w:val="auto"/>
              </w:rPr>
            </w:pPr>
            <w:r>
              <w:rPr>
                <w:rFonts w:ascii="Arial" w:cs="Arial" w:eastAsia="Arial" w:hAnsi="Arial"/>
                <w:sz w:val="18"/>
                <w:szCs w:val="18"/>
                <w:color w:val="auto"/>
              </w:rPr>
              <w:t>13.88%</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Quality of loan portfolio</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5.01%</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3.68%</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6.07%</w:t>
            </w:r>
          </w:p>
        </w:tc>
        <w:tc>
          <w:tcPr>
            <w:tcW w:w="1180" w:type="dxa"/>
            <w:vAlign w:val="bottom"/>
          </w:tcPr>
          <w:p>
            <w:pPr>
              <w:jc w:val="right"/>
              <w:spacing w:after="0"/>
              <w:rPr>
                <w:sz w:val="20"/>
                <w:szCs w:val="20"/>
                <w:color w:val="auto"/>
              </w:rPr>
            </w:pPr>
            <w:r>
              <w:rPr>
                <w:rFonts w:ascii="Arial" w:cs="Arial" w:eastAsia="Arial" w:hAnsi="Arial"/>
                <w:sz w:val="18"/>
                <w:szCs w:val="18"/>
                <w:color w:val="auto"/>
              </w:rPr>
              <w:t>3.68%</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Past due loans + refinanced loans as a</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percentage of total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11.53%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9.94%</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9.37%</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11.53%</w:t>
            </w:r>
          </w:p>
        </w:tc>
        <w:tc>
          <w:tcPr>
            <w:tcW w:w="1180" w:type="dxa"/>
            <w:vAlign w:val="bottom"/>
          </w:tcPr>
          <w:p>
            <w:pPr>
              <w:jc w:val="right"/>
              <w:spacing w:after="0"/>
              <w:rPr>
                <w:sz w:val="20"/>
                <w:szCs w:val="20"/>
                <w:color w:val="auto"/>
              </w:rPr>
            </w:pPr>
            <w:r>
              <w:rPr>
                <w:rFonts w:ascii="Arial" w:cs="Arial" w:eastAsia="Arial" w:hAnsi="Arial"/>
                <w:sz w:val="18"/>
                <w:szCs w:val="18"/>
                <w:color w:val="auto"/>
              </w:rPr>
              <w:t>9.37%</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past due loans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124.72%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124.89%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159.83%</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124.72%</w:t>
            </w:r>
          </w:p>
        </w:tc>
        <w:tc>
          <w:tcPr>
            <w:tcW w:w="1180" w:type="dxa"/>
            <w:vAlign w:val="bottom"/>
          </w:tcPr>
          <w:p>
            <w:pPr>
              <w:jc w:val="right"/>
              <w:spacing w:after="0"/>
              <w:rPr>
                <w:sz w:val="20"/>
                <w:szCs w:val="20"/>
                <w:color w:val="auto"/>
              </w:rPr>
            </w:pPr>
            <w:r>
              <w:rPr>
                <w:rFonts w:ascii="Arial" w:cs="Arial" w:eastAsia="Arial" w:hAnsi="Arial"/>
                <w:sz w:val="18"/>
                <w:szCs w:val="18"/>
                <w:color w:val="auto"/>
              </w:rPr>
              <w:t>159.83%</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Reserves for loan losses as a percentage of</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substandard loans (C+D+E)</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49.49%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51.19%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51.34%</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49.49%</w:t>
            </w:r>
          </w:p>
        </w:tc>
        <w:tc>
          <w:tcPr>
            <w:tcW w:w="1180" w:type="dxa"/>
            <w:vAlign w:val="bottom"/>
          </w:tcPr>
          <w:p>
            <w:pPr>
              <w:jc w:val="right"/>
              <w:spacing w:after="0"/>
              <w:rPr>
                <w:sz w:val="20"/>
                <w:szCs w:val="20"/>
                <w:color w:val="auto"/>
              </w:rPr>
            </w:pPr>
            <w:r>
              <w:rPr>
                <w:rFonts w:ascii="Arial" w:cs="Arial" w:eastAsia="Arial" w:hAnsi="Arial"/>
                <w:sz w:val="18"/>
                <w:szCs w:val="18"/>
                <w:color w:val="auto"/>
              </w:rPr>
              <w:t>51.34%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Past due loans - reserves for loan losses as a</w:t>
            </w:r>
          </w:p>
        </w:tc>
        <w:tc>
          <w:tcPr>
            <w:tcW w:w="154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percentage of shareholders' equity</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-9.53%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-7.30%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-12.25%</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-9.53%</w:t>
            </w:r>
          </w:p>
        </w:tc>
        <w:tc>
          <w:tcPr>
            <w:tcW w:w="1180" w:type="dxa"/>
            <w:vAlign w:val="bottom"/>
          </w:tcPr>
          <w:p>
            <w:pPr>
              <w:jc w:val="right"/>
              <w:spacing w:after="0"/>
              <w:rPr>
                <w:sz w:val="20"/>
                <w:szCs w:val="20"/>
                <w:color w:val="auto"/>
              </w:rPr>
            </w:pPr>
            <w:r>
              <w:rPr>
                <w:rFonts w:ascii="Arial" w:cs="Arial" w:eastAsia="Arial" w:hAnsi="Arial"/>
                <w:sz w:val="18"/>
                <w:szCs w:val="18"/>
                <w:color w:val="auto"/>
              </w:rPr>
              <w:t>-12.25%</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Operating efficiency (5)</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Oper. expense as a percent. of total income (4)</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51.80%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55.65%</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54.57%</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51.88%</w:t>
            </w:r>
          </w:p>
        </w:tc>
        <w:tc>
          <w:tcPr>
            <w:tcW w:w="1180" w:type="dxa"/>
            <w:vAlign w:val="bottom"/>
          </w:tcPr>
          <w:p>
            <w:pPr>
              <w:jc w:val="right"/>
              <w:spacing w:after="0"/>
              <w:rPr>
                <w:sz w:val="20"/>
                <w:szCs w:val="20"/>
                <w:color w:val="auto"/>
              </w:rPr>
            </w:pPr>
            <w:r>
              <w:rPr>
                <w:rFonts w:ascii="Arial" w:cs="Arial" w:eastAsia="Arial" w:hAnsi="Arial"/>
                <w:sz w:val="18"/>
                <w:szCs w:val="18"/>
                <w:color w:val="auto"/>
              </w:rPr>
              <w:t>56.24%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Oper. expense as a percent. of av. tot. assets(2)(3)</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4.43%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4.50%</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4.72%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4.31%</w:t>
            </w:r>
          </w:p>
        </w:tc>
        <w:tc>
          <w:tcPr>
            <w:tcW w:w="1180" w:type="dxa"/>
            <w:vAlign w:val="bottom"/>
          </w:tcPr>
          <w:p>
            <w:pPr>
              <w:jc w:val="right"/>
              <w:spacing w:after="0"/>
              <w:rPr>
                <w:sz w:val="20"/>
                <w:szCs w:val="20"/>
                <w:color w:val="auto"/>
              </w:rPr>
            </w:pPr>
            <w:r>
              <w:rPr>
                <w:rFonts w:ascii="Arial" w:cs="Arial" w:eastAsia="Arial" w:hAnsi="Arial"/>
                <w:sz w:val="18"/>
                <w:szCs w:val="18"/>
                <w:color w:val="auto"/>
              </w:rPr>
              <w:t>4.57%</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Capital adequacy</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Regulatory capital (constant millions 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2.288.7</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2.280.6</w:t>
            </w:r>
          </w:p>
        </w:tc>
        <w:tc>
          <w:tcPr>
            <w:tcW w:w="1160" w:type="dxa"/>
            <w:vAlign w:val="bottom"/>
          </w:tcPr>
          <w:p>
            <w:pPr>
              <w:jc w:val="right"/>
              <w:spacing w:after="0"/>
              <w:rPr>
                <w:sz w:val="20"/>
                <w:szCs w:val="20"/>
                <w:color w:val="auto"/>
              </w:rPr>
            </w:pPr>
            <w:r>
              <w:rPr>
                <w:rFonts w:ascii="Arial" w:cs="Arial" w:eastAsia="Arial" w:hAnsi="Arial"/>
                <w:sz w:val="18"/>
                <w:szCs w:val="18"/>
                <w:color w:val="auto"/>
              </w:rPr>
              <w:t>2.283.2</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2.288.7</w:t>
            </w:r>
          </w:p>
        </w:tc>
        <w:tc>
          <w:tcPr>
            <w:tcW w:w="1180" w:type="dxa"/>
            <w:vAlign w:val="bottom"/>
          </w:tcPr>
          <w:p>
            <w:pPr>
              <w:jc w:val="right"/>
              <w:spacing w:after="0"/>
              <w:rPr>
                <w:sz w:val="20"/>
                <w:szCs w:val="20"/>
                <w:color w:val="auto"/>
              </w:rPr>
            </w:pPr>
            <w:r>
              <w:rPr>
                <w:rFonts w:ascii="Arial" w:cs="Arial" w:eastAsia="Arial" w:hAnsi="Arial"/>
                <w:sz w:val="18"/>
                <w:szCs w:val="18"/>
                <w:color w:val="auto"/>
              </w:rPr>
              <w:t>2.283.2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Tier I Capital (constant millions 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1,994.6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2,071.9</w:t>
            </w:r>
          </w:p>
        </w:tc>
        <w:tc>
          <w:tcPr>
            <w:tcW w:w="1160" w:type="dxa"/>
            <w:vAlign w:val="bottom"/>
          </w:tcPr>
          <w:p>
            <w:pPr>
              <w:jc w:val="right"/>
              <w:spacing w:after="0"/>
              <w:rPr>
                <w:sz w:val="20"/>
                <w:szCs w:val="20"/>
                <w:color w:val="auto"/>
              </w:rPr>
            </w:pPr>
            <w:r>
              <w:rPr>
                <w:rFonts w:ascii="Arial" w:cs="Arial" w:eastAsia="Arial" w:hAnsi="Arial"/>
                <w:sz w:val="18"/>
                <w:szCs w:val="18"/>
                <w:color w:val="auto"/>
              </w:rPr>
              <w:t>2,071.9</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1,994.6</w:t>
            </w:r>
          </w:p>
        </w:tc>
        <w:tc>
          <w:tcPr>
            <w:tcW w:w="1180" w:type="dxa"/>
            <w:vAlign w:val="bottom"/>
          </w:tcPr>
          <w:p>
            <w:pPr>
              <w:jc w:val="right"/>
              <w:spacing w:after="0"/>
              <w:rPr>
                <w:sz w:val="20"/>
                <w:szCs w:val="20"/>
                <w:color w:val="auto"/>
              </w:rPr>
            </w:pPr>
            <w:r>
              <w:rPr>
                <w:rFonts w:ascii="Arial" w:cs="Arial" w:eastAsia="Arial" w:hAnsi="Arial"/>
                <w:sz w:val="18"/>
                <w:szCs w:val="18"/>
                <w:color w:val="auto"/>
              </w:rPr>
              <w:t>2,071.9</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equity as a percentage of period end total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9.62%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9.99%</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10.26%</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9.62%</w:t>
            </w:r>
          </w:p>
        </w:tc>
        <w:tc>
          <w:tcPr>
            <w:tcW w:w="1180" w:type="dxa"/>
            <w:vAlign w:val="bottom"/>
          </w:tcPr>
          <w:p>
            <w:pPr>
              <w:jc w:val="right"/>
              <w:spacing w:after="0"/>
              <w:rPr>
                <w:sz w:val="20"/>
                <w:szCs w:val="20"/>
                <w:color w:val="auto"/>
              </w:rPr>
            </w:pPr>
            <w:r>
              <w:rPr>
                <w:rFonts w:ascii="Arial" w:cs="Arial" w:eastAsia="Arial" w:hAnsi="Arial"/>
                <w:sz w:val="18"/>
                <w:szCs w:val="18"/>
                <w:color w:val="auto"/>
              </w:rPr>
              <w:t>10.26%</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Regulatory capital / risk-weighted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12.85%</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14.13%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14.39%</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12.85%</w:t>
            </w:r>
          </w:p>
        </w:tc>
        <w:tc>
          <w:tcPr>
            <w:tcW w:w="1180" w:type="dxa"/>
            <w:vAlign w:val="bottom"/>
          </w:tcPr>
          <w:p>
            <w:pPr>
              <w:jc w:val="right"/>
              <w:spacing w:after="0"/>
              <w:rPr>
                <w:sz w:val="20"/>
                <w:szCs w:val="20"/>
                <w:color w:val="auto"/>
              </w:rPr>
            </w:pPr>
            <w:r>
              <w:rPr>
                <w:rFonts w:ascii="Arial" w:cs="Arial" w:eastAsia="Arial" w:hAnsi="Arial"/>
                <w:sz w:val="18"/>
                <w:szCs w:val="18"/>
                <w:color w:val="auto"/>
              </w:rPr>
              <w:t>14.39%</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Average balances (constant millions S/.) (3)</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Interest earning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21,424.4</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20,614.4</w:t>
            </w:r>
          </w:p>
        </w:tc>
        <w:tc>
          <w:tcPr>
            <w:tcW w:w="1160" w:type="dxa"/>
            <w:vAlign w:val="bottom"/>
          </w:tcPr>
          <w:p>
            <w:pPr>
              <w:jc w:val="right"/>
              <w:spacing w:after="0"/>
              <w:rPr>
                <w:sz w:val="20"/>
                <w:szCs w:val="20"/>
                <w:color w:val="auto"/>
              </w:rPr>
            </w:pPr>
            <w:r>
              <w:rPr>
                <w:rFonts w:ascii="Arial" w:cs="Arial" w:eastAsia="Arial" w:hAnsi="Arial"/>
                <w:sz w:val="18"/>
                <w:szCs w:val="18"/>
                <w:color w:val="auto"/>
              </w:rPr>
              <w:t>20,519.1</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22,379.2</w:t>
            </w:r>
          </w:p>
        </w:tc>
        <w:tc>
          <w:tcPr>
            <w:tcW w:w="1180" w:type="dxa"/>
            <w:vAlign w:val="bottom"/>
          </w:tcPr>
          <w:p>
            <w:pPr>
              <w:jc w:val="right"/>
              <w:spacing w:after="0"/>
              <w:rPr>
                <w:sz w:val="20"/>
                <w:szCs w:val="20"/>
                <w:color w:val="auto"/>
              </w:rPr>
            </w:pPr>
            <w:r>
              <w:rPr>
                <w:rFonts w:ascii="Arial" w:cs="Arial" w:eastAsia="Arial" w:hAnsi="Arial"/>
                <w:sz w:val="18"/>
                <w:szCs w:val="18"/>
                <w:color w:val="auto"/>
              </w:rPr>
              <w:t>20,759.0</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Total Assets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24,617.3</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23,501.5</w:t>
            </w:r>
          </w:p>
        </w:tc>
        <w:tc>
          <w:tcPr>
            <w:tcW w:w="1160" w:type="dxa"/>
            <w:vAlign w:val="bottom"/>
          </w:tcPr>
          <w:p>
            <w:pPr>
              <w:jc w:val="right"/>
              <w:spacing w:after="0"/>
              <w:rPr>
                <w:sz w:val="20"/>
                <w:szCs w:val="20"/>
                <w:color w:val="auto"/>
              </w:rPr>
            </w:pPr>
            <w:r>
              <w:rPr>
                <w:rFonts w:ascii="Arial" w:cs="Arial" w:eastAsia="Arial" w:hAnsi="Arial"/>
                <w:sz w:val="18"/>
                <w:szCs w:val="18"/>
                <w:color w:val="auto"/>
              </w:rPr>
              <w:t>23,402.5</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25,835.0</w:t>
            </w:r>
          </w:p>
        </w:tc>
        <w:tc>
          <w:tcPr>
            <w:tcW w:w="1180" w:type="dxa"/>
            <w:vAlign w:val="bottom"/>
          </w:tcPr>
          <w:p>
            <w:pPr>
              <w:jc w:val="right"/>
              <w:spacing w:after="0"/>
              <w:rPr>
                <w:sz w:val="20"/>
                <w:szCs w:val="20"/>
                <w:color w:val="auto"/>
              </w:rPr>
            </w:pPr>
            <w:r>
              <w:rPr>
                <w:rFonts w:ascii="Arial" w:cs="Arial" w:eastAsia="Arial" w:hAnsi="Arial"/>
                <w:sz w:val="18"/>
                <w:szCs w:val="18"/>
                <w:color w:val="auto"/>
              </w:rPr>
              <w:t>23,972.2</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Net equity</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2,298.9</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2,284.9</w:t>
            </w:r>
          </w:p>
        </w:tc>
        <w:tc>
          <w:tcPr>
            <w:tcW w:w="1160" w:type="dxa"/>
            <w:vAlign w:val="bottom"/>
          </w:tcPr>
          <w:p>
            <w:pPr>
              <w:jc w:val="right"/>
              <w:spacing w:after="0"/>
              <w:rPr>
                <w:sz w:val="20"/>
                <w:szCs w:val="20"/>
                <w:color w:val="auto"/>
              </w:rPr>
            </w:pPr>
            <w:r>
              <w:rPr>
                <w:rFonts w:ascii="Arial" w:cs="Arial" w:eastAsia="Arial" w:hAnsi="Arial"/>
                <w:sz w:val="18"/>
                <w:szCs w:val="18"/>
                <w:color w:val="auto"/>
              </w:rPr>
              <w:t>2,369.0</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2,180.2</w:t>
            </w:r>
          </w:p>
        </w:tc>
        <w:tc>
          <w:tcPr>
            <w:tcW w:w="1180" w:type="dxa"/>
            <w:vAlign w:val="bottom"/>
          </w:tcPr>
          <w:p>
            <w:pPr>
              <w:jc w:val="right"/>
              <w:spacing w:after="0"/>
              <w:rPr>
                <w:sz w:val="20"/>
                <w:szCs w:val="20"/>
                <w:color w:val="auto"/>
              </w:rPr>
            </w:pPr>
            <w:r>
              <w:rPr>
                <w:rFonts w:ascii="Arial" w:cs="Arial" w:eastAsia="Arial" w:hAnsi="Arial"/>
                <w:sz w:val="18"/>
                <w:szCs w:val="18"/>
                <w:color w:val="auto"/>
              </w:rPr>
              <w:t>2,299.8</w:t>
            </w:r>
          </w:p>
        </w:tc>
      </w:tr>
      <w:tr>
        <w:trPr>
          <w:trHeight w:val="486"/>
        </w:trPr>
        <w:tc>
          <w:tcPr>
            <w:tcW w:w="4520" w:type="dxa"/>
            <w:vAlign w:val="bottom"/>
          </w:tcPr>
          <w:p>
            <w:pPr>
              <w:spacing w:after="0"/>
              <w:rPr>
                <w:sz w:val="20"/>
                <w:szCs w:val="20"/>
                <w:color w:val="auto"/>
              </w:rPr>
            </w:pPr>
            <w:r>
              <w:rPr>
                <w:rFonts w:ascii="Arial" w:cs="Arial" w:eastAsia="Arial" w:hAnsi="Arial"/>
                <w:sz w:val="18"/>
                <w:szCs w:val="18"/>
                <w:color w:val="auto"/>
              </w:rPr>
              <w:t>Additional data</w:t>
            </w:r>
          </w:p>
        </w:tc>
        <w:tc>
          <w:tcPr>
            <w:tcW w:w="15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No. of outstanding shares (millions)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1,202</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1,226</w:t>
            </w:r>
          </w:p>
        </w:tc>
        <w:tc>
          <w:tcPr>
            <w:tcW w:w="1160" w:type="dxa"/>
            <w:vAlign w:val="bottom"/>
          </w:tcPr>
          <w:p>
            <w:pPr>
              <w:jc w:val="right"/>
              <w:spacing w:after="0"/>
              <w:rPr>
                <w:sz w:val="20"/>
                <w:szCs w:val="20"/>
                <w:color w:val="auto"/>
              </w:rPr>
            </w:pPr>
            <w:r>
              <w:rPr>
                <w:rFonts w:ascii="Arial" w:cs="Arial" w:eastAsia="Arial" w:hAnsi="Arial"/>
                <w:sz w:val="18"/>
                <w:szCs w:val="18"/>
                <w:color w:val="auto"/>
              </w:rPr>
              <w:t>1,226</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1,202</w:t>
            </w:r>
          </w:p>
        </w:tc>
        <w:tc>
          <w:tcPr>
            <w:tcW w:w="1180" w:type="dxa"/>
            <w:vAlign w:val="bottom"/>
          </w:tcPr>
          <w:p>
            <w:pPr>
              <w:jc w:val="right"/>
              <w:spacing w:after="0"/>
              <w:rPr>
                <w:sz w:val="20"/>
                <w:szCs w:val="20"/>
                <w:color w:val="auto"/>
              </w:rPr>
            </w:pPr>
            <w:r>
              <w:rPr>
                <w:rFonts w:ascii="Arial" w:cs="Arial" w:eastAsia="Arial" w:hAnsi="Arial"/>
                <w:sz w:val="18"/>
                <w:szCs w:val="18"/>
                <w:color w:val="auto"/>
              </w:rPr>
              <w:t>1,226</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No, of employees</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7,530</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7,667</w:t>
            </w:r>
          </w:p>
        </w:tc>
        <w:tc>
          <w:tcPr>
            <w:tcW w:w="1160" w:type="dxa"/>
            <w:vAlign w:val="bottom"/>
          </w:tcPr>
          <w:p>
            <w:pPr>
              <w:jc w:val="right"/>
              <w:spacing w:after="0"/>
              <w:rPr>
                <w:sz w:val="20"/>
                <w:szCs w:val="20"/>
                <w:color w:val="auto"/>
              </w:rPr>
            </w:pPr>
            <w:r>
              <w:rPr>
                <w:rFonts w:ascii="Arial" w:cs="Arial" w:eastAsia="Arial" w:hAnsi="Arial"/>
                <w:sz w:val="18"/>
                <w:szCs w:val="18"/>
                <w:color w:val="auto"/>
              </w:rPr>
              <w:t>7,694</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7,530</w:t>
            </w:r>
          </w:p>
        </w:tc>
        <w:tc>
          <w:tcPr>
            <w:tcW w:w="1180" w:type="dxa"/>
            <w:vAlign w:val="bottom"/>
          </w:tcPr>
          <w:p>
            <w:pPr>
              <w:jc w:val="right"/>
              <w:spacing w:after="0"/>
              <w:rPr>
                <w:sz w:val="20"/>
                <w:szCs w:val="20"/>
                <w:color w:val="auto"/>
              </w:rPr>
            </w:pPr>
            <w:r>
              <w:rPr>
                <w:rFonts w:ascii="Arial" w:cs="Arial" w:eastAsia="Arial" w:hAnsi="Arial"/>
                <w:sz w:val="18"/>
                <w:szCs w:val="18"/>
                <w:color w:val="auto"/>
              </w:rPr>
              <w:t>7,694</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Inflation rate ( Wholesale price index)</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1.01%</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0.13%</w:t>
            </w:r>
          </w:p>
        </w:tc>
        <w:tc>
          <w:tcPr>
            <w:tcW w:w="1200" w:type="dxa"/>
            <w:vAlign w:val="bottom"/>
            <w:gridSpan w:val="2"/>
          </w:tcPr>
          <w:p>
            <w:pPr>
              <w:jc w:val="right"/>
              <w:ind w:right="40"/>
              <w:spacing w:after="0"/>
              <w:rPr>
                <w:sz w:val="20"/>
                <w:szCs w:val="20"/>
                <w:color w:val="auto"/>
              </w:rPr>
            </w:pPr>
            <w:r>
              <w:rPr>
                <w:rFonts w:ascii="Arial" w:cs="Arial" w:eastAsia="Arial" w:hAnsi="Arial"/>
                <w:sz w:val="18"/>
                <w:szCs w:val="18"/>
                <w:color w:val="auto"/>
              </w:rPr>
              <w:t>-0.02%</w:t>
            </w: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2.00%</w:t>
            </w:r>
          </w:p>
        </w:tc>
        <w:tc>
          <w:tcPr>
            <w:tcW w:w="118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Exchange rate (S/. per 1 U.S. Dollar)</w:t>
            </w:r>
          </w:p>
        </w:tc>
        <w:tc>
          <w:tcPr>
            <w:tcW w:w="1540" w:type="dxa"/>
            <w:vAlign w:val="bottom"/>
          </w:tcPr>
          <w:p>
            <w:pPr>
              <w:jc w:val="right"/>
              <w:ind w:right="112"/>
              <w:spacing w:after="0"/>
              <w:rPr>
                <w:sz w:val="20"/>
                <w:szCs w:val="20"/>
                <w:color w:val="auto"/>
              </w:rPr>
            </w:pPr>
            <w:r>
              <w:rPr>
                <w:rFonts w:ascii="Arial" w:cs="Arial" w:eastAsia="Arial" w:hAnsi="Arial"/>
                <w:sz w:val="18"/>
                <w:szCs w:val="18"/>
                <w:color w:val="auto"/>
              </w:rPr>
              <w:t>3.46</w:t>
            </w:r>
          </w:p>
        </w:tc>
        <w:tc>
          <w:tcPr>
            <w:tcW w:w="1400" w:type="dxa"/>
            <w:vAlign w:val="bottom"/>
          </w:tcPr>
          <w:p>
            <w:pPr>
              <w:jc w:val="right"/>
              <w:ind w:right="132"/>
              <w:spacing w:after="0"/>
              <w:rPr>
                <w:sz w:val="20"/>
                <w:szCs w:val="20"/>
                <w:color w:val="auto"/>
              </w:rPr>
            </w:pPr>
            <w:r>
              <w:rPr>
                <w:rFonts w:ascii="Arial" w:cs="Arial" w:eastAsia="Arial" w:hAnsi="Arial"/>
                <w:sz w:val="18"/>
                <w:szCs w:val="18"/>
                <w:color w:val="auto"/>
              </w:rPr>
              <w:t>3.34</w:t>
            </w:r>
          </w:p>
        </w:tc>
        <w:tc>
          <w:tcPr>
            <w:tcW w:w="1160" w:type="dxa"/>
            <w:vAlign w:val="bottom"/>
          </w:tcPr>
          <w:p>
            <w:pPr>
              <w:jc w:val="right"/>
              <w:spacing w:after="0"/>
              <w:rPr>
                <w:sz w:val="20"/>
                <w:szCs w:val="20"/>
                <w:color w:val="auto"/>
              </w:rPr>
            </w:pPr>
            <w:r>
              <w:rPr>
                <w:rFonts w:ascii="Arial" w:cs="Arial" w:eastAsia="Arial" w:hAnsi="Arial"/>
                <w:sz w:val="18"/>
                <w:szCs w:val="18"/>
                <w:color w:val="auto"/>
              </w:rPr>
              <w:t>3.28</w:t>
            </w:r>
          </w:p>
        </w:tc>
        <w:tc>
          <w:tcPr>
            <w:tcW w:w="40" w:type="dxa"/>
            <w:vAlign w:val="bottom"/>
          </w:tcPr>
          <w:p>
            <w:pPr>
              <w:spacing w:after="0"/>
              <w:rPr>
                <w:sz w:val="21"/>
                <w:szCs w:val="21"/>
                <w:color w:val="auto"/>
              </w:rPr>
            </w:pPr>
          </w:p>
        </w:tc>
        <w:tc>
          <w:tcPr>
            <w:tcW w:w="1520" w:type="dxa"/>
            <w:vAlign w:val="bottom"/>
          </w:tcPr>
          <w:p>
            <w:pPr>
              <w:jc w:val="right"/>
              <w:ind w:right="112"/>
              <w:spacing w:after="0"/>
              <w:rPr>
                <w:sz w:val="20"/>
                <w:szCs w:val="20"/>
                <w:color w:val="auto"/>
              </w:rPr>
            </w:pPr>
            <w:r>
              <w:rPr>
                <w:rFonts w:ascii="Arial" w:cs="Arial" w:eastAsia="Arial" w:hAnsi="Arial"/>
                <w:sz w:val="18"/>
                <w:szCs w:val="18"/>
                <w:color w:val="auto"/>
              </w:rPr>
              <w:t>3.46</w:t>
            </w:r>
          </w:p>
        </w:tc>
        <w:tc>
          <w:tcPr>
            <w:tcW w:w="1180" w:type="dxa"/>
            <w:vAlign w:val="bottom"/>
          </w:tcPr>
          <w:p>
            <w:pPr>
              <w:jc w:val="right"/>
              <w:spacing w:after="0"/>
              <w:rPr>
                <w:sz w:val="20"/>
                <w:szCs w:val="20"/>
                <w:color w:val="auto"/>
              </w:rPr>
            </w:pPr>
            <w:r>
              <w:rPr>
                <w:rFonts w:ascii="Arial" w:cs="Arial" w:eastAsia="Arial" w:hAnsi="Arial"/>
                <w:sz w:val="18"/>
                <w:szCs w:val="18"/>
                <w:color w:val="auto"/>
              </w:rPr>
              <w:t>3.28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6"/>
          <w:szCs w:val="16"/>
          <w:color w:val="auto"/>
        </w:rPr>
        <w:t>(1)Shares outstanding of 1,226 million is used for all periods since shares have been issued only for capitalization of profits and inflation adjustment.</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(2)Ratios are 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(4)Total income includes net interest income and other income, excluding non-recurring items.</w:t>
      </w:r>
    </w:p>
    <w:p>
      <w:pPr>
        <w:spacing w:after="0" w:line="9" w:lineRule="exact"/>
        <w:rPr>
          <w:sz w:val="20"/>
          <w:szCs w:val="20"/>
          <w:color w:val="auto"/>
        </w:rPr>
      </w:pPr>
    </w:p>
    <w:p>
      <w:pPr>
        <w:jc w:val="both"/>
        <w:spacing w:after="0" w:line="261" w:lineRule="auto"/>
        <w:rPr>
          <w:sz w:val="20"/>
          <w:szCs w:val="20"/>
          <w:color w:val="auto"/>
        </w:rPr>
      </w:pPr>
      <w:r>
        <w:rPr>
          <w:rFonts w:ascii="Arial" w:cs="Arial" w:eastAsia="Arial" w:hAnsi="Arial"/>
          <w:sz w:val="18"/>
          <w:szCs w:val="18"/>
          <w:color w:val="auto"/>
        </w:rPr>
        <w:t>(5)Operating expense does not include mandatory employee profit sharing expense nor provisions for other assets received in lieu of loan repayment and non-recurring items.</w:t>
      </w:r>
    </w:p>
    <w:p>
      <w:pPr>
        <w:sectPr>
          <w:pgSz w:w="11900" w:h="16838" w:orient="portrait"/>
          <w:cols w:equalWidth="0" w:num="1">
            <w:col w:w="11420"/>
          </w:cols>
          <w:pgMar w:left="240" w:top="131" w:right="239" w:bottom="1440" w:gutter="0" w:footer="0" w:header="0"/>
        </w:sectPr>
      </w:pPr>
    </w:p>
    <w:bookmarkStart w:id="21" w:name="page22"/>
    <w:bookmarkEnd w:id="21"/>
    <w:p>
      <w:pPr>
        <w:jc w:val="center"/>
        <w:ind w:right="-59"/>
        <w:spacing w:after="0"/>
        <w:rPr>
          <w:sz w:val="20"/>
          <w:szCs w:val="20"/>
          <w:color w:val="auto"/>
        </w:rPr>
      </w:pPr>
      <w:r>
        <w:rPr>
          <w:rFonts w:ascii="Arial" w:cs="Arial" w:eastAsia="Arial" w:hAnsi="Arial"/>
          <w:sz w:val="18"/>
          <w:szCs w:val="18"/>
          <w:color w:val="auto"/>
        </w:rPr>
        <w:t>ATLANTIC SECURITY HOLDING CORPORATION</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Table 7</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(Thousands of U.S. Dollars, except net income per share, and percentages)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19518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200" w:lineRule="exact"/>
        <w:rPr>
          <w:sz w:val="20"/>
          <w:szCs w:val="20"/>
          <w:color w:val="auto"/>
        </w:rPr>
      </w:pPr>
    </w:p>
    <w:p>
      <w:pPr>
        <w:spacing w:after="0" w:line="296" w:lineRule="exact"/>
        <w:rPr>
          <w:sz w:val="20"/>
          <w:szCs w:val="20"/>
          <w:color w:val="auto"/>
        </w:rPr>
      </w:pPr>
    </w:p>
    <w:tbl>
      <w:tblPr>
        <w:tblLayout w:type="fixed"/>
        <w:tblInd w:w="40" w:type="dxa"/>
        <w:tblCellMar>
          <w:top w:w="0" w:type="dxa"/>
          <w:left w:w="0" w:type="dxa"/>
          <w:bottom w:w="0" w:type="dxa"/>
          <w:right w:w="0" w:type="dxa"/>
        </w:tblCellMar>
      </w:tblPr>
      <w:tr>
        <w:trPr>
          <w:trHeight w:val="222"/>
        </w:trPr>
        <w:tc>
          <w:tcPr>
            <w:tcW w:w="4500" w:type="dxa"/>
            <w:vAlign w:val="bottom"/>
          </w:tcPr>
          <w:p>
            <w:pPr>
              <w:spacing w:after="0"/>
              <w:rPr>
                <w:sz w:val="19"/>
                <w:szCs w:val="19"/>
                <w:color w:val="auto"/>
              </w:rPr>
            </w:pPr>
          </w:p>
        </w:tc>
        <w:tc>
          <w:tcPr>
            <w:tcW w:w="2940" w:type="dxa"/>
            <w:vAlign w:val="bottom"/>
            <w:gridSpan w:val="2"/>
          </w:tcPr>
          <w:p>
            <w:pPr>
              <w:jc w:val="right"/>
              <w:ind w:right="92"/>
              <w:spacing w:after="0"/>
              <w:rPr>
                <w:sz w:val="20"/>
                <w:szCs w:val="20"/>
                <w:color w:val="auto"/>
              </w:rPr>
            </w:pPr>
            <w:r>
              <w:rPr>
                <w:rFonts w:ascii="Arial" w:cs="Arial" w:eastAsia="Arial" w:hAnsi="Arial"/>
                <w:sz w:val="18"/>
                <w:szCs w:val="18"/>
                <w:color w:val="auto"/>
              </w:rPr>
              <w:t>Three months ended</w:t>
            </w:r>
          </w:p>
        </w:tc>
        <w:tc>
          <w:tcPr>
            <w:tcW w:w="1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00" w:type="dxa"/>
            <w:vAlign w:val="bottom"/>
            <w:gridSpan w:val="2"/>
          </w:tcPr>
          <w:p>
            <w:pPr>
              <w:jc w:val="right"/>
              <w:ind w:right="492"/>
              <w:spacing w:after="0"/>
              <w:rPr>
                <w:sz w:val="20"/>
                <w:szCs w:val="20"/>
                <w:color w:val="auto"/>
              </w:rPr>
            </w:pPr>
            <w:r>
              <w:rPr>
                <w:rFonts w:ascii="Arial" w:cs="Arial" w:eastAsia="Arial" w:hAnsi="Arial"/>
                <w:sz w:val="18"/>
                <w:szCs w:val="18"/>
                <w:color w:val="auto"/>
              </w:rPr>
              <w:t>Twelve months ended</w:t>
            </w:r>
          </w:p>
        </w:tc>
      </w:tr>
      <w:tr>
        <w:trPr>
          <w:trHeight w:val="151"/>
        </w:trPr>
        <w:tc>
          <w:tcPr>
            <w:tcW w:w="4500" w:type="dxa"/>
            <w:vAlign w:val="bottom"/>
          </w:tcPr>
          <w:p>
            <w:pPr>
              <w:spacing w:after="0"/>
              <w:rPr>
                <w:sz w:val="13"/>
                <w:szCs w:val="13"/>
                <w:color w:val="auto"/>
              </w:rPr>
            </w:pPr>
          </w:p>
        </w:tc>
        <w:tc>
          <w:tcPr>
            <w:tcW w:w="1560" w:type="dxa"/>
            <w:vAlign w:val="bottom"/>
            <w:tcBorders>
              <w:bottom w:val="single" w:sz="8" w:color="auto"/>
            </w:tcBorders>
          </w:tcPr>
          <w:p>
            <w:pPr>
              <w:spacing w:after="0"/>
              <w:rPr>
                <w:sz w:val="13"/>
                <w:szCs w:val="13"/>
                <w:color w:val="auto"/>
              </w:rPr>
            </w:pPr>
          </w:p>
        </w:tc>
        <w:tc>
          <w:tcPr>
            <w:tcW w:w="138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c>
          <w:tcPr>
            <w:tcW w:w="20" w:type="dxa"/>
            <w:vAlign w:val="bottom"/>
          </w:tcPr>
          <w:p>
            <w:pPr>
              <w:spacing w:after="0"/>
              <w:rPr>
                <w:sz w:val="13"/>
                <w:szCs w:val="13"/>
                <w:color w:val="auto"/>
              </w:rPr>
            </w:pPr>
          </w:p>
        </w:tc>
        <w:tc>
          <w:tcPr>
            <w:tcW w:w="1540" w:type="dxa"/>
            <w:vAlign w:val="bottom"/>
            <w:tcBorders>
              <w:bottom w:val="single" w:sz="8" w:color="auto"/>
            </w:tcBorders>
          </w:tcPr>
          <w:p>
            <w:pPr>
              <w:spacing w:after="0"/>
              <w:rPr>
                <w:sz w:val="13"/>
                <w:szCs w:val="13"/>
                <w:color w:val="auto"/>
              </w:rPr>
            </w:pPr>
          </w:p>
        </w:tc>
        <w:tc>
          <w:tcPr>
            <w:tcW w:w="1160" w:type="dxa"/>
            <w:vAlign w:val="bottom"/>
            <w:tcBorders>
              <w:bottom w:val="single" w:sz="8" w:color="auto"/>
            </w:tcBorders>
          </w:tcPr>
          <w:p>
            <w:pPr>
              <w:spacing w:after="0"/>
              <w:rPr>
                <w:sz w:val="13"/>
                <w:szCs w:val="13"/>
                <w:color w:val="auto"/>
              </w:rPr>
            </w:pPr>
          </w:p>
        </w:tc>
      </w:tr>
      <w:tr>
        <w:trPr>
          <w:trHeight w:val="343"/>
        </w:trPr>
        <w:tc>
          <w:tcPr>
            <w:tcW w:w="4500" w:type="dxa"/>
            <w:vAlign w:val="bottom"/>
          </w:tcPr>
          <w:p>
            <w:pPr>
              <w:spacing w:after="0"/>
              <w:rPr>
                <w:sz w:val="24"/>
                <w:szCs w:val="24"/>
                <w:color w:val="auto"/>
              </w:rPr>
            </w:pPr>
          </w:p>
        </w:tc>
        <w:tc>
          <w:tcPr>
            <w:tcW w:w="1560" w:type="dxa"/>
            <w:vAlign w:val="bottom"/>
          </w:tcPr>
          <w:p>
            <w:pPr>
              <w:jc w:val="right"/>
              <w:ind w:right="492"/>
              <w:spacing w:after="0"/>
              <w:rPr>
                <w:sz w:val="20"/>
                <w:szCs w:val="20"/>
                <w:color w:val="auto"/>
              </w:rPr>
            </w:pPr>
            <w:r>
              <w:rPr>
                <w:rFonts w:ascii="Arial" w:cs="Arial" w:eastAsia="Arial" w:hAnsi="Arial"/>
                <w:sz w:val="18"/>
                <w:szCs w:val="18"/>
                <w:color w:val="auto"/>
              </w:rPr>
              <w:t>31.12.03</w:t>
            </w:r>
          </w:p>
        </w:tc>
        <w:tc>
          <w:tcPr>
            <w:tcW w:w="1380" w:type="dxa"/>
            <w:vAlign w:val="bottom"/>
          </w:tcPr>
          <w:p>
            <w:pPr>
              <w:jc w:val="right"/>
              <w:ind w:right="492"/>
              <w:spacing w:after="0"/>
              <w:rPr>
                <w:sz w:val="20"/>
                <w:szCs w:val="20"/>
                <w:color w:val="auto"/>
              </w:rPr>
            </w:pPr>
            <w:r>
              <w:rPr>
                <w:rFonts w:ascii="Arial" w:cs="Arial" w:eastAsia="Arial" w:hAnsi="Arial"/>
                <w:sz w:val="18"/>
                <w:szCs w:val="18"/>
                <w:color w:val="auto"/>
              </w:rPr>
              <w:t>30.09.04</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31.12.04</w:t>
            </w:r>
          </w:p>
        </w:tc>
        <w:tc>
          <w:tcPr>
            <w:tcW w:w="1560" w:type="dxa"/>
            <w:vAlign w:val="bottom"/>
            <w:gridSpan w:val="2"/>
          </w:tcPr>
          <w:p>
            <w:pPr>
              <w:jc w:val="right"/>
              <w:ind w:right="472"/>
              <w:spacing w:after="0"/>
              <w:rPr>
                <w:sz w:val="20"/>
                <w:szCs w:val="20"/>
                <w:color w:val="auto"/>
              </w:rPr>
            </w:pPr>
            <w:r>
              <w:rPr>
                <w:rFonts w:ascii="Arial" w:cs="Arial" w:eastAsia="Arial" w:hAnsi="Arial"/>
                <w:sz w:val="18"/>
                <w:szCs w:val="18"/>
                <w:color w:val="auto"/>
              </w:rPr>
              <w:t>31.12.03</w:t>
            </w:r>
          </w:p>
        </w:tc>
        <w:tc>
          <w:tcPr>
            <w:tcW w:w="1160" w:type="dxa"/>
            <w:vAlign w:val="bottom"/>
          </w:tcPr>
          <w:p>
            <w:pPr>
              <w:jc w:val="right"/>
              <w:ind w:right="272"/>
              <w:spacing w:after="0"/>
              <w:rPr>
                <w:sz w:val="20"/>
                <w:szCs w:val="20"/>
                <w:color w:val="auto"/>
              </w:rPr>
            </w:pPr>
            <w:r>
              <w:rPr>
                <w:rFonts w:ascii="Arial" w:cs="Arial" w:eastAsia="Arial" w:hAnsi="Arial"/>
                <w:sz w:val="18"/>
                <w:szCs w:val="18"/>
                <w:color w:val="auto"/>
              </w:rPr>
              <w:t>31.12.04</w:t>
            </w:r>
          </w:p>
        </w:tc>
      </w:tr>
      <w:tr>
        <w:trPr>
          <w:trHeight w:val="137"/>
        </w:trPr>
        <w:tc>
          <w:tcPr>
            <w:tcW w:w="4500" w:type="dxa"/>
            <w:vAlign w:val="bottom"/>
            <w:tcBorders>
              <w:bottom w:val="single" w:sz="8" w:color="auto"/>
            </w:tcBorders>
          </w:tcPr>
          <w:p>
            <w:pPr>
              <w:spacing w:after="0"/>
              <w:rPr>
                <w:sz w:val="11"/>
                <w:szCs w:val="11"/>
                <w:color w:val="auto"/>
              </w:rPr>
            </w:pPr>
          </w:p>
        </w:tc>
        <w:tc>
          <w:tcPr>
            <w:tcW w:w="1560" w:type="dxa"/>
            <w:vAlign w:val="bottom"/>
            <w:tcBorders>
              <w:bottom w:val="single" w:sz="8" w:color="auto"/>
            </w:tcBorders>
          </w:tcPr>
          <w:p>
            <w:pPr>
              <w:spacing w:after="0"/>
              <w:rPr>
                <w:sz w:val="11"/>
                <w:szCs w:val="11"/>
                <w:color w:val="auto"/>
              </w:rPr>
            </w:pPr>
          </w:p>
        </w:tc>
        <w:tc>
          <w:tcPr>
            <w:tcW w:w="138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54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r>
      <w:tr>
        <w:trPr>
          <w:trHeight w:val="343"/>
        </w:trPr>
        <w:tc>
          <w:tcPr>
            <w:tcW w:w="4500" w:type="dxa"/>
            <w:vAlign w:val="bottom"/>
          </w:tcPr>
          <w:p>
            <w:pPr>
              <w:spacing w:after="0"/>
              <w:rPr>
                <w:sz w:val="20"/>
                <w:szCs w:val="20"/>
                <w:color w:val="auto"/>
              </w:rPr>
            </w:pPr>
            <w:r>
              <w:rPr>
                <w:rFonts w:ascii="Arial" w:cs="Arial" w:eastAsia="Arial" w:hAnsi="Arial"/>
                <w:sz w:val="18"/>
                <w:szCs w:val="18"/>
                <w:color w:val="auto"/>
              </w:rPr>
              <w:t>Results</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Interest Income (w/o dividends)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3,349</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3,374</w:t>
            </w:r>
          </w:p>
        </w:tc>
        <w:tc>
          <w:tcPr>
            <w:tcW w:w="1160" w:type="dxa"/>
            <w:vAlign w:val="bottom"/>
          </w:tcPr>
          <w:p>
            <w:pPr>
              <w:jc w:val="right"/>
              <w:spacing w:after="0"/>
              <w:rPr>
                <w:sz w:val="20"/>
                <w:szCs w:val="20"/>
                <w:color w:val="auto"/>
              </w:rPr>
            </w:pPr>
            <w:r>
              <w:rPr>
                <w:rFonts w:ascii="Arial" w:cs="Arial" w:eastAsia="Arial" w:hAnsi="Arial"/>
                <w:sz w:val="18"/>
                <w:szCs w:val="18"/>
                <w:color w:val="auto"/>
              </w:rPr>
              <w:t>3,398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14,593</w:t>
            </w:r>
          </w:p>
        </w:tc>
        <w:tc>
          <w:tcPr>
            <w:tcW w:w="1160" w:type="dxa"/>
            <w:vAlign w:val="bottom"/>
          </w:tcPr>
          <w:p>
            <w:pPr>
              <w:jc w:val="right"/>
              <w:spacing w:after="0"/>
              <w:rPr>
                <w:sz w:val="20"/>
                <w:szCs w:val="20"/>
                <w:color w:val="auto"/>
              </w:rPr>
            </w:pPr>
            <w:r>
              <w:rPr>
                <w:rFonts w:ascii="Arial" w:cs="Arial" w:eastAsia="Arial" w:hAnsi="Arial"/>
                <w:sz w:val="18"/>
                <w:szCs w:val="18"/>
                <w:color w:val="auto"/>
              </w:rPr>
              <w:t>13,787</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Dividend income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507</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33</w:t>
            </w:r>
          </w:p>
        </w:tc>
        <w:tc>
          <w:tcPr>
            <w:tcW w:w="1160" w:type="dxa"/>
            <w:vAlign w:val="bottom"/>
          </w:tcPr>
          <w:p>
            <w:pPr>
              <w:jc w:val="right"/>
              <w:spacing w:after="0"/>
              <w:rPr>
                <w:sz w:val="20"/>
                <w:szCs w:val="20"/>
                <w:color w:val="auto"/>
              </w:rPr>
            </w:pPr>
            <w:r>
              <w:rPr>
                <w:rFonts w:ascii="Arial" w:cs="Arial" w:eastAsia="Arial" w:hAnsi="Arial"/>
                <w:sz w:val="18"/>
                <w:szCs w:val="18"/>
                <w:color w:val="auto"/>
              </w:rPr>
              <w:t>30</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3,728</w:t>
            </w:r>
          </w:p>
        </w:tc>
        <w:tc>
          <w:tcPr>
            <w:tcW w:w="1160" w:type="dxa"/>
            <w:vAlign w:val="bottom"/>
          </w:tcPr>
          <w:p>
            <w:pPr>
              <w:jc w:val="right"/>
              <w:spacing w:after="0"/>
              <w:rPr>
                <w:sz w:val="20"/>
                <w:szCs w:val="20"/>
                <w:color w:val="auto"/>
              </w:rPr>
            </w:pPr>
            <w:r>
              <w:rPr>
                <w:rFonts w:ascii="Arial" w:cs="Arial" w:eastAsia="Arial" w:hAnsi="Arial"/>
                <w:sz w:val="18"/>
                <w:szCs w:val="18"/>
                <w:color w:val="auto"/>
              </w:rPr>
              <w:t>5,977</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Provisions for credit and market risks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1,761</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w:t>
            </w:r>
          </w:p>
        </w:tc>
        <w:tc>
          <w:tcPr>
            <w:tcW w:w="1160" w:type="dxa"/>
            <w:vAlign w:val="bottom"/>
          </w:tcPr>
          <w:p>
            <w:pPr>
              <w:jc w:val="right"/>
              <w:spacing w:after="0"/>
              <w:rPr>
                <w:sz w:val="20"/>
                <w:szCs w:val="20"/>
                <w:color w:val="auto"/>
              </w:rPr>
            </w:pPr>
            <w:r>
              <w:rPr>
                <w:rFonts w:ascii="Arial" w:cs="Arial" w:eastAsia="Arial" w:hAnsi="Arial"/>
                <w:sz w:val="18"/>
                <w:szCs w:val="18"/>
                <w:color w:val="auto"/>
              </w:rPr>
              <w:t>148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12,361</w:t>
            </w:r>
          </w:p>
        </w:tc>
        <w:tc>
          <w:tcPr>
            <w:tcW w:w="1160" w:type="dxa"/>
            <w:vAlign w:val="bottom"/>
          </w:tcPr>
          <w:p>
            <w:pPr>
              <w:jc w:val="right"/>
              <w:spacing w:after="0"/>
              <w:rPr>
                <w:sz w:val="20"/>
                <w:szCs w:val="20"/>
                <w:color w:val="auto"/>
              </w:rPr>
            </w:pPr>
            <w:r>
              <w:rPr>
                <w:rFonts w:ascii="Arial" w:cs="Arial" w:eastAsia="Arial" w:hAnsi="Arial"/>
                <w:sz w:val="18"/>
                <w:szCs w:val="18"/>
                <w:color w:val="auto"/>
              </w:rPr>
              <w:t>1,702</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Commissions and fee income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938</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1,001</w:t>
            </w:r>
          </w:p>
        </w:tc>
        <w:tc>
          <w:tcPr>
            <w:tcW w:w="1160" w:type="dxa"/>
            <w:vAlign w:val="bottom"/>
          </w:tcPr>
          <w:p>
            <w:pPr>
              <w:jc w:val="right"/>
              <w:spacing w:after="0"/>
              <w:rPr>
                <w:sz w:val="20"/>
                <w:szCs w:val="20"/>
                <w:color w:val="auto"/>
              </w:rPr>
            </w:pPr>
            <w:r>
              <w:rPr>
                <w:rFonts w:ascii="Arial" w:cs="Arial" w:eastAsia="Arial" w:hAnsi="Arial"/>
                <w:sz w:val="18"/>
                <w:szCs w:val="18"/>
                <w:color w:val="auto"/>
              </w:rPr>
              <w:t>1,142</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3,569</w:t>
            </w:r>
          </w:p>
        </w:tc>
        <w:tc>
          <w:tcPr>
            <w:tcW w:w="1160" w:type="dxa"/>
            <w:vAlign w:val="bottom"/>
          </w:tcPr>
          <w:p>
            <w:pPr>
              <w:jc w:val="right"/>
              <w:spacing w:after="0"/>
              <w:rPr>
                <w:sz w:val="20"/>
                <w:szCs w:val="20"/>
                <w:color w:val="auto"/>
              </w:rPr>
            </w:pPr>
            <w:r>
              <w:rPr>
                <w:rFonts w:ascii="Arial" w:cs="Arial" w:eastAsia="Arial" w:hAnsi="Arial"/>
                <w:sz w:val="18"/>
                <w:szCs w:val="18"/>
                <w:color w:val="auto"/>
              </w:rPr>
              <w:t>4,354</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Other Income(1)</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1,989</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329</w:t>
            </w:r>
          </w:p>
        </w:tc>
        <w:tc>
          <w:tcPr>
            <w:tcW w:w="1160" w:type="dxa"/>
            <w:vAlign w:val="bottom"/>
          </w:tcPr>
          <w:p>
            <w:pPr>
              <w:jc w:val="right"/>
              <w:spacing w:after="0"/>
              <w:rPr>
                <w:sz w:val="20"/>
                <w:szCs w:val="20"/>
                <w:color w:val="auto"/>
              </w:rPr>
            </w:pPr>
            <w:r>
              <w:rPr>
                <w:rFonts w:ascii="Arial" w:cs="Arial" w:eastAsia="Arial" w:hAnsi="Arial"/>
                <w:sz w:val="18"/>
                <w:szCs w:val="18"/>
                <w:color w:val="auto"/>
              </w:rPr>
              <w:t>1,962</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8,149</w:t>
            </w:r>
          </w:p>
        </w:tc>
        <w:tc>
          <w:tcPr>
            <w:tcW w:w="1160" w:type="dxa"/>
            <w:vAlign w:val="bottom"/>
          </w:tcPr>
          <w:p>
            <w:pPr>
              <w:jc w:val="right"/>
              <w:spacing w:after="0"/>
              <w:rPr>
                <w:sz w:val="20"/>
                <w:szCs w:val="20"/>
                <w:color w:val="auto"/>
              </w:rPr>
            </w:pPr>
            <w:r>
              <w:rPr>
                <w:rFonts w:ascii="Arial" w:cs="Arial" w:eastAsia="Arial" w:hAnsi="Arial"/>
                <w:sz w:val="18"/>
                <w:szCs w:val="18"/>
                <w:color w:val="auto"/>
              </w:rPr>
              <w:t>4,659</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Operating Expense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1,935</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1,911</w:t>
            </w:r>
          </w:p>
        </w:tc>
        <w:tc>
          <w:tcPr>
            <w:tcW w:w="1160" w:type="dxa"/>
            <w:vAlign w:val="bottom"/>
          </w:tcPr>
          <w:p>
            <w:pPr>
              <w:jc w:val="right"/>
              <w:spacing w:after="0"/>
              <w:rPr>
                <w:sz w:val="20"/>
                <w:szCs w:val="20"/>
                <w:color w:val="auto"/>
              </w:rPr>
            </w:pPr>
            <w:r>
              <w:rPr>
                <w:rFonts w:ascii="Arial" w:cs="Arial" w:eastAsia="Arial" w:hAnsi="Arial"/>
                <w:sz w:val="18"/>
                <w:szCs w:val="18"/>
                <w:color w:val="auto"/>
              </w:rPr>
              <w:t>2,378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6,750</w:t>
            </w:r>
          </w:p>
        </w:tc>
        <w:tc>
          <w:tcPr>
            <w:tcW w:w="1160" w:type="dxa"/>
            <w:vAlign w:val="bottom"/>
          </w:tcPr>
          <w:p>
            <w:pPr>
              <w:jc w:val="right"/>
              <w:spacing w:after="0"/>
              <w:rPr>
                <w:sz w:val="20"/>
                <w:szCs w:val="20"/>
                <w:color w:val="auto"/>
              </w:rPr>
            </w:pPr>
            <w:r>
              <w:rPr>
                <w:rFonts w:ascii="Arial" w:cs="Arial" w:eastAsia="Arial" w:hAnsi="Arial"/>
                <w:sz w:val="18"/>
                <w:szCs w:val="18"/>
                <w:color w:val="auto"/>
              </w:rPr>
              <w:t>7,928</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Income</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3,087</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2,827</w:t>
            </w:r>
          </w:p>
        </w:tc>
        <w:tc>
          <w:tcPr>
            <w:tcW w:w="1160" w:type="dxa"/>
            <w:vAlign w:val="bottom"/>
          </w:tcPr>
          <w:p>
            <w:pPr>
              <w:jc w:val="right"/>
              <w:spacing w:after="0"/>
              <w:rPr>
                <w:sz w:val="20"/>
                <w:szCs w:val="20"/>
                <w:color w:val="auto"/>
              </w:rPr>
            </w:pPr>
            <w:r>
              <w:rPr>
                <w:rFonts w:ascii="Arial" w:cs="Arial" w:eastAsia="Arial" w:hAnsi="Arial"/>
                <w:sz w:val="18"/>
                <w:szCs w:val="18"/>
                <w:color w:val="auto"/>
              </w:rPr>
              <w:t>4,006</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10,927</w:t>
            </w:r>
          </w:p>
        </w:tc>
        <w:tc>
          <w:tcPr>
            <w:tcW w:w="1160" w:type="dxa"/>
            <w:vAlign w:val="bottom"/>
          </w:tcPr>
          <w:p>
            <w:pPr>
              <w:jc w:val="right"/>
              <w:spacing w:after="0"/>
              <w:rPr>
                <w:sz w:val="20"/>
                <w:szCs w:val="20"/>
                <w:color w:val="auto"/>
              </w:rPr>
            </w:pPr>
            <w:r>
              <w:rPr>
                <w:rFonts w:ascii="Arial" w:cs="Arial" w:eastAsia="Arial" w:hAnsi="Arial"/>
                <w:sz w:val="18"/>
                <w:szCs w:val="18"/>
                <w:color w:val="auto"/>
              </w:rPr>
              <w:t>19,147</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Income per share (US$)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0.08</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0.05</w:t>
            </w:r>
          </w:p>
        </w:tc>
        <w:tc>
          <w:tcPr>
            <w:tcW w:w="1160" w:type="dxa"/>
            <w:vAlign w:val="bottom"/>
          </w:tcPr>
          <w:p>
            <w:pPr>
              <w:jc w:val="right"/>
              <w:spacing w:after="0"/>
              <w:rPr>
                <w:sz w:val="20"/>
                <w:szCs w:val="20"/>
                <w:color w:val="auto"/>
              </w:rPr>
            </w:pPr>
            <w:r>
              <w:rPr>
                <w:rFonts w:ascii="Arial" w:cs="Arial" w:eastAsia="Arial" w:hAnsi="Arial"/>
                <w:sz w:val="18"/>
                <w:szCs w:val="18"/>
                <w:color w:val="auto"/>
              </w:rPr>
              <w:t>0.07</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0.27</w:t>
            </w:r>
          </w:p>
        </w:tc>
        <w:tc>
          <w:tcPr>
            <w:tcW w:w="1160" w:type="dxa"/>
            <w:vAlign w:val="bottom"/>
          </w:tcPr>
          <w:p>
            <w:pPr>
              <w:jc w:val="right"/>
              <w:spacing w:after="0"/>
              <w:rPr>
                <w:sz w:val="20"/>
                <w:szCs w:val="20"/>
                <w:color w:val="auto"/>
              </w:rPr>
            </w:pPr>
            <w:r>
              <w:rPr>
                <w:rFonts w:ascii="Arial" w:cs="Arial" w:eastAsia="Arial" w:hAnsi="Arial"/>
                <w:sz w:val="18"/>
                <w:szCs w:val="18"/>
                <w:color w:val="auto"/>
              </w:rPr>
              <w:t>0.32</w:t>
            </w:r>
          </w:p>
        </w:tc>
      </w:tr>
      <w:tr>
        <w:trPr>
          <w:trHeight w:val="486"/>
        </w:trPr>
        <w:tc>
          <w:tcPr>
            <w:tcW w:w="4500" w:type="dxa"/>
            <w:vAlign w:val="bottom"/>
          </w:tcPr>
          <w:p>
            <w:pPr>
              <w:spacing w:after="0"/>
              <w:rPr>
                <w:sz w:val="20"/>
                <w:szCs w:val="20"/>
                <w:color w:val="auto"/>
              </w:rPr>
            </w:pPr>
            <w:r>
              <w:rPr>
                <w:rFonts w:ascii="Arial" w:cs="Arial" w:eastAsia="Arial" w:hAnsi="Arial"/>
                <w:sz w:val="18"/>
                <w:szCs w:val="18"/>
                <w:color w:val="auto"/>
              </w:rPr>
              <w:t>Balance Sheets (end of period)</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Total Assets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776,323</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871,734</w:t>
            </w:r>
          </w:p>
        </w:tc>
        <w:tc>
          <w:tcPr>
            <w:tcW w:w="1160" w:type="dxa"/>
            <w:vAlign w:val="bottom"/>
          </w:tcPr>
          <w:p>
            <w:pPr>
              <w:jc w:val="right"/>
              <w:spacing w:after="0"/>
              <w:rPr>
                <w:sz w:val="20"/>
                <w:szCs w:val="20"/>
                <w:color w:val="auto"/>
              </w:rPr>
            </w:pPr>
            <w:r>
              <w:rPr>
                <w:rFonts w:ascii="Arial" w:cs="Arial" w:eastAsia="Arial" w:hAnsi="Arial"/>
                <w:sz w:val="18"/>
                <w:szCs w:val="18"/>
                <w:color w:val="auto"/>
              </w:rPr>
              <w:t>880,264</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776,323</w:t>
            </w:r>
          </w:p>
        </w:tc>
        <w:tc>
          <w:tcPr>
            <w:tcW w:w="1160" w:type="dxa"/>
            <w:vAlign w:val="bottom"/>
          </w:tcPr>
          <w:p>
            <w:pPr>
              <w:jc w:val="right"/>
              <w:spacing w:after="0"/>
              <w:rPr>
                <w:sz w:val="20"/>
                <w:szCs w:val="20"/>
                <w:color w:val="auto"/>
              </w:rPr>
            </w:pPr>
            <w:r>
              <w:rPr>
                <w:rFonts w:ascii="Arial" w:cs="Arial" w:eastAsia="Arial" w:hAnsi="Arial"/>
                <w:sz w:val="18"/>
                <w:szCs w:val="18"/>
                <w:color w:val="auto"/>
              </w:rPr>
              <w:t>880,264</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Loan portfolio, net</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152,188</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154,518</w:t>
            </w:r>
          </w:p>
        </w:tc>
        <w:tc>
          <w:tcPr>
            <w:tcW w:w="1160" w:type="dxa"/>
            <w:vAlign w:val="bottom"/>
          </w:tcPr>
          <w:p>
            <w:pPr>
              <w:jc w:val="right"/>
              <w:spacing w:after="0"/>
              <w:rPr>
                <w:sz w:val="20"/>
                <w:szCs w:val="20"/>
                <w:color w:val="auto"/>
              </w:rPr>
            </w:pPr>
            <w:r>
              <w:rPr>
                <w:rFonts w:ascii="Arial" w:cs="Arial" w:eastAsia="Arial" w:hAnsi="Arial"/>
                <w:sz w:val="18"/>
                <w:szCs w:val="18"/>
                <w:color w:val="auto"/>
              </w:rPr>
              <w:t>149,108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152,188</w:t>
            </w:r>
          </w:p>
        </w:tc>
        <w:tc>
          <w:tcPr>
            <w:tcW w:w="1160" w:type="dxa"/>
            <w:vAlign w:val="bottom"/>
          </w:tcPr>
          <w:p>
            <w:pPr>
              <w:jc w:val="right"/>
              <w:spacing w:after="0"/>
              <w:rPr>
                <w:sz w:val="20"/>
                <w:szCs w:val="20"/>
                <w:color w:val="auto"/>
              </w:rPr>
            </w:pPr>
            <w:r>
              <w:rPr>
                <w:rFonts w:ascii="Arial" w:cs="Arial" w:eastAsia="Arial" w:hAnsi="Arial"/>
                <w:sz w:val="18"/>
                <w:szCs w:val="18"/>
                <w:color w:val="auto"/>
              </w:rPr>
              <w:t>149,108</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Marketable securities and investments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430,137</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500,498</w:t>
            </w:r>
          </w:p>
        </w:tc>
        <w:tc>
          <w:tcPr>
            <w:tcW w:w="1160" w:type="dxa"/>
            <w:vAlign w:val="bottom"/>
          </w:tcPr>
          <w:p>
            <w:pPr>
              <w:jc w:val="right"/>
              <w:spacing w:after="0"/>
              <w:rPr>
                <w:sz w:val="20"/>
                <w:szCs w:val="20"/>
                <w:color w:val="auto"/>
              </w:rPr>
            </w:pPr>
            <w:r>
              <w:rPr>
                <w:rFonts w:ascii="Arial" w:cs="Arial" w:eastAsia="Arial" w:hAnsi="Arial"/>
                <w:sz w:val="18"/>
                <w:szCs w:val="18"/>
                <w:color w:val="auto"/>
              </w:rPr>
              <w:t>518,721</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430,137</w:t>
            </w:r>
          </w:p>
        </w:tc>
        <w:tc>
          <w:tcPr>
            <w:tcW w:w="1160" w:type="dxa"/>
            <w:vAlign w:val="bottom"/>
          </w:tcPr>
          <w:p>
            <w:pPr>
              <w:jc w:val="right"/>
              <w:spacing w:after="0"/>
              <w:rPr>
                <w:sz w:val="20"/>
                <w:szCs w:val="20"/>
                <w:color w:val="auto"/>
              </w:rPr>
            </w:pPr>
            <w:r>
              <w:rPr>
                <w:rFonts w:ascii="Arial" w:cs="Arial" w:eastAsia="Arial" w:hAnsi="Arial"/>
                <w:sz w:val="18"/>
                <w:szCs w:val="18"/>
                <w:color w:val="auto"/>
              </w:rPr>
              <w:t>518,721</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Total Deposits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629,354</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688,718</w:t>
            </w:r>
          </w:p>
        </w:tc>
        <w:tc>
          <w:tcPr>
            <w:tcW w:w="1160" w:type="dxa"/>
            <w:vAlign w:val="bottom"/>
          </w:tcPr>
          <w:p>
            <w:pPr>
              <w:jc w:val="right"/>
              <w:spacing w:after="0"/>
              <w:rPr>
                <w:sz w:val="20"/>
                <w:szCs w:val="20"/>
                <w:color w:val="auto"/>
              </w:rPr>
            </w:pPr>
            <w:r>
              <w:rPr>
                <w:rFonts w:ascii="Arial" w:cs="Arial" w:eastAsia="Arial" w:hAnsi="Arial"/>
                <w:sz w:val="18"/>
                <w:szCs w:val="18"/>
                <w:color w:val="auto"/>
              </w:rPr>
              <w:t>686,058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629,354</w:t>
            </w:r>
          </w:p>
        </w:tc>
        <w:tc>
          <w:tcPr>
            <w:tcW w:w="1160" w:type="dxa"/>
            <w:vAlign w:val="bottom"/>
          </w:tcPr>
          <w:p>
            <w:pPr>
              <w:jc w:val="right"/>
              <w:spacing w:after="0"/>
              <w:rPr>
                <w:sz w:val="20"/>
                <w:szCs w:val="20"/>
                <w:color w:val="auto"/>
              </w:rPr>
            </w:pPr>
            <w:r>
              <w:rPr>
                <w:rFonts w:ascii="Arial" w:cs="Arial" w:eastAsia="Arial" w:hAnsi="Arial"/>
                <w:sz w:val="18"/>
                <w:szCs w:val="18"/>
                <w:color w:val="auto"/>
              </w:rPr>
              <w:t>686,058</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Shareholders' equity</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112,870</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146,512</w:t>
            </w:r>
          </w:p>
        </w:tc>
        <w:tc>
          <w:tcPr>
            <w:tcW w:w="1160" w:type="dxa"/>
            <w:vAlign w:val="bottom"/>
          </w:tcPr>
          <w:p>
            <w:pPr>
              <w:jc w:val="right"/>
              <w:spacing w:after="0"/>
              <w:rPr>
                <w:sz w:val="20"/>
                <w:szCs w:val="20"/>
                <w:color w:val="auto"/>
              </w:rPr>
            </w:pPr>
            <w:r>
              <w:rPr>
                <w:rFonts w:ascii="Arial" w:cs="Arial" w:eastAsia="Arial" w:hAnsi="Arial"/>
                <w:sz w:val="18"/>
                <w:szCs w:val="18"/>
                <w:color w:val="auto"/>
              </w:rPr>
              <w:t>150,967</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112,870</w:t>
            </w:r>
          </w:p>
        </w:tc>
        <w:tc>
          <w:tcPr>
            <w:tcW w:w="1160" w:type="dxa"/>
            <w:vAlign w:val="bottom"/>
          </w:tcPr>
          <w:p>
            <w:pPr>
              <w:jc w:val="right"/>
              <w:spacing w:after="0"/>
              <w:rPr>
                <w:sz w:val="20"/>
                <w:szCs w:val="20"/>
                <w:color w:val="auto"/>
              </w:rPr>
            </w:pPr>
            <w:r>
              <w:rPr>
                <w:rFonts w:ascii="Arial" w:cs="Arial" w:eastAsia="Arial" w:hAnsi="Arial"/>
                <w:sz w:val="18"/>
                <w:szCs w:val="18"/>
                <w:color w:val="auto"/>
              </w:rPr>
              <w:t>150,967</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Funds under administration (2)</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650,725</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708,752</w:t>
            </w:r>
          </w:p>
        </w:tc>
        <w:tc>
          <w:tcPr>
            <w:tcW w:w="1160" w:type="dxa"/>
            <w:vAlign w:val="bottom"/>
          </w:tcPr>
          <w:p>
            <w:pPr>
              <w:jc w:val="right"/>
              <w:spacing w:after="0"/>
              <w:rPr>
                <w:sz w:val="20"/>
                <w:szCs w:val="20"/>
                <w:color w:val="auto"/>
              </w:rPr>
            </w:pPr>
            <w:r>
              <w:rPr>
                <w:rFonts w:ascii="Arial" w:cs="Arial" w:eastAsia="Arial" w:hAnsi="Arial"/>
                <w:sz w:val="18"/>
                <w:szCs w:val="18"/>
                <w:color w:val="auto"/>
              </w:rPr>
              <w:t>746,632</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650,725</w:t>
            </w:r>
          </w:p>
        </w:tc>
        <w:tc>
          <w:tcPr>
            <w:tcW w:w="1160" w:type="dxa"/>
            <w:vAlign w:val="bottom"/>
          </w:tcPr>
          <w:p>
            <w:pPr>
              <w:jc w:val="right"/>
              <w:spacing w:after="0"/>
              <w:rPr>
                <w:sz w:val="20"/>
                <w:szCs w:val="20"/>
                <w:color w:val="auto"/>
              </w:rPr>
            </w:pPr>
            <w:r>
              <w:rPr>
                <w:rFonts w:ascii="Arial" w:cs="Arial" w:eastAsia="Arial" w:hAnsi="Arial"/>
                <w:sz w:val="18"/>
                <w:szCs w:val="18"/>
                <w:color w:val="auto"/>
              </w:rPr>
              <w:t>746,632</w:t>
            </w:r>
          </w:p>
        </w:tc>
      </w:tr>
      <w:tr>
        <w:trPr>
          <w:trHeight w:val="486"/>
        </w:trPr>
        <w:tc>
          <w:tcPr>
            <w:tcW w:w="4500" w:type="dxa"/>
            <w:vAlign w:val="bottom"/>
          </w:tcPr>
          <w:p>
            <w:pPr>
              <w:spacing w:after="0"/>
              <w:rPr>
                <w:sz w:val="20"/>
                <w:szCs w:val="20"/>
                <w:color w:val="auto"/>
              </w:rPr>
            </w:pPr>
            <w:r>
              <w:rPr>
                <w:rFonts w:ascii="Arial" w:cs="Arial" w:eastAsia="Arial" w:hAnsi="Arial"/>
                <w:sz w:val="18"/>
                <w:szCs w:val="18"/>
                <w:color w:val="auto"/>
              </w:rPr>
              <w:t>Ratios (3)</w:t>
            </w:r>
          </w:p>
        </w:tc>
        <w:tc>
          <w:tcPr>
            <w:tcW w:w="15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Net interest margin / interest earning assets (4,5,6)</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2.0%</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1.9%</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2.3%</w:t>
            </w: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Return on average stockholders' equity(5)</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10.2%</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7.9%</w:t>
            </w:r>
          </w:p>
        </w:tc>
        <w:tc>
          <w:tcPr>
            <w:tcW w:w="1160" w:type="dxa"/>
            <w:vAlign w:val="bottom"/>
          </w:tcPr>
          <w:p>
            <w:pPr>
              <w:jc w:val="right"/>
              <w:spacing w:after="0"/>
              <w:rPr>
                <w:sz w:val="20"/>
                <w:szCs w:val="20"/>
                <w:color w:val="auto"/>
              </w:rPr>
            </w:pPr>
            <w:r>
              <w:rPr>
                <w:rFonts w:ascii="Arial" w:cs="Arial" w:eastAsia="Arial" w:hAnsi="Arial"/>
                <w:sz w:val="18"/>
                <w:szCs w:val="18"/>
                <w:color w:val="auto"/>
              </w:rPr>
              <w:t>10.8%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9.8%</w:t>
            </w:r>
          </w:p>
        </w:tc>
        <w:tc>
          <w:tcPr>
            <w:tcW w:w="116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Return on average total assets(5)</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1.6%</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1.3%</w:t>
            </w:r>
          </w:p>
        </w:tc>
        <w:tc>
          <w:tcPr>
            <w:tcW w:w="1160" w:type="dxa"/>
            <w:vAlign w:val="bottom"/>
          </w:tcPr>
          <w:p>
            <w:pPr>
              <w:jc w:val="right"/>
              <w:spacing w:after="0"/>
              <w:rPr>
                <w:sz w:val="20"/>
                <w:szCs w:val="20"/>
                <w:color w:val="auto"/>
              </w:rPr>
            </w:pPr>
            <w:r>
              <w:rPr>
                <w:rFonts w:ascii="Arial" w:cs="Arial" w:eastAsia="Arial" w:hAnsi="Arial"/>
                <w:sz w:val="18"/>
                <w:szCs w:val="18"/>
                <w:color w:val="auto"/>
              </w:rPr>
              <w:t>1.8%</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1.5%</w:t>
            </w:r>
          </w:p>
        </w:tc>
        <w:tc>
          <w:tcPr>
            <w:tcW w:w="116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Past due loans as a percentage of total loans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2.4%</w:t>
            </w:r>
          </w:p>
        </w:tc>
        <w:tc>
          <w:tcPr>
            <w:tcW w:w="1160" w:type="dxa"/>
            <w:vAlign w:val="bottom"/>
          </w:tcPr>
          <w:p>
            <w:pPr>
              <w:jc w:val="right"/>
              <w:spacing w:after="0"/>
              <w:rPr>
                <w:sz w:val="20"/>
                <w:szCs w:val="20"/>
                <w:color w:val="auto"/>
              </w:rPr>
            </w:pPr>
            <w:r>
              <w:rPr>
                <w:rFonts w:ascii="Arial" w:cs="Arial" w:eastAsia="Arial" w:hAnsi="Arial"/>
                <w:sz w:val="18"/>
                <w:szCs w:val="18"/>
                <w:color w:val="auto"/>
              </w:rPr>
              <w:t>0.2%</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Reserves for loan losses as a percentage</w:t>
            </w:r>
          </w:p>
        </w:tc>
        <w:tc>
          <w:tcPr>
            <w:tcW w:w="1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of total loans</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3.2%</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3.4%</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3.2%</w:t>
            </w:r>
          </w:p>
        </w:tc>
        <w:tc>
          <w:tcPr>
            <w:tcW w:w="116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Operating expense / total</w:t>
            </w:r>
          </w:p>
        </w:tc>
        <w:tc>
          <w:tcPr>
            <w:tcW w:w="1560" w:type="dxa"/>
            <w:vAlign w:val="bottom"/>
          </w:tcPr>
          <w:p>
            <w:pPr>
              <w:jc w:val="right"/>
              <w:ind w:right="152"/>
              <w:spacing w:after="0"/>
              <w:rPr>
                <w:sz w:val="20"/>
                <w:szCs w:val="20"/>
                <w:color w:val="auto"/>
              </w:rPr>
            </w:pPr>
            <w:r>
              <w:rPr>
                <w:rFonts w:ascii="Arial" w:cs="Arial" w:eastAsia="Arial" w:hAnsi="Arial"/>
                <w:sz w:val="18"/>
                <w:szCs w:val="18"/>
                <w:color w:val="auto"/>
              </w:rPr>
              <w:t>28.5%</w:t>
            </w:r>
          </w:p>
        </w:tc>
        <w:tc>
          <w:tcPr>
            <w:tcW w:w="1380" w:type="dxa"/>
            <w:vAlign w:val="bottom"/>
          </w:tcPr>
          <w:p>
            <w:pPr>
              <w:jc w:val="right"/>
              <w:ind w:right="152"/>
              <w:spacing w:after="0"/>
              <w:rPr>
                <w:sz w:val="20"/>
                <w:szCs w:val="20"/>
                <w:color w:val="auto"/>
              </w:rPr>
            </w:pPr>
            <w:r>
              <w:rPr>
                <w:rFonts w:ascii="Arial" w:cs="Arial" w:eastAsia="Arial" w:hAnsi="Arial"/>
                <w:sz w:val="18"/>
                <w:szCs w:val="18"/>
                <w:color w:val="auto"/>
              </w:rPr>
              <w:t>40.3%</w:t>
            </w:r>
          </w:p>
        </w:tc>
        <w:tc>
          <w:tcPr>
            <w:tcW w:w="1160" w:type="dxa"/>
            <w:vAlign w:val="bottom"/>
          </w:tcPr>
          <w:p>
            <w:pPr>
              <w:jc w:val="right"/>
              <w:spacing w:after="0"/>
              <w:rPr>
                <w:sz w:val="20"/>
                <w:szCs w:val="20"/>
                <w:color w:val="auto"/>
              </w:rPr>
            </w:pPr>
            <w:r>
              <w:rPr>
                <w:rFonts w:ascii="Arial" w:cs="Arial" w:eastAsia="Arial" w:hAnsi="Arial"/>
                <w:sz w:val="18"/>
                <w:szCs w:val="18"/>
                <w:color w:val="auto"/>
              </w:rPr>
              <w:t>36.4%</w:t>
            </w:r>
          </w:p>
        </w:tc>
        <w:tc>
          <w:tcPr>
            <w:tcW w:w="1560" w:type="dxa"/>
            <w:vAlign w:val="bottom"/>
            <w:gridSpan w:val="2"/>
          </w:tcPr>
          <w:p>
            <w:pPr>
              <w:jc w:val="right"/>
              <w:ind w:right="152"/>
              <w:spacing w:after="0"/>
              <w:rPr>
                <w:sz w:val="20"/>
                <w:szCs w:val="20"/>
                <w:color w:val="auto"/>
              </w:rPr>
            </w:pPr>
            <w:r>
              <w:rPr>
                <w:rFonts w:ascii="Arial" w:cs="Arial" w:eastAsia="Arial" w:hAnsi="Arial"/>
                <w:sz w:val="18"/>
                <w:szCs w:val="18"/>
                <w:color w:val="auto"/>
              </w:rPr>
              <w:t>22.5%</w:t>
            </w:r>
          </w:p>
        </w:tc>
        <w:tc>
          <w:tcPr>
            <w:tcW w:w="1160" w:type="dxa"/>
            <w:vAlign w:val="bottom"/>
          </w:tcPr>
          <w:p>
            <w:pPr>
              <w:jc w:val="right"/>
              <w:spacing w:after="0"/>
              <w:rPr>
                <w:sz w:val="20"/>
                <w:szCs w:val="20"/>
                <w:color w:val="auto"/>
              </w:rPr>
            </w:pPr>
            <w:r>
              <w:rPr>
                <w:rFonts w:ascii="Arial" w:cs="Arial" w:eastAsia="Arial" w:hAnsi="Arial"/>
                <w:sz w:val="18"/>
                <w:szCs w:val="18"/>
                <w:color w:val="auto"/>
              </w:rPr>
              <w:t>27.6%</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Operating expense / average total assets(5)</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1.0%</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0.9%</w:t>
            </w:r>
          </w:p>
        </w:tc>
        <w:tc>
          <w:tcPr>
            <w:tcW w:w="1160" w:type="dxa"/>
            <w:vAlign w:val="bottom"/>
          </w:tcPr>
          <w:p>
            <w:pPr>
              <w:jc w:val="right"/>
              <w:spacing w:after="0"/>
              <w:rPr>
                <w:sz w:val="20"/>
                <w:szCs w:val="20"/>
                <w:color w:val="auto"/>
              </w:rPr>
            </w:pPr>
            <w:r>
              <w:rPr>
                <w:rFonts w:ascii="Arial" w:cs="Arial" w:eastAsia="Arial" w:hAnsi="Arial"/>
                <w:sz w:val="18"/>
                <w:szCs w:val="18"/>
                <w:color w:val="auto"/>
              </w:rPr>
              <w:t>1.1%</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0.9%</w:t>
            </w:r>
          </w:p>
        </w:tc>
        <w:tc>
          <w:tcPr>
            <w:tcW w:w="1160" w:type="dxa"/>
            <w:vAlign w:val="bottom"/>
          </w:tcPr>
          <w:p>
            <w:pPr>
              <w:jc w:val="right"/>
              <w:spacing w:after="0"/>
              <w:rPr>
                <w:sz w:val="20"/>
                <w:szCs w:val="20"/>
                <w:color w:val="auto"/>
              </w:rPr>
            </w:pPr>
            <w:r>
              <w:rPr>
                <w:rFonts w:ascii="Arial" w:cs="Arial" w:eastAsia="Arial" w:hAnsi="Arial"/>
                <w:sz w:val="18"/>
                <w:szCs w:val="18"/>
                <w:color w:val="auto"/>
              </w:rPr>
              <w:t>1.0%</w:t>
            </w: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Operating expense / average total assets +</w:t>
            </w:r>
          </w:p>
        </w:tc>
        <w:tc>
          <w:tcPr>
            <w:tcW w:w="1560" w:type="dxa"/>
            <w:vAlign w:val="bottom"/>
          </w:tcPr>
          <w:p>
            <w:pPr>
              <w:spacing w:after="0"/>
              <w:rPr>
                <w:sz w:val="21"/>
                <w:szCs w:val="21"/>
                <w:color w:val="auto"/>
              </w:rPr>
            </w:pPr>
          </w:p>
        </w:tc>
        <w:tc>
          <w:tcPr>
            <w:tcW w:w="13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540" w:type="dxa"/>
            <w:vAlign w:val="bottom"/>
          </w:tcPr>
          <w:p>
            <w:pPr>
              <w:spacing w:after="0"/>
              <w:rPr>
                <w:sz w:val="21"/>
                <w:szCs w:val="21"/>
                <w:color w:val="auto"/>
              </w:rPr>
            </w:pPr>
          </w:p>
        </w:tc>
        <w:tc>
          <w:tcPr>
            <w:tcW w:w="1160" w:type="dxa"/>
            <w:vAlign w:val="bottom"/>
          </w:tcPr>
          <w:p>
            <w:pPr>
              <w:spacing w:after="0"/>
              <w:rPr>
                <w:sz w:val="21"/>
                <w:szCs w:val="21"/>
                <w:color w:val="auto"/>
              </w:rPr>
            </w:pPr>
          </w:p>
        </w:tc>
      </w:tr>
      <w:tr>
        <w:trPr>
          <w:trHeight w:val="243"/>
        </w:trPr>
        <w:tc>
          <w:tcPr>
            <w:tcW w:w="4500" w:type="dxa"/>
            <w:vAlign w:val="bottom"/>
          </w:tcPr>
          <w:p>
            <w:pPr>
              <w:spacing w:after="0"/>
              <w:rPr>
                <w:sz w:val="20"/>
                <w:szCs w:val="20"/>
                <w:color w:val="auto"/>
              </w:rPr>
            </w:pPr>
            <w:r>
              <w:rPr>
                <w:rFonts w:ascii="Arial" w:cs="Arial" w:eastAsia="Arial" w:hAnsi="Arial"/>
                <w:sz w:val="18"/>
                <w:szCs w:val="18"/>
                <w:color w:val="auto"/>
              </w:rPr>
              <w:t>funds under management(5)</w:t>
            </w:r>
          </w:p>
        </w:tc>
        <w:tc>
          <w:tcPr>
            <w:tcW w:w="1560" w:type="dxa"/>
            <w:vAlign w:val="bottom"/>
          </w:tcPr>
          <w:p>
            <w:pPr>
              <w:jc w:val="right"/>
              <w:ind w:right="112"/>
              <w:spacing w:after="0"/>
              <w:rPr>
                <w:sz w:val="20"/>
                <w:szCs w:val="20"/>
                <w:color w:val="auto"/>
              </w:rPr>
            </w:pPr>
            <w:r>
              <w:rPr>
                <w:rFonts w:ascii="Arial" w:cs="Arial" w:eastAsia="Arial" w:hAnsi="Arial"/>
                <w:sz w:val="18"/>
                <w:szCs w:val="18"/>
                <w:color w:val="auto"/>
              </w:rPr>
              <w:t>0.6%</w:t>
            </w:r>
          </w:p>
        </w:tc>
        <w:tc>
          <w:tcPr>
            <w:tcW w:w="1380" w:type="dxa"/>
            <w:vAlign w:val="bottom"/>
          </w:tcPr>
          <w:p>
            <w:pPr>
              <w:jc w:val="right"/>
              <w:ind w:right="112"/>
              <w:spacing w:after="0"/>
              <w:rPr>
                <w:sz w:val="20"/>
                <w:szCs w:val="20"/>
                <w:color w:val="auto"/>
              </w:rPr>
            </w:pPr>
            <w:r>
              <w:rPr>
                <w:rFonts w:ascii="Arial" w:cs="Arial" w:eastAsia="Arial" w:hAnsi="Arial"/>
                <w:sz w:val="18"/>
                <w:szCs w:val="18"/>
                <w:color w:val="auto"/>
              </w:rPr>
              <w:t>0.5%</w:t>
            </w:r>
          </w:p>
        </w:tc>
        <w:tc>
          <w:tcPr>
            <w:tcW w:w="1160" w:type="dxa"/>
            <w:vAlign w:val="bottom"/>
          </w:tcPr>
          <w:p>
            <w:pPr>
              <w:jc w:val="right"/>
              <w:spacing w:after="0"/>
              <w:rPr>
                <w:sz w:val="20"/>
                <w:szCs w:val="20"/>
                <w:color w:val="auto"/>
              </w:rPr>
            </w:pPr>
            <w:r>
              <w:rPr>
                <w:rFonts w:ascii="Arial" w:cs="Arial" w:eastAsia="Arial" w:hAnsi="Arial"/>
                <w:sz w:val="18"/>
                <w:szCs w:val="18"/>
                <w:color w:val="auto"/>
              </w:rPr>
              <w:t>0.6%</w:t>
            </w:r>
          </w:p>
        </w:tc>
        <w:tc>
          <w:tcPr>
            <w:tcW w:w="1560" w:type="dxa"/>
            <w:vAlign w:val="bottom"/>
            <w:gridSpan w:val="2"/>
          </w:tcPr>
          <w:p>
            <w:pPr>
              <w:jc w:val="right"/>
              <w:ind w:right="112"/>
              <w:spacing w:after="0"/>
              <w:rPr>
                <w:sz w:val="20"/>
                <w:szCs w:val="20"/>
                <w:color w:val="auto"/>
              </w:rPr>
            </w:pPr>
            <w:r>
              <w:rPr>
                <w:rFonts w:ascii="Arial" w:cs="Arial" w:eastAsia="Arial" w:hAnsi="Arial"/>
                <w:sz w:val="18"/>
                <w:szCs w:val="18"/>
                <w:color w:val="auto"/>
              </w:rPr>
              <w:t>0.5%</w:t>
            </w:r>
          </w:p>
        </w:tc>
        <w:tc>
          <w:tcPr>
            <w:tcW w:w="1160" w:type="dxa"/>
            <w:vAlign w:val="bottom"/>
          </w:tcPr>
          <w:p>
            <w:pPr>
              <w:jc w:val="right"/>
              <w:spacing w:after="0"/>
              <w:rPr>
                <w:sz w:val="20"/>
                <w:szCs w:val="20"/>
                <w:color w:val="auto"/>
              </w:rPr>
            </w:pPr>
            <w:r>
              <w:rPr>
                <w:rFonts w:ascii="Arial" w:cs="Arial" w:eastAsia="Arial" w:hAnsi="Arial"/>
                <w:sz w:val="18"/>
                <w:szCs w:val="18"/>
                <w:color w:val="auto"/>
              </w:rPr>
              <w:t>0.5%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 Includes realized gains in securities.</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(2)Prior period figures have been revised to reflect funds currently booked by Credicorp Securities, which were previously registered by ASHC.</w:t>
      </w:r>
    </w:p>
    <w:p>
      <w:pPr>
        <w:spacing w:after="0" w:line="9" w:lineRule="exact"/>
        <w:rPr>
          <w:sz w:val="20"/>
          <w:szCs w:val="20"/>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Averages are determined as the average of period-beginning and period-ending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Averages determined from monthly balances.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Annualized.</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Without considering dividend income and dividend earning assets.</w:t>
      </w:r>
    </w:p>
    <w:p>
      <w:pPr>
        <w:spacing w:after="0" w:line="9"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Without considering provisions for investments.</w:t>
      </w:r>
    </w:p>
    <w:p>
      <w:pPr>
        <w:sectPr>
          <w:pgSz w:w="11900" w:h="16838" w:orient="portrait"/>
          <w:cols w:equalWidth="0" w:num="1">
            <w:col w:w="11360"/>
          </w:cols>
          <w:pgMar w:left="240" w:top="131" w:right="299" w:bottom="1440" w:gutter="0" w:footer="0" w:header="0"/>
        </w:sectPr>
      </w:pPr>
    </w:p>
    <w:bookmarkStart w:id="22" w:name="page23"/>
    <w:bookmarkEnd w:id="22"/>
    <w:p>
      <w:pPr>
        <w:jc w:val="center"/>
        <w:ind w:right="-19"/>
        <w:spacing w:after="0"/>
        <w:rPr>
          <w:sz w:val="20"/>
          <w:szCs w:val="20"/>
          <w:color w:val="auto"/>
        </w:rPr>
      </w:pPr>
      <w:r>
        <w:rPr>
          <w:rFonts w:ascii="Arial" w:cs="Arial" w:eastAsia="Arial" w:hAnsi="Arial"/>
          <w:sz w:val="18"/>
          <w:szCs w:val="18"/>
          <w:color w:val="auto"/>
        </w:rPr>
        <w:t>EL PACIFICO-PERUANO SUIZA AND SUBSIDIARIES</w:t>
      </w:r>
    </w:p>
    <w:p>
      <w:pPr>
        <w:spacing w:after="0" w:line="15"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Table 8</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SELECTED FINANCIAL DATA</w:t>
      </w:r>
    </w:p>
    <w:p>
      <w:pPr>
        <w:spacing w:after="0" w:line="9" w:lineRule="exact"/>
        <w:rPr>
          <w:sz w:val="20"/>
          <w:szCs w:val="20"/>
          <w:color w:val="auto"/>
        </w:rPr>
      </w:pPr>
    </w:p>
    <w:p>
      <w:pPr>
        <w:ind w:left="3800"/>
        <w:spacing w:after="0"/>
        <w:rPr>
          <w:sz w:val="20"/>
          <w:szCs w:val="20"/>
          <w:color w:val="auto"/>
        </w:rPr>
      </w:pPr>
      <w:r>
        <w:rPr>
          <w:rFonts w:ascii="Arial" w:cs="Arial" w:eastAsia="Arial" w:hAnsi="Arial"/>
          <w:sz w:val="18"/>
          <w:szCs w:val="18"/>
          <w:color w:val="auto"/>
        </w:rPr>
        <w:t>(Constant Nuevos Soles as of December 31, 2004, and</w:t>
      </w:r>
    </w:p>
    <w:p>
      <w:pPr>
        <w:spacing w:after="0" w:line="9" w:lineRule="exact"/>
        <w:rPr>
          <w:sz w:val="20"/>
          <w:szCs w:val="20"/>
          <w:color w:val="auto"/>
        </w:rPr>
      </w:pPr>
    </w:p>
    <w:p>
      <w:pPr>
        <w:ind w:left="3760"/>
        <w:spacing w:after="0"/>
        <w:rPr>
          <w:sz w:val="20"/>
          <w:szCs w:val="20"/>
          <w:color w:val="auto"/>
        </w:rPr>
      </w:pPr>
      <w:r>
        <w:rPr>
          <w:rFonts w:ascii="Arial" w:cs="Arial" w:eastAsia="Arial" w:hAnsi="Arial"/>
          <w:sz w:val="18"/>
          <w:szCs w:val="18"/>
          <w:color w:val="auto"/>
        </w:rPr>
        <w:t>U.S. Dollars in thousands, except net income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229870</wp:posOffset>
            </wp:positionV>
            <wp:extent cx="719518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95185" cy="8890"/>
                    </a:xfrm>
                    <a:prstGeom prst="rect">
                      <a:avLst/>
                    </a:prstGeom>
                    <a:noFill/>
                  </pic:spPr>
                </pic:pic>
              </a:graphicData>
            </a:graphic>
          </wp:anchor>
        </w:drawing>
      </w:r>
    </w:p>
    <w:p>
      <w:pPr>
        <w:spacing w:after="0" w:line="200" w:lineRule="exact"/>
        <w:rPr>
          <w:sz w:val="20"/>
          <w:szCs w:val="20"/>
          <w:color w:val="auto"/>
        </w:rPr>
      </w:pPr>
    </w:p>
    <w:p>
      <w:pPr>
        <w:spacing w:after="0" w:line="282" w:lineRule="exact"/>
        <w:rPr>
          <w:sz w:val="20"/>
          <w:szCs w:val="20"/>
          <w:color w:val="auto"/>
        </w:rPr>
      </w:pPr>
    </w:p>
    <w:tbl>
      <w:tblPr>
        <w:tblLayout w:type="fixed"/>
        <w:tblInd w:w="40" w:type="dxa"/>
        <w:tblCellMar>
          <w:top w:w="0" w:type="dxa"/>
          <w:left w:w="0" w:type="dxa"/>
          <w:bottom w:w="0" w:type="dxa"/>
          <w:right w:w="0" w:type="dxa"/>
        </w:tblCellMar>
      </w:tblPr>
      <w:tr>
        <w:trPr>
          <w:trHeight w:val="216"/>
        </w:trPr>
        <w:tc>
          <w:tcPr>
            <w:tcW w:w="33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2360" w:type="dxa"/>
            <w:vAlign w:val="bottom"/>
            <w:gridSpan w:val="2"/>
          </w:tcPr>
          <w:p>
            <w:pPr>
              <w:jc w:val="right"/>
              <w:ind w:right="152"/>
              <w:spacing w:after="0"/>
              <w:rPr>
                <w:sz w:val="20"/>
                <w:szCs w:val="20"/>
                <w:color w:val="auto"/>
              </w:rPr>
            </w:pPr>
            <w:r>
              <w:rPr>
                <w:rFonts w:ascii="Arial" w:cs="Arial" w:eastAsia="Arial" w:hAnsi="Arial"/>
                <w:sz w:val="18"/>
                <w:szCs w:val="18"/>
                <w:color w:val="auto"/>
                <w:w w:val="90"/>
              </w:rPr>
              <w:t>As of and for the three month</w:t>
            </w:r>
          </w:p>
        </w:tc>
        <w:tc>
          <w:tcPr>
            <w:tcW w:w="10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380" w:type="dxa"/>
            <w:vAlign w:val="bottom"/>
            <w:gridSpan w:val="3"/>
          </w:tcPr>
          <w:p>
            <w:pPr>
              <w:jc w:val="center"/>
              <w:spacing w:after="0"/>
              <w:rPr>
                <w:sz w:val="20"/>
                <w:szCs w:val="20"/>
                <w:color w:val="auto"/>
              </w:rPr>
            </w:pPr>
            <w:r>
              <w:rPr>
                <w:rFonts w:ascii="Arial" w:cs="Arial" w:eastAsia="Arial" w:hAnsi="Arial"/>
                <w:sz w:val="18"/>
                <w:szCs w:val="18"/>
                <w:color w:val="auto"/>
                <w:w w:val="90"/>
              </w:rPr>
              <w:t>As of and for the twelve month</w:t>
            </w:r>
          </w:p>
        </w:tc>
      </w:tr>
      <w:tr>
        <w:trPr>
          <w:trHeight w:val="222"/>
        </w:trPr>
        <w:tc>
          <w:tcPr>
            <w:tcW w:w="33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360" w:type="dxa"/>
            <w:vAlign w:val="bottom"/>
            <w:gridSpan w:val="2"/>
          </w:tcPr>
          <w:p>
            <w:pPr>
              <w:jc w:val="right"/>
              <w:ind w:right="732"/>
              <w:spacing w:after="0"/>
              <w:rPr>
                <w:sz w:val="20"/>
                <w:szCs w:val="20"/>
                <w:color w:val="auto"/>
              </w:rPr>
            </w:pPr>
            <w:r>
              <w:rPr>
                <w:rFonts w:ascii="Arial" w:cs="Arial" w:eastAsia="Arial" w:hAnsi="Arial"/>
                <w:sz w:val="18"/>
                <w:szCs w:val="18"/>
                <w:color w:val="auto"/>
              </w:rPr>
              <w:t>period ended</w:t>
            </w:r>
          </w:p>
        </w:tc>
        <w:tc>
          <w:tcPr>
            <w:tcW w:w="10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200" w:type="dxa"/>
            <w:vAlign w:val="bottom"/>
          </w:tcPr>
          <w:p>
            <w:pPr>
              <w:jc w:val="center"/>
              <w:ind w:right="72"/>
              <w:spacing w:after="0"/>
              <w:rPr>
                <w:sz w:val="20"/>
                <w:szCs w:val="20"/>
                <w:color w:val="auto"/>
              </w:rPr>
            </w:pPr>
            <w:r>
              <w:rPr>
                <w:rFonts w:ascii="Arial" w:cs="Arial" w:eastAsia="Arial" w:hAnsi="Arial"/>
                <w:sz w:val="18"/>
                <w:szCs w:val="18"/>
                <w:color w:val="auto"/>
                <w:w w:val="87"/>
              </w:rPr>
              <w:t>period ended</w:t>
            </w:r>
          </w:p>
        </w:tc>
        <w:tc>
          <w:tcPr>
            <w:tcW w:w="1000" w:type="dxa"/>
            <w:vAlign w:val="bottom"/>
          </w:tcPr>
          <w:p>
            <w:pPr>
              <w:spacing w:after="0"/>
              <w:rPr>
                <w:sz w:val="19"/>
                <w:szCs w:val="19"/>
                <w:color w:val="auto"/>
              </w:rPr>
            </w:pPr>
          </w:p>
        </w:tc>
      </w:tr>
      <w:tr>
        <w:trPr>
          <w:trHeight w:val="137"/>
        </w:trPr>
        <w:tc>
          <w:tcPr>
            <w:tcW w:w="338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356"/>
        </w:trPr>
        <w:tc>
          <w:tcPr>
            <w:tcW w:w="3380" w:type="dxa"/>
            <w:vAlign w:val="bottom"/>
          </w:tcPr>
          <w:p>
            <w:pPr>
              <w:spacing w:after="0"/>
              <w:rPr>
                <w:sz w:val="24"/>
                <w:szCs w:val="24"/>
                <w:color w:val="auto"/>
              </w:rPr>
            </w:pPr>
          </w:p>
        </w:tc>
        <w:tc>
          <w:tcPr>
            <w:tcW w:w="1180" w:type="dxa"/>
            <w:vAlign w:val="bottom"/>
          </w:tcPr>
          <w:p>
            <w:pPr>
              <w:jc w:val="right"/>
              <w:ind w:right="232"/>
              <w:spacing w:after="0"/>
              <w:rPr>
                <w:sz w:val="20"/>
                <w:szCs w:val="20"/>
                <w:color w:val="auto"/>
              </w:rPr>
            </w:pPr>
            <w:r>
              <w:rPr>
                <w:rFonts w:ascii="Arial" w:cs="Arial" w:eastAsia="Arial" w:hAnsi="Arial"/>
                <w:sz w:val="18"/>
                <w:szCs w:val="18"/>
                <w:color w:val="auto"/>
              </w:rPr>
              <w:t>31.12.03</w:t>
            </w:r>
          </w:p>
        </w:tc>
        <w:tc>
          <w:tcPr>
            <w:tcW w:w="1220" w:type="dxa"/>
            <w:vAlign w:val="bottom"/>
          </w:tcPr>
          <w:p>
            <w:pPr>
              <w:jc w:val="right"/>
              <w:ind w:right="312"/>
              <w:spacing w:after="0"/>
              <w:rPr>
                <w:sz w:val="20"/>
                <w:szCs w:val="20"/>
                <w:color w:val="auto"/>
              </w:rPr>
            </w:pPr>
            <w:r>
              <w:rPr>
                <w:rFonts w:ascii="Arial" w:cs="Arial" w:eastAsia="Arial" w:hAnsi="Arial"/>
                <w:sz w:val="18"/>
                <w:szCs w:val="18"/>
                <w:color w:val="auto"/>
              </w:rPr>
              <w:t>30.09.04</w:t>
            </w:r>
          </w:p>
        </w:tc>
        <w:tc>
          <w:tcPr>
            <w:tcW w:w="1140" w:type="dxa"/>
            <w:vAlign w:val="bottom"/>
          </w:tcPr>
          <w:p>
            <w:pPr>
              <w:jc w:val="right"/>
              <w:ind w:right="292"/>
              <w:spacing w:after="0"/>
              <w:rPr>
                <w:sz w:val="20"/>
                <w:szCs w:val="20"/>
                <w:color w:val="auto"/>
              </w:rPr>
            </w:pPr>
            <w:r>
              <w:rPr>
                <w:rFonts w:ascii="Arial" w:cs="Arial" w:eastAsia="Arial" w:hAnsi="Arial"/>
                <w:sz w:val="18"/>
                <w:szCs w:val="18"/>
                <w:color w:val="auto"/>
              </w:rPr>
              <w:t>31.12.04</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31.12.04</w:t>
            </w:r>
          </w:p>
        </w:tc>
        <w:tc>
          <w:tcPr>
            <w:tcW w:w="1200" w:type="dxa"/>
            <w:vAlign w:val="bottom"/>
            <w:gridSpan w:val="2"/>
          </w:tcPr>
          <w:p>
            <w:pPr>
              <w:jc w:val="right"/>
              <w:ind w:right="212"/>
              <w:spacing w:after="0"/>
              <w:rPr>
                <w:sz w:val="20"/>
                <w:szCs w:val="20"/>
                <w:color w:val="auto"/>
              </w:rPr>
            </w:pPr>
            <w:r>
              <w:rPr>
                <w:rFonts w:ascii="Arial" w:cs="Arial" w:eastAsia="Arial" w:hAnsi="Arial"/>
                <w:sz w:val="18"/>
                <w:szCs w:val="18"/>
                <w:color w:val="auto"/>
              </w:rPr>
              <w:t>31.12.03</w:t>
            </w:r>
          </w:p>
        </w:tc>
        <w:tc>
          <w:tcPr>
            <w:tcW w:w="1200" w:type="dxa"/>
            <w:vAlign w:val="bottom"/>
          </w:tcPr>
          <w:p>
            <w:pPr>
              <w:jc w:val="center"/>
              <w:ind w:right="72"/>
              <w:spacing w:after="0"/>
              <w:rPr>
                <w:sz w:val="20"/>
                <w:szCs w:val="20"/>
                <w:color w:val="auto"/>
              </w:rPr>
            </w:pPr>
            <w:r>
              <w:rPr>
                <w:rFonts w:ascii="Arial" w:cs="Arial" w:eastAsia="Arial" w:hAnsi="Arial"/>
                <w:sz w:val="18"/>
                <w:szCs w:val="18"/>
                <w:color w:val="auto"/>
                <w:w w:val="85"/>
              </w:rPr>
              <w:t>31.12.04</w:t>
            </w:r>
          </w:p>
        </w:tc>
        <w:tc>
          <w:tcPr>
            <w:tcW w:w="1000" w:type="dxa"/>
            <w:vAlign w:val="bottom"/>
          </w:tcPr>
          <w:p>
            <w:pPr>
              <w:jc w:val="right"/>
              <w:ind w:right="152"/>
              <w:spacing w:after="0"/>
              <w:rPr>
                <w:sz w:val="20"/>
                <w:szCs w:val="20"/>
                <w:color w:val="auto"/>
              </w:rPr>
            </w:pPr>
            <w:r>
              <w:rPr>
                <w:rFonts w:ascii="Arial" w:cs="Arial" w:eastAsia="Arial" w:hAnsi="Arial"/>
                <w:sz w:val="18"/>
                <w:szCs w:val="18"/>
                <w:color w:val="auto"/>
              </w:rPr>
              <w:t>31.12.04</w:t>
            </w:r>
          </w:p>
        </w:tc>
      </w:tr>
      <w:tr>
        <w:trPr>
          <w:trHeight w:val="137"/>
        </w:trPr>
        <w:tc>
          <w:tcPr>
            <w:tcW w:w="338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20" w:type="dxa"/>
            <w:vAlign w:val="bottom"/>
            <w:tcBorders>
              <w:bottom w:val="single" w:sz="8" w:color="auto"/>
            </w:tcBorders>
          </w:tcPr>
          <w:p>
            <w:pPr>
              <w:spacing w:after="0"/>
              <w:rPr>
                <w:sz w:val="11"/>
                <w:szCs w:val="11"/>
                <w:color w:val="auto"/>
              </w:rPr>
            </w:pPr>
          </w:p>
        </w:tc>
        <w:tc>
          <w:tcPr>
            <w:tcW w:w="114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200" w:type="dxa"/>
            <w:vAlign w:val="bottom"/>
            <w:tcBorders>
              <w:bottom w:val="single" w:sz="8" w:color="auto"/>
            </w:tcBorders>
          </w:tcPr>
          <w:p>
            <w:pPr>
              <w:spacing w:after="0"/>
              <w:rPr>
                <w:sz w:val="11"/>
                <w:szCs w:val="11"/>
                <w:color w:val="auto"/>
              </w:rPr>
            </w:pPr>
          </w:p>
        </w:tc>
        <w:tc>
          <w:tcPr>
            <w:tcW w:w="1000" w:type="dxa"/>
            <w:vAlign w:val="bottom"/>
            <w:tcBorders>
              <w:bottom w:val="single" w:sz="8" w:color="auto"/>
            </w:tcBorders>
          </w:tcPr>
          <w:p>
            <w:pPr>
              <w:spacing w:after="0"/>
              <w:rPr>
                <w:sz w:val="11"/>
                <w:szCs w:val="11"/>
                <w:color w:val="auto"/>
              </w:rPr>
            </w:pPr>
          </w:p>
        </w:tc>
      </w:tr>
      <w:tr>
        <w:trPr>
          <w:trHeight w:val="343"/>
        </w:trPr>
        <w:tc>
          <w:tcPr>
            <w:tcW w:w="3380" w:type="dxa"/>
            <w:vAlign w:val="bottom"/>
          </w:tcPr>
          <w:p>
            <w:pPr>
              <w:spacing w:after="0"/>
              <w:rPr>
                <w:sz w:val="20"/>
                <w:szCs w:val="20"/>
                <w:color w:val="auto"/>
              </w:rPr>
            </w:pPr>
            <w:r>
              <w:rPr>
                <w:rFonts w:ascii="Arial" w:cs="Arial" w:eastAsia="Arial" w:hAnsi="Arial"/>
                <w:sz w:val="18"/>
                <w:szCs w:val="18"/>
                <w:color w:val="auto"/>
              </w:rPr>
              <w:t>Results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Total gross Premiums</w:t>
            </w:r>
          </w:p>
        </w:tc>
        <w:tc>
          <w:tcPr>
            <w:tcW w:w="1180" w:type="dxa"/>
            <w:vAlign w:val="bottom"/>
          </w:tcPr>
          <w:p>
            <w:pPr>
              <w:jc w:val="right"/>
              <w:spacing w:after="0"/>
              <w:rPr>
                <w:sz w:val="20"/>
                <w:szCs w:val="20"/>
                <w:color w:val="auto"/>
              </w:rPr>
            </w:pPr>
            <w:r>
              <w:rPr>
                <w:rFonts w:ascii="Arial" w:cs="Arial" w:eastAsia="Arial" w:hAnsi="Arial"/>
                <w:sz w:val="18"/>
                <w:szCs w:val="18"/>
                <w:color w:val="auto"/>
              </w:rPr>
              <w:t>221,662</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358,318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310,633</w:t>
            </w:r>
          </w:p>
        </w:tc>
        <w:tc>
          <w:tcPr>
            <w:tcW w:w="1000" w:type="dxa"/>
            <w:vAlign w:val="bottom"/>
          </w:tcPr>
          <w:p>
            <w:pPr>
              <w:jc w:val="right"/>
              <w:spacing w:after="0"/>
              <w:rPr>
                <w:sz w:val="20"/>
                <w:szCs w:val="20"/>
                <w:color w:val="auto"/>
              </w:rPr>
            </w:pPr>
            <w:r>
              <w:rPr>
                <w:rFonts w:ascii="Arial" w:cs="Arial" w:eastAsia="Arial" w:hAnsi="Arial"/>
                <w:sz w:val="18"/>
                <w:szCs w:val="18"/>
                <w:color w:val="auto"/>
              </w:rPr>
              <w:t>$94,647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1,050,746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1,187,181</w:t>
            </w:r>
          </w:p>
        </w:tc>
        <w:tc>
          <w:tcPr>
            <w:tcW w:w="1000" w:type="dxa"/>
            <w:vAlign w:val="bottom"/>
          </w:tcPr>
          <w:p>
            <w:pPr>
              <w:jc w:val="right"/>
              <w:spacing w:after="0"/>
              <w:rPr>
                <w:sz w:val="20"/>
                <w:szCs w:val="20"/>
                <w:color w:val="auto"/>
              </w:rPr>
            </w:pPr>
            <w:r>
              <w:rPr>
                <w:rFonts w:ascii="Arial" w:cs="Arial" w:eastAsia="Arial" w:hAnsi="Arial"/>
                <w:sz w:val="18"/>
                <w:szCs w:val="18"/>
                <w:color w:val="auto"/>
              </w:rPr>
              <w:t>$361,725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Premiums Earned</w:t>
            </w:r>
          </w:p>
        </w:tc>
        <w:tc>
          <w:tcPr>
            <w:tcW w:w="1180" w:type="dxa"/>
            <w:vAlign w:val="bottom"/>
          </w:tcPr>
          <w:p>
            <w:pPr>
              <w:jc w:val="right"/>
              <w:spacing w:after="0"/>
              <w:rPr>
                <w:sz w:val="20"/>
                <w:szCs w:val="20"/>
                <w:color w:val="auto"/>
              </w:rPr>
            </w:pPr>
            <w:r>
              <w:rPr>
                <w:rFonts w:ascii="Arial" w:cs="Arial" w:eastAsia="Arial" w:hAnsi="Arial"/>
                <w:sz w:val="18"/>
                <w:szCs w:val="18"/>
                <w:color w:val="auto"/>
              </w:rPr>
              <w:t>110,875</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232,674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200,048</w:t>
            </w:r>
          </w:p>
        </w:tc>
        <w:tc>
          <w:tcPr>
            <w:tcW w:w="1000" w:type="dxa"/>
            <w:vAlign w:val="bottom"/>
          </w:tcPr>
          <w:p>
            <w:pPr>
              <w:jc w:val="right"/>
              <w:spacing w:after="0"/>
              <w:rPr>
                <w:sz w:val="20"/>
                <w:szCs w:val="20"/>
                <w:color w:val="auto"/>
              </w:rPr>
            </w:pPr>
            <w:r>
              <w:rPr>
                <w:rFonts w:ascii="Arial" w:cs="Arial" w:eastAsia="Arial" w:hAnsi="Arial"/>
                <w:sz w:val="18"/>
                <w:szCs w:val="18"/>
                <w:color w:val="auto"/>
              </w:rPr>
              <w:t>$60,953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506,327</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705,990</w:t>
            </w:r>
          </w:p>
        </w:tc>
        <w:tc>
          <w:tcPr>
            <w:tcW w:w="1000" w:type="dxa"/>
            <w:vAlign w:val="bottom"/>
          </w:tcPr>
          <w:p>
            <w:pPr>
              <w:jc w:val="right"/>
              <w:spacing w:after="0"/>
              <w:rPr>
                <w:sz w:val="20"/>
                <w:szCs w:val="20"/>
                <w:color w:val="auto"/>
              </w:rPr>
            </w:pPr>
            <w:r>
              <w:rPr>
                <w:rFonts w:ascii="Arial" w:cs="Arial" w:eastAsia="Arial" w:hAnsi="Arial"/>
                <w:sz w:val="18"/>
                <w:szCs w:val="18"/>
                <w:color w:val="auto"/>
              </w:rPr>
              <w:t>$215,110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Change in 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46,695</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62,331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43,287</w:t>
            </w:r>
          </w:p>
        </w:tc>
        <w:tc>
          <w:tcPr>
            <w:tcW w:w="1000" w:type="dxa"/>
            <w:vAlign w:val="bottom"/>
          </w:tcPr>
          <w:p>
            <w:pPr>
              <w:jc w:val="right"/>
              <w:spacing w:after="0"/>
              <w:rPr>
                <w:sz w:val="20"/>
                <w:szCs w:val="20"/>
                <w:color w:val="auto"/>
              </w:rPr>
            </w:pPr>
            <w:r>
              <w:rPr>
                <w:rFonts w:ascii="Arial" w:cs="Arial" w:eastAsia="Arial" w:hAnsi="Arial"/>
                <w:sz w:val="18"/>
                <w:szCs w:val="18"/>
                <w:color w:val="auto"/>
              </w:rPr>
              <w:t>$13,189</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237,871</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272,078</w:t>
            </w:r>
          </w:p>
        </w:tc>
        <w:tc>
          <w:tcPr>
            <w:tcW w:w="1000" w:type="dxa"/>
            <w:vAlign w:val="bottom"/>
          </w:tcPr>
          <w:p>
            <w:pPr>
              <w:jc w:val="right"/>
              <w:spacing w:after="0"/>
              <w:rPr>
                <w:sz w:val="20"/>
                <w:szCs w:val="20"/>
                <w:color w:val="auto"/>
              </w:rPr>
            </w:pPr>
            <w:r>
              <w:rPr>
                <w:rFonts w:ascii="Arial" w:cs="Arial" w:eastAsia="Arial" w:hAnsi="Arial"/>
                <w:sz w:val="18"/>
                <w:szCs w:val="18"/>
                <w:color w:val="auto"/>
              </w:rPr>
              <w:t>$82,900</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Underwriting Results</w:t>
            </w:r>
          </w:p>
        </w:tc>
        <w:tc>
          <w:tcPr>
            <w:tcW w:w="1180" w:type="dxa"/>
            <w:vAlign w:val="bottom"/>
          </w:tcPr>
          <w:p>
            <w:pPr>
              <w:jc w:val="right"/>
              <w:spacing w:after="0"/>
              <w:rPr>
                <w:sz w:val="20"/>
                <w:szCs w:val="20"/>
                <w:color w:val="auto"/>
              </w:rPr>
            </w:pPr>
            <w:r>
              <w:rPr>
                <w:rFonts w:ascii="Arial" w:cs="Arial" w:eastAsia="Arial" w:hAnsi="Arial"/>
                <w:sz w:val="18"/>
                <w:szCs w:val="18"/>
                <w:color w:val="auto"/>
              </w:rPr>
              <w:t>6,515</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40,349</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35,190</w:t>
            </w:r>
          </w:p>
        </w:tc>
        <w:tc>
          <w:tcPr>
            <w:tcW w:w="1000" w:type="dxa"/>
            <w:vAlign w:val="bottom"/>
          </w:tcPr>
          <w:p>
            <w:pPr>
              <w:jc w:val="right"/>
              <w:spacing w:after="0"/>
              <w:rPr>
                <w:sz w:val="20"/>
                <w:szCs w:val="20"/>
                <w:color w:val="auto"/>
              </w:rPr>
            </w:pPr>
            <w:r>
              <w:rPr>
                <w:rFonts w:ascii="Arial" w:cs="Arial" w:eastAsia="Arial" w:hAnsi="Arial"/>
                <w:sz w:val="18"/>
                <w:szCs w:val="18"/>
                <w:color w:val="auto"/>
              </w:rPr>
              <w:t>$10,722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69,738</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107,458</w:t>
            </w:r>
          </w:p>
        </w:tc>
        <w:tc>
          <w:tcPr>
            <w:tcW w:w="1000" w:type="dxa"/>
            <w:vAlign w:val="bottom"/>
          </w:tcPr>
          <w:p>
            <w:pPr>
              <w:jc w:val="right"/>
              <w:spacing w:after="0"/>
              <w:rPr>
                <w:sz w:val="20"/>
                <w:szCs w:val="20"/>
                <w:color w:val="auto"/>
              </w:rPr>
            </w:pPr>
            <w:r>
              <w:rPr>
                <w:rFonts w:ascii="Arial" w:cs="Arial" w:eastAsia="Arial" w:hAnsi="Arial"/>
                <w:sz w:val="18"/>
                <w:szCs w:val="18"/>
                <w:color w:val="auto"/>
              </w:rPr>
              <w:t>$32,742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Financial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26,514</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29,356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31,331</w:t>
            </w:r>
          </w:p>
        </w:tc>
        <w:tc>
          <w:tcPr>
            <w:tcW w:w="1000" w:type="dxa"/>
            <w:vAlign w:val="bottom"/>
          </w:tcPr>
          <w:p>
            <w:pPr>
              <w:jc w:val="right"/>
              <w:spacing w:after="0"/>
              <w:rPr>
                <w:sz w:val="20"/>
                <w:szCs w:val="20"/>
                <w:color w:val="auto"/>
              </w:rPr>
            </w:pPr>
            <w:r>
              <w:rPr>
                <w:rFonts w:ascii="Arial" w:cs="Arial" w:eastAsia="Arial" w:hAnsi="Arial"/>
                <w:sz w:val="18"/>
                <w:szCs w:val="18"/>
                <w:color w:val="auto"/>
              </w:rPr>
              <w:t>$9,546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117,845</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198,609</w:t>
            </w:r>
          </w:p>
        </w:tc>
        <w:tc>
          <w:tcPr>
            <w:tcW w:w="1000" w:type="dxa"/>
            <w:vAlign w:val="bottom"/>
          </w:tcPr>
          <w:p>
            <w:pPr>
              <w:jc w:val="right"/>
              <w:spacing w:after="0"/>
              <w:rPr>
                <w:sz w:val="20"/>
                <w:szCs w:val="20"/>
                <w:color w:val="auto"/>
              </w:rPr>
            </w:pPr>
            <w:r>
              <w:rPr>
                <w:rFonts w:ascii="Arial" w:cs="Arial" w:eastAsia="Arial" w:hAnsi="Arial"/>
                <w:sz w:val="18"/>
                <w:szCs w:val="18"/>
                <w:color w:val="auto"/>
              </w:rPr>
              <w:t>$60,515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General Expenses</w:t>
            </w:r>
          </w:p>
        </w:tc>
        <w:tc>
          <w:tcPr>
            <w:tcW w:w="1180" w:type="dxa"/>
            <w:vAlign w:val="bottom"/>
          </w:tcPr>
          <w:p>
            <w:pPr>
              <w:jc w:val="right"/>
              <w:spacing w:after="0"/>
              <w:rPr>
                <w:sz w:val="20"/>
                <w:szCs w:val="20"/>
                <w:color w:val="auto"/>
              </w:rPr>
            </w:pPr>
            <w:r>
              <w:rPr>
                <w:rFonts w:ascii="Arial" w:cs="Arial" w:eastAsia="Arial" w:hAnsi="Arial"/>
                <w:sz w:val="18"/>
                <w:szCs w:val="18"/>
                <w:color w:val="auto"/>
              </w:rPr>
              <w:t>33,994</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44,410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48,703</w:t>
            </w:r>
          </w:p>
        </w:tc>
        <w:tc>
          <w:tcPr>
            <w:tcW w:w="1000" w:type="dxa"/>
            <w:vAlign w:val="bottom"/>
          </w:tcPr>
          <w:p>
            <w:pPr>
              <w:jc w:val="right"/>
              <w:spacing w:after="0"/>
              <w:rPr>
                <w:sz w:val="20"/>
                <w:szCs w:val="20"/>
                <w:color w:val="auto"/>
              </w:rPr>
            </w:pPr>
            <w:r>
              <w:rPr>
                <w:rFonts w:ascii="Arial" w:cs="Arial" w:eastAsia="Arial" w:hAnsi="Arial"/>
                <w:sz w:val="18"/>
                <w:szCs w:val="18"/>
                <w:color w:val="auto"/>
              </w:rPr>
              <w:t>$14,840</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122,971</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153,122</w:t>
            </w:r>
          </w:p>
        </w:tc>
        <w:tc>
          <w:tcPr>
            <w:tcW w:w="1000" w:type="dxa"/>
            <w:vAlign w:val="bottom"/>
          </w:tcPr>
          <w:p>
            <w:pPr>
              <w:jc w:val="right"/>
              <w:spacing w:after="0"/>
              <w:rPr>
                <w:sz w:val="20"/>
                <w:szCs w:val="20"/>
                <w:color w:val="auto"/>
              </w:rPr>
            </w:pPr>
            <w:r>
              <w:rPr>
                <w:rFonts w:ascii="Arial" w:cs="Arial" w:eastAsia="Arial" w:hAnsi="Arial"/>
                <w:sz w:val="18"/>
                <w:szCs w:val="18"/>
                <w:color w:val="auto"/>
              </w:rPr>
              <w:t>$46,655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Income Tax</w:t>
            </w:r>
          </w:p>
        </w:tc>
        <w:tc>
          <w:tcPr>
            <w:tcW w:w="1180" w:type="dxa"/>
            <w:vAlign w:val="bottom"/>
          </w:tcPr>
          <w:p>
            <w:pPr>
              <w:jc w:val="right"/>
              <w:spacing w:after="0"/>
              <w:rPr>
                <w:sz w:val="20"/>
                <w:szCs w:val="20"/>
                <w:color w:val="auto"/>
              </w:rPr>
            </w:pPr>
            <w:r>
              <w:rPr>
                <w:rFonts w:ascii="Arial" w:cs="Arial" w:eastAsia="Arial" w:hAnsi="Arial"/>
                <w:sz w:val="18"/>
                <w:szCs w:val="18"/>
                <w:color w:val="auto"/>
              </w:rPr>
              <w:t>5,612</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3,304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5,921</w:t>
            </w:r>
          </w:p>
        </w:tc>
        <w:tc>
          <w:tcPr>
            <w:tcW w:w="1000" w:type="dxa"/>
            <w:vAlign w:val="bottom"/>
          </w:tcPr>
          <w:p>
            <w:pPr>
              <w:jc w:val="right"/>
              <w:spacing w:after="0"/>
              <w:rPr>
                <w:sz w:val="20"/>
                <w:szCs w:val="20"/>
                <w:color w:val="auto"/>
              </w:rPr>
            </w:pPr>
            <w:r>
              <w:rPr>
                <w:rFonts w:ascii="Arial" w:cs="Arial" w:eastAsia="Arial" w:hAnsi="Arial"/>
                <w:sz w:val="18"/>
                <w:szCs w:val="18"/>
                <w:color w:val="auto"/>
              </w:rPr>
              <w:t>$1,804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6,348</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12,375</w:t>
            </w:r>
          </w:p>
        </w:tc>
        <w:tc>
          <w:tcPr>
            <w:tcW w:w="1000" w:type="dxa"/>
            <w:vAlign w:val="bottom"/>
          </w:tcPr>
          <w:p>
            <w:pPr>
              <w:jc w:val="right"/>
              <w:spacing w:after="0"/>
              <w:rPr>
                <w:sz w:val="20"/>
                <w:szCs w:val="20"/>
                <w:color w:val="auto"/>
              </w:rPr>
            </w:pPr>
            <w:r>
              <w:rPr>
                <w:rFonts w:ascii="Arial" w:cs="Arial" w:eastAsia="Arial" w:hAnsi="Arial"/>
                <w:sz w:val="18"/>
                <w:szCs w:val="18"/>
                <w:color w:val="auto"/>
              </w:rPr>
              <w:t>$3,771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Income</w:t>
            </w:r>
          </w:p>
        </w:tc>
        <w:tc>
          <w:tcPr>
            <w:tcW w:w="1180" w:type="dxa"/>
            <w:vAlign w:val="bottom"/>
          </w:tcPr>
          <w:p>
            <w:pPr>
              <w:jc w:val="right"/>
              <w:spacing w:after="0"/>
              <w:rPr>
                <w:sz w:val="20"/>
                <w:szCs w:val="20"/>
                <w:color w:val="auto"/>
              </w:rPr>
            </w:pPr>
            <w:r>
              <w:rPr>
                <w:rFonts w:ascii="Arial" w:cs="Arial" w:eastAsia="Arial" w:hAnsi="Arial"/>
                <w:sz w:val="18"/>
                <w:szCs w:val="18"/>
                <w:color w:val="auto"/>
              </w:rPr>
              <w:t>(7,126)</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12,748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10,185</w:t>
            </w:r>
          </w:p>
        </w:tc>
        <w:tc>
          <w:tcPr>
            <w:tcW w:w="1000" w:type="dxa"/>
            <w:vAlign w:val="bottom"/>
          </w:tcPr>
          <w:p>
            <w:pPr>
              <w:jc w:val="right"/>
              <w:spacing w:after="0"/>
              <w:rPr>
                <w:sz w:val="20"/>
                <w:szCs w:val="20"/>
                <w:color w:val="auto"/>
              </w:rPr>
            </w:pPr>
            <w:r>
              <w:rPr>
                <w:rFonts w:ascii="Arial" w:cs="Arial" w:eastAsia="Arial" w:hAnsi="Arial"/>
                <w:sz w:val="18"/>
                <w:szCs w:val="18"/>
                <w:color w:val="auto"/>
              </w:rPr>
              <w:t>$3,103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40,267</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88,424</w:t>
            </w:r>
          </w:p>
        </w:tc>
        <w:tc>
          <w:tcPr>
            <w:tcW w:w="1000" w:type="dxa"/>
            <w:vAlign w:val="bottom"/>
          </w:tcPr>
          <w:p>
            <w:pPr>
              <w:jc w:val="right"/>
              <w:spacing w:after="0"/>
              <w:rPr>
                <w:sz w:val="20"/>
                <w:szCs w:val="20"/>
                <w:color w:val="auto"/>
              </w:rPr>
            </w:pPr>
            <w:r>
              <w:rPr>
                <w:rFonts w:ascii="Arial" w:cs="Arial" w:eastAsia="Arial" w:hAnsi="Arial"/>
                <w:sz w:val="18"/>
                <w:szCs w:val="18"/>
                <w:color w:val="auto"/>
              </w:rPr>
              <w:t>$26,942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Income per share (S/.)(2)</w:t>
            </w:r>
          </w:p>
        </w:tc>
        <w:tc>
          <w:tcPr>
            <w:tcW w:w="1180" w:type="dxa"/>
            <w:vAlign w:val="bottom"/>
          </w:tcPr>
          <w:p>
            <w:pPr>
              <w:jc w:val="right"/>
              <w:spacing w:after="0"/>
              <w:rPr>
                <w:sz w:val="20"/>
                <w:szCs w:val="20"/>
                <w:color w:val="auto"/>
              </w:rPr>
            </w:pPr>
            <w:r>
              <w:rPr>
                <w:rFonts w:ascii="Arial" w:cs="Arial" w:eastAsia="Arial" w:hAnsi="Arial"/>
                <w:sz w:val="18"/>
                <w:szCs w:val="18"/>
                <w:color w:val="auto"/>
              </w:rPr>
              <w:t>(0.29)</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0.53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0.42</w:t>
            </w:r>
          </w:p>
        </w:tc>
        <w:tc>
          <w:tcPr>
            <w:tcW w:w="1000" w:type="dxa"/>
            <w:vAlign w:val="bottom"/>
          </w:tcPr>
          <w:p>
            <w:pPr>
              <w:jc w:val="right"/>
              <w:spacing w:after="0"/>
              <w:rPr>
                <w:sz w:val="20"/>
                <w:szCs w:val="20"/>
                <w:color w:val="auto"/>
              </w:rPr>
            </w:pPr>
            <w:r>
              <w:rPr>
                <w:rFonts w:ascii="Arial" w:cs="Arial" w:eastAsia="Arial" w:hAnsi="Arial"/>
                <w:sz w:val="18"/>
                <w:szCs w:val="18"/>
                <w:color w:val="auto"/>
              </w:rPr>
              <w:t>$0.13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1.66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3.66</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Balance Sheets (end of period)</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Total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1,855,980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2,056,565</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2,068,006</w:t>
            </w:r>
          </w:p>
        </w:tc>
        <w:tc>
          <w:tcPr>
            <w:tcW w:w="1000" w:type="dxa"/>
            <w:vAlign w:val="bottom"/>
          </w:tcPr>
          <w:p>
            <w:pPr>
              <w:jc w:val="right"/>
              <w:spacing w:after="0"/>
              <w:rPr>
                <w:sz w:val="20"/>
                <w:szCs w:val="20"/>
                <w:color w:val="auto"/>
              </w:rPr>
            </w:pPr>
            <w:r>
              <w:rPr>
                <w:rFonts w:ascii="Arial" w:cs="Arial" w:eastAsia="Arial" w:hAnsi="Arial"/>
                <w:sz w:val="18"/>
                <w:szCs w:val="18"/>
                <w:color w:val="auto"/>
              </w:rPr>
              <w:t>$630,106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1,855,980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2,068,006</w:t>
            </w:r>
          </w:p>
        </w:tc>
        <w:tc>
          <w:tcPr>
            <w:tcW w:w="1000" w:type="dxa"/>
            <w:vAlign w:val="bottom"/>
          </w:tcPr>
          <w:p>
            <w:pPr>
              <w:jc w:val="right"/>
              <w:spacing w:after="0"/>
              <w:rPr>
                <w:sz w:val="20"/>
                <w:szCs w:val="20"/>
                <w:color w:val="auto"/>
              </w:rPr>
            </w:pPr>
            <w:r>
              <w:rPr>
                <w:rFonts w:ascii="Arial" w:cs="Arial" w:eastAsia="Arial" w:hAnsi="Arial"/>
                <w:sz w:val="18"/>
                <w:szCs w:val="18"/>
                <w:color w:val="auto"/>
              </w:rPr>
              <w:t>$630,106</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Investments in Secur. and Real estate</w:t>
            </w:r>
          </w:p>
        </w:tc>
        <w:tc>
          <w:tcPr>
            <w:tcW w:w="1180" w:type="dxa"/>
            <w:vAlign w:val="bottom"/>
          </w:tcPr>
          <w:p>
            <w:pPr>
              <w:jc w:val="right"/>
              <w:spacing w:after="0"/>
              <w:rPr>
                <w:sz w:val="20"/>
                <w:szCs w:val="20"/>
                <w:color w:val="auto"/>
              </w:rPr>
            </w:pPr>
            <w:r>
              <w:rPr>
                <w:rFonts w:ascii="Arial" w:cs="Arial" w:eastAsia="Arial" w:hAnsi="Arial"/>
                <w:sz w:val="18"/>
                <w:szCs w:val="18"/>
                <w:color w:val="auto"/>
              </w:rPr>
              <w:t>1,381,723</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1,536,144</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1,574,587</w:t>
            </w:r>
          </w:p>
        </w:tc>
        <w:tc>
          <w:tcPr>
            <w:tcW w:w="1000" w:type="dxa"/>
            <w:vAlign w:val="bottom"/>
          </w:tcPr>
          <w:p>
            <w:pPr>
              <w:jc w:val="right"/>
              <w:spacing w:after="0"/>
              <w:rPr>
                <w:sz w:val="20"/>
                <w:szCs w:val="20"/>
                <w:color w:val="auto"/>
              </w:rPr>
            </w:pPr>
            <w:r>
              <w:rPr>
                <w:rFonts w:ascii="Arial" w:cs="Arial" w:eastAsia="Arial" w:hAnsi="Arial"/>
                <w:sz w:val="18"/>
                <w:szCs w:val="18"/>
                <w:color w:val="auto"/>
              </w:rPr>
              <w:t>$479,765</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1,381,723</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1,574,587</w:t>
            </w:r>
          </w:p>
        </w:tc>
        <w:tc>
          <w:tcPr>
            <w:tcW w:w="1000" w:type="dxa"/>
            <w:vAlign w:val="bottom"/>
          </w:tcPr>
          <w:p>
            <w:pPr>
              <w:jc w:val="right"/>
              <w:spacing w:after="0"/>
              <w:rPr>
                <w:sz w:val="20"/>
                <w:szCs w:val="20"/>
                <w:color w:val="auto"/>
              </w:rPr>
            </w:pPr>
            <w:r>
              <w:rPr>
                <w:rFonts w:ascii="Arial" w:cs="Arial" w:eastAsia="Arial" w:hAnsi="Arial"/>
                <w:sz w:val="18"/>
                <w:szCs w:val="18"/>
                <w:color w:val="auto"/>
              </w:rPr>
              <w:t>$479,765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Technical 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1,228,971</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1,424,288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1,452,894</w:t>
            </w:r>
          </w:p>
        </w:tc>
        <w:tc>
          <w:tcPr>
            <w:tcW w:w="1000" w:type="dxa"/>
            <w:vAlign w:val="bottom"/>
          </w:tcPr>
          <w:p>
            <w:pPr>
              <w:jc w:val="right"/>
              <w:spacing w:after="0"/>
              <w:rPr>
                <w:sz w:val="20"/>
                <w:szCs w:val="20"/>
                <w:color w:val="auto"/>
              </w:rPr>
            </w:pPr>
            <w:r>
              <w:rPr>
                <w:rFonts w:ascii="Arial" w:cs="Arial" w:eastAsia="Arial" w:hAnsi="Arial"/>
                <w:sz w:val="18"/>
                <w:szCs w:val="18"/>
                <w:color w:val="auto"/>
              </w:rPr>
              <w:t>$442,686</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1,228,971</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1,452,894</w:t>
            </w:r>
          </w:p>
        </w:tc>
        <w:tc>
          <w:tcPr>
            <w:tcW w:w="1000" w:type="dxa"/>
            <w:vAlign w:val="bottom"/>
          </w:tcPr>
          <w:p>
            <w:pPr>
              <w:jc w:val="right"/>
              <w:spacing w:after="0"/>
              <w:rPr>
                <w:sz w:val="20"/>
                <w:szCs w:val="20"/>
                <w:color w:val="auto"/>
              </w:rPr>
            </w:pPr>
            <w:r>
              <w:rPr>
                <w:rFonts w:ascii="Arial" w:cs="Arial" w:eastAsia="Arial" w:hAnsi="Arial"/>
                <w:sz w:val="18"/>
                <w:szCs w:val="18"/>
                <w:color w:val="auto"/>
              </w:rPr>
              <w:t>$442,686</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Equity</w:t>
            </w:r>
          </w:p>
        </w:tc>
        <w:tc>
          <w:tcPr>
            <w:tcW w:w="1180" w:type="dxa"/>
            <w:vAlign w:val="bottom"/>
          </w:tcPr>
          <w:p>
            <w:pPr>
              <w:jc w:val="right"/>
              <w:spacing w:after="0"/>
              <w:rPr>
                <w:sz w:val="20"/>
                <w:szCs w:val="20"/>
                <w:color w:val="auto"/>
              </w:rPr>
            </w:pPr>
            <w:r>
              <w:rPr>
                <w:rFonts w:ascii="Arial" w:cs="Arial" w:eastAsia="Arial" w:hAnsi="Arial"/>
                <w:sz w:val="18"/>
                <w:szCs w:val="18"/>
                <w:color w:val="auto"/>
              </w:rPr>
              <w:t>394,346</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411,467</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416,619</w:t>
            </w:r>
          </w:p>
        </w:tc>
        <w:tc>
          <w:tcPr>
            <w:tcW w:w="1000" w:type="dxa"/>
            <w:vAlign w:val="bottom"/>
          </w:tcPr>
          <w:p>
            <w:pPr>
              <w:jc w:val="right"/>
              <w:spacing w:after="0"/>
              <w:rPr>
                <w:sz w:val="20"/>
                <w:szCs w:val="20"/>
                <w:color w:val="auto"/>
              </w:rPr>
            </w:pPr>
            <w:r>
              <w:rPr>
                <w:rFonts w:ascii="Arial" w:cs="Arial" w:eastAsia="Arial" w:hAnsi="Arial"/>
                <w:sz w:val="18"/>
                <w:szCs w:val="18"/>
                <w:color w:val="auto"/>
              </w:rPr>
              <w:t>$126,941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394,346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416,619</w:t>
            </w:r>
          </w:p>
        </w:tc>
        <w:tc>
          <w:tcPr>
            <w:tcW w:w="1000" w:type="dxa"/>
            <w:vAlign w:val="bottom"/>
          </w:tcPr>
          <w:p>
            <w:pPr>
              <w:jc w:val="right"/>
              <w:spacing w:after="0"/>
              <w:rPr>
                <w:sz w:val="20"/>
                <w:szCs w:val="20"/>
                <w:color w:val="auto"/>
              </w:rPr>
            </w:pPr>
            <w:r>
              <w:rPr>
                <w:rFonts w:ascii="Arial" w:cs="Arial" w:eastAsia="Arial" w:hAnsi="Arial"/>
                <w:sz w:val="18"/>
                <w:szCs w:val="18"/>
                <w:color w:val="auto"/>
              </w:rPr>
              <w:t>$126,941</w:t>
            </w: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Ratios</w:t>
            </w:r>
          </w:p>
        </w:tc>
        <w:tc>
          <w:tcPr>
            <w:tcW w:w="1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0" w:type="dxa"/>
            <w:vAlign w:val="bottom"/>
          </w:tcPr>
          <w:p>
            <w:pPr>
              <w:spacing w:after="0"/>
              <w:rPr>
                <w:sz w:val="24"/>
                <w:szCs w:val="24"/>
                <w:color w:val="auto"/>
              </w:rPr>
            </w:pPr>
          </w:p>
        </w:tc>
      </w:tr>
      <w:tr>
        <w:trPr>
          <w:trHeight w:val="486"/>
        </w:trPr>
        <w:tc>
          <w:tcPr>
            <w:tcW w:w="3380" w:type="dxa"/>
            <w:vAlign w:val="bottom"/>
          </w:tcPr>
          <w:p>
            <w:pPr>
              <w:spacing w:after="0"/>
              <w:rPr>
                <w:sz w:val="20"/>
                <w:szCs w:val="20"/>
                <w:color w:val="auto"/>
              </w:rPr>
            </w:pPr>
            <w:r>
              <w:rPr>
                <w:rFonts w:ascii="Arial" w:cs="Arial" w:eastAsia="Arial" w:hAnsi="Arial"/>
                <w:sz w:val="18"/>
                <w:szCs w:val="18"/>
                <w:color w:val="auto"/>
              </w:rPr>
              <w:t>Net underwriting results</w:t>
            </w:r>
          </w:p>
        </w:tc>
        <w:tc>
          <w:tcPr>
            <w:tcW w:w="1180" w:type="dxa"/>
            <w:vAlign w:val="bottom"/>
          </w:tcPr>
          <w:p>
            <w:pPr>
              <w:jc w:val="right"/>
              <w:spacing w:after="0"/>
              <w:rPr>
                <w:sz w:val="20"/>
                <w:szCs w:val="20"/>
                <w:color w:val="auto"/>
              </w:rPr>
            </w:pPr>
            <w:r>
              <w:rPr>
                <w:rFonts w:ascii="Arial" w:cs="Arial" w:eastAsia="Arial" w:hAnsi="Arial"/>
                <w:sz w:val="18"/>
                <w:szCs w:val="18"/>
                <w:color w:val="auto"/>
              </w:rPr>
              <w:t>2.9%</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11.3%</w:t>
            </w:r>
          </w:p>
        </w:tc>
        <w:tc>
          <w:tcPr>
            <w:tcW w:w="1000" w:type="dxa"/>
            <w:vAlign w:val="bottom"/>
          </w:tcPr>
          <w:p>
            <w:pPr>
              <w:jc w:val="right"/>
              <w:spacing w:after="0"/>
              <w:rPr>
                <w:sz w:val="20"/>
                <w:szCs w:val="20"/>
                <w:color w:val="auto"/>
              </w:rPr>
            </w:pPr>
            <w:r>
              <w:rPr>
                <w:rFonts w:ascii="Arial" w:cs="Arial" w:eastAsia="Arial" w:hAnsi="Arial"/>
                <w:sz w:val="18"/>
                <w:szCs w:val="18"/>
                <w:color w:val="auto"/>
              </w:rPr>
              <w:t>11.3%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9.1%</w:t>
            </w:r>
          </w:p>
        </w:tc>
        <w:tc>
          <w:tcPr>
            <w:tcW w:w="1000" w:type="dxa"/>
            <w:vAlign w:val="bottom"/>
          </w:tcPr>
          <w:p>
            <w:pPr>
              <w:jc w:val="right"/>
              <w:spacing w:after="0"/>
              <w:rPr>
                <w:sz w:val="20"/>
                <w:szCs w:val="20"/>
                <w:color w:val="auto"/>
              </w:rPr>
            </w:pPr>
            <w:r>
              <w:rPr>
                <w:rFonts w:ascii="Arial" w:cs="Arial" w:eastAsia="Arial" w:hAnsi="Arial"/>
                <w:sz w:val="18"/>
                <w:szCs w:val="18"/>
                <w:color w:val="auto"/>
              </w:rPr>
              <w:t>9.1%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Total loss ratio</w:t>
            </w:r>
          </w:p>
        </w:tc>
        <w:tc>
          <w:tcPr>
            <w:tcW w:w="1180" w:type="dxa"/>
            <w:vAlign w:val="bottom"/>
          </w:tcPr>
          <w:p>
            <w:pPr>
              <w:jc w:val="right"/>
              <w:spacing w:after="0"/>
              <w:rPr>
                <w:sz w:val="20"/>
                <w:szCs w:val="20"/>
                <w:color w:val="auto"/>
              </w:rPr>
            </w:pPr>
            <w:r>
              <w:rPr>
                <w:rFonts w:ascii="Arial" w:cs="Arial" w:eastAsia="Arial" w:hAnsi="Arial"/>
                <w:sz w:val="18"/>
                <w:szCs w:val="18"/>
                <w:color w:val="auto"/>
              </w:rPr>
              <w:t>47.3%</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50.8%</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48.2%</w:t>
            </w:r>
          </w:p>
        </w:tc>
        <w:tc>
          <w:tcPr>
            <w:tcW w:w="1000" w:type="dxa"/>
            <w:vAlign w:val="bottom"/>
          </w:tcPr>
          <w:p>
            <w:pPr>
              <w:jc w:val="right"/>
              <w:spacing w:after="0"/>
              <w:rPr>
                <w:sz w:val="20"/>
                <w:szCs w:val="20"/>
                <w:color w:val="auto"/>
              </w:rPr>
            </w:pPr>
            <w:r>
              <w:rPr>
                <w:rFonts w:ascii="Arial" w:cs="Arial" w:eastAsia="Arial" w:hAnsi="Arial"/>
                <w:sz w:val="18"/>
                <w:szCs w:val="18"/>
                <w:color w:val="auto"/>
              </w:rPr>
              <w:t>48.2%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40.0%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48.9%</w:t>
            </w:r>
          </w:p>
        </w:tc>
        <w:tc>
          <w:tcPr>
            <w:tcW w:w="1000" w:type="dxa"/>
            <w:vAlign w:val="bottom"/>
          </w:tcPr>
          <w:p>
            <w:pPr>
              <w:jc w:val="right"/>
              <w:spacing w:after="0"/>
              <w:rPr>
                <w:sz w:val="20"/>
                <w:szCs w:val="20"/>
                <w:color w:val="auto"/>
              </w:rPr>
            </w:pPr>
            <w:r>
              <w:rPr>
                <w:rFonts w:ascii="Arial" w:cs="Arial" w:eastAsia="Arial" w:hAnsi="Arial"/>
                <w:sz w:val="18"/>
                <w:szCs w:val="18"/>
                <w:color w:val="auto"/>
              </w:rPr>
              <w:t>48.9%</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Return on avge. equity (3)(4)</w:t>
            </w:r>
          </w:p>
        </w:tc>
        <w:tc>
          <w:tcPr>
            <w:tcW w:w="1180" w:type="dxa"/>
            <w:vAlign w:val="bottom"/>
          </w:tcPr>
          <w:p>
            <w:pPr>
              <w:jc w:val="right"/>
              <w:spacing w:after="0"/>
              <w:rPr>
                <w:sz w:val="20"/>
                <w:szCs w:val="20"/>
                <w:color w:val="auto"/>
              </w:rPr>
            </w:pPr>
            <w:r>
              <w:rPr>
                <w:rFonts w:ascii="Arial" w:cs="Arial" w:eastAsia="Arial" w:hAnsi="Arial"/>
                <w:sz w:val="18"/>
                <w:szCs w:val="18"/>
                <w:color w:val="auto"/>
              </w:rPr>
              <w:t>-7.0%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13.2%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10.2%</w:t>
            </w:r>
          </w:p>
        </w:tc>
        <w:tc>
          <w:tcPr>
            <w:tcW w:w="1000" w:type="dxa"/>
            <w:vAlign w:val="bottom"/>
          </w:tcPr>
          <w:p>
            <w:pPr>
              <w:jc w:val="right"/>
              <w:spacing w:after="0"/>
              <w:rPr>
                <w:sz w:val="20"/>
                <w:szCs w:val="20"/>
                <w:color w:val="auto"/>
              </w:rPr>
            </w:pPr>
            <w:r>
              <w:rPr>
                <w:rFonts w:ascii="Arial" w:cs="Arial" w:eastAsia="Arial" w:hAnsi="Arial"/>
                <w:sz w:val="18"/>
                <w:szCs w:val="18"/>
                <w:color w:val="auto"/>
              </w:rPr>
              <w:t>10.2%</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10.7%</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21.8%</w:t>
            </w:r>
          </w:p>
        </w:tc>
        <w:tc>
          <w:tcPr>
            <w:tcW w:w="100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Return on total premiums</w:t>
            </w:r>
          </w:p>
        </w:tc>
        <w:tc>
          <w:tcPr>
            <w:tcW w:w="1180" w:type="dxa"/>
            <w:vAlign w:val="bottom"/>
          </w:tcPr>
          <w:p>
            <w:pPr>
              <w:jc w:val="right"/>
              <w:spacing w:after="0"/>
              <w:rPr>
                <w:sz w:val="20"/>
                <w:szCs w:val="20"/>
                <w:color w:val="auto"/>
              </w:rPr>
            </w:pPr>
            <w:r>
              <w:rPr>
                <w:rFonts w:ascii="Arial" w:cs="Arial" w:eastAsia="Arial" w:hAnsi="Arial"/>
                <w:sz w:val="18"/>
                <w:szCs w:val="18"/>
                <w:color w:val="auto"/>
              </w:rPr>
              <w:t>-3.2%</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3.6%</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3.3%</w:t>
            </w:r>
          </w:p>
        </w:tc>
        <w:tc>
          <w:tcPr>
            <w:tcW w:w="1000" w:type="dxa"/>
            <w:vAlign w:val="bottom"/>
          </w:tcPr>
          <w:p>
            <w:pPr>
              <w:jc w:val="right"/>
              <w:spacing w:after="0"/>
              <w:rPr>
                <w:sz w:val="20"/>
                <w:szCs w:val="20"/>
                <w:color w:val="auto"/>
              </w:rPr>
            </w:pPr>
            <w:r>
              <w:rPr>
                <w:rFonts w:ascii="Arial" w:cs="Arial" w:eastAsia="Arial" w:hAnsi="Arial"/>
                <w:sz w:val="18"/>
                <w:szCs w:val="18"/>
                <w:color w:val="auto"/>
              </w:rPr>
              <w:t>3.3%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3.8%</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7.4%</w:t>
            </w:r>
          </w:p>
        </w:tc>
        <w:tc>
          <w:tcPr>
            <w:tcW w:w="1000" w:type="dxa"/>
            <w:vAlign w:val="bottom"/>
          </w:tcPr>
          <w:p>
            <w:pPr>
              <w:jc w:val="right"/>
              <w:spacing w:after="0"/>
              <w:rPr>
                <w:sz w:val="20"/>
                <w:szCs w:val="20"/>
                <w:color w:val="auto"/>
              </w:rPr>
            </w:pPr>
            <w:r>
              <w:rPr>
                <w:rFonts w:ascii="Arial" w:cs="Arial" w:eastAsia="Arial" w:hAnsi="Arial"/>
                <w:sz w:val="18"/>
                <w:szCs w:val="18"/>
                <w:color w:val="auto"/>
              </w:rPr>
              <w:t>7.4%</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Shareholders' Equity / Total Assets</w:t>
            </w:r>
          </w:p>
        </w:tc>
        <w:tc>
          <w:tcPr>
            <w:tcW w:w="1180" w:type="dxa"/>
            <w:vAlign w:val="bottom"/>
          </w:tcPr>
          <w:p>
            <w:pPr>
              <w:jc w:val="right"/>
              <w:spacing w:after="0"/>
              <w:rPr>
                <w:sz w:val="20"/>
                <w:szCs w:val="20"/>
                <w:color w:val="auto"/>
              </w:rPr>
            </w:pPr>
            <w:r>
              <w:rPr>
                <w:rFonts w:ascii="Arial" w:cs="Arial" w:eastAsia="Arial" w:hAnsi="Arial"/>
                <w:sz w:val="18"/>
                <w:szCs w:val="18"/>
                <w:color w:val="auto"/>
              </w:rPr>
              <w:t>21.2%</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20.0%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20.1%</w:t>
            </w: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21.2%</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20.1%</w:t>
            </w:r>
          </w:p>
        </w:tc>
        <w:tc>
          <w:tcPr>
            <w:tcW w:w="1000" w:type="dxa"/>
            <w:vAlign w:val="bottom"/>
          </w:tcPr>
          <w:p>
            <w:pPr>
              <w:jc w:val="right"/>
              <w:spacing w:after="0"/>
              <w:rPr>
                <w:sz w:val="20"/>
                <w:szCs w:val="20"/>
                <w:color w:val="auto"/>
              </w:rPr>
            </w:pPr>
            <w:r>
              <w:rPr>
                <w:rFonts w:ascii="Arial" w:cs="Arial" w:eastAsia="Arial" w:hAnsi="Arial"/>
                <w:sz w:val="18"/>
                <w:szCs w:val="18"/>
                <w:color w:val="auto"/>
              </w:rPr>
              <w:t>20.1%</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Increase in Risk Reserves</w:t>
            </w:r>
          </w:p>
        </w:tc>
        <w:tc>
          <w:tcPr>
            <w:tcW w:w="1180" w:type="dxa"/>
            <w:vAlign w:val="bottom"/>
          </w:tcPr>
          <w:p>
            <w:pPr>
              <w:jc w:val="right"/>
              <w:spacing w:after="0"/>
              <w:rPr>
                <w:sz w:val="20"/>
                <w:szCs w:val="20"/>
                <w:color w:val="auto"/>
              </w:rPr>
            </w:pPr>
            <w:r>
              <w:rPr>
                <w:rFonts w:ascii="Arial" w:cs="Arial" w:eastAsia="Arial" w:hAnsi="Arial"/>
                <w:sz w:val="18"/>
                <w:szCs w:val="18"/>
                <w:color w:val="auto"/>
              </w:rPr>
              <w:t>29.6%</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21.1%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17.8%</w:t>
            </w:r>
          </w:p>
        </w:tc>
        <w:tc>
          <w:tcPr>
            <w:tcW w:w="1000" w:type="dxa"/>
            <w:vAlign w:val="bottom"/>
          </w:tcPr>
          <w:p>
            <w:pPr>
              <w:jc w:val="right"/>
              <w:spacing w:after="0"/>
              <w:rPr>
                <w:sz w:val="20"/>
                <w:szCs w:val="20"/>
                <w:color w:val="auto"/>
              </w:rPr>
            </w:pPr>
            <w:r>
              <w:rPr>
                <w:rFonts w:ascii="Arial" w:cs="Arial" w:eastAsia="Arial" w:hAnsi="Arial"/>
                <w:sz w:val="18"/>
                <w:szCs w:val="18"/>
                <w:color w:val="auto"/>
              </w:rPr>
              <w:t>17.8%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27.8%</w:t>
            </w:r>
          </w:p>
        </w:tc>
        <w:tc>
          <w:tcPr>
            <w:tcW w:w="1000" w:type="dxa"/>
            <w:vAlign w:val="bottom"/>
          </w:tcPr>
          <w:p>
            <w:pPr>
              <w:jc w:val="right"/>
              <w:spacing w:after="0"/>
              <w:rPr>
                <w:sz w:val="20"/>
                <w:szCs w:val="20"/>
                <w:color w:val="auto"/>
              </w:rPr>
            </w:pPr>
            <w:r>
              <w:rPr>
                <w:rFonts w:ascii="Arial" w:cs="Arial" w:eastAsia="Arial" w:hAnsi="Arial"/>
                <w:sz w:val="18"/>
                <w:szCs w:val="18"/>
                <w:color w:val="auto"/>
              </w:rPr>
              <w:t>27.8%</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Combined Ratio (5)</w:t>
            </w:r>
          </w:p>
        </w:tc>
        <w:tc>
          <w:tcPr>
            <w:tcW w:w="1180" w:type="dxa"/>
            <w:vAlign w:val="bottom"/>
          </w:tcPr>
          <w:p>
            <w:pPr>
              <w:jc w:val="right"/>
              <w:spacing w:after="0"/>
              <w:rPr>
                <w:sz w:val="20"/>
                <w:szCs w:val="20"/>
                <w:color w:val="auto"/>
              </w:rPr>
            </w:pPr>
            <w:r>
              <w:rPr>
                <w:rFonts w:ascii="Arial" w:cs="Arial" w:eastAsia="Arial" w:hAnsi="Arial"/>
                <w:sz w:val="18"/>
                <w:szCs w:val="18"/>
                <w:color w:val="auto"/>
              </w:rPr>
              <w:t>126.9%</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94.1%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98.4%</w:t>
            </w:r>
          </w:p>
        </w:tc>
        <w:tc>
          <w:tcPr>
            <w:tcW w:w="1000" w:type="dxa"/>
            <w:vAlign w:val="bottom"/>
          </w:tcPr>
          <w:p>
            <w:pPr>
              <w:jc w:val="right"/>
              <w:spacing w:after="0"/>
              <w:rPr>
                <w:sz w:val="20"/>
                <w:szCs w:val="20"/>
                <w:color w:val="auto"/>
              </w:rPr>
            </w:pPr>
            <w:r>
              <w:rPr>
                <w:rFonts w:ascii="Arial" w:cs="Arial" w:eastAsia="Arial" w:hAnsi="Arial"/>
                <w:sz w:val="18"/>
                <w:szCs w:val="18"/>
                <w:color w:val="auto"/>
              </w:rPr>
              <w:t>98.4%</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100.0%</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96.7%</w:t>
            </w:r>
          </w:p>
        </w:tc>
        <w:tc>
          <w:tcPr>
            <w:tcW w:w="1000" w:type="dxa"/>
            <w:vAlign w:val="bottom"/>
          </w:tcPr>
          <w:p>
            <w:pPr>
              <w:jc w:val="right"/>
              <w:spacing w:after="0"/>
              <w:rPr>
                <w:sz w:val="20"/>
                <w:szCs w:val="20"/>
                <w:color w:val="auto"/>
              </w:rPr>
            </w:pPr>
            <w:r>
              <w:rPr>
                <w:rFonts w:ascii="Arial" w:cs="Arial" w:eastAsia="Arial" w:hAnsi="Arial"/>
                <w:sz w:val="18"/>
                <w:szCs w:val="18"/>
                <w:color w:val="auto"/>
              </w:rPr>
              <w:t>96.7%</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-Net Claims / Net Premiums Earned</w:t>
            </w:r>
          </w:p>
        </w:tc>
        <w:tc>
          <w:tcPr>
            <w:tcW w:w="1180" w:type="dxa"/>
            <w:vAlign w:val="bottom"/>
          </w:tcPr>
          <w:p>
            <w:pPr>
              <w:jc w:val="right"/>
              <w:spacing w:after="0"/>
              <w:rPr>
                <w:sz w:val="20"/>
                <w:szCs w:val="20"/>
                <w:color w:val="auto"/>
              </w:rPr>
            </w:pPr>
            <w:r>
              <w:rPr>
                <w:rFonts w:ascii="Arial" w:cs="Arial" w:eastAsia="Arial" w:hAnsi="Arial"/>
                <w:sz w:val="18"/>
                <w:szCs w:val="18"/>
                <w:color w:val="auto"/>
              </w:rPr>
              <w:t>82.9%</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67.1%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71.7%</w:t>
            </w:r>
          </w:p>
        </w:tc>
        <w:tc>
          <w:tcPr>
            <w:tcW w:w="1000" w:type="dxa"/>
            <w:vAlign w:val="bottom"/>
          </w:tcPr>
          <w:p>
            <w:pPr>
              <w:jc w:val="right"/>
              <w:spacing w:after="0"/>
              <w:rPr>
                <w:sz w:val="20"/>
                <w:szCs w:val="20"/>
                <w:color w:val="auto"/>
              </w:rPr>
            </w:pPr>
            <w:r>
              <w:rPr>
                <w:rFonts w:ascii="Arial" w:cs="Arial" w:eastAsia="Arial" w:hAnsi="Arial"/>
                <w:sz w:val="18"/>
                <w:szCs w:val="18"/>
                <w:color w:val="auto"/>
              </w:rPr>
              <w:t>71.7%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67.4%</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68.2%</w:t>
            </w:r>
          </w:p>
        </w:tc>
        <w:tc>
          <w:tcPr>
            <w:tcW w:w="1000" w:type="dxa"/>
            <w:vAlign w:val="bottom"/>
          </w:tcPr>
          <w:p>
            <w:pPr>
              <w:jc w:val="right"/>
              <w:spacing w:after="0"/>
              <w:rPr>
                <w:sz w:val="20"/>
                <w:szCs w:val="20"/>
                <w:color w:val="auto"/>
              </w:rPr>
            </w:pPr>
            <w:r>
              <w:rPr>
                <w:rFonts w:ascii="Arial" w:cs="Arial" w:eastAsia="Arial" w:hAnsi="Arial"/>
                <w:sz w:val="18"/>
                <w:szCs w:val="18"/>
                <w:color w:val="auto"/>
              </w:rPr>
              <w:t>68.2%</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-Op. Exp.+Comiss./Net Prems. Earned</w:t>
            </w:r>
          </w:p>
        </w:tc>
        <w:tc>
          <w:tcPr>
            <w:tcW w:w="1180" w:type="dxa"/>
            <w:vAlign w:val="bottom"/>
          </w:tcPr>
          <w:p>
            <w:pPr>
              <w:jc w:val="right"/>
              <w:spacing w:after="0"/>
              <w:rPr>
                <w:sz w:val="20"/>
                <w:szCs w:val="20"/>
                <w:color w:val="auto"/>
              </w:rPr>
            </w:pPr>
            <w:r>
              <w:rPr>
                <w:rFonts w:ascii="Arial" w:cs="Arial" w:eastAsia="Arial" w:hAnsi="Arial"/>
                <w:sz w:val="18"/>
                <w:szCs w:val="18"/>
                <w:color w:val="auto"/>
              </w:rPr>
              <w:t>44.0%</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27.0%</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26.7%</w:t>
            </w:r>
          </w:p>
        </w:tc>
        <w:tc>
          <w:tcPr>
            <w:tcW w:w="1000" w:type="dxa"/>
            <w:vAlign w:val="bottom"/>
          </w:tcPr>
          <w:p>
            <w:pPr>
              <w:jc w:val="right"/>
              <w:spacing w:after="0"/>
              <w:rPr>
                <w:sz w:val="20"/>
                <w:szCs w:val="20"/>
                <w:color w:val="auto"/>
              </w:rPr>
            </w:pPr>
            <w:r>
              <w:rPr>
                <w:rFonts w:ascii="Arial" w:cs="Arial" w:eastAsia="Arial" w:hAnsi="Arial"/>
                <w:sz w:val="18"/>
                <w:szCs w:val="18"/>
                <w:color w:val="auto"/>
              </w:rPr>
              <w:t>26.7%</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32.6%</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28.5%</w:t>
            </w:r>
          </w:p>
        </w:tc>
        <w:tc>
          <w:tcPr>
            <w:tcW w:w="1000" w:type="dxa"/>
            <w:vAlign w:val="bottom"/>
          </w:tcPr>
          <w:p>
            <w:pPr>
              <w:jc w:val="right"/>
              <w:spacing w:after="0"/>
              <w:rPr>
                <w:sz w:val="20"/>
                <w:szCs w:val="20"/>
                <w:color w:val="auto"/>
              </w:rPr>
            </w:pPr>
            <w:r>
              <w:rPr>
                <w:rFonts w:ascii="Arial" w:cs="Arial" w:eastAsia="Arial" w:hAnsi="Arial"/>
                <w:sz w:val="18"/>
                <w:szCs w:val="18"/>
                <w:color w:val="auto"/>
              </w:rPr>
              <w:t>28.5%</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Operating expense/Net Earn. Premiums</w:t>
            </w:r>
          </w:p>
        </w:tc>
        <w:tc>
          <w:tcPr>
            <w:tcW w:w="1180" w:type="dxa"/>
            <w:vAlign w:val="bottom"/>
          </w:tcPr>
          <w:p>
            <w:pPr>
              <w:jc w:val="right"/>
              <w:spacing w:after="0"/>
              <w:rPr>
                <w:sz w:val="20"/>
                <w:szCs w:val="20"/>
                <w:color w:val="auto"/>
              </w:rPr>
            </w:pPr>
            <w:r>
              <w:rPr>
                <w:rFonts w:ascii="Arial" w:cs="Arial" w:eastAsia="Arial" w:hAnsi="Arial"/>
                <w:sz w:val="18"/>
                <w:szCs w:val="18"/>
                <w:color w:val="auto"/>
              </w:rPr>
              <w:t>30.7%</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19.1%</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24.3%</w:t>
            </w:r>
          </w:p>
        </w:tc>
        <w:tc>
          <w:tcPr>
            <w:tcW w:w="1000" w:type="dxa"/>
            <w:vAlign w:val="bottom"/>
          </w:tcPr>
          <w:p>
            <w:pPr>
              <w:jc w:val="right"/>
              <w:spacing w:after="0"/>
              <w:rPr>
                <w:sz w:val="20"/>
                <w:szCs w:val="20"/>
                <w:color w:val="auto"/>
              </w:rPr>
            </w:pPr>
            <w:r>
              <w:rPr>
                <w:rFonts w:ascii="Arial" w:cs="Arial" w:eastAsia="Arial" w:hAnsi="Arial"/>
                <w:sz w:val="18"/>
                <w:szCs w:val="18"/>
                <w:color w:val="auto"/>
              </w:rPr>
              <w:t>24.3%</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24.3%</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21.7%</w:t>
            </w:r>
          </w:p>
        </w:tc>
        <w:tc>
          <w:tcPr>
            <w:tcW w:w="1000" w:type="dxa"/>
            <w:vAlign w:val="bottom"/>
          </w:tcPr>
          <w:p>
            <w:pPr>
              <w:jc w:val="right"/>
              <w:spacing w:after="0"/>
              <w:rPr>
                <w:sz w:val="20"/>
                <w:szCs w:val="20"/>
                <w:color w:val="auto"/>
              </w:rPr>
            </w:pPr>
            <w:r>
              <w:rPr>
                <w:rFonts w:ascii="Arial" w:cs="Arial" w:eastAsia="Arial" w:hAnsi="Arial"/>
                <w:sz w:val="18"/>
                <w:szCs w:val="18"/>
                <w:color w:val="auto"/>
              </w:rPr>
              <w:t>21.7%</w:t>
            </w:r>
          </w:p>
        </w:tc>
      </w:tr>
      <w:tr>
        <w:trPr>
          <w:trHeight w:val="243"/>
        </w:trPr>
        <w:tc>
          <w:tcPr>
            <w:tcW w:w="3380" w:type="dxa"/>
            <w:vAlign w:val="bottom"/>
          </w:tcPr>
          <w:p>
            <w:pPr>
              <w:spacing w:after="0"/>
              <w:rPr>
                <w:sz w:val="20"/>
                <w:szCs w:val="20"/>
                <w:color w:val="auto"/>
              </w:rPr>
            </w:pPr>
            <w:r>
              <w:rPr>
                <w:rFonts w:ascii="Arial" w:cs="Arial" w:eastAsia="Arial" w:hAnsi="Arial"/>
                <w:sz w:val="18"/>
                <w:szCs w:val="18"/>
                <w:color w:val="auto"/>
              </w:rPr>
              <w:t>Oper. expense / Avge. assets (3)(4)</w:t>
            </w:r>
          </w:p>
        </w:tc>
        <w:tc>
          <w:tcPr>
            <w:tcW w:w="1180" w:type="dxa"/>
            <w:vAlign w:val="bottom"/>
          </w:tcPr>
          <w:p>
            <w:pPr>
              <w:jc w:val="right"/>
              <w:spacing w:after="0"/>
              <w:rPr>
                <w:sz w:val="20"/>
                <w:szCs w:val="20"/>
                <w:color w:val="auto"/>
              </w:rPr>
            </w:pPr>
            <w:r>
              <w:rPr>
                <w:rFonts w:ascii="Arial" w:cs="Arial" w:eastAsia="Arial" w:hAnsi="Arial"/>
                <w:sz w:val="18"/>
                <w:szCs w:val="18"/>
                <w:color w:val="auto"/>
              </w:rPr>
              <w:t>7.5%</w:t>
            </w:r>
          </w:p>
        </w:tc>
        <w:tc>
          <w:tcPr>
            <w:tcW w:w="1220" w:type="dxa"/>
            <w:vAlign w:val="bottom"/>
          </w:tcPr>
          <w:p>
            <w:pPr>
              <w:jc w:val="right"/>
              <w:ind w:right="52"/>
              <w:spacing w:after="0"/>
              <w:rPr>
                <w:sz w:val="20"/>
                <w:szCs w:val="20"/>
                <w:color w:val="auto"/>
              </w:rPr>
            </w:pPr>
            <w:r>
              <w:rPr>
                <w:rFonts w:ascii="Arial" w:cs="Arial" w:eastAsia="Arial" w:hAnsi="Arial"/>
                <w:sz w:val="18"/>
                <w:szCs w:val="18"/>
                <w:color w:val="auto"/>
              </w:rPr>
              <w:t>9.2%</w:t>
            </w:r>
          </w:p>
        </w:tc>
        <w:tc>
          <w:tcPr>
            <w:tcW w:w="1140" w:type="dxa"/>
            <w:vAlign w:val="bottom"/>
          </w:tcPr>
          <w:p>
            <w:pPr>
              <w:jc w:val="right"/>
              <w:ind w:right="52"/>
              <w:spacing w:after="0"/>
              <w:rPr>
                <w:sz w:val="20"/>
                <w:szCs w:val="20"/>
                <w:color w:val="auto"/>
              </w:rPr>
            </w:pPr>
            <w:r>
              <w:rPr>
                <w:rFonts w:ascii="Arial" w:cs="Arial" w:eastAsia="Arial" w:hAnsi="Arial"/>
                <w:sz w:val="18"/>
                <w:szCs w:val="18"/>
                <w:color w:val="auto"/>
              </w:rPr>
              <w:t>9.8%</w:t>
            </w:r>
          </w:p>
        </w:tc>
        <w:tc>
          <w:tcPr>
            <w:tcW w:w="1000" w:type="dxa"/>
            <w:vAlign w:val="bottom"/>
          </w:tcPr>
          <w:p>
            <w:pPr>
              <w:jc w:val="right"/>
              <w:spacing w:after="0"/>
              <w:rPr>
                <w:sz w:val="20"/>
                <w:szCs w:val="20"/>
                <w:color w:val="auto"/>
              </w:rPr>
            </w:pPr>
            <w:r>
              <w:rPr>
                <w:rFonts w:ascii="Arial" w:cs="Arial" w:eastAsia="Arial" w:hAnsi="Arial"/>
                <w:sz w:val="18"/>
                <w:szCs w:val="18"/>
                <w:color w:val="auto"/>
              </w:rPr>
              <w:t>9.8%</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7.3%</w:t>
            </w:r>
          </w:p>
        </w:tc>
        <w:tc>
          <w:tcPr>
            <w:tcW w:w="1200" w:type="dxa"/>
            <w:vAlign w:val="bottom"/>
          </w:tcPr>
          <w:p>
            <w:pPr>
              <w:jc w:val="right"/>
              <w:ind w:right="32"/>
              <w:spacing w:after="0"/>
              <w:rPr>
                <w:sz w:val="20"/>
                <w:szCs w:val="20"/>
                <w:color w:val="auto"/>
              </w:rPr>
            </w:pPr>
            <w:r>
              <w:rPr>
                <w:rFonts w:ascii="Arial" w:cs="Arial" w:eastAsia="Arial" w:hAnsi="Arial"/>
                <w:sz w:val="18"/>
                <w:szCs w:val="18"/>
                <w:color w:val="auto"/>
              </w:rPr>
              <w:t>7.8%</w:t>
            </w:r>
          </w:p>
        </w:tc>
        <w:tc>
          <w:tcPr>
            <w:tcW w:w="1000" w:type="dxa"/>
            <w:vAlign w:val="bottom"/>
          </w:tcPr>
          <w:p>
            <w:pPr>
              <w:jc w:val="right"/>
              <w:spacing w:after="0"/>
              <w:rPr>
                <w:sz w:val="20"/>
                <w:szCs w:val="20"/>
                <w:color w:val="auto"/>
              </w:rPr>
            </w:pPr>
            <w:r>
              <w:rPr>
                <w:rFonts w:ascii="Arial" w:cs="Arial" w:eastAsia="Arial" w:hAnsi="Arial"/>
                <w:sz w:val="18"/>
                <w:szCs w:val="18"/>
                <w:color w:val="auto"/>
              </w:rPr>
              <w:t>7.8%</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22225</wp:posOffset>
            </wp:positionH>
            <wp:positionV relativeFrom="paragraph">
              <wp:posOffset>241300</wp:posOffset>
            </wp:positionV>
            <wp:extent cx="721233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2330" cy="8890"/>
                    </a:xfrm>
                    <a:prstGeom prst="rect">
                      <a:avLst/>
                    </a:prstGeom>
                    <a:noFill/>
                  </pic:spPr>
                </pic:pic>
              </a:graphicData>
            </a:graphic>
          </wp:anchor>
        </w:drawing>
      </w:r>
    </w:p>
    <w:p>
      <w:pPr>
        <w:spacing w:after="0" w:line="200" w:lineRule="exact"/>
        <w:rPr>
          <w:sz w:val="20"/>
          <w:szCs w:val="20"/>
          <w:color w:val="auto"/>
        </w:rPr>
      </w:pPr>
    </w:p>
    <w:p>
      <w:pPr>
        <w:spacing w:after="0" w:line="300" w:lineRule="exact"/>
        <w:rPr>
          <w:sz w:val="20"/>
          <w:szCs w:val="20"/>
          <w:color w:val="auto"/>
        </w:rPr>
      </w:pPr>
    </w:p>
    <w:p>
      <w:pPr>
        <w:spacing w:after="0"/>
        <w:rPr>
          <w:sz w:val="20"/>
          <w:szCs w:val="20"/>
          <w:color w:val="auto"/>
        </w:rPr>
      </w:pPr>
      <w:r>
        <w:rPr>
          <w:rFonts w:ascii="Arial" w:cs="Arial" w:eastAsia="Arial" w:hAnsi="Arial"/>
          <w:sz w:val="18"/>
          <w:szCs w:val="18"/>
          <w:color w:val="auto"/>
        </w:rPr>
        <w:t>(1)Translated at S/.3.282 per US$1.00.</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(2)Based on 24.2 million shares in all periods.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(3)Averages are determined as the average of period-beginning and period-ending balances.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(4)Annualized.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(5)Does not include the life insurance subsidiary Pacifico Vida.</w:t>
      </w:r>
    </w:p>
    <w:p>
      <w:pPr>
        <w:sectPr>
          <w:pgSz w:w="11900" w:h="16838" w:orient="portrait"/>
          <w:cols w:equalWidth="0" w:num="1">
            <w:col w:w="11360"/>
          </w:cols>
          <w:pgMar w:left="240" w:top="131" w:right="299" w:bottom="1440" w:gutter="0" w:footer="0" w:header="0"/>
        </w:sectPr>
      </w:pPr>
    </w:p>
    <w:bookmarkStart w:id="23" w:name="page24"/>
    <w:bookmarkEnd w:id="23"/>
    <w:p>
      <w:pPr>
        <w:jc w:val="center"/>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155575</wp:posOffset>
            </wp:positionH>
            <wp:positionV relativeFrom="page">
              <wp:posOffset>378460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t>SIGNATURE</w:t>
      </w:r>
    </w:p>
    <w:p>
      <w:pPr>
        <w:spacing w:after="0" w:line="293" w:lineRule="exact"/>
        <w:rPr>
          <w:sz w:val="20"/>
          <w:szCs w:val="20"/>
          <w:color w:val="auto"/>
        </w:rPr>
      </w:pPr>
    </w:p>
    <w:p>
      <w:pPr>
        <w:ind w:right="60" w:firstLine="456"/>
        <w:spacing w:after="0" w:line="251" w:lineRule="auto"/>
        <w:rPr>
          <w:sz w:val="20"/>
          <w:szCs w:val="20"/>
          <w:color w:val="auto"/>
        </w:rPr>
      </w:pPr>
      <w:r>
        <w:rPr>
          <w:rFonts w:ascii="Arial" w:cs="Arial" w:eastAsia="Arial" w:hAnsi="Arial"/>
          <w:sz w:val="22"/>
          <w:szCs w:val="22"/>
          <w:color w:val="auto"/>
        </w:rPr>
        <w:t>Pursuant to the requirements of the Securities Exchange Act of 1934, the registrant has duly caused this report to be signed on its behalf by the undersigned, thereunto duly authorized.</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22"/>
          <w:szCs w:val="22"/>
          <w:color w:val="auto"/>
        </w:rPr>
        <w:t>Date: February 9, 2005</w:t>
      </w:r>
    </w:p>
    <w:p>
      <w:pPr>
        <w:spacing w:after="0" w:line="355" w:lineRule="exact"/>
        <w:rPr>
          <w:sz w:val="20"/>
          <w:szCs w:val="20"/>
          <w:color w:val="auto"/>
        </w:rPr>
      </w:pPr>
    </w:p>
    <w:p>
      <w:pPr>
        <w:ind w:left="2860"/>
        <w:spacing w:after="0"/>
        <w:rPr>
          <w:sz w:val="20"/>
          <w:szCs w:val="20"/>
          <w:color w:val="auto"/>
        </w:rPr>
      </w:pPr>
      <w:r>
        <w:rPr>
          <w:rFonts w:ascii="Arial" w:cs="Arial" w:eastAsia="Arial" w:hAnsi="Arial"/>
          <w:sz w:val="22"/>
          <w:szCs w:val="22"/>
          <w:color w:val="auto"/>
        </w:rPr>
        <w:t>CREDICORP LTD.</w:t>
      </w:r>
    </w:p>
    <w:p>
      <w:pPr>
        <w:spacing w:after="0" w:line="219" w:lineRule="exact"/>
        <w:rPr>
          <w:sz w:val="20"/>
          <w:szCs w:val="20"/>
          <w:color w:val="auto"/>
        </w:rPr>
      </w:pPr>
    </w:p>
    <w:p>
      <w:pPr>
        <w:ind w:left="2860"/>
        <w:spacing w:after="0"/>
        <w:tabs>
          <w:tab w:leader="none" w:pos="52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w:t>
      </w:r>
      <w:r>
        <w:rPr>
          <w:rFonts w:ascii="Arial" w:cs="Arial" w:eastAsia="Arial" w:hAnsi="Arial"/>
          <w:sz w:val="14"/>
          <w:szCs w:val="14"/>
          <w:color w:val="auto"/>
        </w:rPr>
        <w:t>S</w:t>
      </w:r>
      <w:r>
        <w:rPr>
          <w:rFonts w:ascii="Arial" w:cs="Arial" w:eastAsia="Arial" w:hAnsi="Arial"/>
          <w:sz w:val="18"/>
          <w:szCs w:val="18"/>
          <w:color w:val="auto"/>
        </w:rPr>
        <w:t>/ Guillermo Castillo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2192020</wp:posOffset>
            </wp:positionH>
            <wp:positionV relativeFrom="paragraph">
              <wp:posOffset>80010</wp:posOffset>
            </wp:positionV>
            <wp:extent cx="324993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249930" cy="8890"/>
                    </a:xfrm>
                    <a:prstGeom prst="rect">
                      <a:avLst/>
                    </a:prstGeom>
                    <a:noFill/>
                  </pic:spPr>
                </pic:pic>
              </a:graphicData>
            </a:graphic>
          </wp:anchor>
        </w:drawing>
      </w:r>
    </w:p>
    <w:p>
      <w:pPr>
        <w:spacing w:after="0" w:line="213"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Guillermo Castillo</w:t>
      </w:r>
    </w:p>
    <w:p>
      <w:pPr>
        <w:spacing w:after="0" w:line="21" w:lineRule="exact"/>
        <w:rPr>
          <w:sz w:val="20"/>
          <w:szCs w:val="20"/>
          <w:color w:val="auto"/>
        </w:rPr>
      </w:pPr>
    </w:p>
    <w:p>
      <w:pPr>
        <w:ind w:left="3440"/>
        <w:spacing w:after="0"/>
        <w:rPr>
          <w:sz w:val="20"/>
          <w:szCs w:val="20"/>
          <w:color w:val="auto"/>
        </w:rPr>
      </w:pPr>
      <w:r>
        <w:rPr>
          <w:rFonts w:ascii="Arial" w:cs="Arial" w:eastAsia="Arial" w:hAnsi="Arial"/>
          <w:sz w:val="18"/>
          <w:szCs w:val="18"/>
          <w:b w:val="1"/>
          <w:bCs w:val="1"/>
          <w:color w:val="auto"/>
        </w:rPr>
        <w:t>Authorized Representative</w:t>
      </w:r>
    </w:p>
    <w:p>
      <w:pPr>
        <w:spacing w:after="0" w:line="28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FORWARD-LOOKING STATEMENTS</w:t>
      </w:r>
    </w:p>
    <w:p>
      <w:pPr>
        <w:spacing w:after="0" w:line="225" w:lineRule="exact"/>
        <w:rPr>
          <w:sz w:val="20"/>
          <w:szCs w:val="20"/>
          <w:color w:val="auto"/>
        </w:rPr>
      </w:pPr>
    </w:p>
    <w:p>
      <w:pPr>
        <w:jc w:val="both"/>
        <w:spacing w:after="0" w:line="289" w:lineRule="auto"/>
        <w:rPr>
          <w:sz w:val="20"/>
          <w:szCs w:val="20"/>
          <w:color w:val="auto"/>
        </w:rPr>
      </w:pPr>
      <w:r>
        <w:rPr>
          <w:rFonts w:ascii="Arial" w:cs="Arial" w:eastAsia="Arial" w:hAnsi="Arial"/>
          <w:sz w:val="16"/>
          <w:szCs w:val="16"/>
          <w:color w:val="auto"/>
        </w:rPr>
        <w:t>This press release may contain forward-looking statements. These statements are statements that are not historical facts, and are based on management's current view and estimates of future economic circumstances, industry conditions, company performance and financial results. The words "anticipates", "believes", "estimates", "expects", "plans" and similar expressions, as they relate to the company, are intended to identify forward-looking statements. Statements regarding the declaration or payment of dividends, the implementation of principal operating and financing strategies and capital expenditure plans, the direction of future operations and the factors or trends affecting financial condition, liquidity or results of operations are examples of forward-looking statements. Such statements reflect the current views of management and are subject to a number of risks and uncertainties. There is no guarantee that the expected events, trends or results will actually occur. The statements are based on many assumptions and factors, including general economic and market conditions, industry conditions, and operating factors. Any changes in such assumptions or factors could cause actual results to differ materially from current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404495</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sectPr>
      <w:pgSz w:w="11900" w:h="16838" w:orient="portrait"/>
      <w:cols w:equalWidth="0" w:num="1">
        <w:col w:w="11420"/>
      </w:cols>
      <w:pgMar w:left="240" w:top="855"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1"/>
    </w:lvl>
  </w:abstractNum>
  <w:abstractNum w:abstractNumId="1">
    <w:nsid w:val="625558EC"/>
    <w:multiLevelType w:val="hybridMultilevel"/>
    <w:lvl w:ilvl="0">
      <w:lvlJc w:val="left"/>
      <w:lvlText w:val="(%1)"/>
      <w:numFmt w:val="decimal"/>
      <w:start w:val="1"/>
    </w:lvl>
  </w:abstractNum>
  <w:abstractNum w:abstractNumId="2">
    <w:nsid w:val="238E1F29"/>
    <w:multiLevelType w:val="hybridMultilevel"/>
    <w:lvl w:ilvl="0">
      <w:lvlJc w:val="left"/>
      <w:lvlText w:val="(%1)"/>
      <w:numFmt w:val="decimal"/>
      <w:start w:val="1"/>
    </w:lvl>
  </w:abstractNum>
  <w:abstractNum w:abstractNumId="3">
    <w:nsid w:val="46E87CCD"/>
    <w:multiLevelType w:val="hybridMultilevel"/>
    <w:lvl w:ilvl="0">
      <w:lvlJc w:val="left"/>
      <w:lvlText w:val="%1)"/>
      <w:numFmt w:val="lowerRoman"/>
      <w:start w:val="1"/>
    </w:lvl>
  </w:abstractNum>
  <w:abstractNum w:abstractNumId="4">
    <w:nsid w:val="3D1B58BA"/>
    <w:multiLevelType w:val="hybridMultilevel"/>
    <w:lvl w:ilvl="0">
      <w:lvlJc w:val="left"/>
      <w:lvlText w:val="(%1)"/>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2019-12-14T06:10:24Z</dcterms:created>
  <dcterms:modified xsi:type="dcterms:W3CDTF">2019-12-14T06:10:24Z</dcterms:modified>
</cp:coreProperties>
</file>